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hAnsi="黑体"/>
          <w:sz w:val="32"/>
          <w:szCs w:val="32"/>
        </w:rPr>
      </w:pPr>
      <w:r>
        <w:rPr>
          <w:rFonts w:ascii="黑体" w:eastAsia="黑体" w:hAnsi="黑体" w:hint="eastAsia"/>
          <w:sz w:val="32"/>
          <w:szCs w:val="32"/>
        </w:rPr>
        <w:t>附件4</w:t>
      </w:r>
    </w:p>
    <w:p>
      <w:pPr>
        <w:spacing w:line="560" w:lineRule="exact"/>
        <w:jc w:val="center"/>
        <w:rPr>
          <w:rFonts w:ascii="宋体" w:cs="宋体" w:hAnsi="宋体"/>
          <w:b/>
          <w:bCs/>
          <w:sz w:val="44"/>
          <w:szCs w:val="44"/>
        </w:rPr>
      </w:pPr>
    </w:p>
    <w:p>
      <w:pPr>
        <w:spacing w:line="560" w:lineRule="exact"/>
        <w:jc w:val="center"/>
        <w:rPr>
          <w:rFonts w:ascii="宋体" w:cs="宋体" w:hAnsi="宋体"/>
          <w:b/>
          <w:bCs/>
          <w:sz w:val="44"/>
          <w:szCs w:val="44"/>
        </w:rPr>
      </w:pPr>
      <w:r>
        <w:rPr>
          <w:rFonts w:ascii="宋体" w:cs="宋体" w:hAnsi="宋体" w:hint="eastAsia"/>
          <w:b/>
          <w:bCs/>
          <w:sz w:val="44"/>
          <w:szCs w:val="44"/>
        </w:rPr>
        <w:t>石家庄市井陉矿区凤山镇人民政府</w:t>
      </w:r>
    </w:p>
    <w:p>
      <w:pPr>
        <w:spacing w:line="560" w:lineRule="exact"/>
        <w:jc w:val="center"/>
        <w:rPr>
          <w:rFonts w:ascii="宋体" w:cs="宋体" w:hAnsi="宋体"/>
          <w:b/>
          <w:bCs/>
          <w:sz w:val="44"/>
          <w:szCs w:val="44"/>
        </w:rPr>
      </w:pPr>
      <w:r>
        <w:rPr>
          <w:rFonts w:ascii="宋体" w:cs="宋体" w:hAnsi="宋体" w:hint="eastAsia"/>
          <w:b/>
          <w:bCs/>
          <w:sz w:val="44"/>
          <w:szCs w:val="44"/>
        </w:rPr>
        <w:t>202</w:t>
      </w:r>
      <w:r>
        <w:rPr>
          <w:rFonts w:ascii="宋体" w:cs="宋体" w:hAnsi="宋体"/>
          <w:b/>
          <w:bCs/>
          <w:sz w:val="44"/>
          <w:szCs w:val="44"/>
        </w:rPr>
        <w:t>4</w:t>
      </w:r>
      <w:r>
        <w:rPr>
          <w:rFonts w:ascii="宋体" w:cs="宋体" w:hAnsi="宋体" w:hint="eastAsia"/>
          <w:b/>
          <w:bCs/>
          <w:sz w:val="44"/>
          <w:szCs w:val="44"/>
        </w:rPr>
        <w:t>年度整体支出绩效自评报告</w:t>
      </w:r>
    </w:p>
    <w:p>
      <w:pPr>
        <w:spacing w:line="560" w:lineRule="exact"/>
        <w:jc w:val="center"/>
        <w:rPr>
          <w:rFonts w:ascii="华文楷体" w:eastAsia="华文楷体"/>
          <w:sz w:val="32"/>
          <w:szCs w:val="32"/>
        </w:rPr>
      </w:pP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发﹝2019﹞</w:t>
      </w:r>
      <w:r>
        <w:rPr>
          <w:rFonts w:ascii="仿宋" w:eastAsia="仿宋" w:hAnsi="仿宋"/>
          <w:sz w:val="32"/>
          <w:szCs w:val="32"/>
        </w:rPr>
        <w:t>7</w:t>
      </w:r>
      <w:r>
        <w:rPr>
          <w:rFonts w:ascii="仿宋" w:eastAsia="仿宋" w:hAnsi="仿宋" w:hint="eastAsia"/>
          <w:sz w:val="32"/>
          <w:szCs w:val="32"/>
        </w:rPr>
        <w:t>号）文件精神，遵循“科学性、规范性、客观性和公正性”的原则，对凤山镇人民政府202</w:t>
      </w:r>
      <w:r>
        <w:rPr>
          <w:rFonts w:ascii="仿宋" w:eastAsia="仿宋" w:hAnsi="仿宋"/>
          <w:sz w:val="32"/>
          <w:szCs w:val="32"/>
        </w:rPr>
        <w:t>4</w:t>
      </w:r>
      <w:r>
        <w:rPr>
          <w:rFonts w:ascii="仿宋" w:eastAsia="仿宋" w:hAnsi="仿宋" w:hint="eastAsia"/>
          <w:sz w:val="32"/>
          <w:szCs w:val="32"/>
        </w:rPr>
        <w:t>年整体支出情况实施了财政支出绩效自评价，形成本评价报告。</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（一）部门概况</w:t>
      </w:r>
    </w:p>
    <w:p>
      <w:pPr>
        <w:adjustRightInd w:val="0"/>
        <w:snapToGrid w:val="0"/>
        <w:spacing w:line="560" w:lineRule="exact"/>
        <w:ind w:firstLineChars="200" w:firstLine="640"/>
        <w:rPr>
          <w:rFonts w:ascii="楷体" w:eastAsia="楷体" w:cs="楷体_GB2312" w:hAnsi="楷体"/>
          <w:bCs/>
          <w:sz w:val="32"/>
          <w:szCs w:val="32"/>
        </w:rPr>
      </w:pPr>
      <w:r>
        <w:rPr>
          <w:rFonts w:ascii="仿宋" w:eastAsia="仿宋" w:hAnsi="仿宋" w:hint="eastAsia"/>
          <w:sz w:val="32"/>
          <w:szCs w:val="32"/>
        </w:rPr>
        <w:t>1.主要职能。</w:t>
      </w:r>
    </w:p>
    <w:p>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1）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（2）讨论和决定本镇经济建设、整治建设、文化建设、社会建设、生态文明建设和党的建设以及乡镇振兴中的重大问题。</w:t>
      </w:r>
    </w:p>
    <w:p>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（3）组织召开本级人民代表大会，充分行使重大事项决定权、监督权和任免权，做好人大代表工作，联系选民、反映群众意见和要求。</w:t>
      </w:r>
    </w:p>
    <w:p>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4）执行本行政区域内的经济和社会发展计划、预算，管理本行政区域内的经济、教育、科学、文化、卫生健康、体育事业和财政、统计、民政、司法行政等行政工作。落实本行政区域内发展规划、专项规划、区域规划、国土空间规划。</w:t>
      </w:r>
    </w:p>
    <w:p>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（5）坚持党管武装的根本原则和制度，协调各方力量，对镇人民武装工作实行统一领导。</w:t>
      </w:r>
    </w:p>
    <w:p>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（6）负责对干部的教育、培训、选拔、考核和监督工作。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（7）领导本镇的基层治理，加强社会主义民主法治建设和精神文明建设，加强社会治安综合治理，做好应急管理、生态环保、乡村振兴、民生保障、脱贫致富、民主宗教、防范邪教等工作。</w:t>
      </w:r>
    </w:p>
    <w:p>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8）保护社会主义的全民所有的财产和劳动群众集体所有的财产，保护公民私人所有的合法财产，维护社会秩序，保障公民的人身权利、民主权利和其他权利。保护各种经济组织的合法权益。保障少数民族的合法的权利和利益，尊重少数民族的风俗习惯。保障宪法和法律赋予妇女的男女平等、同工同酬和婚姻自由等各项权利。</w:t>
      </w:r>
    </w:p>
    <w:p>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（9）承办上级党委、人大、政府交办的其他事项</w:t>
      </w:r>
      <w:r>
        <w:rPr>
          <w:rFonts w:ascii="仿宋" w:eastAsia="仿宋" w:hAnsi="仿宋" w:hint="eastAsia"/>
          <w:sz w:val="32"/>
          <w:szCs w:val="32"/>
        </w:rPr>
        <w:t>。</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2．机构情况。</w:t>
      </w:r>
    </w:p>
    <w:tbl>
      <w:tblPr>
        <w:jc w:val="left"/>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Look w:val="04A0" w:firstRow="1" w:lastRow="0" w:firstColumn="1" w:lastColumn="0" w:noHBand="0" w:noVBand="1"/>
      </w:tblPr>
      <w:tblGrid>
        <w:gridCol w:w="2259"/>
        <w:gridCol w:w="2001"/>
        <w:gridCol w:w="2131"/>
        <w:gridCol w:w="2506"/>
      </w:tblGrid>
      <w:tr>
        <w:tc>
          <w:tcPr>
            <w:tcW w:w="2259" w:type="dxa"/>
            <w:vAlign w:val="center"/>
          </w:tcPr>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单位名称</w:t>
            </w:r>
          </w:p>
        </w:tc>
        <w:tc>
          <w:tcPr>
            <w:tcW w:w="2001" w:type="dxa"/>
            <w:vAlign w:val="center"/>
          </w:tcPr>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单位性质</w:t>
            </w:r>
          </w:p>
        </w:tc>
        <w:tc>
          <w:tcPr>
            <w:tcW w:w="2131" w:type="dxa"/>
            <w:vAlign w:val="center"/>
          </w:tcPr>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单位规格</w:t>
            </w:r>
          </w:p>
        </w:tc>
        <w:tc>
          <w:tcPr>
            <w:tcW w:w="2506" w:type="dxa"/>
            <w:vAlign w:val="center"/>
          </w:tcPr>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经费保障形势</w:t>
            </w:r>
          </w:p>
        </w:tc>
      </w:tr>
      <w:tr>
        <w:tc>
          <w:tcPr>
            <w:tcW w:w="2259" w:type="dxa"/>
          </w:tcPr>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石家庄市井陉矿区凤山镇人民政府</w:t>
            </w:r>
          </w:p>
        </w:tc>
        <w:tc>
          <w:tcPr>
            <w:tcW w:w="2001" w:type="dxa"/>
            <w:tcBorders>
              <w:left w:val="single" w:sz="4" w:space="0" w:color="000000"/>
            </w:tcBorders>
            <w:vAlign w:val="center"/>
          </w:tcPr>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行政</w:t>
            </w:r>
          </w:p>
        </w:tc>
        <w:tc>
          <w:tcPr>
            <w:tcW w:w="2131" w:type="dxa"/>
            <w:tcBorders>
              <w:left w:val="single" w:sz="4" w:space="0" w:color="000000"/>
            </w:tcBorders>
            <w:vAlign w:val="center"/>
          </w:tcPr>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正科级</w:t>
            </w:r>
          </w:p>
        </w:tc>
        <w:tc>
          <w:tcPr>
            <w:tcW w:w="2506" w:type="dxa"/>
            <w:tcBorders>
              <w:left w:val="single" w:sz="4" w:space="0" w:color="000000"/>
            </w:tcBorders>
            <w:vAlign w:val="center"/>
          </w:tcPr>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财政拨款</w:t>
            </w:r>
          </w:p>
        </w:tc>
      </w:tr>
    </w:tbl>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3．人员情况，包括当年变动情况及原因。</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截止到2024年12月在职35人。</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4、资产情况，包括当年变动情况及原因。</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2024年年初资产603.53万元，年末607.24万元。2024年冬奥会调拨打印机2台、电脑2台、办公桌2张，人社局调拨打印一体机1台、高拍仪1台、电脑2台共计3.71万元。</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（二）部门收支预决算情况</w:t>
      </w:r>
    </w:p>
    <w:p>
      <w:pPr>
        <w:adjustRightInd w:val="0"/>
        <w:snapToGrid w:val="0"/>
        <w:spacing w:line="560" w:lineRule="exact"/>
        <w:ind w:firstLineChars="200" w:firstLine="640"/>
        <w:rPr>
          <w:rFonts w:ascii="楷体" w:eastAsia="楷体" w:cs="楷体_GB2312" w:hAnsi="楷体"/>
          <w:bCs/>
          <w:sz w:val="32"/>
          <w:szCs w:val="32"/>
        </w:rPr>
      </w:pPr>
      <w:r>
        <w:rPr>
          <w:rFonts w:ascii="仿宋" w:eastAsia="仿宋" w:cs="仿宋" w:hAnsi="仿宋" w:hint="eastAsia"/>
          <w:sz w:val="32"/>
          <w:szCs w:val="32"/>
        </w:rPr>
        <w:t>2024年部门年初预算收入3053.06万元，2024年部门预算支出3053.06万元，其中：基本支出774.09万元，项目支出2278.97万元。2024年实际收入2529.51万元,实际支出2529.51万元。其中：基本支出695.58万元，项目支出1833.93万元</w:t>
      </w:r>
      <w:r>
        <w:rPr>
          <w:rFonts w:ascii="仿宋_GB2312" w:eastAsia="仿宋_GB2312" w:hAnsi="仿宋" w:hint="eastAsia"/>
          <w:sz w:val="32"/>
          <w:szCs w:val="32"/>
        </w:rPr>
        <w:t>。</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（三）部门整体支出绩效目标、指标</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抓党建、夯基础，不断加强基层建设。通过抓党建，统一思想、明确目标、合理规划、服务大局，正值调研中，全镇上下一个声音，无任何杂音。一是加强理论学习。坚持把学习习近平新时代中国特色社会主义思想和党的二十大精神作为首要政治任务，不断推进理论学习常态化制度化。同时以主题教育为契机，不断开展理论学习、推动干事创业、抓好检视整改。二是强化意识形态。深入学习贯彻党的二十大精神和中央、省市区重要会议精神，组织开展理论</w:t>
      </w:r>
      <w:r>
        <w:rPr>
          <w:rFonts w:ascii="仿宋" w:eastAsia="仿宋" w:hAnsi="仿宋"/>
          <w:sz w:val="32"/>
          <w:szCs w:val="32"/>
        </w:rPr>
        <w:t>学习</w:t>
      </w:r>
      <w:bookmarkStart w:id="0" w:name="_GoBack"/>
      <w:bookmarkEnd w:id="0"/>
      <w:r>
        <w:rPr>
          <w:rFonts w:ascii="仿宋" w:eastAsia="仿宋" w:hAnsi="仿宋" w:hint="eastAsia"/>
          <w:sz w:val="32"/>
          <w:szCs w:val="32"/>
        </w:rPr>
        <w:t>中心组学习12次。开展理论宣讲进社区、进企业、进百姓万家活动60余场次，受众2000余人次。三是打响党建品牌。今年共谋划9个社区党建惠民项目11项，目前已全部完工。</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抓班子、带队伍，不断转变工作作风。抓班子带队伍，锤炼作风，激励斗志，好的班子、好的队伍心往一处想，劲往一处使，才能干成各项事业。一是加强领导班子建设。二是加强社区班子建设。带领社区两委班子脚踏实地干事，让老百姓过上好日子，想方设法发展村集体经济，提高服务群众能力。三是加强党员队伍建设。狠抓党员干部教育管理，开展党务知识和党员干部理论培训，创新学习方式，运用网络教育平台、远教站点等形式，不断提高党员干部整体素质。</w:t>
      </w: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3.抓载体、重实干，不断推进和谐发展。一是求突破、促发展。农业产业谋划实现突破。二是显特色、增村财。镇域所辖9个社区，根据自身资源禀赋，探索村集体经济发展方向，挖掘适合社区发展的产业。三是提镇味，聚人气。打造商业风貌街。改造提升凤中路商贸房基础设施，吸引外来人流客流，全面规划、精心设计，打造凤山特色商业样板。四是解难题、保稳定。本着“小事不出村、大事不出镇、矛盾不上交”原则，抓好春节、两会期间等重点敏感节点稳控工作，最大限度把矛盾隐患吸附在当地、化解在基层、解决在萌芽状态。</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ind w:firstLineChars="200" w:firstLine="640"/>
        <w:rPr>
          <w:rFonts w:ascii="楷体" w:eastAsia="楷体" w:cs="楷体_GB2312" w:hAnsi="楷体"/>
          <w:sz w:val="32"/>
          <w:szCs w:val="32"/>
        </w:rPr>
      </w:pPr>
      <w:r>
        <w:rPr>
          <w:rFonts w:ascii="楷体" w:eastAsia="楷体" w:cs="楷体_GB2312" w:hAnsi="楷体" w:hint="eastAsia"/>
          <w:bCs/>
          <w:sz w:val="32"/>
          <w:szCs w:val="32"/>
        </w:rPr>
        <w:t>（一）自评的组织工作</w:t>
      </w:r>
    </w:p>
    <w:p>
      <w:pPr>
        <w:spacing w:line="560" w:lineRule="exact"/>
        <w:rPr>
          <w:rFonts w:ascii="仿宋" w:eastAsia="仿宋" w:hAnsi="仿宋"/>
          <w:sz w:val="32"/>
          <w:szCs w:val="32"/>
        </w:rPr>
      </w:pPr>
      <w:r>
        <w:rPr>
          <w:rFonts w:ascii="仿宋" w:eastAsia="仿宋" w:hAnsi="仿宋" w:hint="eastAsia"/>
          <w:sz w:val="32"/>
          <w:szCs w:val="32"/>
        </w:rPr>
        <w:t xml:space="preserve">     </w:t>
      </w:r>
      <w:r>
        <w:rPr>
          <w:rFonts w:ascii="仿宋" w:eastAsia="仿宋" w:hAnsi="仿宋"/>
          <w:sz w:val="32"/>
          <w:szCs w:val="32"/>
        </w:rPr>
        <w:t>在区委区政府的正确领导下，</w:t>
      </w:r>
      <w:r>
        <w:rPr>
          <w:rFonts w:ascii="仿宋" w:eastAsia="仿宋" w:hAnsi="仿宋" w:hint="eastAsia"/>
          <w:sz w:val="32"/>
          <w:szCs w:val="32"/>
        </w:rPr>
        <w:t>我镇财政所联合各业务科室组成联合小组，自行开展部门自评工作全面负责部门自评工作，具体包括制定工作方案、进行任务布置及辅导、收集分析相关资料、审核项目支出绩效自评表、撰写绩效评价报告等。</w:t>
      </w:r>
    </w:p>
    <w:p>
      <w:pPr>
        <w:numPr>
          <w:ilvl w:val="0"/>
          <w:numId w:val="1"/>
        </w:numPr>
        <w:spacing w:line="560" w:lineRule="exact"/>
        <w:rPr>
          <w:rFonts w:ascii="楷体" w:eastAsia="楷体" w:cs="楷体_GB2312" w:hAnsi="楷体"/>
          <w:bCs/>
          <w:sz w:val="32"/>
          <w:szCs w:val="32"/>
        </w:rPr>
      </w:pPr>
      <w:r>
        <w:rPr>
          <w:rFonts w:ascii="楷体" w:eastAsia="楷体" w:cs="楷体_GB2312" w:hAnsi="楷体" w:hint="eastAsia"/>
          <w:bCs/>
          <w:sz w:val="32"/>
          <w:szCs w:val="32"/>
        </w:rPr>
        <w:t>自评的方法和过程</w:t>
      </w:r>
    </w:p>
    <w:p>
      <w:pPr>
        <w:spacing w:line="560" w:lineRule="exact"/>
        <w:ind w:firstLineChars="265" w:firstLine="848"/>
        <w:rPr>
          <w:rFonts w:ascii="楷体" w:eastAsia="楷体" w:cs="楷体_GB2312" w:hAnsi="楷体"/>
          <w:bCs/>
          <w:sz w:val="32"/>
          <w:szCs w:val="32"/>
        </w:rPr>
      </w:pPr>
      <w:r>
        <w:rPr>
          <w:rFonts w:ascii="仿宋" w:eastAsia="仿宋" w:cs="楷体_GB2312" w:hAnsi="仿宋" w:hint="eastAsia"/>
          <w:sz w:val="32"/>
          <w:szCs w:val="32"/>
        </w:rPr>
        <w:t>本次绩效评价证据收集方法包括了：研究、分析项目预算股室提供的相关文件；整理汇总项目预算股室提供的项目资料、工作总结和合同；根据预算股室提供的基础数据表逐项进行核实；根据项目服务对象填写的问卷调查结果汇总满意度情况。项目在前期的调研基础上，完成了项目绩效评价工作方案，设计了指标体系、评价标准、问卷调查方案等，明确了评价的目的、方法，评价原则。项目严格按照工作方案，通过调研、相关文件的解读、数据采集、文件调查、数据分析、指标评分和撰写的环节，顺利完成了本次绩效评价工作。</w:t>
      </w:r>
    </w:p>
    <w:p>
      <w:pPr>
        <w:spacing w:line="560" w:lineRule="exact"/>
        <w:rPr>
          <w:rFonts w:ascii="黑体" w:eastAsia="黑体" w:hAnsi="黑体"/>
          <w:b/>
          <w:bCs/>
          <w:sz w:val="32"/>
          <w:szCs w:val="32"/>
        </w:rPr>
      </w:pPr>
      <w:r>
        <w:rPr>
          <w:rFonts w:ascii="黑体" w:eastAsia="黑体" w:hAnsi="黑体" w:hint="eastAsia"/>
          <w:sz w:val="32"/>
          <w:szCs w:val="32"/>
        </w:rPr>
        <w:t xml:space="preserve">    三、部门整体支出绩效目标实现情况及指标分析</w:t>
      </w:r>
    </w:p>
    <w:p>
      <w:pPr>
        <w:numPr>
          <w:ilvl w:val="0"/>
          <w:numId w:val="2"/>
        </w:numPr>
        <w:spacing w:line="56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spacing w:line="560" w:lineRule="exact"/>
        <w:ind w:firstLineChars="250" w:firstLine="800"/>
        <w:rPr>
          <w:rFonts w:ascii="仿宋" w:eastAsia="仿宋" w:hAnsi="仿宋"/>
          <w:sz w:val="32"/>
          <w:szCs w:val="32"/>
        </w:rPr>
      </w:pPr>
      <w:r>
        <w:rPr>
          <w:rFonts w:ascii="仿宋" w:eastAsia="仿宋" w:hAnsi="仿宋" w:hint="eastAsia"/>
          <w:sz w:val="32"/>
          <w:szCs w:val="32"/>
        </w:rPr>
        <w:t>绩效目标是贯穿预算绩效管理始终的一条主线，是预算资金安排、事中绩效跟踪和事后绩效评价的重要依据。根据相关文件要求，我镇所有年初项目均设定了绩效目标，涉及产出指标和效果指标，但存在绩效指标不够全面、可评性不高、具体指标缺乏量化等问题。主要原因是对绩效目标的认识不够，制定多样化和细化的评价指标和标准需要在实践中不断完善。</w:t>
      </w:r>
    </w:p>
    <w:p>
      <w:pPr>
        <w:spacing w:line="560" w:lineRule="exact"/>
        <w:ind w:firstLineChars="200" w:firstLine="640"/>
        <w:rPr>
          <w:rFonts w:ascii="楷体" w:eastAsia="楷体" w:hAnsi="楷体"/>
          <w:bCs/>
          <w:sz w:val="32"/>
          <w:szCs w:val="32"/>
        </w:rPr>
      </w:pPr>
      <w:r>
        <w:rPr>
          <w:rFonts w:ascii="楷体" w:eastAsia="楷体" w:cs="楷体_GB2312" w:hAnsi="楷体" w:hint="eastAsia"/>
          <w:bCs/>
          <w:sz w:val="32"/>
          <w:szCs w:val="32"/>
        </w:rPr>
        <w:t>（二）分项绩效目标实现情况及指标分析</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（一）两委干部人员经费</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该项目预算数是133.282764万元，支出133.282764万元，总体支出进度为100%。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按时支付我镇9个社区两委干部工资及保险，维护人员稳定，保障社区工作正常运转。绩效指标为4个，评价等级为优。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（二）段家楼社区工作者经费</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该项目预算数是12.004463万元，支出12.004463万元，总体支出进度为100%。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按时支付段家楼社区工作者工资，保障社区工作人员基本生活，有效开展社区各项工作。绩效指标为4个，评价等级为优。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（三）劳务派遣人员经费</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该项目预算数是91.812788万元，支出91.812788万元，总体支出进度为100%。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按时发放劳务派遣、劳务外包及保安工资，保障我镇各项工作正常运行。</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（四）网格员工作经费</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该项目预算数是4.38万元，支出4.38万元，总体支出进度为100%。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sz w:val="32"/>
          <w:szCs w:val="32"/>
        </w:rPr>
        <w:t>确保网格化管理服务建设正常运行，提升综治工作的实战能力，提高社会治理科学化、法治化、智能化、精细化水平。</w:t>
      </w:r>
      <w:r>
        <w:rPr>
          <w:rFonts w:ascii="仿宋" w:eastAsia="仿宋" w:hAnsi="仿宋" w:hint="eastAsia"/>
          <w:sz w:val="32"/>
          <w:szCs w:val="32"/>
        </w:rPr>
        <w:t>绩效指标为 4 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（五）城镇无业独生子女父母奖励</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该项目预算数是2.805万元，支出2.805万元，总体支出进度为100%。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对城镇无业独生子女进行资金支持，减轻家庭压力，保障生活质量。绩效指标为 4 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（六）社区工作经费</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该项目预算数是45万元，支出45万元，总体支出进度为100%。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用于支付我镇9个社区工作的相关支出，保障社区工作正常开展。绩效指标为 4 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（七）信访维稳经费</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该项目预算数是11万元，支出11万元，总体支出进度为100%。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支付信访值班差旅费，保障信访工作正常开展，维护社会稳定，促进社会和谐发展。绩效指标为 4 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（八）环境保护经费</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该项目预算数是7万元，支出7万元，总体支出进度为100%。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支付洗扫车相关费用，保障洗扫车运行，提高清扫效率，提高更好的城市环境。绩效指标为 4 个，评价等级为优。</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（九）乡镇五小运行费</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1.资金支出进度</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该项目预算数是2万元，支出2万元，总体支出进度为100%。</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2.产出指标和效果指标完成情况</w:t>
      </w:r>
    </w:p>
    <w:p>
      <w:pPr>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拨付食堂支出，保障食堂正常运转为职工提供三餐需求。绩效指标为 4 个，评价等级为优。</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（十）应急基础设施项目资金</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1.资金支出进度</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该项目预算数是17万元，支出17万元，总体支出进度为100%。</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2.产出指标和效果指标完成情况</w:t>
      </w:r>
    </w:p>
    <w:p>
      <w:pPr>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支付以前年度工程款，保障施工单位合法权益。绩效指标为 4 个，评价等级为优。</w:t>
      </w:r>
    </w:p>
    <w:p>
      <w:pPr>
        <w:ind w:firstLine="640"/>
        <w:rPr>
          <w:rFonts w:ascii="仿宋" w:eastAsia="仿宋" w:hAnsi="仿宋"/>
          <w:sz w:val="32"/>
          <w:szCs w:val="32"/>
        </w:rPr>
      </w:pPr>
      <w:r>
        <w:rPr>
          <w:rFonts w:ascii="仿宋" w:eastAsia="仿宋" w:hAnsi="仿宋" w:hint="eastAsia"/>
          <w:sz w:val="32"/>
          <w:szCs w:val="32"/>
        </w:rPr>
        <w:t>（十一）中学城项目失地农民2024年养老保险及生活补贴</w:t>
      </w:r>
    </w:p>
    <w:p>
      <w:pPr>
        <w:ind w:firstLine="640"/>
        <w:rPr>
          <w:rFonts w:ascii="仿宋" w:eastAsia="仿宋" w:hAnsi="仿宋"/>
          <w:sz w:val="32"/>
          <w:szCs w:val="32"/>
        </w:rPr>
      </w:pPr>
      <w:r>
        <w:rPr>
          <w:rFonts w:ascii="仿宋" w:eastAsia="仿宋" w:hAnsi="仿宋" w:hint="eastAsia"/>
          <w:sz w:val="32"/>
          <w:szCs w:val="32"/>
        </w:rPr>
        <w:t>1.该项目预算数是1.219119万元，支出1.219119万元，总体支出进度为100%。</w:t>
      </w:r>
    </w:p>
    <w:p>
      <w:pPr>
        <w:ind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拨付失地农民养老保险及生活补贴，保障失地农民相应权益。绩效指标为4个，评价等级为优。</w:t>
      </w:r>
    </w:p>
    <w:p>
      <w:pPr>
        <w:ind w:firstLine="640"/>
        <w:rPr>
          <w:rFonts w:ascii="仿宋" w:eastAsia="仿宋" w:hAnsi="仿宋"/>
          <w:sz w:val="32"/>
          <w:szCs w:val="32"/>
        </w:rPr>
      </w:pPr>
      <w:r>
        <w:rPr>
          <w:rFonts w:ascii="仿宋" w:eastAsia="仿宋" w:hAnsi="仿宋" w:hint="eastAsia"/>
          <w:sz w:val="32"/>
          <w:szCs w:val="32"/>
        </w:rPr>
        <w:t>（十二）占地补偿款及失地农民保险（个人）</w:t>
      </w:r>
    </w:p>
    <w:p>
      <w:pPr>
        <w:ind w:firstLine="640"/>
        <w:rPr>
          <w:rFonts w:ascii="仿宋" w:eastAsia="仿宋" w:hAnsi="仿宋"/>
          <w:sz w:val="32"/>
          <w:szCs w:val="32"/>
        </w:rPr>
      </w:pPr>
      <w:r>
        <w:rPr>
          <w:rFonts w:ascii="仿宋" w:eastAsia="仿宋" w:hAnsi="仿宋" w:hint="eastAsia"/>
          <w:sz w:val="32"/>
          <w:szCs w:val="32"/>
        </w:rPr>
        <w:t>1.资金支出进度</w:t>
      </w:r>
    </w:p>
    <w:p>
      <w:pPr>
        <w:ind w:firstLine="640"/>
        <w:rPr>
          <w:rFonts w:ascii="仿宋" w:eastAsia="仿宋" w:hAnsi="仿宋"/>
          <w:sz w:val="32"/>
          <w:szCs w:val="32"/>
        </w:rPr>
      </w:pPr>
      <w:r>
        <w:rPr>
          <w:rFonts w:ascii="仿宋" w:eastAsia="仿宋" w:hAnsi="仿宋" w:hint="eastAsia"/>
          <w:sz w:val="32"/>
          <w:szCs w:val="32"/>
        </w:rPr>
        <w:t>该项目预算数是13.056768万元，支出13.056768万元，总体支出进度为100%。</w:t>
      </w:r>
    </w:p>
    <w:p>
      <w:pPr>
        <w:ind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按时拨付农户占地补偿款及失地农民养老保险，保障失地农民相应权益。绩效指标为4个，评价等级为优。</w:t>
      </w:r>
    </w:p>
    <w:p>
      <w:pPr>
        <w:ind w:firstLine="640"/>
        <w:rPr>
          <w:rFonts w:ascii="仿宋" w:eastAsia="仿宋" w:hAnsi="仿宋"/>
          <w:sz w:val="32"/>
          <w:szCs w:val="32"/>
        </w:rPr>
      </w:pPr>
      <w:r>
        <w:rPr>
          <w:rFonts w:ascii="仿宋" w:eastAsia="仿宋" w:hAnsi="仿宋" w:hint="eastAsia"/>
          <w:sz w:val="32"/>
          <w:szCs w:val="32"/>
        </w:rPr>
        <w:t>（十三）庆晟二期征地迁坟费用</w:t>
      </w:r>
    </w:p>
    <w:p>
      <w:pPr>
        <w:ind w:firstLine="640"/>
        <w:rPr>
          <w:rFonts w:ascii="仿宋" w:eastAsia="仿宋" w:hAnsi="仿宋"/>
          <w:sz w:val="32"/>
          <w:szCs w:val="32"/>
        </w:rPr>
      </w:pPr>
      <w:r>
        <w:rPr>
          <w:rFonts w:ascii="仿宋" w:eastAsia="仿宋" w:hAnsi="仿宋" w:hint="eastAsia"/>
          <w:sz w:val="32"/>
          <w:szCs w:val="32"/>
        </w:rPr>
        <w:t>1.资金支出进度</w:t>
      </w:r>
    </w:p>
    <w:p>
      <w:pPr>
        <w:ind w:firstLine="640"/>
        <w:rPr>
          <w:rFonts w:ascii="仿宋" w:eastAsia="仿宋" w:hAnsi="仿宋"/>
          <w:sz w:val="32"/>
          <w:szCs w:val="32"/>
        </w:rPr>
      </w:pPr>
      <w:r>
        <w:rPr>
          <w:rFonts w:ascii="仿宋" w:eastAsia="仿宋" w:hAnsi="仿宋" w:hint="eastAsia"/>
          <w:sz w:val="32"/>
          <w:szCs w:val="32"/>
        </w:rPr>
        <w:t>该项目预算数是3.876万元，支出3.876万元，总体支出进度为100%。</w:t>
      </w:r>
    </w:p>
    <w:p>
      <w:pPr>
        <w:ind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通过拨付农民迁坟费用，有效保障农民权益。绩效指标为4个，评价等级为优。</w:t>
      </w:r>
    </w:p>
    <w:p>
      <w:pPr>
        <w:ind w:firstLine="640"/>
        <w:rPr>
          <w:rFonts w:ascii="仿宋" w:eastAsia="仿宋" w:hAnsi="仿宋"/>
          <w:sz w:val="32"/>
          <w:szCs w:val="32"/>
        </w:rPr>
      </w:pPr>
      <w:r>
        <w:rPr>
          <w:rFonts w:ascii="仿宋" w:eastAsia="仿宋" w:hAnsi="仿宋" w:hint="eastAsia"/>
          <w:sz w:val="32"/>
          <w:szCs w:val="32"/>
        </w:rPr>
        <w:t>（十四）关于下达2023年市级农村综合改革转移支付预算的通知（一事一议）</w:t>
      </w:r>
    </w:p>
    <w:p>
      <w:pPr>
        <w:ind w:firstLine="640"/>
        <w:rPr>
          <w:rFonts w:ascii="仿宋" w:eastAsia="仿宋" w:hAnsi="仿宋"/>
          <w:sz w:val="32"/>
          <w:szCs w:val="32"/>
        </w:rPr>
      </w:pPr>
      <w:r>
        <w:rPr>
          <w:rFonts w:ascii="仿宋" w:eastAsia="仿宋" w:hAnsi="仿宋" w:hint="eastAsia"/>
          <w:sz w:val="32"/>
          <w:szCs w:val="32"/>
        </w:rPr>
        <w:t>1.该项目预算数是22万元，支出22万元，总体支出进度为100%。</w:t>
      </w:r>
    </w:p>
    <w:p>
      <w:pPr>
        <w:ind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对社区一事一议资金足额拨付，有效改善社区居民居住环境。绩效指标为4个，评价等级为优。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（十五）关于提前下达2023年中央农村综合改革转移支付预算的通知（一事一议）</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该项目预算数是5万元，支出5万元，总体支出进度为100%。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对社区一事一议资金足额拨付，有效改善社区居民居住环境。绩效指标为 4 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（十六）关于下达2023年中央农村综合改革转移支付资金的通知（一事一议）</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该项目预算数是33万元，支出33万元，总体支出进度为100%。</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对社区一事一议资金足额拨付，有效改善社区居民居住环境。绩效指标为 4 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（十七）2023年中央农村综合改革转移支付资金</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该项目预算数是358.87万元，支出320万元，总体支出进度为89%。</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对社区支付农综改资金支持，确保完成红色美丽村庄建设试点工作。绩效指标为 4 个，评价等级为优。</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（十八）社区工作者薪酬待遇补助经费</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1.资金支出进度</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该项目预算数是6.6万元，支出6万元，总体支出进度为100%。</w:t>
      </w:r>
    </w:p>
    <w:p>
      <w:pPr>
        <w:adjustRightInd w:val="0"/>
        <w:snapToGrid w:val="0"/>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2.产出指标和效果指标完成情况</w:t>
      </w:r>
    </w:p>
    <w:p>
      <w:pPr>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社区工作者按时足额发放待遇补助，有效激励社工干事创业，更好发挥作用。绩效指标为 4 个，评价等级为优。</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（十九）关于提前下达2024年中央农村综合改革转移支付预算的通知</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1.资金支出进度</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该项目预算数是230万元，支出130万元，总体支出进度为56.52%。</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对我镇农综改项目资金拨付，提升村庄整体环境。绩效指标为4个，评价等级为优。</w:t>
      </w:r>
    </w:p>
    <w:p>
      <w:pPr>
        <w:ind w:firstLine="640"/>
        <w:rPr>
          <w:rFonts w:ascii="仿宋" w:eastAsia="仿宋" w:hAnsi="仿宋"/>
          <w:sz w:val="32"/>
          <w:szCs w:val="32"/>
        </w:rPr>
      </w:pPr>
      <w:r>
        <w:rPr>
          <w:rFonts w:ascii="仿宋" w:eastAsia="仿宋" w:hAnsi="仿宋" w:hint="eastAsia"/>
          <w:sz w:val="32"/>
          <w:szCs w:val="32"/>
        </w:rPr>
        <w:t>（二十）关于调整下达2024年度市级社区党建惠民专项资金的通知</w:t>
      </w:r>
    </w:p>
    <w:p>
      <w:pPr>
        <w:ind w:firstLine="640"/>
        <w:rPr>
          <w:rFonts w:ascii="仿宋" w:eastAsia="仿宋" w:hAnsi="仿宋"/>
          <w:sz w:val="32"/>
          <w:szCs w:val="32"/>
        </w:rPr>
      </w:pPr>
      <w:r>
        <w:rPr>
          <w:rFonts w:ascii="仿宋" w:eastAsia="仿宋" w:hAnsi="仿宋" w:hint="eastAsia"/>
          <w:sz w:val="32"/>
          <w:szCs w:val="32"/>
        </w:rPr>
        <w:t>1.资金支出进度</w:t>
      </w:r>
    </w:p>
    <w:p>
      <w:pPr>
        <w:ind w:firstLine="640"/>
        <w:rPr>
          <w:rFonts w:ascii="仿宋" w:eastAsia="仿宋" w:hAnsi="仿宋"/>
          <w:sz w:val="32"/>
          <w:szCs w:val="32"/>
        </w:rPr>
      </w:pPr>
      <w:r>
        <w:rPr>
          <w:rFonts w:ascii="仿宋" w:eastAsia="仿宋" w:hAnsi="仿宋" w:hint="eastAsia"/>
          <w:sz w:val="32"/>
          <w:szCs w:val="32"/>
        </w:rPr>
        <w:t>该项目预算数是340万元，支出170万元，总体支出进度为50%。</w:t>
      </w:r>
    </w:p>
    <w:p>
      <w:pPr>
        <w:ind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cs="仿宋" w:hAnsi="仿宋" w:hint="eastAsia"/>
          <w:sz w:val="32"/>
          <w:szCs w:val="32"/>
        </w:rPr>
        <w:t>用于社区既有设施改造，维护党群服务场所建设、维护、维修、设备采购，社区文体公益活动、社区志愿服务，培育和发展社区社会组织，解决社区民生问题。绩效指标为 4 个，评价等级为优。</w:t>
      </w:r>
    </w:p>
    <w:p>
      <w:pPr>
        <w:ind w:firstLine="640"/>
        <w:rPr>
          <w:rFonts w:ascii="仿宋" w:eastAsia="仿宋" w:hAnsi="仿宋"/>
          <w:sz w:val="32"/>
          <w:szCs w:val="32"/>
        </w:rPr>
      </w:pPr>
      <w:r>
        <w:rPr>
          <w:rFonts w:ascii="仿宋" w:eastAsia="仿宋" w:hAnsi="仿宋" w:hint="eastAsia"/>
          <w:sz w:val="32"/>
          <w:szCs w:val="32"/>
        </w:rPr>
        <w:t>（二十一）2024年美术馆、公共图书馆、文化馆（站）免费开放中央补助资金</w:t>
      </w:r>
    </w:p>
    <w:p>
      <w:pPr>
        <w:ind w:firstLine="640"/>
        <w:rPr>
          <w:rFonts w:ascii="仿宋" w:eastAsia="仿宋" w:hAnsi="仿宋"/>
          <w:sz w:val="32"/>
          <w:szCs w:val="32"/>
        </w:rPr>
      </w:pPr>
      <w:r>
        <w:rPr>
          <w:rFonts w:ascii="仿宋" w:eastAsia="仿宋" w:hAnsi="仿宋" w:hint="eastAsia"/>
          <w:sz w:val="32"/>
          <w:szCs w:val="32"/>
        </w:rPr>
        <w:t>1.资金支出进度</w:t>
      </w:r>
    </w:p>
    <w:p>
      <w:pPr>
        <w:ind w:firstLine="640"/>
        <w:rPr>
          <w:rFonts w:ascii="仿宋" w:eastAsia="仿宋" w:hAnsi="仿宋"/>
          <w:sz w:val="32"/>
          <w:szCs w:val="32"/>
        </w:rPr>
      </w:pPr>
      <w:r>
        <w:rPr>
          <w:rFonts w:ascii="仿宋" w:eastAsia="仿宋" w:hAnsi="仿宋" w:hint="eastAsia"/>
          <w:sz w:val="32"/>
          <w:szCs w:val="32"/>
        </w:rPr>
        <w:t>该项目预算数是3万元，支出3万元，总体支出进度为100%。</w:t>
      </w:r>
    </w:p>
    <w:p>
      <w:pPr>
        <w:ind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拨付文化站免费开放资金，保障文化站免费开放及文化活动正常开展。绩效指标为 4 个，评价等级为优。</w:t>
      </w:r>
    </w:p>
    <w:p>
      <w:pPr>
        <w:ind w:firstLine="640"/>
        <w:rPr>
          <w:rFonts w:ascii="仿宋" w:eastAsia="仿宋" w:hAnsi="仿宋"/>
          <w:sz w:val="32"/>
          <w:szCs w:val="32"/>
        </w:rPr>
      </w:pPr>
      <w:r>
        <w:rPr>
          <w:rFonts w:ascii="仿宋" w:eastAsia="仿宋" w:hAnsi="仿宋" w:hint="eastAsia"/>
          <w:sz w:val="32"/>
          <w:szCs w:val="32"/>
        </w:rPr>
        <w:t>（二十二）2024年美术馆、公共图书馆、文化馆（站）免费开放省级补助资金</w:t>
      </w:r>
    </w:p>
    <w:p>
      <w:pPr>
        <w:ind w:firstLine="640"/>
        <w:rPr>
          <w:rFonts w:ascii="仿宋" w:eastAsia="仿宋" w:hAnsi="仿宋"/>
          <w:sz w:val="32"/>
          <w:szCs w:val="32"/>
        </w:rPr>
      </w:pPr>
      <w:r>
        <w:rPr>
          <w:rFonts w:ascii="仿宋" w:eastAsia="仿宋" w:hAnsi="仿宋" w:hint="eastAsia"/>
          <w:sz w:val="32"/>
          <w:szCs w:val="32"/>
        </w:rPr>
        <w:t>1.资金支出进度</w:t>
      </w:r>
    </w:p>
    <w:p>
      <w:pPr>
        <w:ind w:firstLine="640"/>
        <w:rPr>
          <w:rFonts w:ascii="仿宋" w:eastAsia="仿宋" w:hAnsi="仿宋"/>
          <w:sz w:val="32"/>
          <w:szCs w:val="32"/>
        </w:rPr>
      </w:pPr>
      <w:r>
        <w:rPr>
          <w:rFonts w:ascii="仿宋" w:eastAsia="仿宋" w:hAnsi="仿宋" w:hint="eastAsia"/>
          <w:sz w:val="32"/>
          <w:szCs w:val="32"/>
        </w:rPr>
        <w:t>该项目预算数是0.5万元，支出0.5万元，总体支出进度为100%。</w:t>
      </w:r>
    </w:p>
    <w:p>
      <w:pPr>
        <w:ind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hAnsi="仿宋"/>
          <w:sz w:val="32"/>
          <w:szCs w:val="32"/>
        </w:rPr>
      </w:pPr>
      <w:r>
        <w:rPr>
          <w:rFonts w:ascii="仿宋" w:eastAsia="仿宋" w:cs="仿宋" w:hAnsi="仿宋" w:hint="eastAsia"/>
          <w:sz w:val="32"/>
          <w:szCs w:val="32"/>
        </w:rPr>
        <w:t>用于各文化站免费开放及社区各项文化活动开展。绩效指标为 4 个，评价等级为优。</w:t>
      </w:r>
    </w:p>
    <w:p>
      <w:pPr>
        <w:ind w:firstLine="640"/>
        <w:rPr>
          <w:rFonts w:ascii="仿宋" w:eastAsia="仿宋" w:hAnsi="仿宋"/>
          <w:sz w:val="32"/>
          <w:szCs w:val="32"/>
        </w:rPr>
      </w:pPr>
      <w:r>
        <w:rPr>
          <w:rFonts w:ascii="仿宋" w:eastAsia="仿宋" w:hAnsi="仿宋" w:hint="eastAsia"/>
          <w:sz w:val="32"/>
          <w:szCs w:val="32"/>
        </w:rPr>
        <w:t>（二十三）石家庄市井陉矿区凤山镇采煤沉陷区避险搬迁基础设施修复整治工程</w:t>
      </w:r>
    </w:p>
    <w:p>
      <w:pPr>
        <w:ind w:firstLine="640"/>
        <w:rPr>
          <w:rFonts w:ascii="仿宋" w:eastAsia="仿宋" w:hAnsi="仿宋"/>
          <w:sz w:val="32"/>
          <w:szCs w:val="32"/>
        </w:rPr>
      </w:pPr>
      <w:r>
        <w:rPr>
          <w:rFonts w:ascii="仿宋" w:eastAsia="仿宋" w:hAnsi="仿宋" w:hint="eastAsia"/>
          <w:sz w:val="32"/>
          <w:szCs w:val="32"/>
        </w:rPr>
        <w:t>1.资金支出进度</w:t>
      </w:r>
    </w:p>
    <w:p>
      <w:pPr>
        <w:ind w:firstLine="640"/>
        <w:rPr>
          <w:rFonts w:ascii="仿宋" w:eastAsia="仿宋" w:hAnsi="仿宋"/>
          <w:sz w:val="32"/>
          <w:szCs w:val="32"/>
        </w:rPr>
      </w:pPr>
      <w:r>
        <w:rPr>
          <w:rFonts w:ascii="仿宋" w:eastAsia="仿宋" w:hAnsi="仿宋" w:hint="eastAsia"/>
          <w:sz w:val="32"/>
          <w:szCs w:val="32"/>
        </w:rPr>
        <w:t>该项目预算数是800万元，支出800万元，总体支出进度为100%。</w:t>
      </w:r>
    </w:p>
    <w:p>
      <w:pPr>
        <w:ind w:firstLine="640"/>
        <w:rPr>
          <w:rFonts w:ascii="仿宋" w:eastAsia="仿宋" w:hAnsi="仿宋"/>
          <w:sz w:val="32"/>
          <w:szCs w:val="32"/>
        </w:rPr>
      </w:pPr>
      <w:r>
        <w:rPr>
          <w:rFonts w:ascii="仿宋" w:eastAsia="仿宋" w:hAnsi="仿宋" w:hint="eastAsia"/>
          <w:sz w:val="32"/>
          <w:szCs w:val="32"/>
        </w:rPr>
        <w:t>2.产出指标和效果指标完成情况</w:t>
      </w:r>
    </w:p>
    <w:p>
      <w:pPr>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通过该项资金拨付，完成采煤沉陷区避险搬迁基础设施修复整治工程。绩效指标为 4 个，评价等级为优。</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四、评价结论和评价等级</w:t>
      </w:r>
    </w:p>
    <w:p>
      <w:pPr>
        <w:spacing w:line="560" w:lineRule="exact"/>
        <w:ind w:firstLineChars="200" w:firstLine="640"/>
        <w:rPr>
          <w:rFonts w:ascii="仿宋" w:eastAsia="仿宋" w:hAnsi="仿宋"/>
          <w:sz w:val="32"/>
          <w:szCs w:val="32"/>
        </w:rPr>
      </w:pPr>
      <w:r>
        <w:rPr>
          <w:rFonts w:ascii="仿宋" w:eastAsia="仿宋" w:hAnsi="仿宋" w:hint="eastAsia"/>
          <w:sz w:val="32"/>
          <w:szCs w:val="32"/>
        </w:rPr>
        <w:t>根据部门职责定位和各项工作履职情况进行综合评价，给出总得分，满分100分，得出综合绩效评价等级。部门整体支出综合绩效评价分95分为优秀。</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pPr>
        <w:spacing w:line="560" w:lineRule="exact"/>
        <w:ind w:firstLineChars="200" w:firstLine="640"/>
        <w:rPr>
          <w:rFonts w:ascii="楷体" w:eastAsia="楷体" w:hAnsi="楷体"/>
          <w:bCs/>
          <w:sz w:val="32"/>
          <w:szCs w:val="32"/>
        </w:rPr>
      </w:pPr>
      <w:r>
        <w:rPr>
          <w:rFonts w:ascii="楷体" w:eastAsia="楷体" w:hAnsi="楷体" w:hint="eastAsia"/>
          <w:bCs/>
          <w:sz w:val="32"/>
          <w:szCs w:val="32"/>
        </w:rPr>
        <w:t>（一）存在的主要问题</w:t>
      </w:r>
    </w:p>
    <w:p>
      <w:pPr>
        <w:spacing w:line="560" w:lineRule="exact"/>
        <w:ind w:firstLineChars="200" w:firstLine="640"/>
        <w:rPr>
          <w:rFonts w:ascii="楷体" w:eastAsia="楷体" w:hAnsi="楷体"/>
          <w:bCs/>
          <w:sz w:val="32"/>
          <w:szCs w:val="32"/>
        </w:rPr>
      </w:pPr>
      <w:r>
        <w:rPr>
          <w:rFonts w:ascii="仿宋" w:eastAsia="仿宋" w:hAnsi="仿宋" w:hint="eastAsia"/>
          <w:sz w:val="32"/>
          <w:szCs w:val="32"/>
        </w:rPr>
        <w:t>绩效评价在目标设定上过于简单，对于绩效考核来讲，目标就是方向，如果在绩效考核目标设定上出现问题、或者是设计不合理势必要影响到绩效考核的全局。当前绩效考核在目标设定上不能实现多元化的目标，考核结果仅仅是停留在作为薪金或晋升的依据，还不能成为考量职工发展的标杆。绩效评价在指标设定上存在偏离的现象。在当前绩效考核指标设定上，德能勤绩这种传统的固化思维模式依旧存在，不能紧紧围绕工作重点、偏离实际的现象依旧凸显。</w:t>
      </w:r>
    </w:p>
    <w:p>
      <w:pPr>
        <w:spacing w:line="560" w:lineRule="exact"/>
        <w:ind w:firstLineChars="200" w:firstLine="640"/>
        <w:rPr>
          <w:rFonts w:ascii="楷体" w:eastAsia="楷体" w:hAnsi="楷体"/>
          <w:bCs/>
          <w:sz w:val="32"/>
          <w:szCs w:val="32"/>
        </w:rPr>
      </w:pPr>
      <w:r>
        <w:rPr>
          <w:rFonts w:ascii="楷体" w:eastAsia="楷体" w:hAnsi="楷体" w:hint="eastAsia"/>
          <w:bCs/>
          <w:sz w:val="32"/>
          <w:szCs w:val="32"/>
        </w:rPr>
        <w:t>（二）针对问题提出具体的改进措施或建议</w:t>
      </w:r>
    </w:p>
    <w:p>
      <w:pPr>
        <w:adjustRightInd w:val="0"/>
        <w:snapToGrid w:val="0"/>
        <w:spacing w:line="560" w:lineRule="exact"/>
        <w:ind w:firstLineChars="200" w:firstLine="640"/>
      </w:pPr>
      <w:r>
        <w:rPr>
          <w:rFonts w:ascii="仿宋" w:eastAsia="仿宋" w:cs="仿宋" w:hAnsi="仿宋" w:hint="eastAsia"/>
          <w:sz w:val="32"/>
          <w:szCs w:val="32"/>
        </w:rPr>
        <w:t>针对绩效指标设定中存在的问题，从实际出发，在2024do年项目绩效目标填报中增强指标的可评价性和可量化性，合理如实的反映资金使用的绩效成果，审核</w:t>
      </w:r>
      <w:r>
        <w:rPr>
          <w:rFonts w:ascii="仿宋" w:eastAsia="仿宋" w:cs="仿宋" w:hAnsi="仿宋"/>
          <w:sz w:val="32"/>
          <w:szCs w:val="32"/>
        </w:rPr>
        <w:t>实现绩效目标所需资金的合理性以及填报的规范性、完整性</w:t>
      </w:r>
      <w:r>
        <w:rPr>
          <w:rFonts w:ascii="仿宋" w:eastAsia="仿宋" w:cs="仿宋" w:hAnsi="仿宋" w:hint="eastAsia"/>
          <w:sz w:val="32"/>
          <w:szCs w:val="32"/>
        </w:rPr>
        <w:t>，提高财政支出产生的社会效益和经济效益，重点考虑项目的外界因素对年度任务的影响。</w:t>
      </w:r>
    </w:p>
    <w:p>
      <w:pPr>
        <w:spacing w:line="560" w:lineRule="exact"/>
        <w:ind w:firstLineChars="200" w:firstLine="640"/>
        <w:rPr>
          <w:rFonts w:ascii="楷体" w:eastAsia="楷体" w:hAnsi="楷体"/>
          <w:bCs/>
          <w:sz w:val="32"/>
          <w:szCs w:val="32"/>
        </w:rPr>
      </w:pPr>
      <w:r>
        <w:rPr>
          <w:rFonts w:ascii="仿宋" w:eastAsia="仿宋" w:cs="仿宋" w:hAnsi="仿宋" w:hint="eastAsia"/>
          <w:sz w:val="32"/>
          <w:szCs w:val="32"/>
        </w:rPr>
        <w:t>在以后的工作中，</w:t>
      </w:r>
      <w:r>
        <w:rPr>
          <w:rFonts w:ascii="仿宋" w:eastAsia="仿宋" w:cs="仿宋" w:hAnsi="仿宋"/>
          <w:sz w:val="32"/>
          <w:szCs w:val="32"/>
        </w:rPr>
        <w:t>要根据年度工作计划制定具体、可衡量、可实现的绩效目标，明确支出的必要性、可行性和有效性，并围绕绩效目标编制清晰、量化、便于考核的绩效指标。</w:t>
      </w:r>
      <w:r>
        <w:rPr>
          <w:rFonts w:ascii="仿宋" w:eastAsia="仿宋" w:cs="仿宋" w:hAnsi="仿宋" w:hint="eastAsia"/>
          <w:sz w:val="32"/>
          <w:szCs w:val="32"/>
        </w:rPr>
        <w:t>要重视绩效评价工作，切实发挥绩效评价结果应用的作用，通过绩效评价应用实践，积累连续的数据库，优化对比分析，总结实践中的经验和教训，强化财政资金管理水平、提高财政资金使用效益，在更高层次上实现财政资源配置的公平性和合理性。</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六、评价工作组人员名单及签字（姓名、工作单位、职务、职称）</w:t>
      </w:r>
    </w:p>
    <w:p>
      <w:pPr>
        <w:spacing w:line="560" w:lineRule="exact"/>
        <w:jc w:val="center"/>
        <w:rPr>
          <w:rFonts w:ascii="宋体" w:cs="宋体" w:hAnsi="宋体"/>
          <w:sz w:val="44"/>
          <w:szCs w:val="44"/>
        </w:rPr>
      </w:pPr>
      <w:r>
        <w:rPr>
          <w:rFonts w:ascii="宋体" w:cs="宋体" w:hAnsi="宋体" w:hint="eastAsia"/>
          <w:sz w:val="44"/>
          <w:szCs w:val="44"/>
        </w:rPr>
        <w:t>评价工作组人员名单</w:t>
      </w:r>
    </w:p>
    <w:tbl>
      <w:tblPr>
        <w:jc w:val="left"/>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149"/>
        <w:gridCol w:w="1172"/>
        <w:gridCol w:w="1856"/>
        <w:gridCol w:w="3071"/>
        <w:gridCol w:w="1813"/>
      </w:tblGrid>
      <w:tr>
        <w:tc>
          <w:tcPr>
            <w:tcW w:w="1149" w:type="dxa"/>
          </w:tcPr>
          <w:p>
            <w:pPr>
              <w:pStyle w:val="17"/>
              <w:ind w:firstLineChars="0" w:firstLine="0"/>
            </w:pPr>
            <w:r>
              <w:rPr>
                <w:rFonts w:hint="eastAsia"/>
              </w:rPr>
              <w:t xml:space="preserve"> 序号</w:t>
            </w:r>
          </w:p>
        </w:tc>
        <w:tc>
          <w:tcPr>
            <w:tcW w:w="1172" w:type="dxa"/>
          </w:tcPr>
          <w:p>
            <w:pPr>
              <w:pStyle w:val="17"/>
              <w:ind w:firstLineChars="0" w:firstLine="0"/>
            </w:pPr>
            <w:r>
              <w:rPr>
                <w:rFonts w:hint="eastAsia"/>
              </w:rPr>
              <w:t>姓名</w:t>
            </w:r>
          </w:p>
        </w:tc>
        <w:tc>
          <w:tcPr>
            <w:tcW w:w="1856" w:type="dxa"/>
          </w:tcPr>
          <w:p>
            <w:pPr>
              <w:pStyle w:val="17"/>
              <w:ind w:firstLineChars="0" w:firstLine="0"/>
            </w:pPr>
            <w:r>
              <w:rPr>
                <w:rFonts w:hint="eastAsia"/>
              </w:rPr>
              <w:t>工作单位</w:t>
            </w:r>
          </w:p>
        </w:tc>
        <w:tc>
          <w:tcPr>
            <w:tcW w:w="3071" w:type="dxa"/>
          </w:tcPr>
          <w:p>
            <w:pPr>
              <w:pStyle w:val="17"/>
            </w:pPr>
            <w:r>
              <w:rPr>
                <w:rFonts w:hint="eastAsia"/>
              </w:rPr>
              <w:t>职务</w:t>
            </w:r>
          </w:p>
        </w:tc>
        <w:tc>
          <w:tcPr>
            <w:tcW w:w="1813" w:type="dxa"/>
          </w:tcPr>
          <w:p>
            <w:pPr>
              <w:pStyle w:val="17"/>
            </w:pPr>
            <w:r>
              <w:rPr>
                <w:rFonts w:hint="eastAsia"/>
              </w:rPr>
              <w:t>签名</w:t>
            </w:r>
          </w:p>
        </w:tc>
      </w:tr>
      <w:tr>
        <w:tc>
          <w:tcPr>
            <w:tcW w:w="1149" w:type="dxa"/>
            <w:vAlign w:val="center"/>
          </w:tcPr>
          <w:p>
            <w:pPr>
              <w:pStyle w:val="17"/>
              <w:ind w:firstLineChars="0" w:firstLine="0"/>
            </w:pPr>
            <w:r>
              <w:rPr>
                <w:rFonts w:hint="eastAsia"/>
              </w:rPr>
              <w:t xml:space="preserve">  1</w:t>
            </w:r>
          </w:p>
        </w:tc>
        <w:tc>
          <w:tcPr>
            <w:tcW w:w="1172" w:type="dxa"/>
            <w:tcBorders>
              <w:left w:val="single" w:sz="4" w:space="0" w:color="auto"/>
            </w:tcBorders>
            <w:vAlign w:val="center"/>
          </w:tcPr>
          <w:p>
            <w:pPr>
              <w:pStyle w:val="17"/>
              <w:ind w:firstLineChars="0" w:firstLine="0"/>
              <w:jc w:val="center"/>
            </w:pPr>
            <w:r>
              <w:rPr>
                <w:rFonts w:hint="eastAsia"/>
              </w:rPr>
              <w:t>霍龙龙</w:t>
            </w:r>
          </w:p>
        </w:tc>
        <w:tc>
          <w:tcPr>
            <w:tcW w:w="1856" w:type="dxa"/>
            <w:tcBorders>
              <w:left w:val="single" w:sz="4" w:space="0" w:color="auto"/>
            </w:tcBorders>
            <w:vAlign w:val="center"/>
          </w:tcPr>
          <w:p>
            <w:pPr>
              <w:pStyle w:val="17"/>
              <w:ind w:firstLineChars="0" w:firstLine="0"/>
              <w:jc w:val="center"/>
            </w:pPr>
            <w:r>
              <w:rPr>
                <w:rFonts w:hint="eastAsia"/>
              </w:rPr>
              <w:t>凤山镇</w:t>
            </w:r>
          </w:p>
        </w:tc>
        <w:tc>
          <w:tcPr>
            <w:tcW w:w="3071" w:type="dxa"/>
            <w:tcBorders>
              <w:left w:val="single" w:sz="4" w:space="0" w:color="auto"/>
            </w:tcBorders>
          </w:tcPr>
          <w:p>
            <w:pPr>
              <w:pStyle w:val="17"/>
              <w:ind w:firstLineChars="0" w:firstLine="0"/>
              <w:jc w:val="center"/>
            </w:pPr>
            <w:r>
              <w:rPr>
                <w:rFonts w:hint="eastAsia"/>
              </w:rPr>
              <w:t>凤山镇党委副书记、</w:t>
            </w:r>
          </w:p>
          <w:p>
            <w:pPr>
              <w:pStyle w:val="17"/>
              <w:ind w:firstLineChars="0" w:firstLine="0"/>
              <w:jc w:val="center"/>
            </w:pPr>
            <w:r>
              <w:rPr>
                <w:rFonts w:hint="eastAsia"/>
              </w:rPr>
              <w:t>镇长</w:t>
            </w:r>
          </w:p>
        </w:tc>
        <w:tc>
          <w:tcPr>
            <w:tcW w:w="1813" w:type="dxa"/>
            <w:tcBorders>
              <w:left w:val="single" w:sz="4" w:space="0" w:color="auto"/>
            </w:tcBorders>
          </w:tcPr>
          <w:p>
            <w:pPr>
              <w:pStyle w:val="17"/>
            </w:pPr>
          </w:p>
        </w:tc>
      </w:tr>
      <w:tr>
        <w:tc>
          <w:tcPr>
            <w:tcW w:w="1149" w:type="dxa"/>
            <w:vAlign w:val="center"/>
          </w:tcPr>
          <w:p>
            <w:pPr>
              <w:pStyle w:val="17"/>
              <w:ind w:firstLineChars="0" w:firstLine="0"/>
            </w:pPr>
            <w:r>
              <w:rPr>
                <w:rFonts w:hint="eastAsia"/>
              </w:rPr>
              <w:t xml:space="preserve">  2</w:t>
            </w:r>
          </w:p>
        </w:tc>
        <w:tc>
          <w:tcPr>
            <w:tcW w:w="1172" w:type="dxa"/>
            <w:tcBorders>
              <w:left w:val="single" w:sz="4" w:space="0" w:color="auto"/>
            </w:tcBorders>
            <w:vAlign w:val="center"/>
          </w:tcPr>
          <w:p>
            <w:pPr>
              <w:pStyle w:val="17"/>
              <w:ind w:firstLineChars="0" w:firstLine="0"/>
              <w:jc w:val="center"/>
            </w:pPr>
            <w:r>
              <w:rPr>
                <w:rFonts w:hint="eastAsia"/>
              </w:rPr>
              <w:t>王永全</w:t>
            </w:r>
          </w:p>
        </w:tc>
        <w:tc>
          <w:tcPr>
            <w:tcW w:w="1856" w:type="dxa"/>
            <w:tcBorders>
              <w:left w:val="single" w:sz="4" w:space="0" w:color="auto"/>
            </w:tcBorders>
            <w:vAlign w:val="center"/>
          </w:tcPr>
          <w:p>
            <w:pPr>
              <w:pStyle w:val="17"/>
              <w:ind w:firstLineChars="0" w:firstLine="0"/>
              <w:jc w:val="center"/>
            </w:pPr>
            <w:r>
              <w:rPr>
                <w:rFonts w:hint="eastAsia"/>
              </w:rPr>
              <w:t>凤山镇</w:t>
            </w:r>
          </w:p>
        </w:tc>
        <w:tc>
          <w:tcPr>
            <w:tcW w:w="3071" w:type="dxa"/>
            <w:tcBorders>
              <w:left w:val="single" w:sz="4" w:space="0" w:color="auto"/>
            </w:tcBorders>
            <w:vAlign w:val="center"/>
          </w:tcPr>
          <w:p>
            <w:pPr>
              <w:pStyle w:val="17"/>
              <w:ind w:firstLineChars="0" w:firstLine="0"/>
              <w:jc w:val="center"/>
            </w:pPr>
            <w:r>
              <w:rPr>
                <w:rFonts w:hint="eastAsia"/>
              </w:rPr>
              <w:t xml:space="preserve">  凤山镇党委委员、</w:t>
            </w:r>
          </w:p>
          <w:p>
            <w:pPr>
              <w:pStyle w:val="17"/>
              <w:ind w:firstLineChars="0" w:firstLine="0"/>
              <w:jc w:val="center"/>
            </w:pPr>
            <w:r>
              <w:rPr>
                <w:rFonts w:hint="eastAsia"/>
              </w:rPr>
              <w:t>武装部长</w:t>
            </w:r>
          </w:p>
        </w:tc>
        <w:tc>
          <w:tcPr>
            <w:tcW w:w="1813" w:type="dxa"/>
            <w:tcBorders>
              <w:left w:val="single" w:sz="4" w:space="0" w:color="auto"/>
            </w:tcBorders>
          </w:tcPr>
          <w:p>
            <w:pPr>
              <w:pStyle w:val="17"/>
            </w:pPr>
          </w:p>
        </w:tc>
      </w:tr>
      <w:tr>
        <w:tc>
          <w:tcPr>
            <w:tcW w:w="1149" w:type="dxa"/>
            <w:vAlign w:val="center"/>
          </w:tcPr>
          <w:p>
            <w:pPr>
              <w:pStyle w:val="17"/>
              <w:ind w:firstLineChars="0" w:firstLine="0"/>
            </w:pPr>
            <w:r>
              <w:rPr>
                <w:rFonts w:hint="eastAsia"/>
              </w:rPr>
              <w:t xml:space="preserve">  3</w:t>
            </w:r>
          </w:p>
        </w:tc>
        <w:tc>
          <w:tcPr>
            <w:tcW w:w="1172" w:type="dxa"/>
            <w:tcBorders>
              <w:left w:val="single" w:sz="4" w:space="0" w:color="auto"/>
            </w:tcBorders>
          </w:tcPr>
          <w:p>
            <w:pPr>
              <w:pStyle w:val="17"/>
              <w:ind w:firstLineChars="0" w:firstLine="0"/>
            </w:pPr>
            <w:r>
              <w:rPr>
                <w:rFonts w:hint="eastAsia"/>
              </w:rPr>
              <w:t>苏晓刚</w:t>
            </w:r>
          </w:p>
        </w:tc>
        <w:tc>
          <w:tcPr>
            <w:tcW w:w="1856" w:type="dxa"/>
            <w:tcBorders>
              <w:left w:val="single" w:sz="4" w:space="0" w:color="auto"/>
            </w:tcBorders>
            <w:vAlign w:val="center"/>
          </w:tcPr>
          <w:p>
            <w:pPr>
              <w:pStyle w:val="17"/>
              <w:ind w:firstLineChars="0" w:firstLine="0"/>
              <w:jc w:val="center"/>
            </w:pPr>
            <w:r>
              <w:rPr>
                <w:rFonts w:hint="eastAsia"/>
              </w:rPr>
              <w:t>凤山镇</w:t>
            </w:r>
          </w:p>
        </w:tc>
        <w:tc>
          <w:tcPr>
            <w:tcW w:w="3071" w:type="dxa"/>
            <w:tcBorders>
              <w:left w:val="single" w:sz="4" w:space="0" w:color="auto"/>
            </w:tcBorders>
            <w:vAlign w:val="center"/>
          </w:tcPr>
          <w:p>
            <w:pPr>
              <w:pStyle w:val="17"/>
              <w:ind w:firstLineChars="150" w:firstLine="450"/>
            </w:pPr>
            <w:r>
              <w:rPr>
                <w:rFonts w:hint="eastAsia"/>
              </w:rPr>
              <w:t>凤山镇纪委书记</w:t>
            </w:r>
          </w:p>
        </w:tc>
        <w:tc>
          <w:tcPr>
            <w:tcW w:w="1813" w:type="dxa"/>
            <w:tcBorders>
              <w:left w:val="single" w:sz="4" w:space="0" w:color="auto"/>
            </w:tcBorders>
          </w:tcPr>
          <w:p>
            <w:pPr>
              <w:pStyle w:val="17"/>
            </w:pPr>
          </w:p>
        </w:tc>
      </w:tr>
    </w:tbl>
    <w:p>
      <w:pPr>
        <w:spacing w:line="560" w:lineRule="exact"/>
        <w:rPr>
          <w:rFonts w:ascii="仿宋" w:eastAsia="仿宋" w:hAnsi="仿宋"/>
        </w:rPr>
      </w:pPr>
    </w:p>
    <w:sectPr>
      <w:footerReference w:type="default" r:id="rId2"/>
      <w:pgSz w:w="11906" w:h="16838"/>
      <w:pgMar w:top="1440" w:right="1474" w:bottom="1440" w:left="1587" w:header="851" w:footer="992" w:gutter="0"/>
      <w:pgNumType w:fmt="numberInDash"/>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SimHei"/>
    <w:panose1 w:val="02010609060101010101"/>
    <w:charset w:val="86"/>
    <w:family w:val="modern"/>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altName w:val="Arial Unicode MS"/>
    <w:panose1 w:val="00000000000000000000"/>
    <w:charset w:val="86"/>
    <w:family w:val="auto"/>
    <w:pitch w:val="variable"/>
    <w:sig w:usb0="00000000" w:usb1="080E0000" w:usb2="00000000" w:usb3="00000000" w:csb0="00040000" w:csb1="00000000"/>
  </w:font>
  <w:font w:name="仿宋_GB2312">
    <w:altName w:val="Arial Unicode MS"/>
    <w:panose1 w:val="00000000000000000000"/>
    <w:charset w:val="86"/>
    <w:family w:val="auto"/>
    <w:pitch w:val="variable"/>
    <w:sig w:usb0="00000000" w:usb1="080E0000" w:usb2="00000000" w:usb3="00000000" w:csb0="0004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mc:AlternateContent>
        <mc:Choice Requires="wps">
          <w:drawing>
            <wp:anchor distT="0" distB="0" distL="91438" distR="91438" simplePos="0" relativeHeight="12" behindDoc="0" locked="0" layoutInCell="1" hidden="0" allowOverlap="1">
              <wp:simplePos x="0" y="0"/>
              <wp:positionH relativeFrom="margin">
                <wp:align>center</wp:align>
              </wp:positionH>
              <wp:positionV relativeFrom="paragraph">
                <wp:posOffset>0</wp:posOffset>
              </wp:positionV>
              <wp:extent cx="209531" cy="162780"/>
              <wp:effectExtent l="0" t="0" r="0" b="0"/>
              <wp:wrapNone/>
              <wp:docPr id="1025" name="Quad Arrow 3073 3"/>
              <wp:cNvGraphicFramePr>
                <a:graphicFrameLocks noChangeAspect="0"/>
              </wp:cNvGraphicFramePr>
              <a:graphic>
                <a:graphicData uri="http://schemas.microsoft.com/office/word/2010/wordprocessingShape">
                  <wps:wsp>
                    <wps:cNvSpPr/>
                    <wps:spPr>
                      <a:xfrm rot="0">
                        <a:off x="0" y="0"/>
                        <a:ext cx="209531" cy="16278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- 3 -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shape type="#_x0000_t202" id="Quad Arrow 3073 3" o:spid="_x0000_s2" filled="f" stroked="f" style="position:absolute;margin-left:0.0pt;margin-top:0.0pt;width:16.498535pt;height:12.817383pt;z-index:12;mso-position-horizontal:center;mso-position-horizontal-relative:margin;mso-position-vertical:absolute;mso-wrap-distance-left:7.199915pt;mso-wrap-distance-right:7.199915pt;mso-wrap-style:none;">
              <v:stroke color="#000000"/>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- 3 -</w:t>
                    </w:r>
                    <w:r>
                      <w:rPr>
                        <w:rFonts w:hint="eastAsia"/>
                        <w:sz w:val="18"/>
                      </w:rPr>
                      <w:fldChar w:fldCharType="end"/>
                    </w:r>
                  </w:p>
                </w:txbxContent>
              </v:textbox>
            </v:shape>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1">
    <w:nsid w:val="5E68489B"/>
    <w:multiLevelType w:val="singleLevel"/>
    <w:tmpl w:val="5E68489B"/>
    <w:lvl w:ilvl="0">
      <w:start w:val="1"/>
      <w:numFmt w:val="chineseCounting"/>
      <w:lvlRestart w:val="0"/>
      <w:suff w:val="nothing"/>
      <w:lvlText w:val="（%1）"/>
      <w:lvlJc w:val="left"/>
      <w:pPr>
        <w:ind w:left="0" w:hanging="0"/>
      </w:pPr>
      <w:rPr>
        <w:rFonts w:ascii="楷体" w:hAnsi="楷体" w:eastAsia="楷体"/>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2"/>
  </w:compat>
  <w:docVars>
    <w:docVar w:name="commondata" w:val="eyJoZGlkIjoiYzgxMzVhZTBlNDUyZWUxNDVhMjNkN2E1NjFlOTE5NDcifQ=="/>
  </w:docVars>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styleId="15">
    <w:name w:val="footer"/>
    <w:qFormat/>
    <w:basedOn w:val="0"/>
    <w:pPr>
      <w:tabs>
        <w:tab w:val="center" w:pos="4153"/>
        <w:tab w:val="right" w:pos="8306"/>
      </w:tabs>
      <w:snapToGrid w:val="0"/>
      <w:jc w:val="left"/>
    </w:pPr>
    <w:rPr>
      <w:sz w:val="18"/>
    </w:rPr>
  </w:style>
  <w:style w:type="paragraph" w:styleId="16">
    <w:name w:val="header"/>
    <w:qFormat/>
    <w:basedOn w:val="0"/>
    <w:pPr>
      <w:tabs>
        <w:tab w:val="center" w:pos="4153"/>
        <w:tab w:val="right" w:pos="8306"/>
      </w:tabs>
      <w:snapToGrid w:val="0"/>
    </w:pPr>
    <w:rPr>
      <w:rFonts w:ascii="Times New Roman" w:hAnsi="Times New Roman"/>
      <w:sz w:val="18"/>
    </w:rPr>
  </w:style>
  <w:style w:type="paragraph" w:styleId="17">
    <w:name w:val="Normal Indent"/>
    <w:qFormat/>
    <w:basedOn w:val="0"/>
    <w:pPr>
      <w:ind w:firstLineChars="200" w:firstLine="200"/>
    </w:pPr>
    <w:rPr>
      <w:rFonts w:eastAsia="仿宋_GB2312"/>
      <w:sz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21ADFBDE-F720-458C-99D8-0BB4ACBF4D75}">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134</TotalTime>
  <Application>Yozo_Office9.0.4819.102ZH</Application>
  <Pages>14</Pages>
  <Words>0</Words>
  <Characters>4764</Characters>
  <Lines>0</Lines>
  <Paragraphs>164</Paragraphs>
  <CharactersWithSpaces>6352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13</cp:revision>
  <cp:lastPrinted>2024-03-06T07:40:00Z</cp:lastPrinted>
  <dcterms:created xsi:type="dcterms:W3CDTF">2020-02-04T03:46:00Z</dcterms:created>
  <dcterms:modified xsi:type="dcterms:W3CDTF">2026-10-29T08:42:54Z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2052-12.1.0.16388</vt:lpwstr>
  </property>
  <property fmtid="{D5CDD505-2E9C-101B-9397-08002B2CF9AE}" pid="3" name="ICV">
    <vt:lpwstr>96934721B1514D3FBAA28020338CE855_12</vt:lpwstr>
  </property>
</Properties>
</file>