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widowControl w:val="0"/>
        <w:wordWrap/>
        <w:adjustRightInd w:val="0"/>
        <w:snapToGrid w:val="0"/>
        <w:spacing w:line="560" w:lineRule="exact"/>
        <w:ind w:left="0" w:right="0"/>
        <w:textAlignment w:val="auto"/>
        <w:outlineLvl w:val="9"/>
        <w:rPr>
          <w:rFonts w:ascii="仿宋_GB2312" w:eastAsia="仿宋_GB2312"/>
          <w:sz w:val="32"/>
          <w:szCs w:val="32"/>
          <w:lang w:val="en-US"/>
        </w:rPr>
      </w:pPr>
      <w:r>
        <w:rPr>
          <w:rFonts w:ascii="仿宋_GB2312" w:eastAsia="仿宋_GB2312" w:hint="eastAsia"/>
          <w:sz w:val="32"/>
          <w:szCs w:val="32"/>
        </w:rPr>
        <w:t>附件</w:t>
      </w:r>
      <w:r>
        <w:rPr>
          <w:rFonts w:ascii="仿宋_GB2312" w:eastAsia="仿宋_GB2312" w:hint="eastAsia"/>
          <w:sz w:val="32"/>
          <w:szCs w:val="32"/>
          <w:lang w:val="en-US" w:eastAsia="zh-CN"/>
        </w:rPr>
        <w:t>4</w:t>
      </w:r>
    </w:p>
    <w:p>
      <w:pPr>
        <w:widowControl w:val="0"/>
        <w:wordWrap/>
        <w:spacing w:line="560" w:lineRule="exact"/>
        <w:ind w:left="0" w:right="0"/>
        <w:jc w:val="center"/>
        <w:textAlignment w:val="auto"/>
        <w:outlineLvl w:val="9"/>
        <w:rPr>
          <w:rFonts w:ascii="宋体" w:cs="宋体" w:hAnsi="宋体" w:hint="eastAsia"/>
          <w:b/>
          <w:bCs/>
          <w:sz w:val="44"/>
          <w:szCs w:val="44"/>
        </w:rPr>
      </w:pPr>
    </w:p>
    <w:p>
      <w:pPr>
        <w:widowControl w:val="0"/>
        <w:wordWrap/>
        <w:spacing w:line="560" w:lineRule="exact"/>
        <w:ind w:left="0" w:right="0"/>
        <w:jc w:val="center"/>
        <w:textAlignment w:val="auto"/>
        <w:outlineLvl w:val="9"/>
        <w:rPr>
          <w:rFonts w:ascii="宋体" w:cs="宋体" w:hAnsi="宋体" w:hint="eastAsia"/>
          <w:b/>
          <w:bCs/>
          <w:sz w:val="44"/>
          <w:szCs w:val="44"/>
        </w:rPr>
      </w:pPr>
      <w:r>
        <w:rPr>
          <w:rFonts w:ascii="宋体" w:cs="宋体" w:hAnsi="宋体" w:hint="eastAsia"/>
          <w:b/>
          <w:bCs/>
          <w:sz w:val="44"/>
          <w:szCs w:val="44"/>
          <w:lang w:eastAsia="zh-CN"/>
        </w:rPr>
        <w:t>档案馆</w:t>
      </w:r>
      <w:r>
        <w:rPr>
          <w:rFonts w:ascii="宋体" w:cs="宋体" w:hAnsi="宋体" w:hint="eastAsia"/>
          <w:b/>
          <w:bCs/>
          <w:sz w:val="44"/>
          <w:szCs w:val="44"/>
          <w:lang w:val="en-US" w:eastAsia="zh-CN"/>
        </w:rPr>
        <w:t>2025年度整体支出绩效</w:t>
      </w:r>
      <w:r>
        <w:rPr>
          <w:rFonts w:ascii="宋体" w:cs="宋体" w:hAnsi="宋体" w:hint="eastAsia"/>
          <w:b/>
          <w:bCs/>
          <w:sz w:val="44"/>
          <w:szCs w:val="44"/>
        </w:rPr>
        <w:t>自评报告</w:t>
      </w:r>
    </w:p>
    <w:p>
      <w:pPr>
        <w:widowControl w:val="0"/>
        <w:wordWrap/>
        <w:spacing w:line="560" w:lineRule="exact"/>
        <w:ind w:left="0" w:right="0"/>
        <w:jc w:val="center"/>
        <w:textAlignment w:val="auto"/>
        <w:outlineLvl w:val="9"/>
        <w:rPr>
          <w:rFonts w:ascii="华文楷体" w:eastAsia="华文楷体"/>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left="0" w:right="0" w:firstLineChars="200" w:firstLine="640"/>
        <w:textAlignment w:val="auto"/>
        <w:outlineLvl w:val="9"/>
        <w:rPr>
          <w:rFonts w:ascii="仿宋_GB2312" w:eastAsia="仿宋_GB2312" w:cs="仿宋_GB2312" w:hAnsi="仿宋" w:hint="eastAsia"/>
          <w:sz w:val="32"/>
          <w:szCs w:val="32"/>
        </w:rPr>
      </w:pPr>
      <w:r>
        <w:rPr>
          <w:rFonts w:ascii="仿宋_GB2312" w:eastAsia="仿宋_GB2312" w:cs="仿宋_GB2312" w:hAnsi="仿宋" w:hint="eastAsia"/>
          <w:sz w:val="32"/>
          <w:szCs w:val="32"/>
        </w:rPr>
        <w:t>贯彻落实</w:t>
      </w:r>
      <w:r>
        <w:rPr>
          <w:rFonts w:ascii="仿宋_GB2312" w:eastAsia="仿宋_GB2312" w:cs="仿宋_GB2312" w:hAnsi="仿宋" w:hint="eastAsia"/>
          <w:sz w:val="32"/>
          <w:szCs w:val="32"/>
          <w:lang w:eastAsia="zh-CN"/>
        </w:rPr>
        <w:t>市委、市政府《关于全面落实预算绩效管理的实施意见》（石发</w:t>
      </w:r>
      <w:r>
        <w:rPr>
          <w:rFonts w:ascii="仿宋_GB2312" w:eastAsia="仿宋" w:cs="仿宋_GB2312" w:hAnsi="仿宋" w:hint="eastAsia"/>
          <w:sz w:val="32"/>
          <w:szCs w:val="32"/>
          <w:lang w:eastAsia="zh-CN"/>
        </w:rPr>
        <w:t>﹝</w:t>
      </w:r>
      <w:r>
        <w:rPr>
          <w:rFonts w:ascii="仿宋_GB2312" w:eastAsia="仿宋_GB2312" w:cs="仿宋_GB2312" w:hAnsi="仿宋" w:hint="eastAsia"/>
          <w:sz w:val="32"/>
          <w:szCs w:val="32"/>
          <w:lang w:val="en-US" w:eastAsia="zh-CN"/>
        </w:rPr>
        <w:t>2019</w:t>
      </w:r>
      <w:r>
        <w:rPr>
          <w:rFonts w:ascii="仿宋_GB2312" w:eastAsia="仿宋" w:cs="仿宋_GB2312" w:hAnsi="仿宋" w:hint="eastAsia"/>
          <w:sz w:val="32"/>
          <w:szCs w:val="32"/>
          <w:lang w:eastAsia="zh-CN"/>
        </w:rPr>
        <w:t>﹞</w:t>
      </w:r>
      <w:r>
        <w:rPr>
          <w:rFonts w:ascii="仿宋_GB2312" w:eastAsia="仿宋_GB2312" w:cs="仿宋_GB2312" w:hAnsi="仿宋" w:hint="eastAsia"/>
          <w:sz w:val="32"/>
          <w:szCs w:val="32"/>
          <w:lang w:val="en-US" w:eastAsia="zh-CN"/>
        </w:rPr>
        <w:t>8</w:t>
      </w:r>
      <w:bookmarkStart w:id="0" w:name="_GoBack"/>
      <w:bookmarkEnd w:id="0"/>
      <w:r>
        <w:rPr>
          <w:rFonts w:ascii="仿宋_GB2312" w:eastAsia="仿宋_GB2312" w:cs="仿宋_GB2312" w:hAnsi="仿宋" w:hint="eastAsia"/>
          <w:sz w:val="32"/>
          <w:szCs w:val="32"/>
          <w:lang w:val="en-US" w:eastAsia="zh-CN"/>
        </w:rPr>
        <w:t>号</w:t>
      </w:r>
      <w:r>
        <w:rPr>
          <w:rFonts w:ascii="仿宋_GB2312" w:eastAsia="仿宋_GB2312" w:cs="仿宋_GB2312" w:hAnsi="仿宋" w:hint="eastAsia"/>
          <w:sz w:val="32"/>
          <w:szCs w:val="32"/>
          <w:lang w:eastAsia="zh-CN"/>
        </w:rPr>
        <w:t>）</w:t>
      </w:r>
      <w:r>
        <w:rPr>
          <w:rFonts w:ascii="仿宋_GB2312" w:eastAsia="仿宋_GB2312" w:cs="仿宋_GB2312" w:hAnsi="仿宋" w:hint="eastAsia"/>
          <w:sz w:val="32"/>
          <w:szCs w:val="32"/>
        </w:rPr>
        <w:t>文件精神，遵循“科学性、规范性、客观性和公正性”的原则，对</w:t>
      </w:r>
      <w:r>
        <w:rPr>
          <w:rFonts w:ascii="仿宋_GB2312" w:eastAsia="仿宋_GB2312" w:cs="仿宋_GB2312" w:hAnsi="仿宋" w:hint="eastAsia"/>
          <w:sz w:val="32"/>
          <w:szCs w:val="32"/>
          <w:lang w:eastAsia="zh-CN"/>
        </w:rPr>
        <w:t>档案馆</w:t>
      </w:r>
      <w:r>
        <w:rPr>
          <w:rFonts w:ascii="仿宋_GB2312" w:eastAsia="仿宋_GB2312" w:cs="仿宋_GB2312" w:hAnsi="仿宋" w:hint="eastAsia"/>
          <w:sz w:val="32"/>
          <w:szCs w:val="32"/>
          <w:lang w:val="en-US" w:eastAsia="zh-CN"/>
        </w:rPr>
        <w:t>2025</w:t>
      </w:r>
      <w:r>
        <w:rPr>
          <w:rFonts w:ascii="仿宋_GB2312" w:eastAsia="仿宋_GB2312" w:cs="仿宋_GB2312" w:hAnsi="仿宋" w:hint="eastAsia"/>
          <w:sz w:val="32"/>
          <w:szCs w:val="32"/>
          <w:lang w:eastAsia="zh-CN"/>
        </w:rPr>
        <w:t>整体支出情况</w:t>
      </w:r>
      <w:r>
        <w:rPr>
          <w:rFonts w:ascii="仿宋_GB2312" w:eastAsia="仿宋_GB2312" w:cs="仿宋_GB2312" w:hAnsi="仿宋" w:hint="eastAsia"/>
          <w:sz w:val="32"/>
          <w:szCs w:val="32"/>
        </w:rPr>
        <w:t>实施了财政支出绩效自评价，形成本评价报告。</w:t>
      </w:r>
    </w:p>
    <w:p>
      <w:pPr>
        <w:keepNext w:val="0"/>
        <w:keepLines w:val="0"/>
        <w:pageBreakBefore w:val="0"/>
        <w:widowControl w:val="0"/>
        <w:kinsoku/>
        <w:wordWrap/>
        <w:overflowPunct/>
        <w:topLinePunct w:val="0"/>
        <w:autoSpaceDE/>
        <w:autoSpaceDN/>
        <w:bidi w:val="0"/>
        <w:adjustRightInd w:val="0"/>
        <w:snapToGrid w:val="0"/>
        <w:spacing w:line="560" w:lineRule="exact"/>
        <w:ind w:left="0" w:right="0"/>
        <w:textAlignment w:val="auto"/>
        <w:outlineLvl w:val="9"/>
        <w:rPr>
          <w:rFonts w:ascii="黑体" w:eastAsia="黑体" w:hAnsi="黑体"/>
          <w:b/>
          <w:bCs/>
          <w:sz w:val="32"/>
          <w:szCs w:val="36"/>
        </w:rPr>
      </w:pPr>
      <w:r>
        <w:rPr>
          <w:rFonts w:ascii="仿宋" w:eastAsia="仿宋" w:hAnsi="仿宋" w:hint="eastAsia"/>
          <w:sz w:val="32"/>
          <w:szCs w:val="32"/>
        </w:rPr>
        <w:t xml:space="preserve">    </w:t>
      </w:r>
      <w:r>
        <w:rPr>
          <w:rFonts w:ascii="黑体" w:eastAsia="黑体" w:hAnsi="黑体" w:hint="eastAsia"/>
          <w:sz w:val="32"/>
          <w:szCs w:val="32"/>
        </w:rPr>
        <w:t>一、</w:t>
      </w:r>
      <w:r>
        <w:rPr>
          <w:rFonts w:ascii="黑体" w:eastAsia="黑体" w:hAnsi="黑体" w:hint="eastAsia"/>
          <w:sz w:val="32"/>
          <w:szCs w:val="32"/>
          <w:lang w:eastAsia="zh-CN"/>
        </w:rPr>
        <w:t>部门</w:t>
      </w:r>
      <w:r>
        <w:rPr>
          <w:rFonts w:ascii="黑体" w:eastAsia="黑体" w:hAnsi="黑体" w:hint="eastAsia"/>
          <w:sz w:val="32"/>
          <w:szCs w:val="36"/>
        </w:rPr>
        <w:t>基本情况</w:t>
      </w:r>
    </w:p>
    <w:p>
      <w:pPr>
        <w:keepNext w:val="0"/>
        <w:keepLines w:val="0"/>
        <w:pageBreakBefore w:val="0"/>
        <w:widowControl w:val="0"/>
        <w:kinsoku/>
        <w:wordWrap/>
        <w:overflowPunct/>
        <w:topLinePunct w:val="0"/>
        <w:autoSpaceDE/>
        <w:autoSpaceDN/>
        <w:bidi w:val="0"/>
        <w:adjustRightInd w:val="0"/>
        <w:snapToGrid w:val="0"/>
        <w:spacing w:line="560" w:lineRule="exact"/>
        <w:ind w:left="0" w:right="0" w:firstLineChars="200" w:firstLine="640"/>
        <w:textAlignment w:val="auto"/>
        <w:outlineLvl w:val="9"/>
        <w:rPr>
          <w:rFonts w:ascii="仿宋" w:eastAsia="仿宋" w:cs="楷体_GB2312" w:hAnsi="仿宋"/>
          <w:b/>
          <w:bCs/>
          <w:sz w:val="32"/>
          <w:szCs w:val="32"/>
        </w:rPr>
      </w:pPr>
      <w:r>
        <w:rPr>
          <w:rFonts w:ascii="仿宋" w:eastAsia="仿宋" w:cs="楷体_GB2312" w:hAnsi="仿宋" w:hint="eastAsia"/>
          <w:b/>
          <w:bCs/>
          <w:sz w:val="32"/>
          <w:szCs w:val="32"/>
        </w:rPr>
        <w:t>（一）</w:t>
      </w:r>
      <w:r>
        <w:rPr>
          <w:rFonts w:ascii="仿宋" w:eastAsia="仿宋" w:cs="楷体_GB2312" w:hAnsi="仿宋" w:hint="eastAsia"/>
          <w:b/>
          <w:bCs/>
          <w:sz w:val="32"/>
          <w:szCs w:val="32"/>
          <w:lang w:eastAsia="zh-CN"/>
        </w:rPr>
        <w:t>部门</w:t>
      </w:r>
      <w:r>
        <w:rPr>
          <w:rFonts w:ascii="仿宋" w:eastAsia="仿宋" w:cs="楷体_GB2312" w:hAnsi="仿宋" w:hint="eastAsia"/>
          <w:b/>
          <w:bCs/>
          <w:sz w:val="32"/>
          <w:szCs w:val="32"/>
        </w:rPr>
        <w:t>概况</w:t>
      </w:r>
    </w:p>
    <w:p>
      <w:pPr>
        <w:keepNext w:val="0"/>
        <w:keepLines w:val="0"/>
        <w:pageBreakBefore w:val="0"/>
        <w:widowControl w:val="0"/>
        <w:kinsoku/>
        <w:wordWrap/>
        <w:overflowPunct/>
        <w:topLinePunct w:val="0"/>
        <w:autoSpaceDE/>
        <w:autoSpaceDN/>
        <w:bidi w:val="0"/>
        <w:adjustRightInd w:val="0"/>
        <w:snapToGrid w:val="0"/>
        <w:spacing w:line="560" w:lineRule="exact"/>
        <w:ind w:left="0" w:right="0" w:firstLineChars="200" w:firstLine="640"/>
        <w:textAlignment w:val="auto"/>
        <w:outlineLvl w:val="9"/>
        <w:rPr>
          <w:rFonts w:ascii="仿宋_GB2312" w:eastAsia="仿宋_GB2312" w:cs="仿宋_GB2312" w:hAnsi="仿宋" w:hint="eastAsia"/>
          <w:sz w:val="32"/>
          <w:szCs w:val="32"/>
          <w:lang w:val="en-US" w:eastAsia="zh-CN"/>
        </w:rPr>
      </w:pPr>
      <w:r>
        <w:rPr>
          <w:rFonts w:ascii="仿宋_GB2312" w:eastAsia="仿宋_GB2312" w:cs="仿宋_GB2312" w:hAnsi="仿宋" w:hint="eastAsia"/>
          <w:sz w:val="32"/>
          <w:szCs w:val="32"/>
          <w:lang w:val="en-US" w:eastAsia="zh-CN"/>
        </w:rPr>
        <w:t>1.主要职能</w:t>
      </w:r>
    </w:p>
    <w:p>
      <w:pPr>
        <w:keepNext w:val="0"/>
        <w:keepLines w:val="0"/>
        <w:pageBreakBefore w:val="0"/>
        <w:widowControl w:val="0"/>
        <w:kinsoku/>
        <w:wordWrap/>
        <w:overflowPunct/>
        <w:topLinePunct w:val="0"/>
        <w:autoSpaceDE/>
        <w:autoSpaceDN/>
        <w:bidi w:val="0"/>
        <w:adjustRightInd w:val="0"/>
        <w:snapToGrid w:val="0"/>
        <w:spacing w:line="560" w:lineRule="exact"/>
        <w:ind w:left="0" w:right="0" w:firstLineChars="200" w:firstLine="640"/>
        <w:textAlignment w:val="auto"/>
        <w:outlineLvl w:val="9"/>
        <w:rPr>
          <w:rFonts w:ascii="仿宋_GB2312" w:eastAsia="仿宋_GB2312" w:cs="仿宋_GB2312" w:hAnsi="仿宋" w:hint="eastAsia"/>
          <w:sz w:val="32"/>
          <w:szCs w:val="32"/>
        </w:rPr>
      </w:pPr>
      <w:r>
        <w:rPr>
          <w:rFonts w:ascii="仿宋_GB2312" w:eastAsia="仿宋_GB2312" w:cs="仿宋_GB2312" w:hAnsi="仿宋" w:hint="eastAsia"/>
          <w:sz w:val="32"/>
          <w:szCs w:val="32"/>
        </w:rPr>
        <w:t>档案馆主要职能为依法行政管理全区档案事业；做好档案资源建设和保管，优化馆藏，做好重点档案抢救、保护和信息化管理工作。提供档案查阅和利用，培育档案文化产业，推进全区档案信息化工作；有计划地开展档案征集；负责内部综合事务管理。</w:t>
      </w:r>
    </w:p>
    <w:p>
      <w:pPr>
        <w:keepNext w:val="0"/>
        <w:keepLines w:val="0"/>
        <w:pageBreakBefore w:val="0"/>
        <w:widowControl w:val="0"/>
        <w:kinsoku/>
        <w:wordWrap/>
        <w:overflowPunct/>
        <w:topLinePunct w:val="0"/>
        <w:autoSpaceDE/>
        <w:autoSpaceDN/>
        <w:bidi w:val="0"/>
        <w:adjustRightInd w:val="0"/>
        <w:snapToGrid w:val="0"/>
        <w:spacing w:line="560" w:lineRule="exact"/>
        <w:ind w:left="0" w:right="0" w:firstLineChars="200" w:firstLine="640"/>
        <w:textAlignment w:val="auto"/>
        <w:outlineLvl w:val="9"/>
        <w:rPr>
          <w:rFonts w:ascii="仿宋_GB2312" w:eastAsia="仿宋_GB2312" w:cs="仿宋_GB2312" w:hAnsi="仿宋" w:hint="eastAsia"/>
          <w:sz w:val="32"/>
          <w:szCs w:val="32"/>
          <w:lang w:val="en-US" w:eastAsia="zh-CN"/>
        </w:rPr>
      </w:pPr>
      <w:r>
        <w:rPr>
          <w:rFonts w:ascii="仿宋_GB2312" w:eastAsia="仿宋_GB2312" w:cs="仿宋_GB2312" w:hAnsi="仿宋" w:hint="eastAsia"/>
          <w:sz w:val="32"/>
          <w:szCs w:val="32"/>
          <w:lang w:val="en-US" w:eastAsia="zh-CN"/>
        </w:rPr>
        <w:t>2.机构设置</w:t>
      </w:r>
    </w:p>
    <w:p>
      <w:pPr>
        <w:keepNext w:val="0"/>
        <w:keepLines w:val="0"/>
        <w:pageBreakBefore w:val="0"/>
        <w:widowControl w:val="0"/>
        <w:kinsoku/>
        <w:wordWrap/>
        <w:overflowPunct/>
        <w:topLinePunct w:val="0"/>
        <w:autoSpaceDE/>
        <w:autoSpaceDN/>
        <w:bidi w:val="0"/>
        <w:spacing w:line="560" w:lineRule="exact"/>
        <w:jc w:val="center"/>
        <w:textAlignment w:val="auto"/>
      </w:pPr>
      <w:r>
        <w:rPr>
          <w:rFonts w:ascii="方正小标宋_GBK" w:eastAsia="方正小标宋_GBK" w:cs="方正小标宋_GBK" w:hAnsi="方正小标宋_GBK"/>
          <w:color w:val="000000"/>
          <w:sz w:val="32"/>
        </w:rPr>
        <w:t>部门机构设置情况</w:t>
      </w:r>
    </w:p>
    <w:tbl>
      <w:tblPr>
        <w:jc w:val="center"/>
        <w:tblW w:w="90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2268"/>
        <w:gridCol w:w="2268"/>
        <w:gridCol w:w="2268"/>
        <w:gridCol w:w="2268"/>
      </w:tblGrid>
      <w:tr>
        <w:trPr>
          <w:trHeight w:val="567"/>
          <w:tblHeader/>
        </w:trPr>
        <w:tc>
          <w:tcPr>
            <w:tcW w:w="2268" w:type="dxa"/>
            <w:vAlign w:val="center"/>
          </w:tcPr>
          <w:p>
            <w:pPr>
              <w:pStyle w:val="23"/>
              <w:keepNext w:val="0"/>
              <w:keepLines w:val="0"/>
              <w:pageBreakBefore w:val="0"/>
              <w:widowControl w:val="0"/>
              <w:kinsoku/>
              <w:wordWrap/>
              <w:overflowPunct/>
              <w:topLinePunct w:val="0"/>
              <w:autoSpaceDE/>
              <w:autoSpaceDN/>
              <w:bidi w:val="0"/>
              <w:spacing w:line="560" w:lineRule="exact"/>
              <w:textAlignment w:val="auto"/>
            </w:pPr>
            <w:r>
              <w:t>单位名称</w:t>
            </w:r>
          </w:p>
        </w:tc>
        <w:tc>
          <w:tcPr>
            <w:tcW w:w="2268" w:type="dxa"/>
            <w:vAlign w:val="center"/>
          </w:tcPr>
          <w:p>
            <w:pPr>
              <w:pStyle w:val="23"/>
              <w:keepNext w:val="0"/>
              <w:keepLines w:val="0"/>
              <w:pageBreakBefore w:val="0"/>
              <w:widowControl w:val="0"/>
              <w:kinsoku/>
              <w:wordWrap/>
              <w:overflowPunct/>
              <w:topLinePunct w:val="0"/>
              <w:autoSpaceDE/>
              <w:autoSpaceDN/>
              <w:bidi w:val="0"/>
              <w:spacing w:line="560" w:lineRule="exact"/>
              <w:textAlignment w:val="auto"/>
            </w:pPr>
            <w:r>
              <w:t>单位性质</w:t>
            </w:r>
          </w:p>
        </w:tc>
        <w:tc>
          <w:tcPr>
            <w:tcW w:w="2268" w:type="dxa"/>
            <w:vAlign w:val="center"/>
          </w:tcPr>
          <w:p>
            <w:pPr>
              <w:pStyle w:val="23"/>
              <w:keepNext w:val="0"/>
              <w:keepLines w:val="0"/>
              <w:pageBreakBefore w:val="0"/>
              <w:widowControl w:val="0"/>
              <w:kinsoku/>
              <w:wordWrap/>
              <w:overflowPunct/>
              <w:topLinePunct w:val="0"/>
              <w:autoSpaceDE/>
              <w:autoSpaceDN/>
              <w:bidi w:val="0"/>
              <w:spacing w:line="560" w:lineRule="exact"/>
              <w:textAlignment w:val="auto"/>
            </w:pPr>
            <w:r>
              <w:t>单位规格</w:t>
            </w:r>
          </w:p>
        </w:tc>
        <w:tc>
          <w:tcPr>
            <w:tcW w:w="2268" w:type="dxa"/>
            <w:vAlign w:val="center"/>
          </w:tcPr>
          <w:p>
            <w:pPr>
              <w:pStyle w:val="23"/>
              <w:keepNext w:val="0"/>
              <w:keepLines w:val="0"/>
              <w:pageBreakBefore w:val="0"/>
              <w:widowControl w:val="0"/>
              <w:kinsoku/>
              <w:wordWrap/>
              <w:overflowPunct/>
              <w:topLinePunct w:val="0"/>
              <w:autoSpaceDE/>
              <w:autoSpaceDN/>
              <w:bidi w:val="0"/>
              <w:spacing w:line="560" w:lineRule="exact"/>
              <w:textAlignment w:val="auto"/>
            </w:pPr>
            <w:r>
              <w:t>经费保障形式</w:t>
            </w:r>
          </w:p>
        </w:tc>
      </w:tr>
      <w:tr>
        <w:trPr>
          <w:trHeight w:val="369"/>
        </w:trPr>
        <w:tc>
          <w:tcPr>
            <w:tcW w:w="2268" w:type="dxa"/>
            <w:vAlign w:val="center"/>
          </w:tcPr>
          <w:p>
            <w:pPr>
              <w:pStyle w:val="24"/>
              <w:keepNext w:val="0"/>
              <w:keepLines w:val="0"/>
              <w:pageBreakBefore w:val="0"/>
              <w:widowControl w:val="0"/>
              <w:kinsoku/>
              <w:wordWrap/>
              <w:overflowPunct/>
              <w:topLinePunct w:val="0"/>
              <w:autoSpaceDE/>
              <w:autoSpaceDN/>
              <w:bidi w:val="0"/>
              <w:spacing w:line="560" w:lineRule="exact"/>
              <w:jc w:val="center"/>
              <w:textAlignment w:val="auto"/>
              <w:rPr>
                <w:rFonts w:eastAsia="方正书宋_GBK" w:hint="eastAsia"/>
                <w:lang w:eastAsia="zh-CN"/>
              </w:rPr>
            </w:pPr>
            <w:r>
              <w:t>矿区</w:t>
            </w:r>
            <w:r>
              <w:rPr>
                <w:rFonts w:hint="eastAsia"/>
                <w:lang w:eastAsia="zh-CN"/>
              </w:rPr>
              <w:t>档案馆</w:t>
            </w:r>
          </w:p>
        </w:tc>
        <w:tc>
          <w:tcPr>
            <w:tcW w:w="2268" w:type="dxa"/>
            <w:tcBorders>
              <w:left w:val="single" w:sz="6" w:space="0" w:color="000000"/>
            </w:tcBorders>
            <w:vAlign w:val="center"/>
          </w:tcPr>
          <w:p>
            <w:pPr>
              <w:pStyle w:val="25"/>
              <w:keepNext w:val="0"/>
              <w:keepLines w:val="0"/>
              <w:pageBreakBefore w:val="0"/>
              <w:widowControl w:val="0"/>
              <w:kinsoku/>
              <w:wordWrap/>
              <w:overflowPunct/>
              <w:topLinePunct w:val="0"/>
              <w:autoSpaceDE/>
              <w:autoSpaceDN/>
              <w:bidi w:val="0"/>
              <w:spacing w:line="560" w:lineRule="exact"/>
              <w:jc w:val="center"/>
              <w:textAlignment w:val="auto"/>
              <w:rPr>
                <w:rFonts w:eastAsia="方正书宋_GBK" w:hint="eastAsia"/>
                <w:lang w:eastAsia="zh-CN"/>
              </w:rPr>
            </w:pPr>
            <w:r>
              <w:rPr>
                <w:rFonts w:hint="eastAsia"/>
                <w:lang w:eastAsia="zh-CN"/>
              </w:rPr>
              <w:t>事业</w:t>
            </w:r>
          </w:p>
        </w:tc>
        <w:tc>
          <w:tcPr>
            <w:tcW w:w="2268" w:type="dxa"/>
            <w:tcBorders>
              <w:left w:val="single" w:sz="6" w:space="0" w:color="000000"/>
            </w:tcBorders>
            <w:vAlign w:val="center"/>
          </w:tcPr>
          <w:p>
            <w:pPr>
              <w:pStyle w:val="25"/>
              <w:keepNext w:val="0"/>
              <w:keepLines w:val="0"/>
              <w:pageBreakBefore w:val="0"/>
              <w:widowControl w:val="0"/>
              <w:kinsoku/>
              <w:wordWrap/>
              <w:overflowPunct/>
              <w:topLinePunct w:val="0"/>
              <w:autoSpaceDE/>
              <w:autoSpaceDN/>
              <w:bidi w:val="0"/>
              <w:spacing w:line="560" w:lineRule="exact"/>
              <w:jc w:val="center"/>
              <w:textAlignment w:val="auto"/>
            </w:pPr>
            <w:r>
              <w:rPr>
                <w:rFonts w:hint="eastAsia"/>
                <w:lang w:eastAsia="zh-CN"/>
              </w:rPr>
              <w:t>二</w:t>
            </w:r>
            <w:r>
              <w:t>级</w:t>
            </w:r>
          </w:p>
        </w:tc>
        <w:tc>
          <w:tcPr>
            <w:tcW w:w="2268" w:type="dxa"/>
            <w:tcBorders>
              <w:left w:val="single" w:sz="6" w:space="0" w:color="000000"/>
            </w:tcBorders>
            <w:vAlign w:val="center"/>
          </w:tcPr>
          <w:p>
            <w:pPr>
              <w:pStyle w:val="25"/>
              <w:keepNext w:val="0"/>
              <w:keepLines w:val="0"/>
              <w:pageBreakBefore w:val="0"/>
              <w:widowControl w:val="0"/>
              <w:kinsoku/>
              <w:wordWrap/>
              <w:overflowPunct/>
              <w:topLinePunct w:val="0"/>
              <w:autoSpaceDE/>
              <w:autoSpaceDN/>
              <w:bidi w:val="0"/>
              <w:spacing w:line="560" w:lineRule="exact"/>
              <w:jc w:val="center"/>
              <w:textAlignment w:val="auto"/>
            </w:pPr>
            <w:r>
              <w:t>财政拨款</w:t>
            </w:r>
          </w:p>
        </w:tc>
      </w:tr>
    </w:tbl>
    <w:p>
      <w:pPr>
        <w:keepNext w:val="0"/>
        <w:keepLines w:val="0"/>
        <w:pageBreakBefore w:val="0"/>
        <w:widowControl w:val="0"/>
        <w:kinsoku/>
        <w:wordWrap/>
        <w:overflowPunct/>
        <w:topLinePunct w:val="0"/>
        <w:autoSpaceDE/>
        <w:autoSpaceDN/>
        <w:bidi w:val="0"/>
        <w:snapToGrid w:val="0"/>
        <w:spacing w:line="560" w:lineRule="exact"/>
        <w:ind w:firstLineChars="200" w:firstLine="640"/>
        <w:textAlignment w:val="auto"/>
        <w:rPr>
          <w:rFonts w:ascii="仿宋_GB2312" w:eastAsia="仿宋_GB2312" w:hAnsi="仿宋"/>
          <w:sz w:val="32"/>
          <w:szCs w:val="32"/>
        </w:rPr>
      </w:pPr>
      <w:r>
        <w:rPr>
          <w:rFonts w:ascii="仿宋_GB2312" w:eastAsia="仿宋_GB2312" w:hAnsi="仿宋" w:hint="eastAsia"/>
          <w:sz w:val="32"/>
          <w:szCs w:val="32"/>
        </w:rPr>
        <w:t>3</w:t>
      </w:r>
      <w:r>
        <w:rPr>
          <w:rFonts w:ascii="仿宋_GB2312" w:eastAsia="仿宋_GB2312" w:hAnsi="仿宋" w:hint="eastAsia"/>
          <w:sz w:val="32"/>
          <w:szCs w:val="32"/>
          <w:lang w:val="en-US" w:eastAsia="zh-CN"/>
        </w:rPr>
        <w:t>.</w:t>
      </w:r>
      <w:r>
        <w:rPr>
          <w:rFonts w:ascii="仿宋_GB2312" w:eastAsia="仿宋_GB2312" w:hAnsi="仿宋" w:hint="eastAsia"/>
          <w:sz w:val="32"/>
          <w:szCs w:val="32"/>
        </w:rPr>
        <w:t>人员情况，包括当年变动情况及原因。</w:t>
      </w:r>
    </w:p>
    <w:p>
      <w:pPr>
        <w:keepNext w:val="0"/>
        <w:keepLines w:val="0"/>
        <w:pageBreakBefore w:val="0"/>
        <w:widowControl w:val="0"/>
        <w:kinsoku/>
        <w:wordWrap/>
        <w:overflowPunct/>
        <w:topLinePunct w:val="0"/>
        <w:autoSpaceDE/>
        <w:autoSpaceDN/>
        <w:bidi w:val="0"/>
        <w:snapToGrid w:val="0"/>
        <w:spacing w:line="560" w:lineRule="exact"/>
        <w:ind w:firstLineChars="200" w:firstLine="640"/>
        <w:textAlignment w:val="auto"/>
        <w:rPr>
          <w:rFonts w:ascii="仿宋_GB2312" w:eastAsia="仿宋_GB2312" w:cs="仿宋_GB2312" w:hAnsi="仿宋" w:hint="eastAsia"/>
          <w:b w:val="0"/>
          <w:bCs w:val="0"/>
          <w:sz w:val="32"/>
          <w:szCs w:val="32"/>
          <w:lang w:val="en-US" w:eastAsia="zh-CN"/>
        </w:rPr>
      </w:pPr>
      <w:r>
        <w:rPr>
          <w:rFonts w:ascii="仿宋_GB2312" w:eastAsia="仿宋_GB2312" w:cs="仿宋_GB2312" w:hAnsi="仿宋" w:hint="eastAsia"/>
          <w:b w:val="0"/>
          <w:bCs w:val="0"/>
          <w:sz w:val="32"/>
          <w:szCs w:val="32"/>
          <w:lang w:val="en-US" w:eastAsia="zh-CN"/>
        </w:rPr>
        <w:t>档案馆截至2025年12月31日，在职5人。</w:t>
      </w:r>
    </w:p>
    <w:p>
      <w:pPr>
        <w:keepNext w:val="0"/>
        <w:keepLines w:val="0"/>
        <w:pageBreakBefore w:val="0"/>
        <w:widowControl w:val="0"/>
        <w:kinsoku/>
        <w:wordWrap/>
        <w:overflowPunct/>
        <w:topLinePunct w:val="0"/>
        <w:autoSpaceDE/>
        <w:autoSpaceDN/>
        <w:bidi w:val="0"/>
        <w:snapToGrid w:val="0"/>
        <w:spacing w:line="560" w:lineRule="exact"/>
        <w:ind w:firstLineChars="200" w:firstLine="640"/>
        <w:textAlignment w:val="auto"/>
        <w:rPr>
          <w:rFonts w:ascii="仿宋_GB2312" w:eastAsia="仿宋_GB2312" w:cs="仿宋_GB2312" w:hAnsi="仿宋" w:hint="eastAsia"/>
          <w:sz w:val="32"/>
          <w:szCs w:val="32"/>
        </w:rPr>
      </w:pPr>
      <w:r>
        <w:rPr>
          <w:rFonts w:ascii="仿宋_GB2312" w:eastAsia="仿宋_GB2312" w:cs="仿宋_GB2312" w:hAnsi="仿宋" w:hint="eastAsia"/>
          <w:b w:val="0"/>
          <w:bCs w:val="0"/>
          <w:sz w:val="32"/>
          <w:szCs w:val="32"/>
          <w:lang w:val="en-US" w:eastAsia="zh-CN"/>
        </w:rPr>
        <w:t>4、资产情况</w:t>
      </w:r>
      <w:r>
        <w:rPr>
          <w:rFonts w:ascii="仿宋_GB2312" w:eastAsia="仿宋_GB2312" w:cs="仿宋_GB2312" w:hAnsi="仿宋" w:hint="eastAsia"/>
          <w:sz w:val="32"/>
          <w:szCs w:val="32"/>
        </w:rPr>
        <w:t>，包括当年变动情况及原因。</w:t>
      </w:r>
    </w:p>
    <w:p>
      <w:pPr>
        <w:keepNext w:val="0"/>
        <w:keepLines w:val="0"/>
        <w:pageBreakBefore w:val="0"/>
        <w:widowControl w:val="0"/>
        <w:kinsoku/>
        <w:wordWrap/>
        <w:overflowPunct/>
        <w:topLinePunct w:val="0"/>
        <w:autoSpaceDE/>
        <w:autoSpaceDN/>
        <w:bidi w:val="0"/>
        <w:snapToGrid w:val="0"/>
        <w:spacing w:line="560" w:lineRule="exact"/>
        <w:ind w:firstLineChars="200" w:firstLine="640"/>
        <w:textAlignment w:val="auto"/>
        <w:rPr>
          <w:rFonts w:ascii="仿宋_GB2312" w:eastAsia="仿宋_GB2312" w:cs="仿宋_GB2312" w:hAnsi="仿宋" w:hint="eastAsia"/>
          <w:b/>
          <w:bCs/>
          <w:sz w:val="32"/>
          <w:szCs w:val="32"/>
        </w:rPr>
      </w:pPr>
      <w:r>
        <w:rPr>
          <w:rFonts w:ascii="仿宋_GB2312" w:eastAsia="仿宋_GB2312" w:cs="仿宋_GB2312" w:hAnsi="仿宋" w:hint="eastAsia"/>
          <w:sz w:val="32"/>
          <w:szCs w:val="32"/>
        </w:rPr>
        <w:t>202</w:t>
      </w:r>
      <w:r>
        <w:rPr>
          <w:rFonts w:ascii="仿宋_GB2312" w:eastAsia="仿宋_GB2312" w:cs="仿宋_GB2312" w:hAnsi="仿宋" w:hint="eastAsia"/>
          <w:sz w:val="32"/>
          <w:szCs w:val="32"/>
          <w:lang w:val="en-US" w:eastAsia="zh-CN"/>
        </w:rPr>
        <w:t>5</w:t>
      </w:r>
      <w:r>
        <w:rPr>
          <w:rFonts w:ascii="仿宋_GB2312" w:eastAsia="仿宋_GB2312" w:cs="仿宋_GB2312" w:hAnsi="仿宋" w:hint="eastAsia"/>
          <w:sz w:val="32"/>
          <w:szCs w:val="32"/>
        </w:rPr>
        <w:t>年初资产</w:t>
      </w:r>
      <w:r>
        <w:rPr>
          <w:rFonts w:ascii="仿宋_GB2312" w:eastAsia="仿宋_GB2312" w:cs="仿宋_GB2312" w:hAnsi="仿宋" w:hint="eastAsia"/>
          <w:sz w:val="32"/>
          <w:szCs w:val="32"/>
          <w:lang w:val="en-US" w:eastAsia="zh-CN"/>
        </w:rPr>
        <w:t>15.99</w:t>
      </w:r>
      <w:r>
        <w:rPr>
          <w:rFonts w:ascii="仿宋_GB2312" w:eastAsia="仿宋_GB2312" w:cs="仿宋_GB2312" w:hAnsi="仿宋" w:hint="eastAsia"/>
          <w:sz w:val="32"/>
          <w:szCs w:val="32"/>
        </w:rPr>
        <w:t>万元，年末</w:t>
      </w:r>
      <w:r>
        <w:rPr>
          <w:rFonts w:ascii="仿宋_GB2312" w:eastAsia="仿宋_GB2312" w:cs="仿宋_GB2312" w:hAnsi="仿宋" w:hint="eastAsia"/>
          <w:sz w:val="32"/>
          <w:szCs w:val="32"/>
          <w:lang w:val="en-US" w:eastAsia="zh-CN"/>
        </w:rPr>
        <w:t>15.99</w:t>
      </w:r>
      <w:r>
        <w:rPr>
          <w:rFonts w:ascii="仿宋_GB2312" w:eastAsia="仿宋_GB2312" w:cs="仿宋_GB2312" w:hAnsi="仿宋" w:hint="eastAsia"/>
          <w:sz w:val="32"/>
          <w:szCs w:val="32"/>
        </w:rPr>
        <w:t>万元</w:t>
      </w:r>
      <w:r>
        <w:rPr>
          <w:rFonts w:ascii="仿宋_GB2312" w:eastAsia="仿宋_GB2312" w:cs="仿宋_GB2312" w:hAnsi="仿宋" w:hint="eastAsia"/>
          <w:sz w:val="32"/>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right="0" w:firstLineChars="200" w:firstLine="640"/>
        <w:textAlignment w:val="auto"/>
        <w:outlineLvl w:val="9"/>
        <w:rPr>
          <w:rFonts w:ascii="仿宋" w:eastAsia="仿宋" w:cs="楷体_GB2312" w:hAnsi="仿宋" w:hint="eastAsia"/>
          <w:b/>
          <w:bCs/>
          <w:sz w:val="32"/>
          <w:szCs w:val="32"/>
          <w:lang w:eastAsia="zh-CN"/>
        </w:rPr>
      </w:pPr>
      <w:r>
        <w:rPr>
          <w:rFonts w:ascii="仿宋" w:eastAsia="仿宋" w:cs="楷体_GB2312" w:hAnsi="仿宋" w:hint="eastAsia"/>
          <w:b/>
          <w:bCs/>
          <w:sz w:val="32"/>
          <w:szCs w:val="32"/>
          <w:lang w:eastAsia="zh-CN"/>
        </w:rPr>
        <w:t>部门收支预决算情况</w:t>
      </w:r>
    </w:p>
    <w:p>
      <w:pPr>
        <w:keepNext w:val="0"/>
        <w:keepLines w:val="0"/>
        <w:pageBreakBefore w:val="0"/>
        <w:widowControl w:val="0"/>
        <w:kinsoku/>
        <w:wordWrap/>
        <w:overflowPunct/>
        <w:topLinePunct w:val="0"/>
        <w:autoSpaceDE/>
        <w:autoSpaceDN/>
        <w:bidi w:val="0"/>
        <w:spacing w:line="560" w:lineRule="exact"/>
        <w:ind w:firstLine="640"/>
        <w:textAlignment w:val="auto"/>
        <w:rPr>
          <w:rFonts w:ascii="仿宋_GB2312" w:eastAsia="仿宋_GB2312" w:cs="仿宋_GB2312" w:hAnsi="仿宋" w:hint="eastAsia"/>
          <w:b w:val="0"/>
          <w:bCs w:val="0"/>
          <w:sz w:val="32"/>
          <w:szCs w:val="32"/>
          <w:lang w:val="en-US" w:eastAsia="zh-CN"/>
        </w:rPr>
      </w:pPr>
      <w:r>
        <w:rPr>
          <w:rFonts w:ascii="仿宋_GB2312" w:eastAsia="仿宋_GB2312" w:cs="仿宋_GB2312" w:hAnsi="仿宋" w:hint="eastAsia"/>
          <w:b w:val="0"/>
          <w:bCs w:val="0"/>
          <w:sz w:val="32"/>
          <w:szCs w:val="32"/>
          <w:lang w:val="en-US" w:eastAsia="zh-CN"/>
        </w:rPr>
        <w:t>年初预算收入、支出均为109.95</w:t>
      </w:r>
      <w:r>
        <w:rPr>
          <w:rFonts w:ascii="仿宋_GB2312" w:eastAsia="仿宋_GB2312" w:cs="仿宋_GB2312" w:hAnsi="仿宋" w:hint="eastAsia"/>
          <w:sz w:val="32"/>
          <w:szCs w:val="32"/>
          <w:lang w:val="en-US" w:eastAsia="zh-CN"/>
        </w:rPr>
        <w:t>万元</w:t>
      </w:r>
      <w:r>
        <w:rPr>
          <w:rFonts w:ascii="仿宋_GB2312" w:eastAsia="仿宋_GB2312" w:cs="仿宋_GB2312" w:hAnsi="仿宋" w:hint="eastAsia"/>
          <w:sz w:val="32"/>
          <w:szCs w:val="32"/>
        </w:rPr>
        <w:t>，其中人员支出万</w:t>
      </w:r>
      <w:r>
        <w:rPr>
          <w:rFonts w:ascii="仿宋_GB2312" w:eastAsia="仿宋_GB2312" w:cs="仿宋_GB2312" w:hAnsi="仿宋" w:hint="eastAsia"/>
          <w:sz w:val="32"/>
          <w:szCs w:val="32"/>
          <w:lang w:val="en-US" w:eastAsia="zh-CN"/>
        </w:rPr>
        <w:t>98.32万元</w:t>
      </w:r>
      <w:r>
        <w:rPr>
          <w:rFonts w:ascii="仿宋_GB2312" w:eastAsia="仿宋_GB2312" w:cs="仿宋_GB2312" w:hAnsi="仿宋" w:hint="eastAsia"/>
          <w:sz w:val="32"/>
          <w:szCs w:val="32"/>
        </w:rPr>
        <w:t>，公用支出</w:t>
      </w:r>
      <w:r>
        <w:rPr>
          <w:rFonts w:ascii="仿宋_GB2312" w:eastAsia="仿宋_GB2312" w:cs="仿宋_GB2312" w:hAnsi="仿宋" w:hint="eastAsia"/>
          <w:sz w:val="32"/>
          <w:szCs w:val="32"/>
          <w:lang w:val="en-US" w:eastAsia="zh-CN"/>
        </w:rPr>
        <w:t>6.63万元</w:t>
      </w:r>
      <w:r>
        <w:rPr>
          <w:rFonts w:ascii="仿宋_GB2312" w:eastAsia="仿宋_GB2312" w:cs="仿宋_GB2312" w:hAnsi="仿宋" w:hint="eastAsia"/>
          <w:sz w:val="32"/>
          <w:szCs w:val="32"/>
        </w:rPr>
        <w:t>，项目支出</w:t>
      </w:r>
      <w:r>
        <w:rPr>
          <w:rFonts w:ascii="仿宋_GB2312" w:eastAsia="仿宋_GB2312" w:cs="仿宋_GB2312" w:hAnsi="仿宋" w:hint="eastAsia"/>
          <w:sz w:val="32"/>
          <w:szCs w:val="32"/>
          <w:lang w:val="en-US" w:eastAsia="zh-CN"/>
        </w:rPr>
        <w:t>5万元</w:t>
      </w:r>
      <w:r>
        <w:rPr>
          <w:rFonts w:ascii="仿宋_GB2312" w:eastAsia="仿宋_GB2312" w:cs="仿宋_GB2312" w:hAnsi="仿宋" w:hint="eastAsia"/>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left="0" w:right="0" w:firstLineChars="200" w:firstLine="640"/>
        <w:textAlignment w:val="auto"/>
        <w:outlineLvl w:val="9"/>
        <w:rPr>
          <w:rFonts w:ascii="仿宋" w:eastAsia="仿宋" w:cs="楷体_GB2312" w:hAnsi="仿宋" w:hint="eastAsia"/>
          <w:b/>
          <w:bCs/>
          <w:sz w:val="32"/>
          <w:szCs w:val="32"/>
          <w:lang w:eastAsia="zh-CN"/>
        </w:rPr>
      </w:pPr>
      <w:r>
        <w:rPr>
          <w:rFonts w:ascii="仿宋" w:eastAsia="仿宋" w:cs="楷体_GB2312" w:hAnsi="仿宋" w:hint="eastAsia"/>
          <w:b/>
          <w:bCs/>
          <w:sz w:val="32"/>
          <w:szCs w:val="32"/>
          <w:lang w:eastAsia="zh-CN"/>
        </w:rPr>
        <w:t>（三）部门整体支出绩效目标、指标</w:t>
      </w:r>
    </w:p>
    <w:p>
      <w:pPr>
        <w:keepNext w:val="0"/>
        <w:keepLines w:val="0"/>
        <w:pageBreakBefore w:val="0"/>
        <w:widowControl w:val="0"/>
        <w:kinsoku/>
        <w:wordWrap/>
        <w:overflowPunct/>
        <w:topLinePunct w:val="0"/>
        <w:autoSpaceDE/>
        <w:autoSpaceDN/>
        <w:bidi w:val="0"/>
        <w:spacing w:line="560" w:lineRule="exact"/>
        <w:ind w:firstLine="640"/>
        <w:textAlignment w:val="auto"/>
        <w:rPr>
          <w:rFonts w:ascii="仿宋_GB2312" w:eastAsia="仿宋_GB2312" w:cs="仿宋_GB2312" w:hAnsi="仿宋" w:hint="eastAsia"/>
          <w:sz w:val="32"/>
          <w:szCs w:val="32"/>
          <w:lang w:eastAsia="zh-CN"/>
        </w:rPr>
      </w:pPr>
      <w:r>
        <w:rPr>
          <w:rFonts w:ascii="仿宋_GB2312" w:eastAsia="仿宋_GB2312" w:cs="仿宋_GB2312" w:hint="eastAsia"/>
          <w:lang w:val="en-US" w:eastAsia="zh-CN"/>
        </w:rPr>
        <w:t xml:space="preserve"> </w:t>
      </w:r>
      <w:r>
        <w:rPr>
          <w:rFonts w:ascii="仿宋_GB2312" w:eastAsia="仿宋_GB2312" w:cs="仿宋_GB2312" w:hAnsi="仿宋" w:hint="eastAsia"/>
          <w:kern w:val="2"/>
          <w:sz w:val="32"/>
          <w:szCs w:val="32"/>
          <w:lang w:val="en-US" w:eastAsia="zh-CN" w:bidi="ar-SA"/>
        </w:rPr>
        <w:t>2025年，</w:t>
      </w:r>
      <w:r>
        <w:rPr>
          <w:rFonts w:ascii="仿宋_GB2312" w:eastAsia="仿宋_GB2312" w:cs="仿宋_GB2312" w:hAnsi="仿宋" w:hint="eastAsia"/>
          <w:color w:val="000000"/>
          <w:sz w:val="32"/>
          <w:szCs w:val="32"/>
        </w:rPr>
        <w:t>区档案馆在区委、区政府的领导下</w:t>
      </w:r>
      <w:r>
        <w:rPr>
          <w:rFonts w:ascii="仿宋_GB2312" w:eastAsia="仿宋_GB2312" w:cs="仿宋_GB2312" w:hAnsi="仿宋" w:hint="eastAsia"/>
          <w:kern w:val="2"/>
          <w:sz w:val="32"/>
          <w:szCs w:val="32"/>
          <w:lang w:val="en-US" w:eastAsia="zh-CN" w:bidi="ar-SA"/>
        </w:rPr>
        <w:t>，深入贯彻落实党的二十届四中全会精神和习近平总书记系列重要讲话精神，</w:t>
      </w:r>
      <w:r>
        <w:rPr>
          <w:rFonts w:ascii="仿宋_GB2312" w:eastAsia="仿宋_GB2312" w:cs="仿宋_GB2312" w:hAnsi="仿宋" w:hint="eastAsia"/>
          <w:color w:val="000000"/>
          <w:sz w:val="32"/>
          <w:szCs w:val="32"/>
        </w:rPr>
        <w:t>围绕全区工作大局，</w:t>
      </w:r>
      <w:r>
        <w:rPr>
          <w:rFonts w:ascii="仿宋_GB2312" w:eastAsia="仿宋_GB2312" w:cs="仿宋_GB2312" w:hAnsi="仿宋" w:hint="eastAsia"/>
          <w:sz w:val="32"/>
          <w:szCs w:val="32"/>
        </w:rPr>
        <w:t>认真扎实开展工作，切实履行“为党管档，为国守史，为民服务”职责，扎实推进档案基础业务和利用工作</w:t>
      </w:r>
      <w:r>
        <w:rPr>
          <w:rFonts w:ascii="仿宋_GB2312" w:eastAsia="仿宋_GB2312" w:cs="仿宋_GB2312" w:hAnsi="仿宋" w:hint="eastAsia"/>
          <w:sz w:val="32"/>
          <w:szCs w:val="32"/>
          <w:lang w:eastAsia="zh-CN"/>
        </w:rPr>
        <w:t>。</w:t>
      </w:r>
    </w:p>
    <w:p>
      <w:pPr>
        <w:keepNext w:val="0"/>
        <w:keepLines w:val="0"/>
        <w:pageBreakBefore w:val="0"/>
        <w:widowControl w:val="0"/>
        <w:kinsoku/>
        <w:wordWrap/>
        <w:overflowPunct/>
        <w:topLinePunct w:val="0"/>
        <w:autoSpaceDE/>
        <w:autoSpaceDN/>
        <w:bidi w:val="0"/>
        <w:spacing w:line="560" w:lineRule="exact"/>
        <w:ind w:firstLine="640"/>
        <w:textAlignment w:val="auto"/>
        <w:rPr>
          <w:rFonts w:ascii="仿宋_GB2312" w:eastAsia="仿宋_GB2312" w:cs="仿宋_GB2312" w:hAnsi="仿宋" w:hint="eastAsia"/>
          <w:kern w:val="2"/>
          <w:sz w:val="32"/>
          <w:szCs w:val="32"/>
          <w:lang w:val="en-US" w:eastAsia="zh-CN" w:bidi="ar-SA"/>
        </w:rPr>
      </w:pPr>
      <w:r>
        <w:rPr>
          <w:rFonts w:ascii="仿宋_GB2312" w:eastAsia="仿宋_GB2312" w:cs="仿宋_GB2312" w:hAnsi="仿宋" w:hint="eastAsia"/>
          <w:kern w:val="2"/>
          <w:sz w:val="32"/>
          <w:szCs w:val="32"/>
          <w:lang w:val="en-US" w:eastAsia="zh-CN" w:bidi="ar-SA"/>
        </w:rPr>
        <w:t>地方志编纂经费</w:t>
      </w:r>
    </w:p>
    <w:p>
      <w:pPr>
        <w:keepNext w:val="0"/>
        <w:keepLines w:val="0"/>
        <w:pageBreakBefore w:val="0"/>
        <w:widowControl w:val="0"/>
        <w:kinsoku/>
        <w:wordWrap/>
        <w:overflowPunct/>
        <w:topLinePunct w:val="0"/>
        <w:autoSpaceDE/>
        <w:autoSpaceDN/>
        <w:bidi w:val="0"/>
        <w:spacing w:line="560" w:lineRule="exact"/>
        <w:ind w:firstLine="640"/>
        <w:textAlignment w:val="auto"/>
        <w:rPr>
          <w:rFonts w:ascii="仿宋_GB2312" w:eastAsia="仿宋_GB2312" w:cs="仿宋_GB2312" w:hAnsi="仿宋" w:hint="eastAsia"/>
          <w:kern w:val="2"/>
          <w:sz w:val="32"/>
          <w:szCs w:val="32"/>
          <w:lang w:val="en-US" w:eastAsia="zh-CN" w:bidi="ar-SA"/>
        </w:rPr>
      </w:pPr>
      <w:r>
        <w:rPr>
          <w:rFonts w:ascii="仿宋_GB2312" w:eastAsia="仿宋_GB2312" w:cs="仿宋_GB2312" w:hAnsi="仿宋" w:hint="eastAsia"/>
          <w:kern w:val="2"/>
          <w:sz w:val="32"/>
          <w:szCs w:val="32"/>
          <w:lang w:val="en-US" w:eastAsia="zh-CN" w:bidi="ar-SA"/>
        </w:rPr>
        <w:t>绩效目标：地方志编纂、出版、印刷费用</w:t>
      </w:r>
    </w:p>
    <w:p>
      <w:pPr>
        <w:keepNext w:val="0"/>
        <w:keepLines w:val="0"/>
        <w:pageBreakBefore w:val="0"/>
        <w:widowControl w:val="0"/>
        <w:kinsoku/>
        <w:wordWrap/>
        <w:overflowPunct/>
        <w:topLinePunct w:val="0"/>
        <w:autoSpaceDE/>
        <w:autoSpaceDN/>
        <w:bidi w:val="0"/>
        <w:spacing w:line="560" w:lineRule="exact"/>
        <w:ind w:firstLine="640"/>
        <w:textAlignment w:val="auto"/>
        <w:rPr>
          <w:rFonts w:ascii="仿宋_GB2312" w:eastAsia="仿宋_GB2312" w:cs="仿宋_GB2312" w:hint="eastAsia"/>
          <w:lang w:val="en-US" w:eastAsia="zh-CN"/>
        </w:rPr>
      </w:pPr>
      <w:r>
        <w:rPr>
          <w:rFonts w:ascii="仿宋_GB2312" w:eastAsia="仿宋_GB2312" w:cs="仿宋_GB2312" w:hAnsi="仿宋" w:hint="eastAsia"/>
          <w:kern w:val="2"/>
          <w:sz w:val="32"/>
          <w:szCs w:val="32"/>
          <w:lang w:val="en-US" w:eastAsia="zh-CN" w:bidi="ar-SA"/>
        </w:rPr>
        <w:t>绩效指标：根据市委、市政府办公室和区委、区政府要求，关于征集2025《井陉矿区年鉴》材料的通知于2025年3月初印发，目前我馆已完成《井陉矿区年鉴2025》编纂工作。</w:t>
      </w:r>
    </w:p>
    <w:p>
      <w:pPr>
        <w:keepNext w:val="0"/>
        <w:keepLines w:val="0"/>
        <w:pageBreakBefore w:val="0"/>
        <w:widowControl w:val="0"/>
        <w:kinsoku/>
        <w:wordWrap/>
        <w:overflowPunct/>
        <w:topLinePunct w:val="0"/>
        <w:autoSpaceDE/>
        <w:autoSpaceDN/>
        <w:bidi w:val="0"/>
        <w:adjustRightInd w:val="0"/>
        <w:snapToGrid w:val="0"/>
        <w:spacing w:line="560" w:lineRule="exact"/>
        <w:ind w:left="0" w:right="0" w:firstLineChars="200" w:firstLine="640"/>
        <w:textAlignment w:val="auto"/>
        <w:outlineLvl w:val="9"/>
        <w:rPr>
          <w:rFonts w:ascii="黑体" w:eastAsia="黑体" w:hAnsi="黑体"/>
          <w:sz w:val="32"/>
          <w:szCs w:val="32"/>
        </w:rPr>
      </w:pPr>
      <w:r>
        <w:rPr>
          <w:rFonts w:ascii="黑体" w:eastAsia="黑体" w:hAnsi="黑体" w:hint="eastAsia"/>
          <w:sz w:val="32"/>
          <w:szCs w:val="32"/>
        </w:rPr>
        <w:t>二、自评工作</w:t>
      </w:r>
      <w:r>
        <w:rPr>
          <w:rFonts w:ascii="黑体" w:eastAsia="黑体" w:hAnsi="黑体" w:hint="eastAsia"/>
          <w:sz w:val="32"/>
          <w:szCs w:val="32"/>
          <w:lang w:eastAsia="zh-CN"/>
        </w:rPr>
        <w:t>开展</w:t>
      </w:r>
      <w:r>
        <w:rPr>
          <w:rFonts w:ascii="黑体" w:eastAsia="黑体" w:hAnsi="黑体" w:hint="eastAsia"/>
          <w:sz w:val="32"/>
          <w:szCs w:val="32"/>
        </w:rPr>
        <w:t>情况</w:t>
      </w:r>
    </w:p>
    <w:p>
      <w:pPr>
        <w:keepNext w:val="0"/>
        <w:keepLines w:val="0"/>
        <w:pageBreakBefore w:val="0"/>
        <w:widowControl w:val="0"/>
        <w:kinsoku/>
        <w:wordWrap/>
        <w:overflowPunct/>
        <w:topLinePunct w:val="0"/>
        <w:autoSpaceDE/>
        <w:autoSpaceDN/>
        <w:bidi w:val="0"/>
        <w:spacing w:line="560" w:lineRule="exact"/>
        <w:ind w:left="0" w:right="0"/>
        <w:textAlignment w:val="auto"/>
        <w:outlineLvl w:val="9"/>
        <w:rPr>
          <w:rFonts w:ascii="仿宋" w:eastAsia="仿宋" w:cs="楷体_GB2312" w:hAnsi="仿宋"/>
          <w:sz w:val="32"/>
          <w:szCs w:val="32"/>
        </w:rPr>
      </w:pPr>
      <w:r>
        <w:rPr>
          <w:rFonts w:ascii="仿宋" w:eastAsia="仿宋" w:hAnsi="仿宋" w:hint="eastAsia"/>
          <w:sz w:val="32"/>
          <w:szCs w:val="32"/>
        </w:rPr>
        <w:t xml:space="preserve">    </w:t>
      </w:r>
      <w:r>
        <w:rPr>
          <w:rFonts w:ascii="仿宋" w:eastAsia="仿宋" w:cs="楷体_GB2312" w:hAnsi="仿宋" w:hint="eastAsia"/>
          <w:b/>
          <w:bCs/>
          <w:sz w:val="32"/>
          <w:szCs w:val="32"/>
        </w:rPr>
        <w:t>（一）自评的组织工作</w:t>
      </w:r>
    </w:p>
    <w:p>
      <w:pPr>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Ansi="仿宋" w:hint="eastAsia"/>
          <w:sz w:val="32"/>
          <w:szCs w:val="32"/>
        </w:rPr>
      </w:pPr>
      <w:r>
        <w:rPr>
          <w:rFonts w:ascii="仿宋_GB2312" w:eastAsia="仿宋_GB2312" w:cs="仿宋_GB2312" w:hAnsi="仿宋" w:hint="eastAsia"/>
          <w:sz w:val="32"/>
          <w:szCs w:val="32"/>
        </w:rPr>
        <w:t>为进一步提高我</w:t>
      </w:r>
      <w:r>
        <w:rPr>
          <w:rFonts w:ascii="仿宋_GB2312" w:eastAsia="仿宋_GB2312" w:cs="仿宋_GB2312" w:hAnsi="仿宋" w:hint="eastAsia"/>
          <w:sz w:val="32"/>
          <w:szCs w:val="32"/>
          <w:lang w:eastAsia="zh-CN"/>
        </w:rPr>
        <w:t>馆</w:t>
      </w:r>
      <w:r>
        <w:rPr>
          <w:rFonts w:ascii="仿宋_GB2312" w:eastAsia="仿宋_GB2312" w:cs="仿宋_GB2312" w:hAnsi="仿宋" w:hint="eastAsia"/>
          <w:sz w:val="32"/>
          <w:szCs w:val="32"/>
        </w:rPr>
        <w:t>绩效预算管理工作，根据《</w:t>
      </w:r>
      <w:r>
        <w:rPr>
          <w:rFonts w:ascii="仿宋_GB2312" w:eastAsia="仿宋_GB2312" w:cs="仿宋_GB2312" w:hAnsi="仿宋" w:hint="eastAsia"/>
          <w:sz w:val="32"/>
          <w:szCs w:val="32"/>
          <w:lang w:eastAsia="zh-CN"/>
        </w:rPr>
        <w:t>中共井陉矿区委、井陉矿区人民政府关于全面落实预算绩效管理的实施意见</w:t>
      </w:r>
      <w:r>
        <w:rPr>
          <w:rFonts w:ascii="仿宋_GB2312" w:eastAsia="仿宋_GB2312" w:cs="仿宋_GB2312" w:hAnsi="仿宋" w:hint="eastAsia"/>
          <w:sz w:val="32"/>
          <w:szCs w:val="32"/>
        </w:rPr>
        <w:t>》（</w:t>
      </w:r>
      <w:r>
        <w:rPr>
          <w:rFonts w:ascii="仿宋_GB2312" w:eastAsia="仿宋_GB2312" w:cs="仿宋_GB2312" w:hAnsi="仿宋" w:hint="eastAsia"/>
          <w:sz w:val="32"/>
          <w:szCs w:val="32"/>
          <w:lang w:eastAsia="zh-CN"/>
        </w:rPr>
        <w:t>矿发</w:t>
      </w:r>
      <w:r>
        <w:rPr>
          <w:rFonts w:ascii="仿宋_GB2312" w:eastAsia="仿宋_GB2312" w:cs="仿宋_GB2312" w:hAnsi="仿宋" w:hint="eastAsia"/>
          <w:sz w:val="32"/>
          <w:szCs w:val="32"/>
        </w:rPr>
        <w:t>〔</w:t>
      </w:r>
      <w:r>
        <w:rPr>
          <w:rFonts w:ascii="仿宋_GB2312" w:eastAsia="仿宋_GB2312" w:cs="仿宋_GB2312" w:hAnsi="仿宋" w:hint="eastAsia"/>
          <w:sz w:val="32"/>
          <w:szCs w:val="32"/>
          <w:lang w:val="en-US" w:eastAsia="zh-CN"/>
        </w:rPr>
        <w:t>2019</w:t>
      </w:r>
      <w:r>
        <w:rPr>
          <w:rFonts w:ascii="仿宋_GB2312" w:eastAsia="仿宋_GB2312" w:cs="仿宋_GB2312" w:hAnsi="仿宋" w:hint="eastAsia"/>
          <w:sz w:val="32"/>
          <w:szCs w:val="32"/>
        </w:rPr>
        <w:t>〕</w:t>
      </w:r>
      <w:r>
        <w:rPr>
          <w:rFonts w:ascii="仿宋_GB2312" w:eastAsia="仿宋_GB2312" w:cs="仿宋_GB2312" w:hAnsi="仿宋" w:hint="eastAsia"/>
          <w:sz w:val="32"/>
          <w:szCs w:val="32"/>
          <w:lang w:val="en-US" w:eastAsia="zh-CN"/>
        </w:rPr>
        <w:t>7</w:t>
      </w:r>
      <w:r>
        <w:rPr>
          <w:rFonts w:ascii="仿宋_GB2312" w:eastAsia="仿宋_GB2312" w:cs="仿宋_GB2312" w:hAnsi="仿宋" w:hint="eastAsia"/>
          <w:sz w:val="32"/>
          <w:szCs w:val="32"/>
        </w:rPr>
        <w:t>号）要求，成立绩效评价工作组，对我</w:t>
      </w:r>
      <w:r>
        <w:rPr>
          <w:rFonts w:ascii="仿宋_GB2312" w:eastAsia="仿宋_GB2312" w:cs="仿宋_GB2312" w:hAnsi="仿宋" w:hint="eastAsia"/>
          <w:sz w:val="32"/>
          <w:szCs w:val="32"/>
          <w:lang w:eastAsia="zh-CN"/>
        </w:rPr>
        <w:t>馆</w:t>
      </w:r>
      <w:r>
        <w:rPr>
          <w:rFonts w:ascii="仿宋_GB2312" w:eastAsia="仿宋_GB2312" w:cs="仿宋_GB2312" w:hAnsi="仿宋" w:hint="eastAsia"/>
          <w:sz w:val="32"/>
          <w:szCs w:val="32"/>
        </w:rPr>
        <w:t>所有的</w:t>
      </w:r>
      <w:r>
        <w:rPr>
          <w:rFonts w:ascii="仿宋_GB2312" w:eastAsia="仿宋_GB2312" w:cs="仿宋_GB2312" w:hAnsi="仿宋" w:hint="eastAsia"/>
          <w:sz w:val="32"/>
          <w:szCs w:val="32"/>
          <w:lang w:eastAsia="zh-CN"/>
        </w:rPr>
        <w:t>资金</w:t>
      </w:r>
      <w:r>
        <w:rPr>
          <w:rFonts w:ascii="仿宋_GB2312" w:eastAsia="仿宋_GB2312" w:cs="仿宋_GB2312" w:hAnsi="仿宋" w:hint="eastAsia"/>
          <w:sz w:val="32"/>
          <w:szCs w:val="32"/>
        </w:rPr>
        <w:t>项目，开展20</w:t>
      </w:r>
      <w:r>
        <w:rPr>
          <w:rFonts w:ascii="仿宋_GB2312" w:eastAsia="仿宋_GB2312" w:cs="仿宋_GB2312" w:hAnsi="仿宋" w:hint="eastAsia"/>
          <w:sz w:val="32"/>
          <w:szCs w:val="32"/>
          <w:lang w:val="en-US" w:eastAsia="zh-CN"/>
        </w:rPr>
        <w:t>25</w:t>
      </w:r>
      <w:r>
        <w:rPr>
          <w:rFonts w:ascii="仿宋_GB2312" w:eastAsia="仿宋_GB2312" w:cs="仿宋_GB2312" w:hAnsi="仿宋" w:hint="eastAsia"/>
          <w:sz w:val="32"/>
          <w:szCs w:val="32"/>
        </w:rPr>
        <w:t>年度</w:t>
      </w:r>
      <w:r>
        <w:rPr>
          <w:rFonts w:ascii="仿宋_GB2312" w:eastAsia="仿宋_GB2312" w:cs="仿宋_GB2312" w:hAnsi="仿宋" w:hint="eastAsia"/>
          <w:sz w:val="32"/>
          <w:szCs w:val="32"/>
          <w:lang w:eastAsia="zh-CN"/>
        </w:rPr>
        <w:t>部门整体</w:t>
      </w:r>
      <w:r>
        <w:rPr>
          <w:rFonts w:ascii="仿宋_GB2312" w:eastAsia="仿宋_GB2312" w:cs="仿宋_GB2312" w:hAnsi="仿宋" w:hint="eastAsia"/>
          <w:sz w:val="32"/>
          <w:szCs w:val="32"/>
        </w:rPr>
        <w:t>绩效自评工作。</w:t>
      </w:r>
    </w:p>
    <w:p>
      <w:pPr>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Ansi="仿宋" w:hint="eastAsia"/>
          <w:sz w:val="32"/>
          <w:szCs w:val="32"/>
        </w:rPr>
      </w:pPr>
      <w:r>
        <w:rPr>
          <w:rFonts w:ascii="仿宋_GB2312" w:eastAsia="仿宋_GB2312" w:cs="仿宋_GB2312" w:hAnsi="仿宋" w:hint="eastAsia"/>
          <w:sz w:val="32"/>
          <w:szCs w:val="32"/>
        </w:rPr>
        <w:t>绩效评价工作组根据工作方案，明确任务分工，确定评价程序及时间安排。根据20</w:t>
      </w:r>
      <w:r>
        <w:rPr>
          <w:rFonts w:ascii="仿宋_GB2312" w:eastAsia="仿宋_GB2312" w:cs="仿宋_GB2312" w:hAnsi="仿宋" w:hint="eastAsia"/>
          <w:sz w:val="32"/>
          <w:szCs w:val="32"/>
          <w:lang w:val="en-US" w:eastAsia="zh-CN"/>
        </w:rPr>
        <w:t>25</w:t>
      </w:r>
      <w:r>
        <w:rPr>
          <w:rFonts w:ascii="仿宋_GB2312" w:eastAsia="仿宋_GB2312" w:cs="仿宋_GB2312" w:hAnsi="仿宋" w:hint="eastAsia"/>
          <w:sz w:val="32"/>
          <w:szCs w:val="32"/>
        </w:rPr>
        <w:t>年初设定的绩效目标完成情况和各绩效指标完成情况进行核实分析，填报《</w:t>
      </w:r>
      <w:r>
        <w:rPr>
          <w:rFonts w:ascii="仿宋_GB2312" w:eastAsia="仿宋_GB2312" w:cs="仿宋_GB2312" w:hAnsi="仿宋" w:hint="eastAsia"/>
          <w:sz w:val="32"/>
          <w:szCs w:val="32"/>
          <w:lang w:val="en-US" w:eastAsia="zh-CN"/>
        </w:rPr>
        <w:t>2025年</w:t>
      </w:r>
      <w:r>
        <w:rPr>
          <w:rFonts w:ascii="仿宋_GB2312" w:eastAsia="仿宋_GB2312" w:cs="仿宋_GB2312" w:hAnsi="仿宋" w:hint="eastAsia"/>
          <w:sz w:val="32"/>
          <w:szCs w:val="32"/>
          <w:lang w:eastAsia="zh-CN"/>
        </w:rPr>
        <w:t>区级</w:t>
      </w:r>
      <w:r>
        <w:rPr>
          <w:rFonts w:ascii="仿宋_GB2312" w:eastAsia="仿宋_GB2312" w:cs="仿宋_GB2312" w:hAnsi="仿宋" w:hint="eastAsia"/>
          <w:sz w:val="32"/>
          <w:szCs w:val="32"/>
        </w:rPr>
        <w:t>项目绩效自评表》，并撰写绩效自评报告。</w:t>
      </w:r>
      <w:r>
        <w:rPr>
          <w:rFonts w:ascii="仿宋_GB2312" w:eastAsia="仿宋_GB2312" w:cs="仿宋_GB2312" w:hAnsi="仿宋" w:hint="eastAsia"/>
          <w:b w:val="0"/>
          <w:bCs w:val="0"/>
          <w:sz w:val="32"/>
          <w:szCs w:val="32"/>
          <w:lang w:val="en-US" w:eastAsia="zh-CN"/>
        </w:rPr>
        <w:t>本年年初预算收入、支出均为</w:t>
      </w:r>
      <w:r>
        <w:rPr>
          <w:rFonts w:ascii="仿宋_GB2312" w:eastAsia="仿宋_GB2312" w:cs="仿宋_GB2312" w:hAnsi="仿宋" w:hint="eastAsia"/>
          <w:sz w:val="32"/>
          <w:szCs w:val="32"/>
          <w:lang w:val="en-US" w:eastAsia="zh-CN"/>
        </w:rPr>
        <w:t>109.95</w:t>
      </w:r>
      <w:r>
        <w:rPr>
          <w:rFonts w:ascii="仿宋_GB2312" w:eastAsia="仿宋_GB2312" w:cs="仿宋_GB2312" w:hAnsi="仿宋" w:hint="eastAsia"/>
          <w:b w:val="0"/>
          <w:bCs w:val="0"/>
          <w:sz w:val="32"/>
          <w:szCs w:val="32"/>
          <w:lang w:val="en-US" w:eastAsia="zh-CN"/>
        </w:rPr>
        <w:t>万元，其中包括：</w:t>
      </w:r>
      <w:r>
        <w:rPr>
          <w:rFonts w:ascii="仿宋_GB2312" w:eastAsia="仿宋_GB2312" w:cs="仿宋_GB2312" w:hAnsi="仿宋" w:hint="eastAsia"/>
          <w:sz w:val="32"/>
          <w:szCs w:val="32"/>
        </w:rPr>
        <w:t>人员支出万</w:t>
      </w:r>
      <w:r>
        <w:rPr>
          <w:rFonts w:ascii="仿宋_GB2312" w:eastAsia="仿宋_GB2312" w:cs="仿宋_GB2312" w:hAnsi="仿宋" w:hint="eastAsia"/>
          <w:sz w:val="32"/>
          <w:szCs w:val="32"/>
          <w:lang w:val="en-US" w:eastAsia="zh-CN"/>
        </w:rPr>
        <w:t>98.32万元</w:t>
      </w:r>
      <w:r>
        <w:rPr>
          <w:rFonts w:ascii="仿宋_GB2312" w:eastAsia="仿宋_GB2312" w:cs="仿宋_GB2312" w:hAnsi="仿宋" w:hint="eastAsia"/>
          <w:sz w:val="32"/>
          <w:szCs w:val="32"/>
        </w:rPr>
        <w:t>，公用支出</w:t>
      </w:r>
      <w:r>
        <w:rPr>
          <w:rFonts w:ascii="仿宋_GB2312" w:eastAsia="仿宋_GB2312" w:cs="仿宋_GB2312" w:hAnsi="仿宋" w:hint="eastAsia"/>
          <w:sz w:val="32"/>
          <w:szCs w:val="32"/>
          <w:lang w:val="en-US" w:eastAsia="zh-CN"/>
        </w:rPr>
        <w:t>6.63万元</w:t>
      </w:r>
      <w:r>
        <w:rPr>
          <w:rFonts w:ascii="仿宋_GB2312" w:eastAsia="仿宋_GB2312" w:cs="仿宋_GB2312" w:hAnsi="仿宋" w:hint="eastAsia"/>
          <w:sz w:val="32"/>
          <w:szCs w:val="32"/>
        </w:rPr>
        <w:t>，项目支出</w:t>
      </w:r>
      <w:r>
        <w:rPr>
          <w:rFonts w:ascii="仿宋_GB2312" w:eastAsia="仿宋_GB2312" w:cs="仿宋_GB2312" w:hAnsi="仿宋" w:hint="eastAsia"/>
          <w:sz w:val="32"/>
          <w:szCs w:val="32"/>
          <w:lang w:val="en-US" w:eastAsia="zh-CN"/>
        </w:rPr>
        <w:t>5万元</w:t>
      </w:r>
      <w:r>
        <w:rPr>
          <w:rFonts w:ascii="仿宋_GB2312" w:eastAsia="仿宋_GB2312" w:cs="仿宋_GB2312" w:hAnsi="仿宋" w:hint="eastAsia"/>
          <w:sz w:val="32"/>
          <w:szCs w:val="32"/>
        </w:rPr>
        <w:t>。</w:t>
      </w:r>
    </w:p>
    <w:p>
      <w:pPr>
        <w:keepNext w:val="0"/>
        <w:keepLines w:val="0"/>
        <w:pageBreakBefore w:val="0"/>
        <w:widowControl w:val="0"/>
        <w:numPr>
          <w:ilvl w:val="0"/>
          <w:numId w:val="2"/>
        </w:numPr>
        <w:kinsoku/>
        <w:wordWrap/>
        <w:overflowPunct/>
        <w:topLinePunct w:val="0"/>
        <w:autoSpaceDE/>
        <w:autoSpaceDN/>
        <w:bidi w:val="0"/>
        <w:spacing w:line="560" w:lineRule="exact"/>
        <w:ind w:left="642" w:right="0" w:firstLine="0"/>
        <w:textAlignment w:val="auto"/>
        <w:outlineLvl w:val="9"/>
        <w:rPr>
          <w:rFonts w:ascii="仿宋" w:eastAsia="仿宋" w:cs="楷体_GB2312" w:hAnsi="仿宋" w:hint="eastAsia"/>
          <w:b/>
          <w:bCs/>
          <w:sz w:val="32"/>
          <w:szCs w:val="32"/>
        </w:rPr>
      </w:pPr>
      <w:r>
        <w:rPr>
          <w:rFonts w:ascii="仿宋" w:eastAsia="仿宋" w:cs="楷体_GB2312" w:hAnsi="仿宋" w:hint="eastAsia"/>
          <w:b/>
          <w:bCs/>
          <w:sz w:val="32"/>
          <w:szCs w:val="32"/>
        </w:rPr>
        <w:t>自评的方法和过程</w:t>
      </w:r>
    </w:p>
    <w:p>
      <w:pPr>
        <w:pStyle w:val="17"/>
        <w:keepNext w:val="0"/>
        <w:keepLines w:val="0"/>
        <w:pageBreakBefore w:val="0"/>
        <w:widowControl w:val="0"/>
        <w:kinsoku/>
        <w:wordWrap/>
        <w:overflowPunct/>
        <w:topLinePunct w:val="0"/>
        <w:autoSpaceDE/>
        <w:autoSpaceDN/>
        <w:bidi w:val="0"/>
        <w:spacing w:line="560" w:lineRule="exact"/>
        <w:textAlignment w:val="auto"/>
        <w:rPr>
          <w:rFonts w:ascii="仿宋_GB2312" w:cs="仿宋_GB2312" w:hAnsi="仿宋" w:hint="eastAsia"/>
          <w:b w:val="0"/>
          <w:bCs w:val="0"/>
          <w:sz w:val="32"/>
          <w:szCs w:val="32"/>
          <w:lang w:eastAsia="zh-CN"/>
        </w:rPr>
      </w:pPr>
      <w:r>
        <w:rPr>
          <w:rFonts w:ascii="仿宋_GB2312" w:cs="仿宋_GB2312" w:hAnsi="仿宋" w:hint="eastAsia"/>
          <w:b w:val="0"/>
          <w:bCs w:val="0"/>
          <w:sz w:val="32"/>
          <w:szCs w:val="32"/>
          <w:lang w:eastAsia="zh-CN"/>
        </w:rPr>
        <w:t>本次绩效评价证据收集方法包括了：研究、分析项目预算股室提供的相关文件；整理汇总项目预算股室提供的项目资料、工作总结和合同；根据预算股室提供的基础数据表逐项进行核实；根据项目服务对象填写的问卷调查结果汇总满意度情况。项目在前期的调研基础上，完成了项目绩效评价工作方案，设计了指标体系、评价标准、问卷调查方案等，明确了评价的目的、方法，评价原则。项目严格按照工作方案，通过调研、相关文件的解读、数据采集、文件调查、数据分析、指标评分和撰写的环节，顺利完成了本次绩效评价工作。</w:t>
      </w:r>
    </w:p>
    <w:p>
      <w:pPr>
        <w:keepNext w:val="0"/>
        <w:keepLines w:val="0"/>
        <w:pageBreakBefore w:val="0"/>
        <w:widowControl w:val="0"/>
        <w:kinsoku/>
        <w:wordWrap/>
        <w:overflowPunct/>
        <w:topLinePunct w:val="0"/>
        <w:autoSpaceDE/>
        <w:autoSpaceDN/>
        <w:bidi w:val="0"/>
        <w:spacing w:line="560" w:lineRule="exact"/>
        <w:ind w:left="0" w:right="0"/>
        <w:textAlignment w:val="auto"/>
        <w:outlineLvl w:val="9"/>
        <w:rPr>
          <w:rFonts w:ascii="黑体" w:eastAsia="黑体" w:hAnsi="黑体" w:hint="eastAsia"/>
          <w:b/>
          <w:bCs/>
          <w:sz w:val="32"/>
          <w:szCs w:val="32"/>
          <w:lang w:eastAsia="zh-CN"/>
        </w:rPr>
      </w:pPr>
      <w:r>
        <w:rPr>
          <w:rFonts w:ascii="仿宋" w:eastAsia="仿宋" w:cs="楷体_GB2312" w:hAnsi="仿宋" w:hint="eastAsia"/>
          <w:b/>
          <w:bCs/>
          <w:sz w:val="32"/>
          <w:szCs w:val="32"/>
        </w:rPr>
        <w:t xml:space="preserve">    </w:t>
      </w:r>
      <w:r>
        <w:rPr>
          <w:rFonts w:ascii="仿宋" w:eastAsia="仿宋" w:hAnsi="仿宋" w:hint="eastAsia"/>
          <w:b/>
          <w:bCs/>
          <w:sz w:val="32"/>
          <w:szCs w:val="32"/>
        </w:rPr>
        <w:t xml:space="preserve"> </w:t>
      </w:r>
      <w:r>
        <w:rPr>
          <w:rFonts w:ascii="黑体" w:eastAsia="黑体" w:hAnsi="黑体" w:hint="eastAsia"/>
          <w:sz w:val="32"/>
          <w:szCs w:val="32"/>
        </w:rPr>
        <w:t>三、</w:t>
      </w:r>
      <w:r>
        <w:rPr>
          <w:rFonts w:ascii="黑体" w:eastAsia="黑体" w:hAnsi="黑体" w:hint="eastAsia"/>
          <w:sz w:val="32"/>
          <w:szCs w:val="32"/>
          <w:lang w:eastAsia="zh-CN"/>
        </w:rPr>
        <w:t>部门整体支出</w:t>
      </w:r>
      <w:r>
        <w:rPr>
          <w:rFonts w:ascii="黑体" w:eastAsia="黑体" w:hAnsi="黑体" w:hint="eastAsia"/>
          <w:sz w:val="32"/>
          <w:szCs w:val="32"/>
        </w:rPr>
        <w:t>绩效</w:t>
      </w:r>
      <w:r>
        <w:rPr>
          <w:rFonts w:ascii="黑体" w:eastAsia="黑体" w:hAnsi="黑体" w:hint="eastAsia"/>
          <w:sz w:val="32"/>
          <w:szCs w:val="32"/>
          <w:lang w:eastAsia="zh-CN"/>
        </w:rPr>
        <w:t>目标实现情况及指标分析</w:t>
      </w:r>
    </w:p>
    <w:p>
      <w:pPr>
        <w:keepNext w:val="0"/>
        <w:keepLines w:val="0"/>
        <w:pageBreakBefore w:val="0"/>
        <w:widowControl w:val="0"/>
        <w:numPr>
          <w:ilvl w:val="0"/>
          <w:numId w:val="3"/>
        </w:numPr>
        <w:kinsoku/>
        <w:wordWrap/>
        <w:overflowPunct/>
        <w:topLinePunct w:val="0"/>
        <w:autoSpaceDE/>
        <w:autoSpaceDN/>
        <w:bidi w:val="0"/>
        <w:spacing w:line="560" w:lineRule="exact"/>
        <w:ind w:left="0" w:right="0" w:firstLineChars="200" w:firstLine="640"/>
        <w:textAlignment w:val="auto"/>
        <w:outlineLvl w:val="9"/>
        <w:rPr>
          <w:rFonts w:ascii="仿宋" w:eastAsia="仿宋" w:cs="楷体_GB2312" w:hAnsi="仿宋"/>
          <w:b/>
          <w:bCs/>
          <w:sz w:val="32"/>
          <w:szCs w:val="32"/>
        </w:rPr>
      </w:pPr>
      <w:r>
        <w:rPr>
          <w:rFonts w:ascii="仿宋" w:eastAsia="仿宋" w:cs="楷体_GB2312" w:hAnsi="仿宋" w:hint="eastAsia"/>
          <w:b/>
          <w:bCs/>
          <w:sz w:val="32"/>
          <w:szCs w:val="32"/>
          <w:lang w:eastAsia="zh-CN"/>
        </w:rPr>
        <w:t>总体绩效目标实现情况</w:t>
      </w:r>
    </w:p>
    <w:p>
      <w:pPr>
        <w:pStyle w:val="17"/>
        <w:keepNext w:val="0"/>
        <w:keepLines w:val="0"/>
        <w:pageBreakBefore w:val="0"/>
        <w:widowControl w:val="0"/>
        <w:kinsoku/>
        <w:wordWrap/>
        <w:overflowPunct/>
        <w:topLinePunct w:val="0"/>
        <w:autoSpaceDE/>
        <w:autoSpaceDN/>
        <w:bidi w:val="0"/>
        <w:spacing w:line="560" w:lineRule="exact"/>
        <w:textAlignment w:val="auto"/>
        <w:rPr>
          <w:rFonts w:hint="eastAsia"/>
          <w:lang w:val="en-US" w:eastAsia="zh-CN"/>
        </w:rPr>
      </w:pPr>
      <w:r>
        <w:rPr>
          <w:rFonts w:hint="eastAsia"/>
          <w:lang w:val="en-US" w:eastAsia="zh-CN"/>
        </w:rPr>
        <w:t xml:space="preserve">绩效目标是贯穿预算绩效管理始终的一条主线，是预算资金安排、事中绩效跟踪和事后绩效评价的重要依据。根据相关文件要求，我办所有年初项目均设定了绩效目标，涉及产出指标和效果指标，但存在绩效指标不够全面、可评性不高、具体指标缺乏量化等问题。主要原因是对绩效目标的认识不够，制定多样化和细化的评价指标和标准需要在实践中不断完善。  </w:t>
      </w:r>
    </w:p>
    <w:p>
      <w:pPr>
        <w:keepNext w:val="0"/>
        <w:keepLines w:val="0"/>
        <w:pageBreakBefore w:val="0"/>
        <w:widowControl w:val="0"/>
        <w:kinsoku/>
        <w:wordWrap/>
        <w:overflowPunct/>
        <w:topLinePunct w:val="0"/>
        <w:autoSpaceDE/>
        <w:autoSpaceDN/>
        <w:bidi w:val="0"/>
        <w:spacing w:line="560" w:lineRule="exact"/>
        <w:ind w:left="0" w:right="0"/>
        <w:textAlignment w:val="auto"/>
        <w:outlineLvl w:val="9"/>
        <w:rPr>
          <w:rFonts w:ascii="仿宋" w:eastAsia="仿宋" w:hAnsi="仿宋" w:hint="eastAsia"/>
          <w:b/>
          <w:bCs/>
          <w:sz w:val="32"/>
          <w:szCs w:val="32"/>
          <w:lang w:eastAsia="zh-CN"/>
        </w:rPr>
      </w:pPr>
      <w:r>
        <w:rPr>
          <w:rFonts w:ascii="仿宋" w:eastAsia="仿宋" w:hAnsi="仿宋" w:hint="eastAsia"/>
          <w:b/>
          <w:bCs/>
          <w:sz w:val="32"/>
          <w:szCs w:val="32"/>
        </w:rPr>
        <w:t xml:space="preserve">   </w:t>
      </w:r>
      <w:r>
        <w:rPr>
          <w:rFonts w:ascii="仿宋" w:eastAsia="仿宋" w:cs="楷体_GB2312" w:hAnsi="仿宋" w:hint="eastAsia"/>
          <w:b/>
          <w:bCs/>
          <w:sz w:val="32"/>
          <w:szCs w:val="32"/>
        </w:rPr>
        <w:t xml:space="preserve"> （二）</w:t>
      </w:r>
      <w:r>
        <w:rPr>
          <w:rFonts w:ascii="仿宋" w:eastAsia="仿宋" w:cs="楷体_GB2312" w:hAnsi="仿宋" w:hint="eastAsia"/>
          <w:b/>
          <w:bCs/>
          <w:sz w:val="32"/>
          <w:szCs w:val="32"/>
          <w:lang w:eastAsia="zh-CN"/>
        </w:rPr>
        <w:t>分项绩效目标实现情况及指标分析</w:t>
      </w:r>
    </w:p>
    <w:p>
      <w:pPr>
        <w:pStyle w:val="17"/>
        <w:keepNext w:val="0"/>
        <w:keepLines w:val="0"/>
        <w:pageBreakBefore w:val="0"/>
        <w:widowControl w:val="0"/>
        <w:numPr>
          <w:ilvl w:val="0"/>
          <w:numId w:val="4"/>
        </w:numPr>
        <w:kinsoku/>
        <w:wordWrap/>
        <w:overflowPunct/>
        <w:topLinePunct w:val="0"/>
        <w:autoSpaceDE/>
        <w:autoSpaceDN/>
        <w:bidi w:val="0"/>
        <w:spacing w:line="560" w:lineRule="exact"/>
        <w:ind w:firstLineChars="0"/>
        <w:textAlignment w:val="auto"/>
        <w:rPr>
          <w:rFonts w:hint="eastAsia"/>
          <w:lang w:val="en-US" w:eastAsia="zh-CN"/>
        </w:rPr>
      </w:pPr>
      <w:r>
        <w:rPr>
          <w:rFonts w:hint="eastAsia"/>
        </w:rPr>
        <w:t>资金支出进度</w:t>
      </w:r>
    </w:p>
    <w:p>
      <w:pPr>
        <w:pStyle w:val="17"/>
        <w:keepNext w:val="0"/>
        <w:keepLines w:val="0"/>
        <w:pageBreakBefore w:val="0"/>
        <w:widowControl w:val="0"/>
        <w:numPr>
          <w:ilvl w:val="0"/>
          <w:numId w:val="4"/>
        </w:numPr>
        <w:kinsoku/>
        <w:wordWrap/>
        <w:overflowPunct/>
        <w:topLinePunct w:val="0"/>
        <w:autoSpaceDE/>
        <w:autoSpaceDN/>
        <w:bidi w:val="0"/>
        <w:spacing w:line="560" w:lineRule="exact"/>
        <w:ind w:firstLineChars="0"/>
        <w:textAlignment w:val="auto"/>
        <w:rPr>
          <w:rFonts w:hint="eastAsia"/>
          <w:lang w:val="en-US" w:eastAsia="zh-CN"/>
        </w:rPr>
      </w:pPr>
      <w:r>
        <w:rPr>
          <w:rFonts w:hint="eastAsia"/>
          <w:lang w:val="en-US" w:eastAsia="zh-CN"/>
        </w:rPr>
        <w:t>地方志编纂经费</w:t>
      </w:r>
    </w:p>
    <w:p>
      <w:pPr>
        <w:pStyle w:val="17"/>
        <w:keepNext w:val="0"/>
        <w:keepLines w:val="0"/>
        <w:pageBreakBefore w:val="0"/>
        <w:widowControl w:val="0"/>
        <w:numPr>
          <w:ilvl w:val="0"/>
          <w:numId w:val="4"/>
        </w:numPr>
        <w:kinsoku/>
        <w:wordWrap/>
        <w:overflowPunct/>
        <w:topLinePunct w:val="0"/>
        <w:autoSpaceDE/>
        <w:autoSpaceDN/>
        <w:bidi w:val="0"/>
        <w:spacing w:line="560" w:lineRule="exact"/>
        <w:ind w:firstLineChars="0"/>
        <w:textAlignment w:val="auto"/>
      </w:pPr>
      <w:r>
        <w:rPr>
          <w:rFonts w:hint="eastAsia"/>
        </w:rPr>
        <w:t>该项目预算数是</w:t>
      </w:r>
      <w:r>
        <w:rPr>
          <w:rFonts w:hint="eastAsia"/>
          <w:lang w:val="en-US" w:eastAsia="zh-CN"/>
        </w:rPr>
        <w:t>11.26万元，</w:t>
      </w:r>
      <w:r>
        <w:rPr>
          <w:rFonts w:hint="eastAsia"/>
        </w:rPr>
        <w:t>支出</w:t>
      </w:r>
      <w:r>
        <w:rPr>
          <w:rFonts w:hint="eastAsia"/>
          <w:lang w:val="en-US" w:eastAsia="zh-CN"/>
        </w:rPr>
        <w:t>5</w:t>
      </w:r>
      <w:r>
        <w:rPr>
          <w:rFonts w:hint="eastAsia"/>
        </w:rPr>
        <w:t>万元</w:t>
      </w:r>
      <w:r>
        <w:rPr>
          <w:rFonts w:hint="eastAsia"/>
          <w:lang w:eastAsia="zh-CN"/>
        </w:rPr>
        <w:t>。</w:t>
      </w:r>
      <w:r>
        <w:rPr>
          <w:rFonts w:hint="eastAsia"/>
        </w:rPr>
        <w:t>总体支出进度为</w:t>
      </w:r>
      <w:r>
        <w:rPr>
          <w:rFonts w:hint="eastAsia"/>
          <w:lang w:val="en-US" w:eastAsia="zh-CN"/>
        </w:rPr>
        <w:t xml:space="preserve"> 100 </w:t>
      </w:r>
      <w:r>
        <w:rPr>
          <w:rFonts w:hint="eastAsia"/>
        </w:rPr>
        <w:t>%。</w:t>
      </w:r>
    </w:p>
    <w:p>
      <w:pPr>
        <w:pStyle w:val="17"/>
        <w:keepNext w:val="0"/>
        <w:keepLines w:val="0"/>
        <w:pageBreakBefore w:val="0"/>
        <w:widowControl w:val="0"/>
        <w:kinsoku/>
        <w:wordWrap/>
        <w:overflowPunct/>
        <w:topLinePunct w:val="0"/>
        <w:autoSpaceDE/>
        <w:autoSpaceDN/>
        <w:bidi w:val="0"/>
        <w:spacing w:line="560" w:lineRule="exact"/>
        <w:textAlignment w:val="auto"/>
      </w:pPr>
      <w:r>
        <w:rPr>
          <w:rFonts w:hint="eastAsia"/>
        </w:rPr>
        <w:t>2.产出指标和效果指标完成情况</w:t>
      </w:r>
    </w:p>
    <w:p>
      <w:pPr>
        <w:pStyle w:val="17"/>
        <w:keepNext w:val="0"/>
        <w:keepLines w:val="0"/>
        <w:pageBreakBefore w:val="0"/>
        <w:widowControl w:val="0"/>
        <w:kinsoku/>
        <w:wordWrap/>
        <w:overflowPunct/>
        <w:topLinePunct w:val="0"/>
        <w:autoSpaceDE/>
        <w:autoSpaceDN/>
        <w:bidi w:val="0"/>
        <w:spacing w:line="560" w:lineRule="exact"/>
        <w:textAlignment w:val="auto"/>
        <w:rPr>
          <w:rFonts w:hint="eastAsia"/>
        </w:rPr>
      </w:pPr>
      <w:r>
        <w:rPr>
          <w:rFonts w:hint="eastAsia"/>
          <w:lang w:val="en-US" w:eastAsia="zh-CN"/>
        </w:rPr>
        <w:t>1.</w:t>
      </w:r>
      <w:r>
        <w:rPr>
          <w:rFonts w:hint="eastAsia"/>
        </w:rPr>
        <w:t>攻坚</w:t>
      </w:r>
      <w:bookmarkStart w:id="1" w:name="突出显示"/>
      <w:r>
        <w:rPr>
          <w:rFonts w:hint="eastAsia"/>
        </w:rPr>
        <w:t>库房</w:t>
      </w:r>
      <w:bookmarkEnd w:id="1"/>
      <w:r>
        <w:rPr>
          <w:rFonts w:hint="eastAsia"/>
        </w:rPr>
        <w:t>建设难题，筑牢档案存储根基</w:t>
      </w:r>
      <w:r>
        <w:rPr>
          <w:rFonts w:hint="eastAsia"/>
          <w:lang w:eastAsia="zh-CN"/>
        </w:rPr>
        <w:t>。</w:t>
      </w:r>
      <w:r>
        <w:rPr>
          <w:rFonts w:hint="eastAsia"/>
          <w:lang w:val="en-US" w:eastAsia="zh-CN"/>
        </w:rPr>
        <w:t>我馆现有档案库房1间，使用面积98.7平方米。馆藏档案时间跨度以1950年至2000年为主，核心分为文书档案、民生档案两大类，共计11141卷、145317件。针对长期存在的胀库等突出问题，将库房建设列为年度重点攻坚任务。主动对接财政、</w:t>
      </w:r>
      <w:r>
        <w:rPr>
          <w:lang w:val="en-US" w:eastAsia="zh-CN"/>
        </w:rPr>
        <w:t>数政</w:t>
      </w:r>
      <w:r>
        <w:rPr>
          <w:rFonts w:hint="eastAsia"/>
          <w:lang w:val="en-US" w:eastAsia="zh-CN"/>
        </w:rPr>
        <w:t>、</w:t>
      </w:r>
      <w:r>
        <w:rPr>
          <w:lang w:val="en-US" w:eastAsia="zh-CN"/>
        </w:rPr>
        <w:t>后勤</w:t>
      </w:r>
      <w:r>
        <w:rPr>
          <w:rFonts w:hint="eastAsia"/>
          <w:lang w:val="en-US" w:eastAsia="zh-CN"/>
        </w:rPr>
        <w:t>等相关部门，通过多轮会商研判，精准锚定解决路径，从根源上破解档案胀库难题。截至目前，已初步确定解决方案，各项推进工作稳步开展。</w:t>
      </w:r>
    </w:p>
    <w:p>
      <w:pPr>
        <w:pStyle w:val="17"/>
        <w:keepNext w:val="0"/>
        <w:keepLines w:val="0"/>
        <w:pageBreakBefore w:val="0"/>
        <w:widowControl w:val="0"/>
        <w:kinsoku/>
        <w:wordWrap/>
        <w:overflowPunct/>
        <w:topLinePunct w:val="0"/>
        <w:autoSpaceDE/>
        <w:autoSpaceDN/>
        <w:bidi w:val="0"/>
        <w:spacing w:line="560" w:lineRule="exact"/>
        <w:textAlignment w:val="auto"/>
        <w:rPr>
          <w:rFonts w:ascii="仿宋_GB2312" w:eastAsia="仿宋_GB2312" w:cs="仿宋_GB2312" w:hAnsi="仿宋" w:hint="eastAsia"/>
          <w:szCs w:val="32"/>
        </w:rPr>
      </w:pPr>
      <w:r>
        <w:rPr>
          <w:rFonts w:hint="eastAsia"/>
          <w:lang w:val="en-US" w:eastAsia="zh-CN"/>
        </w:rPr>
        <w:t>2.</w:t>
      </w:r>
      <w:r>
        <w:rPr>
          <w:rFonts w:hint="eastAsia"/>
        </w:rPr>
        <w:t>优化查档服务体系，提升群众满意程度</w:t>
      </w:r>
      <w:r>
        <w:rPr>
          <w:rFonts w:hint="eastAsia"/>
          <w:lang w:eastAsia="zh-CN"/>
        </w:rPr>
        <w:t>。</w:t>
      </w:r>
      <w:r>
        <w:rPr>
          <w:rFonts w:hint="eastAsia"/>
          <w:lang w:val="en-US" w:eastAsia="zh-CN"/>
        </w:rPr>
        <w:t>秉持“让数据多跑路、群众少跑腿”的服务理念，构建“线上+线下”立体化查档服务体系，全方位提升服务质效。一是线下聚焦便民升级，推行“一对一”专职导办服务，明确服务标准与流程，实现群众查档“一看就懂、一问就清”。2025年以来，累计接待群众查档281人次，</w:t>
      </w:r>
      <w:r>
        <w:rPr>
          <w:lang w:val="en-US" w:eastAsia="zh-CN"/>
        </w:rPr>
        <w:t>电话咨询320余人次，</w:t>
      </w:r>
      <w:r>
        <w:rPr>
          <w:rFonts w:hint="eastAsia"/>
          <w:lang w:val="en-US" w:eastAsia="zh-CN"/>
        </w:rPr>
        <w:t>调阅档案4957卷/件，出具婚姻登记、二胎生育审批等</w:t>
      </w:r>
      <w:r>
        <w:rPr>
          <w:lang w:val="en-US" w:eastAsia="zh-CN"/>
        </w:rPr>
        <w:t>各种</w:t>
      </w:r>
      <w:r>
        <w:rPr>
          <w:rFonts w:hint="eastAsia"/>
          <w:lang w:val="en-US" w:eastAsia="zh-CN"/>
        </w:rPr>
        <w:t>民生类档案证明500余份，查档准确率达100%。二是精准对接机关单位需求，重点为编史修志、政策调研等工作提供历年会议纪要、统计报表等核心文书档案服务，年均服务机关单位10家次。三是延伸服务触角，历时两个月为</w:t>
      </w:r>
      <w:r>
        <w:rPr>
          <w:lang w:val="en-US" w:eastAsia="zh-CN"/>
        </w:rPr>
        <w:t>我区和</w:t>
      </w:r>
      <w:r>
        <w:rPr>
          <w:rFonts w:hint="eastAsia"/>
          <w:lang w:val="en-US" w:eastAsia="zh-CN"/>
        </w:rPr>
        <w:t>井陉县</w:t>
      </w:r>
      <w:r>
        <w:rPr>
          <w:lang w:val="en-US" w:eastAsia="zh-CN"/>
        </w:rPr>
        <w:t>在</w:t>
      </w:r>
      <w:r>
        <w:rPr>
          <w:rFonts w:hint="eastAsia"/>
          <w:lang w:val="en-US" w:eastAsia="zh-CN"/>
        </w:rPr>
        <w:t>内</w:t>
      </w:r>
      <w:r>
        <w:rPr>
          <w:lang w:val="en-US" w:eastAsia="zh-CN"/>
        </w:rPr>
        <w:t>的中王舍、横南、李家嘴、张家刊等</w:t>
      </w:r>
      <w:r>
        <w:rPr>
          <w:rFonts w:hint="eastAsia"/>
          <w:lang w:val="en-US" w:eastAsia="zh-CN"/>
        </w:rPr>
        <w:t>10</w:t>
      </w:r>
      <w:r>
        <w:rPr>
          <w:lang w:val="en-US" w:eastAsia="zh-CN"/>
        </w:rPr>
        <w:t>多</w:t>
      </w:r>
      <w:r>
        <w:rPr>
          <w:rFonts w:hint="eastAsia"/>
          <w:lang w:val="en-US" w:eastAsia="zh-CN"/>
        </w:rPr>
        <w:t>个社区提供村志编纂专项档案支撑，助力地方文脉传承。四是线上依托全国档案查询利用服务平台，畅通“异地查档、跨馆出证”渠道，平均查档时限压缩至1.5个工作日，以高效便捷的服务赢</w:t>
      </w:r>
      <w:r>
        <w:rPr>
          <w:rFonts w:ascii="仿宋_GB2312" w:eastAsia="仿宋_GB2312" w:cs="仿宋_GB2312" w:hAnsi="仿宋" w:hint="eastAsia"/>
          <w:szCs w:val="32"/>
          <w:lang w:val="en-US" w:eastAsia="zh-CN"/>
        </w:rPr>
        <w:t>得群众广泛认可。</w:t>
      </w:r>
    </w:p>
    <w:p>
      <w:pPr>
        <w:pStyle w:val="17"/>
        <w:keepNext w:val="0"/>
        <w:keepLines w:val="0"/>
        <w:pageBreakBefore w:val="0"/>
        <w:widowControl w:val="0"/>
        <w:kinsoku/>
        <w:wordWrap/>
        <w:overflowPunct/>
        <w:topLinePunct w:val="0"/>
        <w:autoSpaceDE/>
        <w:autoSpaceDN/>
        <w:bidi w:val="0"/>
        <w:spacing w:line="560" w:lineRule="exact"/>
        <w:textAlignment w:val="auto"/>
        <w:rPr>
          <w:lang w:val="en-US" w:eastAsia="zh-CN"/>
        </w:rPr>
      </w:pPr>
      <w:r>
        <w:rPr>
          <w:rFonts w:hint="eastAsia"/>
          <w:lang w:val="en-US" w:eastAsia="zh-CN"/>
        </w:rPr>
        <w:t>3.</w:t>
      </w:r>
      <w:r>
        <w:rPr>
          <w:rFonts w:hint="eastAsia"/>
        </w:rPr>
        <w:t>推进数字化建设，强化资源共享能力</w:t>
      </w:r>
      <w:r>
        <w:rPr>
          <w:rFonts w:hint="eastAsia"/>
          <w:lang w:eastAsia="zh-CN"/>
        </w:rPr>
        <w:t>。</w:t>
      </w:r>
      <w:r>
        <w:rPr>
          <w:lang w:val="en-US" w:eastAsia="zh-CN"/>
        </w:rPr>
        <w:t>以数字化建设为牵引，深化档案资源整合共享，全面提升服务群众的精准度与便捷性。</w:t>
      </w:r>
      <w:r>
        <w:rPr>
          <w:rFonts w:hint="eastAsia"/>
          <w:lang w:val="en-US" w:eastAsia="zh-CN"/>
        </w:rPr>
        <w:t>一是深化跨馆合作，与乡镇、街道</w:t>
      </w:r>
      <w:r>
        <w:rPr>
          <w:lang w:val="en-US" w:eastAsia="zh-CN"/>
        </w:rPr>
        <w:t>和</w:t>
      </w:r>
      <w:r>
        <w:rPr>
          <w:rFonts w:hint="eastAsia"/>
          <w:lang w:val="en-US" w:eastAsia="zh-CN"/>
        </w:rPr>
        <w:t>41个社区签订跨馆利用协议，明确服务流程与责任边界，将跨馆利用服务延伸至群众“家门口”。二是落实上级部署，严格按照《石家庄市、县（市、区）两级综合档案馆馆际资源共享协同实施方案》要求，全力构建全市档案馆信息资源联合共建共享机制，完成34000余件婚姻档案目录</w:t>
      </w:r>
      <w:r>
        <w:rPr>
          <w:lang w:val="en-US" w:eastAsia="zh-CN"/>
        </w:rPr>
        <w:t>的</w:t>
      </w:r>
      <w:r>
        <w:rPr>
          <w:rFonts w:hint="eastAsia"/>
          <w:lang w:val="en-US" w:eastAsia="zh-CN"/>
        </w:rPr>
        <w:t>录入。三是</w:t>
      </w:r>
      <w:r>
        <w:rPr>
          <w:lang w:val="en-US" w:eastAsia="zh-CN"/>
        </w:rPr>
        <w:t>稳步推进数字化建设，在完成8837件馆藏档案数字化录入的基础上，推行全员任务分组工作机制，为后续数字化工作筑牢基础，最终实现与全市档案数字化平均水平持平的目标。</w:t>
      </w:r>
    </w:p>
    <w:p>
      <w:pPr>
        <w:pStyle w:val="17"/>
        <w:keepNext w:val="0"/>
        <w:keepLines w:val="0"/>
        <w:pageBreakBefore w:val="0"/>
        <w:widowControl w:val="0"/>
        <w:kinsoku/>
        <w:wordWrap/>
        <w:overflowPunct/>
        <w:topLinePunct w:val="0"/>
        <w:autoSpaceDE/>
        <w:autoSpaceDN/>
        <w:bidi w:val="0"/>
        <w:spacing w:line="560" w:lineRule="exact"/>
        <w:textAlignment w:val="auto"/>
        <w:rPr>
          <w:rFonts w:hint="eastAsia"/>
        </w:rPr>
      </w:pPr>
      <w:r>
        <w:rPr>
          <w:rFonts w:hint="eastAsia"/>
          <w:lang w:val="en-US" w:eastAsia="zh-CN"/>
        </w:rPr>
        <w:t>4.</w:t>
      </w:r>
      <w:r>
        <w:rPr>
          <w:rFonts w:hint="eastAsia"/>
        </w:rPr>
        <w:t>打造特色年鉴精品，彰显地域文化内涵</w:t>
      </w:r>
      <w:r>
        <w:rPr>
          <w:rFonts w:hint="eastAsia"/>
          <w:lang w:eastAsia="zh-CN"/>
        </w:rPr>
        <w:t>。</w:t>
      </w:r>
      <w:r>
        <w:rPr>
          <w:rFonts w:hint="eastAsia"/>
          <w:lang w:val="en-US" w:eastAsia="zh-CN"/>
        </w:rPr>
        <w:t>紧扣全区发展大局，高质量完成2025年度年鉴编纂工作。在此基础上，推动年鉴编纂与文旅品牌建设深度融合，系统记述清凉山、段家楼、“正丰左岸”等重点文旅项目的建设进展与成效，使年鉴成为展示矿区形象、推介文旅资源的重要载体，有效提升年鉴的独特性、存史价值与传播影响力。</w:t>
      </w:r>
    </w:p>
    <w:p>
      <w:pPr>
        <w:pStyle w:val="17"/>
        <w:keepNext w:val="0"/>
        <w:keepLines w:val="0"/>
        <w:pageBreakBefore w:val="0"/>
        <w:widowControl w:val="0"/>
        <w:kinsoku/>
        <w:wordWrap/>
        <w:overflowPunct/>
        <w:topLinePunct w:val="0"/>
        <w:autoSpaceDE/>
        <w:autoSpaceDN/>
        <w:bidi w:val="0"/>
        <w:spacing w:line="560" w:lineRule="exact"/>
        <w:textAlignment w:val="auto"/>
        <w:rPr>
          <w:rFonts w:hint="eastAsia"/>
          <w:lang w:val="en-US" w:eastAsia="zh-CN"/>
        </w:rPr>
      </w:pPr>
      <w:r>
        <w:rPr>
          <w:rFonts w:hint="eastAsia"/>
          <w:lang w:val="en-US" w:eastAsia="zh-CN"/>
        </w:rPr>
        <w:t>参与本次评价的项目共计1个，1个评价等级均为“优”。</w:t>
      </w:r>
    </w:p>
    <w:p>
      <w:pPr>
        <w:keepNext w:val="0"/>
        <w:keepLines w:val="0"/>
        <w:pageBreakBefore w:val="0"/>
        <w:widowControl w:val="0"/>
        <w:kinsoku/>
        <w:wordWrap/>
        <w:overflowPunct/>
        <w:topLinePunct w:val="0"/>
        <w:autoSpaceDE/>
        <w:autoSpaceDN/>
        <w:bidi w:val="0"/>
        <w:spacing w:line="560" w:lineRule="exact"/>
        <w:ind w:left="0" w:right="0" w:firstLineChars="200" w:firstLine="640"/>
        <w:textAlignment w:val="auto"/>
        <w:outlineLvl w:val="9"/>
        <w:rPr>
          <w:rFonts w:ascii="黑体" w:eastAsia="黑体" w:hAnsi="黑体"/>
          <w:sz w:val="32"/>
          <w:szCs w:val="32"/>
        </w:rPr>
      </w:pPr>
      <w:r>
        <w:rPr>
          <w:rFonts w:ascii="黑体" w:eastAsia="黑体" w:hAnsi="黑体" w:hint="eastAsia"/>
          <w:sz w:val="32"/>
          <w:szCs w:val="32"/>
        </w:rPr>
        <w:t>四、评价结论和评价等级</w:t>
      </w:r>
    </w:p>
    <w:p>
      <w:pPr>
        <w:pStyle w:val="17"/>
        <w:keepNext w:val="0"/>
        <w:keepLines w:val="0"/>
        <w:pageBreakBefore w:val="0"/>
        <w:widowControl w:val="0"/>
        <w:kinsoku/>
        <w:wordWrap/>
        <w:overflowPunct/>
        <w:topLinePunct w:val="0"/>
        <w:autoSpaceDE/>
        <w:autoSpaceDN/>
        <w:bidi w:val="0"/>
        <w:spacing w:line="560" w:lineRule="exact"/>
        <w:textAlignment w:val="auto"/>
      </w:pPr>
      <w:r>
        <w:rPr>
          <w:rFonts w:hint="eastAsia"/>
        </w:rPr>
        <w:t>根据</w:t>
      </w:r>
      <w:r>
        <w:rPr>
          <w:rFonts w:hint="eastAsia"/>
          <w:lang w:eastAsia="zh-CN"/>
        </w:rPr>
        <w:t>部门职责定位和各项工作履职情况进行综合评价</w:t>
      </w:r>
      <w:r>
        <w:rPr>
          <w:rFonts w:hint="eastAsia"/>
        </w:rPr>
        <w:t>，给出总得分，满分100分，得出综合绩效评价等级。</w:t>
      </w:r>
      <w:r>
        <w:rPr>
          <w:rFonts w:hint="eastAsia"/>
          <w:lang w:eastAsia="zh-CN"/>
        </w:rPr>
        <w:t>部门整体支出</w:t>
      </w:r>
      <w:r>
        <w:rPr>
          <w:rFonts w:hint="eastAsia"/>
        </w:rPr>
        <w:t>综合绩效评价分为4个等级：得分</w:t>
      </w:r>
      <w:r>
        <w:t>≥</w:t>
      </w:r>
      <w:r>
        <w:rPr>
          <w:rFonts w:hint="eastAsia"/>
        </w:rPr>
        <w:t>85分为优秀；75</w:t>
      </w:r>
      <w:r>
        <w:t>≤</w:t>
      </w:r>
      <w:r>
        <w:rPr>
          <w:rFonts w:hint="eastAsia"/>
        </w:rPr>
        <w:t>得分＜85分为良好；60</w:t>
      </w:r>
      <w:r>
        <w:t>≤</w:t>
      </w:r>
      <w:r>
        <w:rPr>
          <w:rFonts w:hint="eastAsia"/>
        </w:rPr>
        <w:t>得分＜75分为一般；得分＜60分为较差。</w:t>
      </w:r>
    </w:p>
    <w:p>
      <w:pPr>
        <w:keepNext w:val="0"/>
        <w:keepLines w:val="0"/>
        <w:pageBreakBefore w:val="0"/>
        <w:widowControl w:val="0"/>
        <w:kinsoku/>
        <w:wordWrap/>
        <w:overflowPunct/>
        <w:topLinePunct w:val="0"/>
        <w:autoSpaceDE/>
        <w:autoSpaceDN/>
        <w:bidi w:val="0"/>
        <w:spacing w:line="560" w:lineRule="exact"/>
        <w:ind w:left="0" w:right="0" w:firstLineChars="200" w:firstLine="640"/>
        <w:textAlignment w:val="auto"/>
        <w:outlineLvl w:val="9"/>
        <w:rPr>
          <w:rFonts w:ascii="黑体" w:eastAsia="黑体" w:hAnsi="黑体"/>
          <w:sz w:val="32"/>
          <w:szCs w:val="32"/>
        </w:rPr>
      </w:pPr>
      <w:r>
        <w:rPr>
          <w:rFonts w:ascii="黑体" w:eastAsia="黑体" w:hAnsi="黑体" w:hint="eastAsia"/>
          <w:sz w:val="32"/>
          <w:szCs w:val="32"/>
        </w:rPr>
        <w:t>五、存在的问题及改进措施</w:t>
      </w:r>
    </w:p>
    <w:p>
      <w:pPr>
        <w:pStyle w:val="17"/>
        <w:keepNext w:val="0"/>
        <w:keepLines w:val="0"/>
        <w:pageBreakBefore w:val="0"/>
        <w:widowControl w:val="0"/>
        <w:kinsoku/>
        <w:wordWrap/>
        <w:overflowPunct/>
        <w:topLinePunct w:val="0"/>
        <w:autoSpaceDE/>
        <w:autoSpaceDN/>
        <w:bidi w:val="0"/>
        <w:spacing w:line="560" w:lineRule="exact"/>
        <w:textAlignment w:val="auto"/>
        <w:rPr>
          <w:rFonts w:ascii="仿宋" w:eastAsia="仿宋" w:cs="仿宋" w:hAnsi="仿宋" w:hint="eastAsia"/>
          <w:b/>
          <w:bCs/>
          <w:sz w:val="32"/>
          <w:szCs w:val="32"/>
        </w:rPr>
      </w:pPr>
      <w:r>
        <w:rPr>
          <w:rFonts w:ascii="仿宋" w:eastAsia="仿宋" w:cs="仿宋" w:hAnsi="仿宋" w:hint="eastAsia"/>
          <w:b/>
          <w:bCs/>
          <w:sz w:val="32"/>
          <w:szCs w:val="32"/>
        </w:rPr>
        <w:t>（一）存在的主要问题</w:t>
      </w:r>
    </w:p>
    <w:p>
      <w:pPr>
        <w:pStyle w:val="17"/>
        <w:keepNext w:val="0"/>
        <w:keepLines w:val="0"/>
        <w:pageBreakBefore w:val="0"/>
        <w:widowControl w:val="0"/>
        <w:kinsoku/>
        <w:wordWrap/>
        <w:overflowPunct/>
        <w:topLinePunct w:val="0"/>
        <w:autoSpaceDE/>
        <w:autoSpaceDN/>
        <w:bidi w:val="0"/>
        <w:spacing w:line="560" w:lineRule="exact"/>
        <w:textAlignment w:val="auto"/>
      </w:pPr>
      <w:r>
        <w:rPr>
          <w:rFonts w:hint="eastAsia"/>
        </w:rPr>
        <w:t>根据</w:t>
      </w:r>
      <w:r>
        <w:rPr>
          <w:rFonts w:hint="eastAsia"/>
          <w:lang w:eastAsia="zh-CN"/>
        </w:rPr>
        <w:t>部门职责定位和各项工作履职情况进行综合评价</w:t>
      </w:r>
      <w:r>
        <w:rPr>
          <w:rFonts w:hint="eastAsia"/>
        </w:rPr>
        <w:t>，给出总得分，满分100分，得出综合绩效评价等级。</w:t>
      </w:r>
      <w:r>
        <w:rPr>
          <w:rFonts w:hint="eastAsia"/>
          <w:lang w:eastAsia="zh-CN"/>
        </w:rPr>
        <w:t>部门整体支出</w:t>
      </w:r>
      <w:r>
        <w:rPr>
          <w:rFonts w:hint="eastAsia"/>
        </w:rPr>
        <w:t>综合绩效评价分</w:t>
      </w:r>
      <w:r>
        <w:rPr>
          <w:rFonts w:hint="eastAsia"/>
          <w:lang w:val="en-US" w:eastAsia="zh-CN"/>
        </w:rPr>
        <w:t>99</w:t>
      </w:r>
      <w:r>
        <w:rPr>
          <w:rFonts w:hint="eastAsia"/>
        </w:rPr>
        <w:t>分为优秀。</w:t>
      </w:r>
    </w:p>
    <w:p>
      <w:pPr>
        <w:keepNext w:val="0"/>
        <w:keepLines w:val="0"/>
        <w:pageBreakBefore w:val="0"/>
        <w:widowControl w:val="0"/>
        <w:numPr>
          <w:ilvl w:val="0"/>
          <w:numId w:val="3"/>
        </w:numPr>
        <w:kinsoku/>
        <w:wordWrap/>
        <w:overflowPunct/>
        <w:topLinePunct w:val="0"/>
        <w:autoSpaceDE/>
        <w:autoSpaceDN/>
        <w:bidi w:val="0"/>
        <w:spacing w:line="560" w:lineRule="exact"/>
        <w:ind w:left="0" w:right="0" w:firstLineChars="200" w:firstLine="640"/>
        <w:textAlignment w:val="auto"/>
        <w:outlineLvl w:val="9"/>
        <w:rPr>
          <w:rFonts w:ascii="仿宋" w:eastAsia="仿宋" w:hAnsi="仿宋" w:hint="eastAsia"/>
          <w:b/>
          <w:bCs/>
          <w:sz w:val="32"/>
          <w:szCs w:val="32"/>
        </w:rPr>
      </w:pPr>
      <w:r>
        <w:rPr>
          <w:rFonts w:ascii="仿宋" w:eastAsia="仿宋" w:hAnsi="仿宋" w:hint="eastAsia"/>
          <w:b/>
          <w:bCs/>
          <w:sz w:val="32"/>
          <w:szCs w:val="32"/>
        </w:rPr>
        <w:t>针对问题提出具体的改进措施或建议</w:t>
      </w:r>
    </w:p>
    <w:p>
      <w:pPr>
        <w:pStyle w:val="17"/>
        <w:keepNext w:val="0"/>
        <w:keepLines w:val="0"/>
        <w:pageBreakBefore w:val="0"/>
        <w:widowControl w:val="0"/>
        <w:kinsoku/>
        <w:wordWrap/>
        <w:overflowPunct/>
        <w:topLinePunct w:val="0"/>
        <w:autoSpaceDE/>
        <w:autoSpaceDN/>
        <w:bidi w:val="0"/>
        <w:spacing w:line="560" w:lineRule="exact"/>
        <w:textAlignment w:val="auto"/>
      </w:pPr>
      <w:r>
        <w:rPr>
          <w:rFonts w:hint="eastAsia"/>
        </w:rPr>
        <w:t>针对绩效指标设定中存在的问题，从实际出发，在202</w:t>
      </w:r>
      <w:r>
        <w:rPr>
          <w:rFonts w:hint="eastAsia"/>
          <w:lang w:val="en-US" w:eastAsia="zh-CN"/>
        </w:rPr>
        <w:t>5</w:t>
      </w:r>
      <w:r>
        <w:rPr>
          <w:rFonts w:hint="eastAsia"/>
        </w:rPr>
        <w:t>年项目绩效目标填报中增强指标的可评价性和可量化性，合理如实的反映资金使用的绩效成果，审核</w:t>
      </w:r>
      <w:r>
        <w:t>实现绩效目标所需资金的合理性以及填报的规范性、完整性</w:t>
      </w:r>
      <w:r>
        <w:rPr>
          <w:rFonts w:hint="eastAsia"/>
        </w:rPr>
        <w:t>，提高财政支出产生的社会效益和经济效益，重点考虑项目的外界因素对年度任务的影响。</w:t>
      </w:r>
    </w:p>
    <w:p>
      <w:pPr>
        <w:pStyle w:val="17"/>
        <w:keepNext w:val="0"/>
        <w:keepLines w:val="0"/>
        <w:pageBreakBefore w:val="0"/>
        <w:widowControl w:val="0"/>
        <w:kinsoku/>
        <w:wordWrap/>
        <w:overflowPunct/>
        <w:topLinePunct w:val="0"/>
        <w:autoSpaceDE/>
        <w:autoSpaceDN/>
        <w:bidi w:val="0"/>
        <w:spacing w:line="560" w:lineRule="exact"/>
        <w:textAlignment w:val="auto"/>
      </w:pPr>
      <w:r>
        <w:rPr>
          <w:rFonts w:hint="eastAsia"/>
        </w:rPr>
        <w:t>在以后的工作中，</w:t>
      </w:r>
      <w:r>
        <w:t>要根据年度工作计划制定具体、可衡量、可实现的绩效目标，明确支出的必要性、可行性和有效性，并围绕绩效目标编制清晰、量化、便于考核的绩效指标。</w:t>
      </w:r>
      <w:r>
        <w:rPr>
          <w:rFonts w:hint="eastAsia"/>
        </w:rPr>
        <w:t>要重视绩效评价工作，切实发挥绩效评价结果应用的作用，通过绩效评价应用实践，积累连续的数据库，优化对比分析，总结实践中的经验和教训，强化财政资金管理水平、提高财政资金使用效益，在更高层次上实现财政资源配置的公平性和合理性。</w:t>
      </w:r>
    </w:p>
    <w:p>
      <w:pPr>
        <w:widowControl w:val="0"/>
        <w:wordWrap/>
        <w:adjustRightInd w:val="0"/>
        <w:snapToGrid w:val="0"/>
        <w:spacing w:line="560" w:lineRule="exact"/>
        <w:ind w:left="0" w:right="0" w:firstLineChars="200" w:firstLine="640"/>
        <w:textAlignment w:val="auto"/>
        <w:outlineLvl w:val="9"/>
        <w:rPr>
          <w:rFonts w:ascii="黑体" w:eastAsia="黑体" w:cs="黑体" w:hAnsi="黑体" w:hint="eastAsia"/>
          <w:sz w:val="32"/>
          <w:szCs w:val="32"/>
        </w:rPr>
      </w:pPr>
      <w:r>
        <w:rPr>
          <w:rFonts w:ascii="黑体" w:eastAsia="黑体" w:cs="黑体" w:hAnsi="黑体" w:hint="eastAsia"/>
          <w:sz w:val="32"/>
          <w:szCs w:val="32"/>
        </w:rPr>
        <w:t>六、评价工作组人员名单及签字（姓名、工作单位、职务、职称）</w:t>
      </w:r>
    </w:p>
    <w:p>
      <w:pPr>
        <w:keepNext w:val="0"/>
        <w:keepLines w:val="0"/>
        <w:pageBreakBefore w:val="0"/>
        <w:widowControl w:val="0"/>
        <w:kinsoku/>
        <w:wordWrap/>
        <w:overflowPunct/>
        <w:topLinePunct w:val="0"/>
        <w:autoSpaceDE/>
        <w:autoSpaceDN/>
        <w:bidi w:val="0"/>
        <w:adjustRightInd w:val="0"/>
        <w:snapToGrid w:val="0"/>
        <w:spacing w:line="600" w:lineRule="exact"/>
        <w:ind w:left="0" w:right="0" w:firstLineChars="200" w:firstLine="640"/>
        <w:textAlignment w:val="auto"/>
        <w:outlineLvl w:val="9"/>
        <w:rPr>
          <w:rFonts w:ascii="黑体" w:eastAsia="黑体" w:cs="黑体" w:hAnsi="黑体" w:hint="eastAsia"/>
          <w:sz w:val="32"/>
          <w:szCs w:val="32"/>
        </w:rPr>
      </w:pPr>
    </w:p>
    <w:p>
      <w:pPr>
        <w:keepNext w:val="0"/>
        <w:keepLines w:val="0"/>
        <w:pageBreakBefore w:val="0"/>
        <w:widowControl w:val="0"/>
        <w:kinsoku/>
        <w:wordWrap/>
        <w:overflowPunct/>
        <w:topLinePunct w:val="0"/>
        <w:autoSpaceDE/>
        <w:autoSpaceDN/>
        <w:bidi w:val="0"/>
        <w:spacing w:line="600" w:lineRule="exact"/>
        <w:ind w:left="0" w:right="0"/>
        <w:jc w:val="center"/>
        <w:textAlignment w:val="auto"/>
        <w:outlineLvl w:val="9"/>
        <w:rPr>
          <w:rFonts w:ascii="宋体" w:eastAsia="宋体" w:cs="宋体" w:hAnsi="宋体" w:hint="eastAsia"/>
          <w:sz w:val="44"/>
          <w:szCs w:val="44"/>
          <w:lang w:eastAsia="zh-CN"/>
        </w:rPr>
      </w:pPr>
      <w:r>
        <w:rPr>
          <w:rFonts w:ascii="宋体" w:eastAsia="宋体" w:cs="宋体" w:hAnsi="宋体" w:hint="eastAsia"/>
          <w:sz w:val="44"/>
          <w:szCs w:val="44"/>
          <w:lang w:eastAsia="zh-CN"/>
        </w:rPr>
        <w:t>评价工作组人员名单</w:t>
      </w:r>
    </w:p>
    <w:tbl>
      <w:tblPr>
        <w:jc w:val="left"/>
        <w:tblInd w:w="0" w:type="dxa"/>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149"/>
        <w:gridCol w:w="1172"/>
        <w:gridCol w:w="1856"/>
        <w:gridCol w:w="3071"/>
        <w:gridCol w:w="1813"/>
      </w:tblGrid>
      <w:tr>
        <w:tc>
          <w:tcPr>
            <w:tcW w:w="1149" w:type="dxa"/>
          </w:tcPr>
          <w:p>
            <w:pPr>
              <w:pStyle w:val="17"/>
              <w:keepNext w:val="0"/>
              <w:keepLines w:val="0"/>
              <w:pageBreakBefore w:val="0"/>
              <w:widowControl w:val="0"/>
              <w:kinsoku/>
              <w:wordWrap/>
              <w:overflowPunct/>
              <w:topLinePunct w:val="0"/>
              <w:autoSpaceDE/>
              <w:autoSpaceDN/>
              <w:bidi w:val="0"/>
              <w:spacing w:line="600" w:lineRule="exact"/>
              <w:ind w:left="0" w:firstLineChars="0" w:firstLine="0"/>
              <w:jc w:val="both"/>
              <w:textAlignment w:val="auto"/>
              <w:rPr>
                <w:rFonts w:hint="eastAsia"/>
                <w:vertAlign w:val="baseline"/>
                <w:lang w:eastAsia="zh-CN"/>
              </w:rPr>
            </w:pPr>
            <w:r>
              <w:rPr>
                <w:rFonts w:hint="eastAsia"/>
                <w:vertAlign w:val="baseline"/>
                <w:lang w:val="en-US" w:eastAsia="zh-CN"/>
              </w:rPr>
              <w:t xml:space="preserve"> 序</w:t>
            </w:r>
            <w:r>
              <w:rPr>
                <w:rFonts w:hint="eastAsia"/>
                <w:vertAlign w:val="baseline"/>
                <w:lang w:eastAsia="zh-CN"/>
              </w:rPr>
              <w:t>号</w:t>
            </w:r>
          </w:p>
        </w:tc>
        <w:tc>
          <w:tcPr>
            <w:tcW w:w="1172" w:type="dxa"/>
          </w:tcPr>
          <w:p>
            <w:pPr>
              <w:pStyle w:val="17"/>
              <w:keepNext w:val="0"/>
              <w:keepLines w:val="0"/>
              <w:pageBreakBefore w:val="0"/>
              <w:widowControl w:val="0"/>
              <w:kinsoku/>
              <w:wordWrap/>
              <w:overflowPunct/>
              <w:topLinePunct w:val="0"/>
              <w:autoSpaceDE/>
              <w:autoSpaceDN/>
              <w:bidi w:val="0"/>
              <w:spacing w:line="600" w:lineRule="exact"/>
              <w:ind w:left="0" w:firstLineChars="0" w:firstLine="0"/>
              <w:jc w:val="both"/>
              <w:textAlignment w:val="auto"/>
              <w:rPr>
                <w:rFonts w:hint="eastAsia"/>
                <w:vertAlign w:val="baseline"/>
                <w:lang w:eastAsia="zh-CN"/>
              </w:rPr>
            </w:pPr>
            <w:r>
              <w:rPr>
                <w:rFonts w:hint="eastAsia"/>
                <w:vertAlign w:val="baseline"/>
                <w:lang w:val="en-US" w:eastAsia="zh-CN"/>
              </w:rPr>
              <w:t xml:space="preserve"> </w:t>
            </w:r>
            <w:r>
              <w:rPr>
                <w:rFonts w:hint="eastAsia"/>
                <w:vertAlign w:val="baseline"/>
                <w:lang w:eastAsia="zh-CN"/>
              </w:rPr>
              <w:t>姓名</w:t>
            </w:r>
          </w:p>
        </w:tc>
        <w:tc>
          <w:tcPr>
            <w:tcW w:w="1856" w:type="dxa"/>
          </w:tcPr>
          <w:p>
            <w:pPr>
              <w:pStyle w:val="17"/>
              <w:keepNext w:val="0"/>
              <w:keepLines w:val="0"/>
              <w:pageBreakBefore w:val="0"/>
              <w:widowControl w:val="0"/>
              <w:kinsoku/>
              <w:wordWrap/>
              <w:overflowPunct/>
              <w:topLinePunct w:val="0"/>
              <w:autoSpaceDE/>
              <w:autoSpaceDN/>
              <w:bidi w:val="0"/>
              <w:spacing w:line="600" w:lineRule="exact"/>
              <w:ind w:left="0" w:firstLineChars="0" w:firstLine="0"/>
              <w:jc w:val="both"/>
              <w:textAlignment w:val="auto"/>
              <w:rPr>
                <w:rFonts w:hint="eastAsia"/>
                <w:vertAlign w:val="baseline"/>
                <w:lang w:eastAsia="zh-CN"/>
              </w:rPr>
            </w:pPr>
            <w:r>
              <w:rPr>
                <w:rFonts w:hint="eastAsia"/>
                <w:vertAlign w:val="baseline"/>
                <w:lang w:val="en-US" w:eastAsia="zh-CN"/>
              </w:rPr>
              <w:t xml:space="preserve"> </w:t>
            </w:r>
            <w:r>
              <w:rPr>
                <w:rFonts w:hint="eastAsia"/>
                <w:vertAlign w:val="baseline"/>
                <w:lang w:eastAsia="zh-CN"/>
              </w:rPr>
              <w:t>工作单位</w:t>
            </w:r>
          </w:p>
        </w:tc>
        <w:tc>
          <w:tcPr>
            <w:tcW w:w="3071" w:type="dxa"/>
          </w:tcPr>
          <w:p>
            <w:pPr>
              <w:pStyle w:val="17"/>
              <w:keepNext w:val="0"/>
              <w:keepLines w:val="0"/>
              <w:pageBreakBefore w:val="0"/>
              <w:widowControl w:val="0"/>
              <w:kinsoku/>
              <w:wordWrap/>
              <w:overflowPunct/>
              <w:topLinePunct w:val="0"/>
              <w:autoSpaceDE/>
              <w:autoSpaceDN/>
              <w:bidi w:val="0"/>
              <w:spacing w:line="600" w:lineRule="exact"/>
              <w:jc w:val="both"/>
              <w:textAlignment w:val="auto"/>
              <w:rPr>
                <w:rFonts w:hint="eastAsia"/>
                <w:vertAlign w:val="baseline"/>
                <w:lang w:eastAsia="zh-CN"/>
              </w:rPr>
            </w:pPr>
            <w:r>
              <w:rPr>
                <w:rFonts w:hint="eastAsia"/>
                <w:vertAlign w:val="baseline"/>
                <w:lang w:val="en-US" w:eastAsia="zh-CN"/>
              </w:rPr>
              <w:t xml:space="preserve">  </w:t>
            </w:r>
            <w:r>
              <w:rPr>
                <w:rFonts w:hint="eastAsia"/>
                <w:vertAlign w:val="baseline"/>
                <w:lang w:eastAsia="zh-CN"/>
              </w:rPr>
              <w:t>职务</w:t>
            </w:r>
          </w:p>
        </w:tc>
        <w:tc>
          <w:tcPr>
            <w:tcW w:w="1813" w:type="dxa"/>
          </w:tcPr>
          <w:p>
            <w:pPr>
              <w:pStyle w:val="17"/>
              <w:keepNext w:val="0"/>
              <w:keepLines w:val="0"/>
              <w:pageBreakBefore w:val="0"/>
              <w:widowControl w:val="0"/>
              <w:kinsoku/>
              <w:wordWrap/>
              <w:overflowPunct/>
              <w:topLinePunct w:val="0"/>
              <w:autoSpaceDE/>
              <w:autoSpaceDN/>
              <w:bidi w:val="0"/>
              <w:spacing w:line="600" w:lineRule="exact"/>
              <w:jc w:val="both"/>
              <w:textAlignment w:val="auto"/>
              <w:rPr>
                <w:rFonts w:hint="eastAsia"/>
                <w:vertAlign w:val="baseline"/>
                <w:lang w:eastAsia="zh-CN"/>
              </w:rPr>
            </w:pPr>
            <w:r>
              <w:rPr>
                <w:rFonts w:hint="eastAsia"/>
                <w:vertAlign w:val="baseline"/>
                <w:lang w:eastAsia="zh-CN"/>
              </w:rPr>
              <w:t>签名</w:t>
            </w:r>
          </w:p>
        </w:tc>
      </w:tr>
      <w:tr>
        <w:tc>
          <w:tcPr>
            <w:tcW w:w="1149" w:type="dxa"/>
            <w:vAlign w:val="center"/>
          </w:tcPr>
          <w:p>
            <w:pPr>
              <w:pStyle w:val="17"/>
              <w:keepNext w:val="0"/>
              <w:keepLines w:val="0"/>
              <w:pageBreakBefore w:val="0"/>
              <w:widowControl w:val="0"/>
              <w:kinsoku/>
              <w:wordWrap/>
              <w:overflowPunct/>
              <w:topLinePunct w:val="0"/>
              <w:autoSpaceDE/>
              <w:autoSpaceDN/>
              <w:bidi w:val="0"/>
              <w:spacing w:line="600" w:lineRule="exact"/>
              <w:ind w:left="0" w:firstLineChars="0" w:firstLine="0"/>
              <w:jc w:val="both"/>
              <w:textAlignment w:val="auto"/>
              <w:rPr>
                <w:rFonts w:hint="eastAsia"/>
                <w:vertAlign w:val="baseline"/>
                <w:lang w:val="en-US" w:eastAsia="zh-CN"/>
              </w:rPr>
            </w:pPr>
            <w:r>
              <w:rPr>
                <w:rFonts w:hint="eastAsia"/>
                <w:vertAlign w:val="baseline"/>
                <w:lang w:val="en-US" w:eastAsia="zh-CN"/>
              </w:rPr>
              <w:t xml:space="preserve">  1</w:t>
            </w:r>
          </w:p>
        </w:tc>
        <w:tc>
          <w:tcPr>
            <w:tcW w:w="1172" w:type="dxa"/>
            <w:tcBorders>
              <w:left w:val="single" w:sz="4" w:space="0" w:color="auto"/>
            </w:tcBorders>
          </w:tcPr>
          <w:p>
            <w:pPr>
              <w:pStyle w:val="17"/>
              <w:keepNext w:val="0"/>
              <w:keepLines w:val="0"/>
              <w:pageBreakBefore w:val="0"/>
              <w:widowControl w:val="0"/>
              <w:kinsoku/>
              <w:wordWrap/>
              <w:overflowPunct/>
              <w:topLinePunct w:val="0"/>
              <w:autoSpaceDE/>
              <w:autoSpaceDN/>
              <w:bidi w:val="0"/>
              <w:spacing w:line="600" w:lineRule="exact"/>
              <w:ind w:left="0" w:firstLineChars="0" w:firstLine="0"/>
              <w:jc w:val="both"/>
              <w:textAlignment w:val="auto"/>
              <w:rPr>
                <w:rFonts w:hint="eastAsia"/>
                <w:vertAlign w:val="baseline"/>
                <w:lang w:eastAsia="zh-CN"/>
              </w:rPr>
            </w:pPr>
            <w:r>
              <w:rPr>
                <w:rFonts w:hint="eastAsia"/>
                <w:vertAlign w:val="baseline"/>
                <w:lang w:eastAsia="zh-CN"/>
              </w:rPr>
              <w:t>杨榕</w:t>
            </w:r>
          </w:p>
        </w:tc>
        <w:tc>
          <w:tcPr>
            <w:tcW w:w="1856" w:type="dxa"/>
            <w:tcBorders>
              <w:left w:val="single" w:sz="4" w:space="0" w:color="auto"/>
            </w:tcBorders>
            <w:vAlign w:val="center"/>
          </w:tcPr>
          <w:p>
            <w:pPr>
              <w:pStyle w:val="17"/>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hint="eastAsia"/>
                <w:vertAlign w:val="baseline"/>
                <w:lang w:eastAsia="zh-CN"/>
              </w:rPr>
            </w:pPr>
            <w:r>
              <w:rPr>
                <w:rFonts w:hint="eastAsia"/>
                <w:vertAlign w:val="baseline"/>
                <w:lang w:eastAsia="zh-CN"/>
              </w:rPr>
              <w:t>档案馆</w:t>
            </w:r>
          </w:p>
        </w:tc>
        <w:tc>
          <w:tcPr>
            <w:tcW w:w="3071" w:type="dxa"/>
            <w:tcBorders>
              <w:left w:val="single" w:sz="4" w:space="0" w:color="auto"/>
            </w:tcBorders>
          </w:tcPr>
          <w:p>
            <w:pPr>
              <w:pStyle w:val="17"/>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hint="eastAsia"/>
                <w:vertAlign w:val="baseline"/>
                <w:lang w:eastAsia="zh-CN"/>
              </w:rPr>
            </w:pPr>
            <w:r>
              <w:rPr>
                <w:rFonts w:hint="eastAsia"/>
                <w:vertAlign w:val="baseline"/>
                <w:lang w:eastAsia="zh-CN"/>
              </w:rPr>
              <w:t>职员</w:t>
            </w:r>
          </w:p>
        </w:tc>
        <w:tc>
          <w:tcPr>
            <w:tcW w:w="1813" w:type="dxa"/>
            <w:tcBorders>
              <w:left w:val="single" w:sz="4" w:space="0" w:color="auto"/>
            </w:tcBorders>
          </w:tcPr>
          <w:p>
            <w:pPr>
              <w:pStyle w:val="17"/>
              <w:keepNext w:val="0"/>
              <w:keepLines w:val="0"/>
              <w:pageBreakBefore w:val="0"/>
              <w:widowControl w:val="0"/>
              <w:kinsoku/>
              <w:wordWrap/>
              <w:overflowPunct/>
              <w:topLinePunct w:val="0"/>
              <w:autoSpaceDE/>
              <w:autoSpaceDN/>
              <w:bidi w:val="0"/>
              <w:spacing w:line="600" w:lineRule="exact"/>
              <w:jc w:val="both"/>
              <w:textAlignment w:val="auto"/>
              <w:rPr>
                <w:rFonts w:hint="eastAsia"/>
                <w:vertAlign w:val="baseline"/>
                <w:lang w:eastAsia="zh-CN"/>
              </w:rPr>
            </w:pPr>
          </w:p>
        </w:tc>
      </w:tr>
      <w:tr>
        <w:tc>
          <w:tcPr>
            <w:tcW w:w="1149" w:type="dxa"/>
            <w:vAlign w:val="center"/>
          </w:tcPr>
          <w:p>
            <w:pPr>
              <w:pStyle w:val="17"/>
              <w:keepNext w:val="0"/>
              <w:keepLines w:val="0"/>
              <w:pageBreakBefore w:val="0"/>
              <w:widowControl w:val="0"/>
              <w:kinsoku/>
              <w:wordWrap/>
              <w:overflowPunct/>
              <w:topLinePunct w:val="0"/>
              <w:autoSpaceDE/>
              <w:autoSpaceDN/>
              <w:bidi w:val="0"/>
              <w:spacing w:line="600" w:lineRule="exact"/>
              <w:ind w:left="0" w:firstLineChars="0" w:firstLine="0"/>
              <w:jc w:val="both"/>
              <w:textAlignment w:val="auto"/>
              <w:rPr>
                <w:rFonts w:hint="eastAsia"/>
                <w:vertAlign w:val="baseline"/>
                <w:lang w:val="en-US" w:eastAsia="zh-CN"/>
              </w:rPr>
            </w:pPr>
            <w:r>
              <w:rPr>
                <w:rFonts w:hint="eastAsia"/>
                <w:vertAlign w:val="baseline"/>
                <w:lang w:val="en-US" w:eastAsia="zh-CN"/>
              </w:rPr>
              <w:t xml:space="preserve">  2</w:t>
            </w:r>
          </w:p>
        </w:tc>
        <w:tc>
          <w:tcPr>
            <w:tcW w:w="1172" w:type="dxa"/>
            <w:tcBorders>
              <w:left w:val="single" w:sz="4" w:space="0" w:color="auto"/>
            </w:tcBorders>
          </w:tcPr>
          <w:p>
            <w:pPr>
              <w:pStyle w:val="17"/>
              <w:keepNext w:val="0"/>
              <w:keepLines w:val="0"/>
              <w:pageBreakBefore w:val="0"/>
              <w:widowControl w:val="0"/>
              <w:kinsoku/>
              <w:wordWrap/>
              <w:overflowPunct/>
              <w:topLinePunct w:val="0"/>
              <w:autoSpaceDE/>
              <w:autoSpaceDN/>
              <w:bidi w:val="0"/>
              <w:spacing w:line="600" w:lineRule="exact"/>
              <w:ind w:left="0" w:firstLineChars="0" w:firstLine="0"/>
              <w:jc w:val="both"/>
              <w:textAlignment w:val="auto"/>
              <w:rPr>
                <w:rFonts w:eastAsia="仿宋_GB2312" w:hint="eastAsia"/>
                <w:vertAlign w:val="baseline"/>
                <w:lang w:val="en-US" w:eastAsia="zh-CN"/>
              </w:rPr>
            </w:pPr>
            <w:r>
              <w:rPr>
                <w:rFonts w:hint="eastAsia"/>
                <w:vertAlign w:val="baseline"/>
                <w:lang w:val="en-US" w:eastAsia="zh-CN"/>
              </w:rPr>
              <w:t>田晓娜</w:t>
            </w:r>
          </w:p>
        </w:tc>
        <w:tc>
          <w:tcPr>
            <w:tcW w:w="1856" w:type="dxa"/>
            <w:tcBorders>
              <w:left w:val="single" w:sz="4" w:space="0" w:color="auto"/>
            </w:tcBorders>
            <w:vAlign w:val="center"/>
          </w:tcPr>
          <w:p>
            <w:pPr>
              <w:pStyle w:val="17"/>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hint="eastAsia"/>
                <w:vertAlign w:val="baseline"/>
                <w:lang w:eastAsia="zh-CN"/>
              </w:rPr>
            </w:pPr>
            <w:r>
              <w:rPr>
                <w:rFonts w:hint="eastAsia"/>
                <w:vertAlign w:val="baseline"/>
                <w:lang w:eastAsia="zh-CN"/>
              </w:rPr>
              <w:t>档案馆</w:t>
            </w:r>
          </w:p>
        </w:tc>
        <w:tc>
          <w:tcPr>
            <w:tcW w:w="3071" w:type="dxa"/>
            <w:tcBorders>
              <w:left w:val="single" w:sz="4" w:space="0" w:color="auto"/>
            </w:tcBorders>
          </w:tcPr>
          <w:p>
            <w:pPr>
              <w:pStyle w:val="17"/>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hint="eastAsia"/>
                <w:vertAlign w:val="baseline"/>
                <w:lang w:eastAsia="zh-CN"/>
              </w:rPr>
            </w:pPr>
            <w:r>
              <w:rPr>
                <w:rFonts w:hint="eastAsia"/>
                <w:vertAlign w:val="baseline"/>
                <w:lang w:eastAsia="zh-CN"/>
              </w:rPr>
              <w:t>职员</w:t>
            </w:r>
          </w:p>
        </w:tc>
        <w:tc>
          <w:tcPr>
            <w:tcW w:w="1813" w:type="dxa"/>
            <w:tcBorders>
              <w:left w:val="single" w:sz="4" w:space="0" w:color="auto"/>
            </w:tcBorders>
          </w:tcPr>
          <w:p>
            <w:pPr>
              <w:pStyle w:val="17"/>
              <w:keepNext w:val="0"/>
              <w:keepLines w:val="0"/>
              <w:pageBreakBefore w:val="0"/>
              <w:widowControl w:val="0"/>
              <w:kinsoku/>
              <w:wordWrap/>
              <w:overflowPunct/>
              <w:topLinePunct w:val="0"/>
              <w:autoSpaceDE/>
              <w:autoSpaceDN/>
              <w:bidi w:val="0"/>
              <w:spacing w:line="600" w:lineRule="exact"/>
              <w:jc w:val="both"/>
              <w:textAlignment w:val="auto"/>
              <w:rPr>
                <w:rFonts w:hint="eastAsia"/>
                <w:vertAlign w:val="baseline"/>
                <w:lang w:eastAsia="zh-CN"/>
              </w:rPr>
            </w:pPr>
          </w:p>
        </w:tc>
      </w:tr>
      <w:tr>
        <w:tc>
          <w:tcPr>
            <w:tcW w:w="1149" w:type="dxa"/>
            <w:vAlign w:val="center"/>
          </w:tcPr>
          <w:p>
            <w:pPr>
              <w:pStyle w:val="17"/>
              <w:keepNext w:val="0"/>
              <w:keepLines w:val="0"/>
              <w:pageBreakBefore w:val="0"/>
              <w:widowControl w:val="0"/>
              <w:kinsoku/>
              <w:wordWrap/>
              <w:overflowPunct/>
              <w:topLinePunct w:val="0"/>
              <w:autoSpaceDE/>
              <w:autoSpaceDN/>
              <w:bidi w:val="0"/>
              <w:spacing w:line="600" w:lineRule="exact"/>
              <w:ind w:left="0" w:firstLineChars="0" w:firstLine="0"/>
              <w:jc w:val="both"/>
              <w:textAlignment w:val="auto"/>
              <w:rPr>
                <w:rFonts w:hint="eastAsia"/>
                <w:vertAlign w:val="baseline"/>
                <w:lang w:val="en-US" w:eastAsia="zh-CN"/>
              </w:rPr>
            </w:pPr>
            <w:r>
              <w:rPr>
                <w:rFonts w:hint="eastAsia"/>
                <w:vertAlign w:val="baseline"/>
                <w:lang w:val="en-US" w:eastAsia="zh-CN"/>
              </w:rPr>
              <w:t xml:space="preserve">  3</w:t>
            </w:r>
          </w:p>
        </w:tc>
        <w:tc>
          <w:tcPr>
            <w:tcW w:w="1172" w:type="dxa"/>
            <w:tcBorders>
              <w:left w:val="single" w:sz="4" w:space="0" w:color="auto"/>
            </w:tcBorders>
          </w:tcPr>
          <w:p>
            <w:pPr>
              <w:pStyle w:val="17"/>
              <w:keepNext w:val="0"/>
              <w:keepLines w:val="0"/>
              <w:pageBreakBefore w:val="0"/>
              <w:widowControl w:val="0"/>
              <w:kinsoku/>
              <w:wordWrap/>
              <w:overflowPunct/>
              <w:topLinePunct w:val="0"/>
              <w:autoSpaceDE/>
              <w:autoSpaceDN/>
              <w:bidi w:val="0"/>
              <w:spacing w:line="600" w:lineRule="exact"/>
              <w:ind w:left="0" w:firstLineChars="0" w:firstLine="0"/>
              <w:jc w:val="both"/>
              <w:textAlignment w:val="auto"/>
              <w:rPr>
                <w:rFonts w:eastAsia="仿宋_GB2312" w:hint="eastAsia"/>
                <w:vertAlign w:val="baseline"/>
                <w:lang w:eastAsia="zh-CN"/>
              </w:rPr>
            </w:pPr>
          </w:p>
        </w:tc>
        <w:tc>
          <w:tcPr>
            <w:tcW w:w="1856" w:type="dxa"/>
            <w:tcBorders>
              <w:left w:val="single" w:sz="4" w:space="0" w:color="auto"/>
            </w:tcBorders>
            <w:vAlign w:val="center"/>
          </w:tcPr>
          <w:p>
            <w:pPr>
              <w:pStyle w:val="17"/>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hint="eastAsia"/>
                <w:vertAlign w:val="baseline"/>
                <w:lang w:eastAsia="zh-CN"/>
              </w:rPr>
            </w:pPr>
          </w:p>
        </w:tc>
        <w:tc>
          <w:tcPr>
            <w:tcW w:w="3071" w:type="dxa"/>
            <w:tcBorders>
              <w:left w:val="single" w:sz="4" w:space="0" w:color="auto"/>
            </w:tcBorders>
          </w:tcPr>
          <w:p>
            <w:pPr>
              <w:pStyle w:val="17"/>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hint="eastAsia"/>
                <w:vertAlign w:val="baseline"/>
                <w:lang w:eastAsia="zh-CN"/>
              </w:rPr>
            </w:pPr>
          </w:p>
        </w:tc>
        <w:tc>
          <w:tcPr>
            <w:tcW w:w="1813" w:type="dxa"/>
            <w:tcBorders>
              <w:left w:val="single" w:sz="4" w:space="0" w:color="auto"/>
            </w:tcBorders>
          </w:tcPr>
          <w:p>
            <w:pPr>
              <w:pStyle w:val="17"/>
              <w:keepNext w:val="0"/>
              <w:keepLines w:val="0"/>
              <w:pageBreakBefore w:val="0"/>
              <w:widowControl w:val="0"/>
              <w:kinsoku/>
              <w:wordWrap/>
              <w:overflowPunct/>
              <w:topLinePunct w:val="0"/>
              <w:autoSpaceDE/>
              <w:autoSpaceDN/>
              <w:bidi w:val="0"/>
              <w:spacing w:line="600" w:lineRule="exact"/>
              <w:jc w:val="both"/>
              <w:textAlignment w:val="auto"/>
              <w:rPr>
                <w:rFonts w:hint="eastAsia"/>
                <w:vertAlign w:val="baseline"/>
                <w:lang w:eastAsia="zh-CN"/>
              </w:rPr>
            </w:pPr>
          </w:p>
        </w:tc>
      </w:tr>
    </w:tbl>
    <w:p>
      <w:pPr>
        <w:pStyle w:val="17"/>
        <w:keepNext w:val="0"/>
        <w:keepLines w:val="0"/>
        <w:pageBreakBefore w:val="0"/>
        <w:widowControl w:val="0"/>
        <w:kinsoku/>
        <w:wordWrap/>
        <w:overflowPunct/>
        <w:topLinePunct w:val="0"/>
        <w:autoSpaceDE/>
        <w:autoSpaceDN/>
        <w:bidi w:val="0"/>
        <w:spacing w:line="600" w:lineRule="exact"/>
        <w:textAlignment w:val="auto"/>
        <w:rPr>
          <w:rFonts w:hint="eastAsia"/>
        </w:rPr>
      </w:pPr>
    </w:p>
    <w:p>
      <w:pPr>
        <w:widowControl w:val="0"/>
        <w:wordWrap/>
        <w:spacing w:line="560" w:lineRule="exact"/>
        <w:ind w:left="0" w:right="0"/>
        <w:textAlignment w:val="auto"/>
        <w:outlineLvl w:val="9"/>
        <w:rPr>
          <w:rFonts w:ascii="仿宋" w:eastAsia="仿宋" w:hAnsi="仿宋"/>
        </w:rPr>
      </w:pPr>
    </w:p>
    <w:sectPr>
      <w:footerReference w:type="default" r:id="rId2"/>
      <w:pgSz w:w="11906" w:h="16838"/>
      <w:pgMar w:top="1440" w:right="1474" w:bottom="1440" w:left="1587" w:header="851" w:footer="992" w:gutter="0"/>
      <w:pgNumType w:fmt="numberInDash"/>
      <w:cols w:num="1" w:space="0"/>
      <w:rtlGutter/>
      <w:docGrid w:type="lines" w:linePitch="312" w:charSpace="0"/>
    </w:sectPr>
  </w:body>
</w:document>
</file>

<file path=word/fontTable.xml><?xml version="1.0" encoding="utf-8"?>
<w:fonts xmlns:w="http://schemas.openxmlformats.org/wordprocessingml/2006/main" xmlns:r="http://schemas.openxmlformats.org/officeDocument/2006/relationships">
  <w:font w:name="Calibri">
    <w:panose1 w:val="020F0502020204030204"/>
    <w:charset w:val="00"/>
    <w:family w:val="swiss"/>
    <w:pitch w:val="variable"/>
    <w:sig w:usb0="E00002FF" w:usb1="4000ACFF" w:usb2="00000001" w:usb3="00000000" w:csb0="2000019F" w:csb1="00000000"/>
  </w:font>
  <w:font w:name="宋体">
    <w:panose1 w:val="02010600030101010101"/>
    <w:charset w:val="86"/>
    <w:family w:val="auto"/>
    <w:pitch w:val="variable"/>
    <w:sig w:usb0="00000003" w:usb1="288F0000" w:usb2="00000006" w:usb3="00000000" w:csb0="00040001" w:csb1="00000000"/>
  </w:font>
  <w:font w:name="黑体">
    <w:panose1 w:val="02010609060101010101"/>
    <w:charset w:val="86"/>
    <w:family w:val="auto"/>
    <w:pitch w:val="variable"/>
    <w:sig w:usb0="800002BF" w:usb1="38CF7CFA" w:usb2="00000016" w:usb3="00000000" w:csb0="00040001" w:csb1="00000000"/>
  </w:font>
  <w:font w:name="仿宋_GB2312">
    <w:altName w:val="仿宋"/>
    <w:panose1 w:val="02010609030101010101"/>
    <w:charset w:val="86"/>
    <w:family w:val="swiss"/>
    <w:pitch w:val="variable"/>
    <w:sig w:usb0="00000000" w:usb1="00000000" w:usb2="00000000" w:usb3="00000000" w:csb0="00040000" w:csb1="00000000"/>
  </w:font>
  <w:font w:name="华文楷体">
    <w:altName w:val="宋体"/>
    <w:panose1 w:val="02010600040101010101"/>
    <w:charset w:val="86"/>
    <w:family w:val="auto"/>
    <w:pitch w:val="variable"/>
    <w:sig w:usb0="00000000" w:usb1="00000000" w:usb2="00000000" w:usb3="00000000" w:csb0="0004009F" w:csb1="DFD70000"/>
  </w:font>
  <w:font w:name="仿宋">
    <w:panose1 w:val="02010609060101010101"/>
    <w:charset w:val="86"/>
    <w:family w:val="auto"/>
    <w:pitch w:val="variable"/>
    <w:sig w:usb0="800002BF" w:usb1="38CF7CFA" w:usb2="00000016" w:usb3="00000000" w:csb0="00040001" w:csb1="00000000"/>
  </w:font>
  <w:font w:name="楷体_GB2312">
    <w:altName w:val="楷体"/>
    <w:panose1 w:val="02010609030101010101"/>
    <w:charset w:val="86"/>
    <w:family w:val="auto"/>
    <w:pitch w:val="variable"/>
    <w:sig w:usb0="00000000" w:usb1="00000000" w:usb2="00000000" w:usb3="00000000" w:csb0="00040000" w:csb1="00000000"/>
  </w:font>
  <w:font w:name="方正小标宋_GBK">
    <w:altName w:val="宋体"/>
    <w:panose1 w:val="00000000000000000000"/>
    <w:charset w:val="86"/>
    <w:family w:val="modern"/>
    <w:pitch w:val="variable"/>
    <w:sig w:usb0="00000000" w:usb1="00000000" w:usb2="00000000" w:usb3="00000000" w:csb0="00000000" w:csb1="00000000"/>
  </w:font>
  <w:font w:name="方正书宋_GBK">
    <w:altName w:val="宋体"/>
    <w:panose1 w:val="00000000000000000000"/>
    <w:charset w:val="86"/>
    <w:family w:val="modern"/>
    <w:pitch w:val="variable"/>
    <w:sig w:usb0="00000000" w:usb1="00000000" w:usb2="00000000" w:usb3="00000000" w:csb0="00000000" w:csb1="00000000"/>
  </w:font>
  <w:font w:name="Times New Roman">
    <w:panose1 w:val="02020603050405020304"/>
    <w:charset w:val="CC"/>
    <w:family w:val="auto"/>
    <w:pitch w:val="variable"/>
    <w:sig w:usb0="E0002AFF" w:usb1="C0007841" w:usb2="00000009" w:usb3="00000000" w:csb0="400001FF" w:csb1="FFFF0000"/>
  </w:font>
  <w:font w:name="Arial">
    <w:panose1 w:val="020B0604020202020204"/>
    <w:charset w:val="01"/>
    <w:family w:val="swiss"/>
    <w:pitch w:val="variable"/>
    <w:sig w:usb0="E0002AFF" w:usb1="C0007843" w:usb2="00000009" w:usb3="00000000" w:csb0="400001FF" w:csb1="FFFF0000"/>
  </w:font>
  <w:font w:name="Cambria">
    <w:panose1 w:val="02040503050406030204"/>
    <w:charset w:val="00"/>
    <w:family w:val="modern"/>
    <w:pitch w:val="variable"/>
    <w:sig w:usb0="E00002FF" w:usb1="400004FF" w:usb2="00000000" w:usb3="00000000" w:csb0="2000019F" w:csb1="00000000"/>
  </w:font>
  <w:font w:name="方正小标宋简体">
    <w:altName w:val="宋体-方正超大字符集"/>
    <w:panose1 w:val="03000509000000000000"/>
    <w:charset w:val="86"/>
    <w:family w:val="auto"/>
    <w:pitch w:val="variable"/>
    <w:sig w:usb0="00000000" w:usb1="00000000" w:usb2="00000000" w:usb3="00000000" w:csb0="00040000" w:csb1="00000000"/>
  </w:font>
  <w:font w:name="方正仿宋_GBK">
    <w:altName w:val="宋体"/>
    <w:panose1 w:val="00000000000000000000"/>
    <w:charset w:val="86"/>
    <w:family w:val="moder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tabs>
        <w:tab w:val="center" w:pos="4153"/>
        <w:tab w:val="right" w:pos="8306"/>
      </w:tabs>
    </w:pPr>
    <w:r>
      <w:rPr>
        <w:rFonts w:ascii="Calibri" w:eastAsia="宋体" w:cs="黑体" w:hAnsi="Calibri"/>
        <w:kern w:val="2"/>
        <w:sz w:val="18"/>
        <w:szCs w:val="22"/>
        <w:lang w:val="en-US" w:eastAsia="zh-CN" w:bidi="ar-SA"/>
      </w:rPr>
      <mc:AlternateContent>
        <mc:Choice Requires="wps">
          <w:drawing>
            <wp:anchor distT="0" distB="0" distL="114300" distR="114300" simplePos="0" relativeHeight="12" behindDoc="0" locked="0" layoutInCell="1" hidden="0" allowOverlap="1">
              <wp:simplePos x="0" y="0"/>
              <wp:positionH relativeFrom="margin">
                <wp:align>center</wp:align>
              </wp:positionH>
              <wp:positionV relativeFrom="paragraph">
                <wp:posOffset>0</wp:posOffset>
              </wp:positionV>
              <wp:extent cx="209531" cy="162780"/>
              <wp:effectExtent l="0" t="0" r="0" b="0"/>
              <wp:wrapNone/>
              <wp:docPr id="1" name="Quad Arrow 3073"/>
              <wp:cNvGraphicFramePr>
                <a:graphicFrameLocks noChangeAspect="0"/>
              </wp:cNvGraphicFramePr>
              <a:graphic>
                <a:graphicData uri="http://schemas.microsoft.com/office/word/2010/wordprocessingShape">
                  <wps:wsp>
                    <wps:cNvSpPr/>
                    <wps:spPr>
                      <a:xfrm rot="0">
                        <a:off x="0" y="0"/>
                        <a:ext cx="209531" cy="162780"/>
                      </a:xfrm>
                      <a:prstGeom prst="rect"/>
                      <a:noFill/>
                      <a:ln cmpd="sng" cap="flat">
                        <a:noFill/>
                        <a:prstDash val="solid"/>
                        <a:round/>
                      </a:ln>
                    </wps:spPr>
                    <wps:txbx id="1">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vert="horz" wrap="none" lIns="0" tIns="0" rIns="0" bIns="0" anchor="t" anchorCtr="0" upright="1">
                      <a:spAutoFit/>
                    </wps:bodyPr>
                  </wps:wsp>
                </a:graphicData>
              </a:graphic>
            </wp:anchor>
          </w:drawing>
        </mc:Choice>
        <mc:Fallback>
          <w:pict>
            <v:rect type="#_x0000_t1" id="Quad Arrow 3073" o:spid="_x0000_s2" filled="f" stroked="f" strokeweight="-1.0pt" style="position:absolute;margin-left:0.0pt;margin-top:0.0pt;width:16.498535pt;height:12.817383pt;z-index:12;mso-position-horizontal:center;mso-position-horizontal-relative:margin;mso-position-vertical:absolute;mso-wrap-style:none;">
              <v:stroke/>
              <v:textbox id="848" inset="0mm,0mm,0mm,0mm" o:insetmode="custom" style="layout-flow:horizontal;v-text-anchor:top;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FB442D2E"/>
    <w:multiLevelType w:val="singleLevel"/>
    <w:tmpl w:val="FB442D2E"/>
    <w:lvl w:ilvl="0">
      <w:start w:val="2"/>
      <w:numFmt w:val="chineseCounting"/>
      <w:lvlRestart w:val="0"/>
      <w:suff w:val="nothing"/>
      <w:lvlText w:val="（%1）"/>
      <w:lvlJc w:val="left"/>
      <w:pPr/>
      <w:rPr>
        <w:rFonts w:hint="eastAsia"/>
      </w:rPr>
    </w:lvl>
  </w:abstractNum>
  <w:abstractNum w:abstractNumId="1">
    <w:nsid w:val="0516AA81"/>
    <w:multiLevelType w:val="singleLevel"/>
    <w:tmpl w:val="0516AA81"/>
    <w:lvl w:ilvl="0">
      <w:start w:val="2"/>
      <w:numFmt w:val="chineseCounting"/>
      <w:lvlRestart w:val="0"/>
      <w:suff w:val="nothing"/>
      <w:lvlText w:val="（%1）"/>
      <w:lvlJc w:val="left"/>
      <w:pPr>
        <w:ind w:left="642" w:hanging="0"/>
      </w:pPr>
      <w:rPr>
        <w:rFonts w:hint="eastAsia"/>
      </w:rPr>
    </w:lvl>
  </w:abstractNum>
  <w:abstractNum w:abstractNumId="2">
    <w:nsid w:val="5E68489B"/>
    <w:multiLevelType w:val="singleLevel"/>
    <w:tmpl w:val="5E68489B"/>
    <w:lvl w:ilvl="0">
      <w:start w:val="1"/>
      <w:numFmt w:val="chineseCounting"/>
      <w:lvlRestart w:val="0"/>
      <w:suff w:val="nothing"/>
      <w:lvlText w:val="（%1）"/>
      <w:lvlJc w:val="left"/>
      <w:pPr/>
    </w:lvl>
  </w:abstractNum>
  <w:abstractNum w:abstractNumId="3">
    <w:nsid w:val="448FB19F"/>
    <w:multiLevelType w:val="singleLevel"/>
    <w:tmpl w:val="448FB19F"/>
    <w:lvl w:ilvl="0">
      <w:start w:val="1"/>
      <w:numFmt w:val="decimal"/>
      <w:lvlRestart w:val="0"/>
      <w:lvlText w:val="%1."/>
      <w:lvlJc w:val="left"/>
      <w:pPr>
        <w:tabs>
          <w:tab w:val="num" w:pos="312"/>
        </w:tabs>
        <w:ind w:left="840" w:hanging="0"/>
      </w:p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NzA5NTE1YTIxMDBiZDBmODcxZGE5NWM3NDhkOGQ2ZDcifQ=="/>
  </w:docVars>
  <m:mathPr>
    <m:mathFont m:val="Cambria Math"/>
    <m:brkBin m:val="before"/>
    <m:brkBinSub m:val="--"/>
    <m:smallFrac m:val="0"/>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next w:val="16"/>
    <w:pPr>
      <w:widowControl w:val="0"/>
      <w:jc w:val="both"/>
    </w:pPr>
    <w:rPr>
      <w:rFonts w:ascii="Calibri" w:eastAsia="宋体" w:cs="黑体" w:hAnsi="Calibri"/>
      <w:kern w:val="2"/>
      <w:sz w:val="21"/>
      <w:szCs w:val="22"/>
      <w:lang w:val="en-US" w:eastAsia="zh-CN"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Calibri" w:eastAsia="宋体" w:cs="黑体" w:hAnsi="Calibri"/>
      <w:b/>
      <w:bCs/>
      <w:kern w:val="44"/>
      <w:sz w:val="44"/>
      <w:szCs w:val="44"/>
      <w:lang w:val="en-US" w:eastAsia="zh-CN" w:bidi="ar-SA"/>
    </w:rPr>
  </w:style>
  <w:style w:type="paragraph" w:styleId="2">
    <w:name w:val="heading 2"/>
    <w:qFormat/>
    <w:basedOn w:val="0"/>
    <w:next w:val="0"/>
    <w:link w:val="2Char"/>
    <w:pPr>
      <w:keepNext/>
      <w:keepLines/>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黑体" w:hAnsi="Calibri"/>
      <w:b/>
      <w:bCs/>
      <w:kern w:val="2"/>
      <w:sz w:val="32"/>
      <w:szCs w:val="32"/>
      <w:lang w:val="en-US" w:eastAsia="zh-CN" w:bidi="ar-SA"/>
    </w:rPr>
  </w:style>
  <w:style w:type="paragraph" w:styleId="3">
    <w:name w:val="heading 3"/>
    <w:qFormat/>
    <w:basedOn w:val="0"/>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rPr>
      <w:rFonts w:ascii="Calibri" w:eastAsia="宋体" w:cs="黑体" w:hAnsi="Calibri"/>
      <w:b/>
      <w:bCs/>
      <w:kern w:val="2"/>
      <w:sz w:val="32"/>
      <w:szCs w:val="32"/>
      <w:lang w:val="en-US" w:eastAsia="zh-CN" w:bidi="ar-SA"/>
    </w:rPr>
  </w:style>
  <w:style w:type="paragraph" w:styleId="6">
    <w:name w:val="heading 6"/>
    <w:qFormat/>
    <w:basedOn w:val="0"/>
    <w:next w:val="0"/>
    <w:link w:val="6Char"/>
    <w:pPr>
      <w:keepNext/>
      <w:keepLines/>
      <w:tabs>
        <w:tab w:val="left" w:pos="1151"/>
      </w:tabs>
      <w:spacing w:before="240" w:after="64" w:line="319" w:lineRule="auto"/>
      <w:ind w:left="1151" w:hanging="1151"/>
      <w:outlineLvl w:val="5"/>
    </w:pPr>
    <w:rPr>
      <w:rFonts w:ascii="Cambria" w:eastAsia="仿宋" w:hAnsi="Cambria"/>
      <w:b/>
      <w:bCs/>
      <w:sz w:val="32"/>
      <w:szCs w:val="24"/>
    </w:rPr>
  </w:style>
  <w:style w:type="character" w:customStyle="1" w:styleId="6Char">
    <w:name w:val="heading 6 Char"/>
    <w:basedOn w:val="10"/>
    <w:link w:val="6"/>
    <w:rPr>
      <w:rFonts w:ascii="Cambria" w:eastAsia="仿宋" w:cs="黑体" w:hAnsi="Cambria"/>
      <w:b/>
      <w:bCs/>
      <w:kern w:val="2"/>
      <w:sz w:val="32"/>
      <w:szCs w:val="24"/>
      <w:lang w:val="en-US" w:eastAsia="zh-CN" w:bidi="ar-SA"/>
    </w:rPr>
  </w:style>
  <w:style w:type="character" w:default="1" w:styleId="10">
    <w:name w:val="Default Paragraph Font"/>
    <w:qFormat/>
  </w:style>
  <w:style w:type="paragraph" w:customStyle="1" w:styleId="15">
    <w:name w:val="正文 New New New New New New New New New New New New New New New New New New New New New New New New New New New New New New New New New New New New New New New New New New New New New New New New New New New New New New New New New New New New New New Ne"/>
    <w:qFormat/>
    <w:next w:val="16"/>
    <w:pPr>
      <w:widowControl w:val="0"/>
      <w:jc w:val="both"/>
    </w:pPr>
    <w:rPr>
      <w:rFonts w:ascii="Times New Roman" w:eastAsia="宋体" w:cs="Times New Roman" w:hAnsi="Times New Roman"/>
      <w:kern w:val="2"/>
      <w:sz w:val="21"/>
      <w:szCs w:val="20"/>
      <w:lang w:val="en-US" w:eastAsia="zh-CN"/>
    </w:rPr>
  </w:style>
  <w:style w:type="paragraph" w:customStyle="1" w:styleId="16">
    <w:name w:val="正文-公1"/>
    <w:qFormat/>
    <w:basedOn w:val="15"/>
    <w:next w:val="0"/>
    <w:pPr>
      <w:ind w:firstLineChars="200" w:firstLine="200"/>
    </w:pPr>
  </w:style>
  <w:style w:type="paragraph" w:styleId="17">
    <w:name w:val="Normal Indent"/>
    <w:qFormat/>
    <w:basedOn w:val="0"/>
    <w:next w:val="18"/>
    <w:pPr>
      <w:ind w:firstLineChars="200" w:firstLine="200"/>
    </w:pPr>
    <w:rPr>
      <w:rFonts w:eastAsia="仿宋_GB2312"/>
      <w:sz w:val="30"/>
    </w:rPr>
  </w:style>
  <w:style w:type="paragraph" w:styleId="18">
    <w:name w:val="Subtitle"/>
    <w:qFormat/>
    <w:basedOn w:val="0"/>
    <w:pPr>
      <w:spacing w:line="700" w:lineRule="exact"/>
      <w:jc w:val="center"/>
      <w:outlineLvl w:val="1"/>
    </w:pPr>
    <w:rPr>
      <w:rFonts w:ascii="Arial" w:eastAsia="方正小标宋简体" w:cs="Arial" w:hAnsi="Arial"/>
      <w:b/>
      <w:bCs/>
      <w:kern w:val="28"/>
      <w:sz w:val="44"/>
      <w:szCs w:val="44"/>
    </w:rPr>
  </w:style>
  <w:style w:type="paragraph" w:styleId="19">
    <w:name w:val="Body Text Indent"/>
    <w:qFormat/>
    <w:basedOn w:val="0"/>
    <w:pPr>
      <w:spacing w:after="120"/>
      <w:ind w:leftChars="200" w:left="200"/>
    </w:pPr>
  </w:style>
  <w:style w:type="paragraph" w:styleId="20">
    <w:name w:val="footer"/>
    <w:qFormat/>
    <w:basedOn w:val="0"/>
    <w:pPr>
      <w:tabs>
        <w:tab w:val="center" w:pos="4153"/>
        <w:tab w:val="right" w:pos="8306"/>
      </w:tabs>
      <w:snapToGrid w:val="0"/>
      <w:jc w:val="left"/>
    </w:pPr>
    <w:rPr>
      <w:sz w:val="18"/>
    </w:rPr>
  </w:style>
  <w:style w:type="paragraph" w:styleId="21">
    <w:name w:val="Body Text First Indent 2"/>
    <w:qFormat/>
    <w:basedOn w:val="19"/>
    <w:pPr>
      <w:spacing w:after="0" w:line="360" w:lineRule="auto"/>
      <w:ind w:leftChars="0" w:left="0" w:firstLineChars="200" w:firstLine="200"/>
      <w:textAlignment w:val="baseline"/>
    </w:pPr>
    <w:rPr>
      <w:sz w:val="24"/>
      <w:szCs w:val="24"/>
    </w:rPr>
  </w:style>
  <w:style w:type="paragraph" w:styleId="22">
    <w:name w:val="header"/>
    <w:qFormat/>
    <w:basedOn w:val="0"/>
    <w:pPr>
      <w:pBdr>
        <w:top w:val="none" w:sz="0" w:space="0" w:color="auto"/>
        <w:left w:val="none" w:sz="0" w:space="0" w:color="auto"/>
        <w:bottom w:val="none" w:sz="0" w:space="0" w:color="auto"/>
        <w:right w:val="none" w:sz="0" w:space="0" w:color="auto"/>
      </w:pBdr>
      <w:tabs>
        <w:tab w:val="center" w:pos="4153"/>
        <w:tab w:val="right" w:pos="8306"/>
      </w:tabs>
      <w:snapToGrid w:val="0"/>
    </w:pPr>
    <w:rPr>
      <w:rFonts w:ascii="Times New Roman" w:hAnsi="Times New Roman"/>
      <w:sz w:val="18"/>
    </w:rPr>
  </w:style>
  <w:style w:type="paragraph" w:customStyle="1" w:styleId="23">
    <w:name w:val="单元格样式1"/>
    <w:qFormat/>
    <w:basedOn w:val="0"/>
    <w:pPr>
      <w:jc w:val="center"/>
    </w:pPr>
    <w:rPr>
      <w:rFonts w:ascii="方正书宋_GBK" w:eastAsia="方正书宋_GBK" w:cs="方正书宋_GBK" w:hAnsi="方正书宋_GBK"/>
      <w:b/>
      <w:sz w:val="21"/>
    </w:rPr>
  </w:style>
  <w:style w:type="paragraph" w:customStyle="1" w:styleId="24">
    <w:name w:val="单元格样式2"/>
    <w:qFormat/>
    <w:basedOn w:val="0"/>
    <w:rPr>
      <w:rFonts w:ascii="方正书宋_GBK" w:eastAsia="方正书宋_GBK" w:cs="方正书宋_GBK" w:hAnsi="方正书宋_GBK"/>
      <w:sz w:val="21"/>
    </w:rPr>
  </w:style>
  <w:style w:type="paragraph" w:customStyle="1" w:styleId="25">
    <w:name w:val="单元格样式3"/>
    <w:qFormat/>
    <w:basedOn w:val="0"/>
    <w:pPr>
      <w:jc w:val="center"/>
    </w:pPr>
    <w:rPr>
      <w:rFonts w:ascii="方正书宋_GBK" w:eastAsia="方正书宋_GBK" w:cs="方正书宋_GBK" w:hAnsi="方正书宋_GBK"/>
      <w:sz w:val="21"/>
    </w:rPr>
  </w:style>
  <w:style w:type="paragraph" w:customStyle="1" w:styleId="26">
    <w:name w:val="插入文本样式-插入总体目标文件"/>
    <w:qFormat/>
    <w:basedOn w:val="0"/>
    <w:pPr>
      <w:spacing w:line="500" w:lineRule="exact"/>
      <w:ind w:firstLine="560"/>
    </w:pPr>
    <w:rPr>
      <w:rFonts w:eastAsia="方正仿宋_GBK"/>
      <w:sz w:val="28"/>
    </w:rPr>
  </w:style>
  <w:style w:type="paragraph" w:customStyle="1" w:styleId="27">
    <w:name w:val="插入文本样式-插入职责分类绩效目标文件"/>
    <w:qFormat/>
    <w:basedOn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customXml" Target="../customXml/item1.xml"/><Relationship Id="rId7" Type="http://schemas.openxmlformats.org/officeDocument/2006/relationships/theme" Target="theme/theme1.xml"/></Relationships>
</file>

<file path=word/theme/theme1.xml><?xml version="1.0" encoding="utf-8"?>
<a:theme xmlns:a="http://schemas.openxmlformats.org/drawingml/2006/main" name="Office 主题​​">
  <a:themeElements>
    <a:clrScheme name="Office 主题​​">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mpd="sng" cap="flat">
          <a:solidFill>
            <a:schemeClr val="phClr">
              <a:shade val="95000"/>
              <a:satMod val="105000"/>
            </a:schemeClr>
          </a:solidFill>
          <a:prstDash val="solid"/>
          <a:round/>
        </a:ln>
        <a:ln w="25400" cmpd="sng" cap="flat">
          <a:solidFill>
            <a:schemeClr val="phClr"/>
          </a:solidFill>
          <a:prstDash val="solid"/>
          <a:round/>
        </a:ln>
        <a:ln w="38100" cmpd="sng" cap="flat">
          <a:solidFill>
            <a:schemeClr val="phClr"/>
          </a:solidFill>
          <a:prstDash val="solid"/>
          <a:round/>
        </a:ln>
      </a:lnStyleLst>
      <a:effectStyleLst>
        <a:effectStyle>
          <a:effectLst>
            <a:outerShdw sx="100000" sy="100000" algn="b" rotWithShape="0" blurRad="40000" dist="20000" dir="5400000">
              <a:srgbClr val="000000">
                <a:alpha val="37647"/>
              </a:srgbClr>
            </a:outerShdw>
          </a:effectLst>
        </a:effectStyle>
        <a:effectStyle>
          <a:effectLst>
            <a:outerShdw sx="100000" sy="100000" algn="b" rotWithShape="0" blurRad="40000" dist="23000" dir="5400000">
              <a:srgbClr val="000000">
                <a:alpha val="34509"/>
              </a:srgbClr>
            </a:outerShdw>
          </a:effectLst>
        </a:effectStyle>
        <a:effectStyle>
          <a:effectLst>
            <a:outerShdw sx="100000" sy="100000" algn="b" rotWithShape="0" blurRad="40000" dist="23000" dir="540000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100000" t="100000"/>
          </a:path>
          <a:tileRect r="-100000" b="-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F042FA1A-724F-471B-820C-A62027B679D0}">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8</TotalTime>
  <Application>WPS_Yozo_Office9.0.4819.102ZH</Application>
  <Pages>6</Pages>
  <Words>0</Words>
  <Characters>2481</Characters>
  <Lines>0</Lines>
  <Paragraphs>56</Paragraphs>
  <CharactersWithSpaces>3308</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title>附件3：</dc:title>
  <dc:creator>欣欣大人</dc:creator>
  <cp:lastModifiedBy>Administrator</cp:lastModifiedBy>
  <cp:revision>0</cp:revision>
  <cp:lastPrinted>2026-08-04T02:28:31Z</cp:lastPrinted>
  <dcterms:created xsi:type="dcterms:W3CDTF">2020-02-04T03:46:00Z</dcterms:created>
  <dcterms:modified xsi:type="dcterms:W3CDTF">2026-10-23T02:21:53Z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2052-10.8.2.6948</vt:lpwstr>
  </property>
  <property fmtid="{D5CDD505-2E9C-101B-9397-08002B2CF9AE}" pid="3" name="ICV">
    <vt:lpwstr>14C5DA8972104B84949AD7A7467302EC</vt:lpwstr>
  </property>
</Properties>
</file>