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BC8E27">
      <w:pPr>
        <w:spacing w:before="156" w:line="209" w:lineRule="auto"/>
        <w:ind w:left="450"/>
        <w:rPr>
          <w:rFonts w:ascii="宋体" w:hAnsi="宋体" w:eastAsia="宋体" w:cs="宋体"/>
          <w:sz w:val="79"/>
          <w:szCs w:val="79"/>
        </w:rPr>
      </w:pPr>
    </w:p>
    <w:p w14:paraId="2C3445A1">
      <w:pPr>
        <w:spacing w:before="1" w:line="220" w:lineRule="auto"/>
        <w:ind w:firstLine="5202" w:firstLineChars="1700"/>
        <w:rPr>
          <w:rFonts w:ascii="仿宋" w:hAnsi="仿宋" w:eastAsia="仿宋" w:cs="仿宋"/>
          <w:spacing w:val="-7"/>
          <w:sz w:val="32"/>
          <w:szCs w:val="32"/>
        </w:rPr>
      </w:pPr>
    </w:p>
    <w:p w14:paraId="3AF75659">
      <w:pPr>
        <w:spacing w:before="1" w:line="220" w:lineRule="auto"/>
        <w:ind w:firstLine="5120" w:firstLineChars="1600"/>
        <w:jc w:val="both"/>
        <w:rPr>
          <w:rFonts w:ascii="仿宋" w:hAnsi="仿宋" w:eastAsia="仿宋" w:cs="仿宋"/>
          <w:color w:val="auto"/>
          <w:sz w:val="32"/>
          <w:szCs w:val="32"/>
        </w:rPr>
      </w:pPr>
      <w:r>
        <w:rPr>
          <w:rFonts w:ascii="仿宋" w:hAnsi="仿宋" w:eastAsia="仿宋" w:cs="仿宋"/>
          <w:color w:val="auto"/>
          <w:spacing w:val="0"/>
          <w:sz w:val="32"/>
          <w:szCs w:val="32"/>
        </w:rPr>
        <w:t>矿</w:t>
      </w:r>
      <w:r>
        <w:rPr>
          <w:rFonts w:hint="eastAsia" w:ascii="仿宋" w:hAnsi="仿宋" w:eastAsia="仿宋" w:cs="仿宋"/>
          <w:color w:val="auto"/>
          <w:spacing w:val="0"/>
          <w:sz w:val="32"/>
          <w:szCs w:val="32"/>
          <w:lang w:val="en-US" w:eastAsia="zh-CN"/>
        </w:rPr>
        <w:t>数政</w:t>
      </w:r>
      <w:r>
        <w:rPr>
          <w:rFonts w:ascii="仿宋" w:hAnsi="仿宋" w:eastAsia="仿宋" w:cs="仿宋"/>
          <w:color w:val="auto"/>
          <w:spacing w:val="0"/>
          <w:sz w:val="32"/>
          <w:szCs w:val="32"/>
        </w:rPr>
        <w:t>环评字〔202</w:t>
      </w:r>
      <w:r>
        <w:rPr>
          <w:rFonts w:hint="eastAsia" w:ascii="仿宋" w:hAnsi="仿宋" w:eastAsia="仿宋" w:cs="仿宋"/>
          <w:color w:val="auto"/>
          <w:spacing w:val="0"/>
          <w:sz w:val="32"/>
          <w:szCs w:val="32"/>
          <w:lang w:val="en-US" w:eastAsia="zh-CN"/>
        </w:rPr>
        <w:t>6</w:t>
      </w:r>
      <w:r>
        <w:rPr>
          <w:rFonts w:ascii="仿宋" w:hAnsi="仿宋" w:eastAsia="仿宋" w:cs="仿宋"/>
          <w:color w:val="auto"/>
          <w:spacing w:val="0"/>
          <w:sz w:val="32"/>
          <w:szCs w:val="32"/>
        </w:rPr>
        <w:t>〕</w:t>
      </w:r>
      <w:r>
        <w:rPr>
          <w:rFonts w:hint="eastAsia" w:ascii="仿宋" w:hAnsi="仿宋" w:eastAsia="仿宋" w:cs="仿宋"/>
          <w:color w:val="auto"/>
          <w:spacing w:val="0"/>
          <w:sz w:val="32"/>
          <w:szCs w:val="32"/>
          <w:lang w:val="en-US" w:eastAsia="zh-CN"/>
        </w:rPr>
        <w:t xml:space="preserve">  </w:t>
      </w:r>
      <w:r>
        <w:rPr>
          <w:rFonts w:ascii="仿宋" w:hAnsi="仿宋" w:eastAsia="仿宋" w:cs="仿宋"/>
          <w:color w:val="auto"/>
          <w:spacing w:val="0"/>
          <w:sz w:val="32"/>
          <w:szCs w:val="32"/>
        </w:rPr>
        <w:t>号</w:t>
      </w:r>
    </w:p>
    <w:p w14:paraId="0EA10701">
      <w:pPr>
        <w:spacing w:line="244" w:lineRule="auto"/>
        <w:rPr>
          <w:rFonts w:ascii="Arial"/>
          <w:color w:val="auto"/>
          <w:sz w:val="21"/>
        </w:rPr>
      </w:pPr>
    </w:p>
    <w:p w14:paraId="695DFC63">
      <w:pPr>
        <w:spacing w:line="245" w:lineRule="auto"/>
        <w:rPr>
          <w:rFonts w:ascii="Arial"/>
          <w:color w:val="auto"/>
          <w:sz w:val="21"/>
        </w:rPr>
      </w:pPr>
    </w:p>
    <w:p w14:paraId="3701B5F4">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default" w:ascii="方正小标宋简体" w:hAnsi="方正小标宋简体" w:eastAsia="方正小标宋简体" w:cs="方正小标宋简体"/>
          <w:b w:val="0"/>
          <w:bCs/>
          <w:color w:val="auto"/>
          <w:spacing w:val="0"/>
          <w:sz w:val="44"/>
          <w:szCs w:val="44"/>
          <w:lang w:val="en-US" w:eastAsia="zh-CN"/>
        </w:rPr>
      </w:pPr>
      <w:r>
        <w:rPr>
          <w:rFonts w:hint="default" w:ascii="方正小标宋简体" w:hAnsi="方正小标宋简体" w:eastAsia="方正小标宋简体" w:cs="方正小标宋简体"/>
          <w:b w:val="0"/>
          <w:bCs/>
          <w:color w:val="auto"/>
          <w:spacing w:val="0"/>
          <w:sz w:val="44"/>
          <w:szCs w:val="44"/>
          <w:lang w:val="en-US" w:eastAsia="zh-CN"/>
        </w:rPr>
        <w:t>井陉矿区</w:t>
      </w:r>
      <w:r>
        <w:rPr>
          <w:rFonts w:hint="eastAsia" w:ascii="方正小标宋简体" w:hAnsi="方正小标宋简体" w:eastAsia="方正小标宋简体" w:cs="方正小标宋简体"/>
          <w:b w:val="0"/>
          <w:bCs/>
          <w:color w:val="auto"/>
          <w:spacing w:val="0"/>
          <w:sz w:val="44"/>
          <w:szCs w:val="44"/>
          <w:lang w:val="en-US" w:eastAsia="zh-CN"/>
        </w:rPr>
        <w:t>数据和政务服务</w:t>
      </w:r>
      <w:r>
        <w:rPr>
          <w:rFonts w:hint="default" w:ascii="方正小标宋简体" w:hAnsi="方正小标宋简体" w:eastAsia="方正小标宋简体" w:cs="方正小标宋简体"/>
          <w:b w:val="0"/>
          <w:bCs/>
          <w:color w:val="auto"/>
          <w:spacing w:val="0"/>
          <w:sz w:val="44"/>
          <w:szCs w:val="44"/>
          <w:lang w:val="en-US" w:eastAsia="zh-CN"/>
        </w:rPr>
        <w:t>局</w:t>
      </w:r>
    </w:p>
    <w:p w14:paraId="24924931">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eastAsia" w:ascii="方正小标宋简体" w:hAnsi="方正小标宋简体" w:eastAsia="方正小标宋简体" w:cs="方正小标宋简体"/>
          <w:b w:val="0"/>
          <w:bCs/>
          <w:color w:val="auto"/>
          <w:spacing w:val="0"/>
          <w:sz w:val="44"/>
          <w:szCs w:val="44"/>
          <w:lang w:val="en-US" w:eastAsia="zh-CN"/>
        </w:rPr>
      </w:pPr>
      <w:r>
        <w:rPr>
          <w:rFonts w:hint="default" w:ascii="方正小标宋简体" w:hAnsi="方正小标宋简体" w:eastAsia="方正小标宋简体" w:cs="方正小标宋简体"/>
          <w:b w:val="0"/>
          <w:bCs/>
          <w:color w:val="auto"/>
          <w:spacing w:val="0"/>
          <w:sz w:val="44"/>
          <w:szCs w:val="44"/>
          <w:lang w:val="en-US" w:eastAsia="zh-CN"/>
        </w:rPr>
        <w:t>关于</w:t>
      </w:r>
      <w:r>
        <w:rPr>
          <w:rFonts w:hint="eastAsia" w:ascii="方正小标宋简体" w:hAnsi="方正小标宋简体" w:eastAsia="方正小标宋简体" w:cs="方正小标宋简体"/>
          <w:b w:val="0"/>
          <w:bCs/>
          <w:color w:val="auto"/>
          <w:spacing w:val="0"/>
          <w:sz w:val="44"/>
          <w:szCs w:val="44"/>
          <w:lang w:val="en-US" w:eastAsia="zh-CN"/>
        </w:rPr>
        <w:t>石家庄汰朝市政工程有限公司</w:t>
      </w:r>
    </w:p>
    <w:p w14:paraId="1DB7CCA6">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eastAsia" w:ascii="方正小标宋简体" w:hAnsi="方正小标宋简体" w:eastAsia="方正小标宋简体" w:cs="方正小标宋简体"/>
          <w:b w:val="0"/>
          <w:bCs/>
          <w:color w:val="auto"/>
          <w:spacing w:val="0"/>
          <w:sz w:val="44"/>
          <w:szCs w:val="44"/>
          <w:lang w:val="en-US" w:eastAsia="zh-CN"/>
        </w:rPr>
      </w:pPr>
      <w:r>
        <w:rPr>
          <w:rFonts w:hint="eastAsia" w:ascii="方正小标宋简体" w:hAnsi="方正小标宋简体" w:eastAsia="方正小标宋简体" w:cs="方正小标宋简体"/>
          <w:b w:val="0"/>
          <w:bCs/>
          <w:color w:val="auto"/>
          <w:spacing w:val="0"/>
          <w:sz w:val="44"/>
          <w:szCs w:val="44"/>
          <w:lang w:val="en-US" w:eastAsia="zh-CN"/>
        </w:rPr>
        <w:t>沥青混凝土再生综合利用技术改造项目生态</w:t>
      </w:r>
    </w:p>
    <w:p w14:paraId="1E14D534">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default" w:ascii="方正小标宋简体" w:hAnsi="方正小标宋简体" w:eastAsia="方正小标宋简体" w:cs="方正小标宋简体"/>
          <w:b w:val="0"/>
          <w:bCs/>
          <w:color w:val="auto"/>
          <w:spacing w:val="0"/>
          <w:sz w:val="44"/>
          <w:szCs w:val="44"/>
          <w:lang w:val="en-US" w:eastAsia="zh-CN"/>
        </w:rPr>
      </w:pPr>
      <w:r>
        <w:rPr>
          <w:rFonts w:hint="default" w:ascii="方正小标宋简体" w:hAnsi="方正小标宋简体" w:eastAsia="方正小标宋简体" w:cs="方正小标宋简体"/>
          <w:b w:val="0"/>
          <w:bCs/>
          <w:color w:val="auto"/>
          <w:spacing w:val="0"/>
          <w:sz w:val="44"/>
          <w:szCs w:val="44"/>
          <w:lang w:val="en-US" w:eastAsia="zh-CN"/>
        </w:rPr>
        <w:t>环境影响报告表的批复</w:t>
      </w:r>
    </w:p>
    <w:p w14:paraId="7EB6F70F">
      <w:pPr>
        <w:spacing w:line="316" w:lineRule="auto"/>
        <w:rPr>
          <w:rFonts w:ascii="Arial"/>
          <w:color w:val="auto"/>
          <w:sz w:val="21"/>
        </w:rPr>
      </w:pPr>
    </w:p>
    <w:p w14:paraId="5E36D773">
      <w:pPr>
        <w:spacing w:line="316" w:lineRule="auto"/>
        <w:rPr>
          <w:rFonts w:ascii="Arial"/>
          <w:color w:val="auto"/>
          <w:sz w:val="21"/>
        </w:rPr>
      </w:pPr>
    </w:p>
    <w:p w14:paraId="2A76372D">
      <w:pPr>
        <w:keepNext w:val="0"/>
        <w:keepLines w:val="0"/>
        <w:pageBreakBefore w:val="0"/>
        <w:widowControl/>
        <w:kinsoku w:val="0"/>
        <w:wordWrap/>
        <w:overflowPunct/>
        <w:topLinePunct w:val="0"/>
        <w:autoSpaceDE w:val="0"/>
        <w:autoSpaceDN w:val="0"/>
        <w:bidi w:val="0"/>
        <w:adjustRightInd/>
        <w:snapToGrid/>
        <w:spacing w:line="600" w:lineRule="exact"/>
        <w:ind w:right="0" w:rightChars="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石家庄汰朝市政工程有限公司：</w:t>
      </w:r>
    </w:p>
    <w:p w14:paraId="76E56119">
      <w:pPr>
        <w:keepNext w:val="0"/>
        <w:keepLines w:val="0"/>
        <w:pageBreakBefore w:val="0"/>
        <w:widowControl/>
        <w:kinsoku w:val="0"/>
        <w:wordWrap/>
        <w:overflowPunct/>
        <w:topLinePunct w:val="0"/>
        <w:autoSpaceDE w:val="0"/>
        <w:autoSpaceDN w:val="0"/>
        <w:bidi w:val="0"/>
        <w:adjustRightInd/>
        <w:snapToGrid/>
        <w:spacing w:line="600" w:lineRule="exact"/>
        <w:ind w:left="0" w:leftChars="0" w:right="0" w:rightChars="0" w:firstLine="640"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 xml:space="preserve">你公司所报《石家庄汰朝市政工程有限公司沥青混凝土再生综合利用技术改造项目生态环境影响报告表》及有关资料已收悉。经研究，同意该项目按照生态环境影响报告表中所列内容进行建设，批复如下： </w:t>
      </w:r>
    </w:p>
    <w:p w14:paraId="7EADCDD7">
      <w:pPr>
        <w:keepNext w:val="0"/>
        <w:keepLines w:val="0"/>
        <w:pageBreakBefore w:val="0"/>
        <w:widowControl/>
        <w:kinsoku w:val="0"/>
        <w:wordWrap/>
        <w:overflowPunct/>
        <w:topLinePunct w:val="0"/>
        <w:autoSpaceDE w:val="0"/>
        <w:autoSpaceDN w:val="0"/>
        <w:bidi w:val="0"/>
        <w:adjustRightInd/>
        <w:snapToGrid/>
        <w:spacing w:line="600" w:lineRule="exact"/>
        <w:ind w:left="0" w:leftChars="0" w:right="0" w:rightChars="0" w:firstLine="640"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一、石家庄汰朝市政工程有限公司沥青混凝土再生综合利用技术改造项目位于石家庄市井陉矿区贾庄镇京昆高速矿区出口东侧，中心地理坐标为N38°6′51.578″，E114°2′22.038″。项目东侧为山坡，南侧为山坡、河北筑鑫搅拌站，西侧隔路为停车场，北侧为井陉矿区贾庄污水处理厂、荒地。项目总投资200万元，其中环保投资20万元，购置1套热再生设备单独干燥沥青铣刨加工料，热再生设备包含2台给料机、1台再生料提升机、1台燃烧器、1台再生料加热滚筒、1座再生热料仓等生产设备，同时对原有加热滚筒进行改造（碎石、机制砂干燥滚筒内径降低）。本项目建成后，全厂总产能不变，产品产能仍为机制砂年产8万吨（其中，3万吨用于企业自产沥青混凝土，5万吨作为产品外售）、沥青混凝土年产10万吨。</w:t>
      </w:r>
    </w:p>
    <w:p w14:paraId="498632CB">
      <w:pPr>
        <w:keepNext w:val="0"/>
        <w:keepLines w:val="0"/>
        <w:pageBreakBefore w:val="0"/>
        <w:widowControl/>
        <w:kinsoku w:val="0"/>
        <w:wordWrap/>
        <w:overflowPunct/>
        <w:topLinePunct w:val="0"/>
        <w:autoSpaceDE w:val="0"/>
        <w:autoSpaceDN w:val="0"/>
        <w:bidi w:val="0"/>
        <w:adjustRightInd/>
        <w:snapToGrid/>
        <w:spacing w:line="600" w:lineRule="exact"/>
        <w:ind w:left="0" w:leftChars="0" w:right="0" w:rightChars="0" w:firstLine="640"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在落实生态环境影响报告表提出的各项生态环境保护措施后，从环境保护角度，我局原则同意生态环境影响报告表中所列建设项目的规模、工艺、地点和环境保护对策措施。</w:t>
      </w:r>
    </w:p>
    <w:p w14:paraId="7E258A06">
      <w:pPr>
        <w:keepNext w:val="0"/>
        <w:keepLines w:val="0"/>
        <w:pageBreakBefore w:val="0"/>
        <w:widowControl/>
        <w:kinsoku w:val="0"/>
        <w:wordWrap/>
        <w:overflowPunct/>
        <w:topLinePunct w:val="0"/>
        <w:autoSpaceDE w:val="0"/>
        <w:autoSpaceDN w:val="0"/>
        <w:bidi w:val="0"/>
        <w:adjustRightInd/>
        <w:snapToGrid/>
        <w:spacing w:line="600" w:lineRule="exact"/>
        <w:ind w:left="0" w:leftChars="0" w:right="0" w:rightChars="0" w:firstLine="640" w:firstLineChars="200"/>
        <w:jc w:val="both"/>
        <w:textAlignment w:val="baseline"/>
        <w:rPr>
          <w:rFonts w:hint="eastAsia" w:ascii="仿宋" w:hAnsi="仿宋" w:eastAsia="仿宋" w:cs="仿宋"/>
          <w:color w:val="auto"/>
          <w:spacing w:val="0"/>
          <w:sz w:val="32"/>
          <w:szCs w:val="32"/>
        </w:rPr>
      </w:pPr>
      <w:r>
        <w:rPr>
          <w:rFonts w:hint="eastAsia" w:ascii="仿宋" w:hAnsi="仿宋" w:eastAsia="仿宋" w:cs="仿宋"/>
          <w:color w:val="auto"/>
          <w:spacing w:val="0"/>
          <w:sz w:val="32"/>
          <w:szCs w:val="32"/>
        </w:rPr>
        <w:t>二、</w:t>
      </w:r>
      <w:r>
        <w:rPr>
          <w:rFonts w:hint="eastAsia" w:ascii="仿宋" w:hAnsi="仿宋" w:eastAsia="仿宋" w:cs="仿宋"/>
          <w:color w:val="auto"/>
          <w:spacing w:val="0"/>
          <w:sz w:val="32"/>
          <w:szCs w:val="32"/>
          <w:lang w:val="en-US" w:eastAsia="zh-CN"/>
        </w:rPr>
        <w:t>建设单位要认真落实生态环境影响报告表提出的各项污染防治措施，确保各种污染物稳定达标排放。</w:t>
      </w:r>
    </w:p>
    <w:p w14:paraId="4459E24C">
      <w:pPr>
        <w:keepNext w:val="0"/>
        <w:keepLines w:val="0"/>
        <w:pageBreakBefore w:val="0"/>
        <w:widowControl/>
        <w:kinsoku w:val="0"/>
        <w:wordWrap/>
        <w:overflowPunct/>
        <w:topLinePunct w:val="0"/>
        <w:autoSpaceDE w:val="0"/>
        <w:autoSpaceDN w:val="0"/>
        <w:bidi w:val="0"/>
        <w:adjustRightInd/>
        <w:snapToGrid/>
        <w:spacing w:line="600" w:lineRule="exact"/>
        <w:ind w:left="0" w:leftChars="0" w:right="0" w:rightChars="0" w:firstLine="640"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1.废气：本项目废气主要是沥青铣刨加工料再生滚筒干燥废气、成品出料废气、沥青储罐废气、搅拌混合废气、原生（碎石、机制砂）滚筒干燥废气、筛分废气、骨料仓进出料废气、溢料间进出料废气、计量废气、沥青混凝土矿粉罐打料废气。</w:t>
      </w:r>
    </w:p>
    <w:p w14:paraId="0BDFAA7D">
      <w:pPr>
        <w:keepNext w:val="0"/>
        <w:keepLines w:val="0"/>
        <w:pageBreakBefore w:val="0"/>
        <w:widowControl/>
        <w:kinsoku w:val="0"/>
        <w:wordWrap/>
        <w:overflowPunct/>
        <w:topLinePunct w:val="0"/>
        <w:autoSpaceDE w:val="0"/>
        <w:autoSpaceDN w:val="0"/>
        <w:bidi w:val="0"/>
        <w:adjustRightInd/>
        <w:snapToGrid/>
        <w:spacing w:line="600" w:lineRule="exact"/>
        <w:ind w:left="0" w:leftChars="0" w:right="0" w:rightChars="0" w:firstLine="640"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其中，沥青铣刨加工料再生滚筒干燥废气、成品出料废气、沥青储罐废气、搅拌混合废气引入现有1套“袋式除尘器（TA006）+电捕焦油器（TA007）+活性炭吸附脱附催化燃烧装置（TA008）”处理后，经1根15米高排气筒（DA006）排放。颗粒物、SO</w:t>
      </w:r>
      <w:r>
        <w:rPr>
          <w:rFonts w:hint="eastAsia" w:ascii="仿宋" w:hAnsi="仿宋" w:eastAsia="仿宋" w:cs="仿宋"/>
          <w:color w:val="auto"/>
          <w:spacing w:val="0"/>
          <w:sz w:val="32"/>
          <w:szCs w:val="32"/>
          <w:vertAlign w:val="subscript"/>
          <w:lang w:val="en-US" w:eastAsia="zh-CN"/>
        </w:rPr>
        <w:t>2</w:t>
      </w:r>
      <w:r>
        <w:rPr>
          <w:rFonts w:hint="eastAsia" w:ascii="仿宋" w:hAnsi="仿宋" w:eastAsia="仿宋" w:cs="仿宋"/>
          <w:color w:val="auto"/>
          <w:spacing w:val="0"/>
          <w:sz w:val="32"/>
          <w:szCs w:val="32"/>
          <w:lang w:val="en-US" w:eastAsia="zh-CN"/>
        </w:rPr>
        <w:t>、NOx、烟气黑度、沥青烟排放执行《工业炉窑大气污染物排放标准》（DB13/1640-2012），同时要满足</w:t>
      </w:r>
      <w:r>
        <w:rPr>
          <w:rFonts w:hint="default" w:ascii="仿宋" w:hAnsi="仿宋" w:eastAsia="仿宋" w:cs="仿宋"/>
          <w:color w:val="auto"/>
          <w:spacing w:val="0"/>
          <w:sz w:val="32"/>
          <w:szCs w:val="32"/>
          <w:lang w:val="en-US" w:eastAsia="zh-CN"/>
        </w:rPr>
        <w:t>《工业炉窑大气污染综合治理方案》（环大气［2019]56号）</w:t>
      </w:r>
      <w:r>
        <w:rPr>
          <w:rFonts w:hint="eastAsia" w:ascii="仿宋" w:hAnsi="仿宋" w:eastAsia="仿宋" w:cs="仿宋"/>
          <w:color w:val="auto"/>
          <w:spacing w:val="0"/>
          <w:sz w:val="32"/>
          <w:szCs w:val="32"/>
          <w:lang w:val="en-US" w:eastAsia="zh-CN"/>
        </w:rPr>
        <w:t>有关要求；沥青烟排放速率、苯并[a]芘排放浓度及速率执行《大气污染物综合排放标准》（GB16297-1996）表2二级排放限值要求；非甲烷总烃排放浓度执行《工业企业挥发性有机物排放控制标准》（DB13/2322-2025）表1“其他行业”标准；臭气浓度执行《恶臭污染物排放标准》（GB14554-93）表2标准限值要求。</w:t>
      </w:r>
    </w:p>
    <w:p w14:paraId="1387488C">
      <w:pPr>
        <w:keepNext w:val="0"/>
        <w:keepLines w:val="0"/>
        <w:pageBreakBefore w:val="0"/>
        <w:widowControl/>
        <w:kinsoku w:val="0"/>
        <w:wordWrap/>
        <w:overflowPunct/>
        <w:topLinePunct w:val="0"/>
        <w:autoSpaceDE w:val="0"/>
        <w:autoSpaceDN w:val="0"/>
        <w:bidi w:val="0"/>
        <w:adjustRightInd/>
        <w:snapToGrid/>
        <w:spacing w:line="600" w:lineRule="exact"/>
        <w:ind w:left="0" w:leftChars="0" w:right="0" w:rightChars="0" w:firstLine="640" w:firstLineChars="200"/>
        <w:jc w:val="both"/>
        <w:textAlignment w:val="baseline"/>
        <w:rPr>
          <w:rFonts w:hint="default"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原生（碎石、机制砂）滚筒干燥废气、筛分废气、骨料仓进出料废气、溢料间进出料废气、计量废气、沥青混凝土矿粉罐打料废气，经1台袋式除尘器（TA005）处理后，通过1根15米高排气筒（DA005）排放。颗粒物、SO</w:t>
      </w:r>
      <w:r>
        <w:rPr>
          <w:rFonts w:hint="eastAsia" w:ascii="仿宋" w:hAnsi="仿宋" w:eastAsia="仿宋" w:cs="仿宋"/>
          <w:color w:val="auto"/>
          <w:spacing w:val="0"/>
          <w:sz w:val="32"/>
          <w:szCs w:val="32"/>
          <w:vertAlign w:val="subscript"/>
          <w:lang w:val="en-US" w:eastAsia="zh-CN"/>
        </w:rPr>
        <w:t>2</w:t>
      </w:r>
      <w:r>
        <w:rPr>
          <w:rFonts w:hint="eastAsia" w:ascii="仿宋" w:hAnsi="仿宋" w:eastAsia="仿宋" w:cs="仿宋"/>
          <w:color w:val="auto"/>
          <w:spacing w:val="0"/>
          <w:sz w:val="32"/>
          <w:szCs w:val="32"/>
          <w:lang w:val="en-US" w:eastAsia="zh-CN"/>
        </w:rPr>
        <w:t>、NOx、烟气黑度排放执行《工业炉窑大气污染物排放标准》（DB13/1640-2012），同时要满足《工业炉窑大气污染综合治理方案》（环大气［2019]56 号）要求。</w:t>
      </w:r>
    </w:p>
    <w:p w14:paraId="0BCAAF99">
      <w:pPr>
        <w:keepNext w:val="0"/>
        <w:keepLines w:val="0"/>
        <w:pageBreakBefore w:val="0"/>
        <w:widowControl/>
        <w:kinsoku w:val="0"/>
        <w:wordWrap/>
        <w:overflowPunct/>
        <w:topLinePunct w:val="0"/>
        <w:autoSpaceDE w:val="0"/>
        <w:autoSpaceDN w:val="0"/>
        <w:bidi w:val="0"/>
        <w:adjustRightInd/>
        <w:snapToGrid/>
        <w:spacing w:line="600" w:lineRule="exact"/>
        <w:ind w:left="0" w:leftChars="0" w:right="0" w:rightChars="0" w:firstLine="640"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厂界无组织颗粒物、沥青烟、苯并[a]芘、非甲烷总烃的排放浓度执行《大气污染物综合排放标准》（</w:t>
      </w:r>
      <w:r>
        <w:rPr>
          <w:rFonts w:hint="default" w:ascii="仿宋" w:hAnsi="仿宋" w:eastAsia="仿宋" w:cs="仿宋"/>
          <w:color w:val="auto"/>
          <w:spacing w:val="0"/>
          <w:sz w:val="32"/>
          <w:szCs w:val="32"/>
          <w:lang w:val="en-US" w:eastAsia="zh-CN"/>
        </w:rPr>
        <w:t>GB16297-1996</w:t>
      </w:r>
      <w:r>
        <w:rPr>
          <w:rFonts w:hint="eastAsia" w:ascii="仿宋" w:hAnsi="仿宋" w:eastAsia="仿宋" w:cs="仿宋"/>
          <w:color w:val="auto"/>
          <w:spacing w:val="0"/>
          <w:sz w:val="32"/>
          <w:szCs w:val="32"/>
          <w:lang w:val="en-US" w:eastAsia="zh-CN"/>
        </w:rPr>
        <w:t>）表</w:t>
      </w:r>
      <w:r>
        <w:rPr>
          <w:rFonts w:hint="default" w:ascii="仿宋" w:hAnsi="仿宋" w:eastAsia="仿宋" w:cs="仿宋"/>
          <w:color w:val="auto"/>
          <w:spacing w:val="0"/>
          <w:sz w:val="32"/>
          <w:szCs w:val="32"/>
          <w:lang w:val="en-US" w:eastAsia="zh-CN"/>
        </w:rPr>
        <w:t>2</w:t>
      </w:r>
      <w:r>
        <w:rPr>
          <w:rFonts w:hint="eastAsia" w:ascii="仿宋" w:hAnsi="仿宋" w:eastAsia="仿宋" w:cs="仿宋"/>
          <w:color w:val="auto"/>
          <w:spacing w:val="0"/>
          <w:sz w:val="32"/>
          <w:szCs w:val="32"/>
          <w:lang w:val="en-US" w:eastAsia="zh-CN"/>
        </w:rPr>
        <w:t>中无组织排放监控浓度限值；厂房外无组织非甲烷总烃排放浓度执行《工业企业挥发性有机物排放控制标准》（DB13/2322-2025）表2厂区内挥发性有机物无组织排放限值；厂区内非甲烷总烃执行《挥发性有机物无组织排放控制标准》（GB37822-2019）附录A.1特别排放限值要求及无组织相关控制要求；臭气浓度执行《恶臭污染物排放标准》（GB14554-93）表1二级新扩改建标准。</w:t>
      </w:r>
    </w:p>
    <w:p w14:paraId="24898640">
      <w:pPr>
        <w:keepNext w:val="0"/>
        <w:keepLines w:val="0"/>
        <w:pageBreakBefore w:val="0"/>
        <w:widowControl/>
        <w:kinsoku w:val="0"/>
        <w:wordWrap/>
        <w:overflowPunct/>
        <w:topLinePunct w:val="0"/>
        <w:autoSpaceDE w:val="0"/>
        <w:autoSpaceDN w:val="0"/>
        <w:bidi w:val="0"/>
        <w:adjustRightInd/>
        <w:snapToGrid/>
        <w:spacing w:line="600" w:lineRule="exact"/>
        <w:ind w:left="0" w:leftChars="0" w:right="0" w:rightChars="0" w:firstLine="640"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2.废水：本项目项目不新增用水，无新增废水产生及排放。</w:t>
      </w:r>
    </w:p>
    <w:p w14:paraId="1276743B">
      <w:pPr>
        <w:keepNext w:val="0"/>
        <w:keepLines w:val="0"/>
        <w:pageBreakBefore w:val="0"/>
        <w:widowControl/>
        <w:kinsoku w:val="0"/>
        <w:wordWrap/>
        <w:overflowPunct/>
        <w:topLinePunct w:val="0"/>
        <w:autoSpaceDE w:val="0"/>
        <w:autoSpaceDN w:val="0"/>
        <w:bidi w:val="0"/>
        <w:adjustRightInd/>
        <w:snapToGrid/>
        <w:spacing w:line="600" w:lineRule="exact"/>
        <w:ind w:left="0" w:leftChars="0" w:right="0" w:rightChars="0" w:firstLine="640" w:firstLineChars="200"/>
        <w:jc w:val="both"/>
        <w:textAlignment w:val="baseline"/>
        <w:rPr>
          <w:rFonts w:hint="eastAsia"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3.噪声：本项目噪声主要为烘干滚筒、燃烧器、风机等设备运行时产生的噪声。通过选用低噪声设备，采取合理布设、基础减振、距离衰减等等措施降噪，</w:t>
      </w:r>
      <w:r>
        <w:rPr>
          <w:rFonts w:hint="default" w:ascii="仿宋" w:hAnsi="仿宋" w:eastAsia="仿宋" w:cs="仿宋"/>
          <w:color w:val="auto"/>
          <w:spacing w:val="0"/>
          <w:sz w:val="32"/>
          <w:szCs w:val="32"/>
          <w:lang w:val="en-US" w:eastAsia="zh-CN"/>
        </w:rPr>
        <w:t>厂界噪声</w:t>
      </w:r>
      <w:r>
        <w:rPr>
          <w:rFonts w:hint="eastAsia" w:ascii="仿宋" w:hAnsi="仿宋" w:eastAsia="仿宋" w:cs="仿宋"/>
          <w:color w:val="auto"/>
          <w:spacing w:val="0"/>
          <w:sz w:val="32"/>
          <w:szCs w:val="32"/>
          <w:lang w:val="en-US" w:eastAsia="zh-CN"/>
        </w:rPr>
        <w:t>执行</w:t>
      </w:r>
      <w:r>
        <w:rPr>
          <w:rFonts w:hint="default" w:ascii="仿宋" w:hAnsi="仿宋" w:eastAsia="仿宋" w:cs="仿宋"/>
          <w:color w:val="auto"/>
          <w:spacing w:val="0"/>
          <w:sz w:val="32"/>
          <w:szCs w:val="32"/>
          <w:lang w:val="en-US" w:eastAsia="zh-CN"/>
        </w:rPr>
        <w:t>《工业企业厂界环境噪声排放标准》（GB12348-2008）</w:t>
      </w:r>
      <w:r>
        <w:rPr>
          <w:rFonts w:hint="eastAsia" w:ascii="仿宋" w:hAnsi="仿宋" w:eastAsia="仿宋" w:cs="仿宋"/>
          <w:color w:val="auto"/>
          <w:spacing w:val="0"/>
          <w:sz w:val="32"/>
          <w:szCs w:val="32"/>
          <w:lang w:val="en-US" w:eastAsia="zh-CN"/>
        </w:rPr>
        <w:t>2</w:t>
      </w:r>
      <w:r>
        <w:rPr>
          <w:rFonts w:hint="default" w:ascii="仿宋" w:hAnsi="仿宋" w:eastAsia="仿宋" w:cs="仿宋"/>
          <w:color w:val="auto"/>
          <w:spacing w:val="0"/>
          <w:sz w:val="32"/>
          <w:szCs w:val="32"/>
          <w:lang w:val="en-US" w:eastAsia="zh-CN"/>
        </w:rPr>
        <w:t>类区标准要求</w:t>
      </w:r>
      <w:r>
        <w:rPr>
          <w:rFonts w:hint="eastAsia" w:ascii="仿宋" w:hAnsi="仿宋" w:eastAsia="仿宋" w:cs="仿宋"/>
          <w:color w:val="auto"/>
          <w:spacing w:val="0"/>
          <w:sz w:val="32"/>
          <w:szCs w:val="32"/>
          <w:lang w:val="en-US" w:eastAsia="zh-CN"/>
        </w:rPr>
        <w:t>。</w:t>
      </w:r>
    </w:p>
    <w:p w14:paraId="538E9230">
      <w:pPr>
        <w:keepNext w:val="0"/>
        <w:keepLines w:val="0"/>
        <w:pageBreakBefore w:val="0"/>
        <w:widowControl/>
        <w:kinsoku w:val="0"/>
        <w:wordWrap/>
        <w:overflowPunct/>
        <w:topLinePunct w:val="0"/>
        <w:autoSpaceDE w:val="0"/>
        <w:autoSpaceDN w:val="0"/>
        <w:bidi w:val="0"/>
        <w:adjustRightInd/>
        <w:snapToGrid/>
        <w:spacing w:line="600" w:lineRule="exact"/>
        <w:ind w:left="0" w:leftChars="0" w:right="0" w:rightChars="0" w:firstLine="640" w:firstLineChars="200"/>
        <w:jc w:val="both"/>
        <w:textAlignment w:val="baseline"/>
        <w:rPr>
          <w:rFonts w:hint="default" w:ascii="仿宋" w:hAnsi="仿宋" w:eastAsia="仿宋" w:cs="仿宋"/>
          <w:color w:val="auto"/>
          <w:spacing w:val="0"/>
          <w:sz w:val="32"/>
          <w:szCs w:val="32"/>
          <w:lang w:val="en-US" w:eastAsia="zh-CN"/>
        </w:rPr>
      </w:pPr>
      <w:r>
        <w:rPr>
          <w:rFonts w:hint="eastAsia" w:ascii="仿宋" w:hAnsi="仿宋" w:eastAsia="仿宋" w:cs="仿宋"/>
          <w:color w:val="auto"/>
          <w:spacing w:val="0"/>
          <w:sz w:val="32"/>
          <w:szCs w:val="32"/>
          <w:lang w:val="en-US" w:eastAsia="zh-CN"/>
        </w:rPr>
        <w:t>4.固体废弃物：本项目仅沥青铣刨加工料干燥设备及废气治理设施发生变化，沥青铣刨加工料消耗量、颗粒物产生量、布袋除尘器处理效率、活性炭更换频率等均不发生变化，无新增固废。项目一般固废管理执行《一般工业固体废物贮存和填埋污染控制标准》（GB18599-2020）中相关规定；危险废物处理与处置执行《危险废物贮存污染控制标准》（GB 18597-2023）有关要求。</w:t>
      </w:r>
    </w:p>
    <w:p w14:paraId="5463F23E">
      <w:pPr>
        <w:keepNext w:val="0"/>
        <w:keepLines w:val="0"/>
        <w:pageBreakBefore w:val="0"/>
        <w:widowControl/>
        <w:kinsoku w:val="0"/>
        <w:wordWrap/>
        <w:overflowPunct/>
        <w:topLinePunct w:val="0"/>
        <w:autoSpaceDE w:val="0"/>
        <w:autoSpaceDN w:val="0"/>
        <w:bidi w:val="0"/>
        <w:adjustRightInd/>
        <w:snapToGrid/>
        <w:spacing w:line="600" w:lineRule="exact"/>
        <w:ind w:right="0" w:rightChars="0" w:firstLine="640" w:firstLineChars="200"/>
        <w:jc w:val="both"/>
        <w:textAlignment w:val="baseline"/>
        <w:rPr>
          <w:rFonts w:hint="eastAsia" w:ascii="仿宋" w:hAnsi="仿宋" w:eastAsia="仿宋" w:cs="仿宋"/>
          <w:color w:val="auto"/>
          <w:spacing w:val="0"/>
          <w:sz w:val="32"/>
          <w:szCs w:val="32"/>
        </w:rPr>
      </w:pPr>
      <w:r>
        <w:rPr>
          <w:rFonts w:hint="eastAsia" w:ascii="仿宋" w:hAnsi="仿宋" w:eastAsia="仿宋" w:cs="仿宋"/>
          <w:color w:val="auto"/>
          <w:spacing w:val="0"/>
          <w:sz w:val="32"/>
          <w:szCs w:val="32"/>
        </w:rPr>
        <w:t>三、</w:t>
      </w:r>
      <w:r>
        <w:rPr>
          <w:rFonts w:hint="eastAsia" w:ascii="仿宋" w:hAnsi="仿宋" w:eastAsia="仿宋" w:cs="仿宋"/>
          <w:color w:val="auto"/>
          <w:spacing w:val="0"/>
          <w:sz w:val="32"/>
          <w:szCs w:val="32"/>
          <w:lang w:val="en-US" w:eastAsia="zh-CN"/>
        </w:rPr>
        <w:t>该</w:t>
      </w:r>
      <w:r>
        <w:rPr>
          <w:rFonts w:hint="eastAsia" w:ascii="仿宋" w:hAnsi="仿宋" w:eastAsia="仿宋" w:cs="仿宋"/>
          <w:color w:val="auto"/>
          <w:spacing w:val="0"/>
          <w:sz w:val="32"/>
          <w:szCs w:val="32"/>
        </w:rPr>
        <w:t>项目应严格</w:t>
      </w:r>
      <w:r>
        <w:rPr>
          <w:rFonts w:hint="eastAsia" w:ascii="仿宋" w:hAnsi="仿宋" w:eastAsia="仿宋" w:cs="仿宋"/>
          <w:color w:val="auto"/>
          <w:spacing w:val="0"/>
          <w:sz w:val="32"/>
          <w:szCs w:val="32"/>
          <w:lang w:val="en-US" w:eastAsia="zh-CN"/>
        </w:rPr>
        <w:t>落实生态</w:t>
      </w:r>
      <w:r>
        <w:rPr>
          <w:rFonts w:hint="eastAsia" w:ascii="仿宋" w:hAnsi="仿宋" w:eastAsia="仿宋" w:cs="仿宋"/>
          <w:color w:val="auto"/>
          <w:spacing w:val="0"/>
          <w:sz w:val="32"/>
          <w:szCs w:val="32"/>
        </w:rPr>
        <w:t>环境影响报告表提出的环境风险防范</w:t>
      </w:r>
      <w:r>
        <w:rPr>
          <w:rFonts w:hint="eastAsia" w:ascii="仿宋" w:hAnsi="仿宋" w:eastAsia="仿宋" w:cs="仿宋"/>
          <w:color w:val="auto"/>
          <w:spacing w:val="0"/>
          <w:sz w:val="32"/>
          <w:szCs w:val="32"/>
          <w:lang w:val="en-US" w:eastAsia="zh-CN"/>
        </w:rPr>
        <w:t>要求和措施</w:t>
      </w:r>
      <w:r>
        <w:rPr>
          <w:rFonts w:hint="eastAsia" w:ascii="仿宋" w:hAnsi="仿宋" w:eastAsia="仿宋" w:cs="仿宋"/>
          <w:color w:val="auto"/>
          <w:spacing w:val="0"/>
          <w:sz w:val="32"/>
          <w:szCs w:val="32"/>
        </w:rPr>
        <w:t>，加强</w:t>
      </w:r>
      <w:r>
        <w:rPr>
          <w:rFonts w:hint="eastAsia" w:ascii="仿宋" w:hAnsi="仿宋" w:eastAsia="仿宋" w:cs="仿宋"/>
          <w:color w:val="auto"/>
          <w:spacing w:val="0"/>
          <w:sz w:val="32"/>
          <w:szCs w:val="32"/>
          <w:lang w:val="en-US" w:eastAsia="zh-CN"/>
        </w:rPr>
        <w:t>污染治理设施日常</w:t>
      </w:r>
      <w:r>
        <w:rPr>
          <w:rFonts w:hint="eastAsia" w:ascii="仿宋" w:hAnsi="仿宋" w:eastAsia="仿宋" w:cs="仿宋"/>
          <w:color w:val="auto"/>
          <w:spacing w:val="0"/>
          <w:sz w:val="32"/>
          <w:szCs w:val="32"/>
        </w:rPr>
        <w:t>维护和</w:t>
      </w:r>
      <w:r>
        <w:rPr>
          <w:rFonts w:hint="eastAsia" w:ascii="仿宋" w:hAnsi="仿宋" w:eastAsia="仿宋" w:cs="仿宋"/>
          <w:color w:val="auto"/>
          <w:spacing w:val="0"/>
          <w:sz w:val="32"/>
          <w:szCs w:val="32"/>
          <w:lang w:val="en-US" w:eastAsia="zh-CN"/>
        </w:rPr>
        <w:t>厂</w:t>
      </w:r>
      <w:r>
        <w:rPr>
          <w:rFonts w:hint="eastAsia" w:ascii="仿宋" w:hAnsi="仿宋" w:eastAsia="仿宋" w:cs="仿宋"/>
          <w:color w:val="auto"/>
          <w:spacing w:val="0"/>
          <w:sz w:val="32"/>
          <w:szCs w:val="32"/>
        </w:rPr>
        <w:t>区环境管理，落实防渗措施，确保事故情况下的环境安全。应严格按照安全生产监督管理的要求，做好各类风险源管控保护。其他生态环境措施和管理要求</w:t>
      </w:r>
      <w:r>
        <w:rPr>
          <w:rFonts w:hint="eastAsia" w:ascii="仿宋" w:hAnsi="仿宋" w:eastAsia="仿宋" w:cs="仿宋"/>
          <w:color w:val="auto"/>
          <w:spacing w:val="0"/>
          <w:sz w:val="32"/>
          <w:szCs w:val="32"/>
          <w:lang w:eastAsia="zh-CN"/>
        </w:rPr>
        <w:t>，</w:t>
      </w:r>
      <w:r>
        <w:rPr>
          <w:rFonts w:hint="eastAsia" w:ascii="仿宋" w:hAnsi="仿宋" w:eastAsia="仿宋" w:cs="仿宋"/>
          <w:color w:val="auto"/>
          <w:spacing w:val="0"/>
          <w:sz w:val="32"/>
          <w:szCs w:val="32"/>
        </w:rPr>
        <w:t>严格按相关规定落实。</w:t>
      </w:r>
    </w:p>
    <w:p w14:paraId="733A1060">
      <w:pPr>
        <w:keepNext w:val="0"/>
        <w:keepLines w:val="0"/>
        <w:pageBreakBefore w:val="0"/>
        <w:widowControl/>
        <w:kinsoku w:val="0"/>
        <w:wordWrap/>
        <w:overflowPunct/>
        <w:topLinePunct w:val="0"/>
        <w:autoSpaceDE w:val="0"/>
        <w:autoSpaceDN w:val="0"/>
        <w:bidi w:val="0"/>
        <w:adjustRightInd/>
        <w:snapToGrid/>
        <w:spacing w:line="600" w:lineRule="exact"/>
        <w:ind w:right="0" w:rightChars="0" w:firstLine="640" w:firstLineChars="200"/>
        <w:jc w:val="both"/>
        <w:textAlignment w:val="baseline"/>
        <w:rPr>
          <w:rFonts w:hint="eastAsia" w:ascii="仿宋" w:hAnsi="仿宋" w:eastAsia="仿宋" w:cs="仿宋"/>
          <w:color w:val="auto"/>
          <w:spacing w:val="0"/>
          <w:sz w:val="32"/>
          <w:szCs w:val="32"/>
        </w:rPr>
      </w:pPr>
      <w:r>
        <w:rPr>
          <w:rFonts w:hint="eastAsia" w:ascii="仿宋" w:hAnsi="仿宋" w:eastAsia="仿宋" w:cs="仿宋"/>
          <w:color w:val="auto"/>
          <w:spacing w:val="0"/>
          <w:sz w:val="32"/>
          <w:szCs w:val="32"/>
        </w:rPr>
        <w:t>四、项目建设应严格执行</w:t>
      </w:r>
      <w:r>
        <w:rPr>
          <w:rFonts w:hint="eastAsia" w:ascii="仿宋" w:hAnsi="仿宋" w:eastAsia="仿宋" w:cs="仿宋"/>
          <w:color w:val="auto"/>
          <w:spacing w:val="0"/>
          <w:sz w:val="32"/>
          <w:szCs w:val="32"/>
          <w:lang w:eastAsia="zh-CN"/>
        </w:rPr>
        <w:t>“</w:t>
      </w:r>
      <w:r>
        <w:rPr>
          <w:rFonts w:hint="eastAsia" w:ascii="仿宋" w:hAnsi="仿宋" w:eastAsia="仿宋" w:cs="仿宋"/>
          <w:color w:val="auto"/>
          <w:spacing w:val="0"/>
          <w:sz w:val="32"/>
          <w:szCs w:val="32"/>
        </w:rPr>
        <w:t>三同时”管理制度，定期向生态环境部门报告“三同时”完成情况。建设单位应当在项目竣工后</w:t>
      </w:r>
      <w:r>
        <w:rPr>
          <w:rFonts w:hint="eastAsia" w:ascii="仿宋" w:hAnsi="仿宋" w:eastAsia="仿宋" w:cs="仿宋"/>
          <w:color w:val="auto"/>
          <w:spacing w:val="0"/>
          <w:sz w:val="32"/>
          <w:szCs w:val="32"/>
          <w:lang w:eastAsia="zh-CN"/>
        </w:rPr>
        <w:t>，</w:t>
      </w:r>
      <w:r>
        <w:rPr>
          <w:rFonts w:hint="eastAsia" w:ascii="仿宋" w:hAnsi="仿宋" w:eastAsia="仿宋" w:cs="仿宋"/>
          <w:color w:val="auto"/>
          <w:spacing w:val="0"/>
          <w:sz w:val="32"/>
          <w:szCs w:val="32"/>
        </w:rPr>
        <w:t>按要求办理相关排污许可手续后</w:t>
      </w:r>
      <w:r>
        <w:rPr>
          <w:rFonts w:hint="eastAsia" w:ascii="仿宋" w:hAnsi="仿宋" w:eastAsia="仿宋" w:cs="仿宋"/>
          <w:color w:val="auto"/>
          <w:spacing w:val="0"/>
          <w:sz w:val="32"/>
          <w:szCs w:val="32"/>
          <w:lang w:eastAsia="zh-CN"/>
        </w:rPr>
        <w:t>，</w:t>
      </w:r>
      <w:r>
        <w:rPr>
          <w:rFonts w:hint="eastAsia" w:ascii="仿宋" w:hAnsi="仿宋" w:eastAsia="仿宋" w:cs="仿宋"/>
          <w:color w:val="auto"/>
          <w:spacing w:val="0"/>
          <w:sz w:val="32"/>
          <w:szCs w:val="32"/>
        </w:rPr>
        <w:t>方可实际排污</w:t>
      </w:r>
      <w:r>
        <w:rPr>
          <w:rFonts w:hint="eastAsia" w:ascii="仿宋" w:hAnsi="仿宋" w:eastAsia="仿宋" w:cs="仿宋"/>
          <w:color w:val="auto"/>
          <w:spacing w:val="0"/>
          <w:sz w:val="32"/>
          <w:szCs w:val="32"/>
          <w:lang w:eastAsia="zh-CN"/>
        </w:rPr>
        <w:t>；</w:t>
      </w:r>
      <w:r>
        <w:rPr>
          <w:rFonts w:hint="eastAsia" w:ascii="仿宋" w:hAnsi="仿宋" w:eastAsia="仿宋" w:cs="仿宋"/>
          <w:color w:val="auto"/>
          <w:spacing w:val="0"/>
          <w:sz w:val="32"/>
          <w:szCs w:val="32"/>
        </w:rPr>
        <w:t>应按照规定的标准和程序，组织项目竣工环境保护验收，编制验收报告，验收合格后，方可正式投入运营，并依法依规向社会公开，接受群众监督。</w:t>
      </w:r>
    </w:p>
    <w:p w14:paraId="374A027D">
      <w:pPr>
        <w:keepNext w:val="0"/>
        <w:keepLines w:val="0"/>
        <w:pageBreakBefore w:val="0"/>
        <w:widowControl/>
        <w:kinsoku w:val="0"/>
        <w:wordWrap/>
        <w:overflowPunct/>
        <w:topLinePunct w:val="0"/>
        <w:autoSpaceDE w:val="0"/>
        <w:autoSpaceDN w:val="0"/>
        <w:bidi w:val="0"/>
        <w:adjustRightInd/>
        <w:snapToGrid/>
        <w:spacing w:line="600" w:lineRule="exact"/>
        <w:ind w:right="0" w:rightChars="0" w:firstLine="640" w:firstLineChars="200"/>
        <w:jc w:val="both"/>
        <w:textAlignment w:val="baseline"/>
        <w:rPr>
          <w:rFonts w:hint="eastAsia" w:ascii="仿宋" w:hAnsi="仿宋" w:eastAsia="仿宋" w:cs="仿宋"/>
          <w:color w:val="auto"/>
          <w:spacing w:val="0"/>
          <w:sz w:val="32"/>
          <w:szCs w:val="32"/>
        </w:rPr>
      </w:pPr>
      <w:r>
        <w:rPr>
          <w:rFonts w:hint="eastAsia" w:ascii="仿宋" w:hAnsi="仿宋" w:eastAsia="仿宋" w:cs="仿宋"/>
          <w:color w:val="auto"/>
          <w:spacing w:val="0"/>
          <w:sz w:val="32"/>
          <w:szCs w:val="32"/>
        </w:rPr>
        <w:t>五、该项目环评文件经批准后，建设项目的性质、规模、地点、采用的生产工艺或者防治污染的措施等发生重大变动的，建设单位应当依法重新报批。</w:t>
      </w:r>
    </w:p>
    <w:p w14:paraId="28B372EE">
      <w:pPr>
        <w:keepNext w:val="0"/>
        <w:keepLines w:val="0"/>
        <w:pageBreakBefore w:val="0"/>
        <w:widowControl/>
        <w:kinsoku w:val="0"/>
        <w:wordWrap/>
        <w:overflowPunct/>
        <w:topLinePunct w:val="0"/>
        <w:autoSpaceDE w:val="0"/>
        <w:autoSpaceDN w:val="0"/>
        <w:bidi w:val="0"/>
        <w:adjustRightInd/>
        <w:snapToGrid/>
        <w:spacing w:line="600" w:lineRule="exact"/>
        <w:ind w:right="0" w:rightChars="0" w:firstLine="640" w:firstLineChars="200"/>
        <w:jc w:val="both"/>
        <w:textAlignment w:val="baseline"/>
        <w:rPr>
          <w:rFonts w:hint="eastAsia" w:ascii="仿宋" w:hAnsi="仿宋" w:eastAsia="仿宋" w:cs="仿宋"/>
          <w:color w:val="auto"/>
          <w:spacing w:val="0"/>
          <w:sz w:val="32"/>
          <w:szCs w:val="32"/>
          <w:lang w:eastAsia="zh-CN"/>
        </w:rPr>
      </w:pPr>
      <w:r>
        <w:rPr>
          <w:rFonts w:hint="eastAsia" w:ascii="仿宋" w:hAnsi="仿宋" w:eastAsia="仿宋" w:cs="仿宋"/>
          <w:color w:val="auto"/>
          <w:spacing w:val="0"/>
          <w:sz w:val="32"/>
          <w:szCs w:val="32"/>
          <w:lang w:val="en-US" w:eastAsia="zh-CN"/>
        </w:rPr>
        <w:t>六、本次技改</w:t>
      </w:r>
      <w:r>
        <w:rPr>
          <w:rFonts w:hint="eastAsia" w:ascii="仿宋" w:hAnsi="仿宋" w:eastAsia="仿宋" w:cs="仿宋"/>
          <w:color w:val="auto"/>
          <w:spacing w:val="0"/>
          <w:sz w:val="32"/>
          <w:szCs w:val="32"/>
          <w:lang w:eastAsia="zh-CN"/>
        </w:rPr>
        <w:t>项目</w:t>
      </w:r>
      <w:r>
        <w:rPr>
          <w:rFonts w:hint="eastAsia" w:ascii="仿宋" w:hAnsi="仿宋" w:eastAsia="仿宋" w:cs="仿宋"/>
          <w:color w:val="auto"/>
          <w:spacing w:val="0"/>
          <w:sz w:val="32"/>
          <w:szCs w:val="32"/>
          <w:lang w:val="en-US" w:eastAsia="zh-CN"/>
        </w:rPr>
        <w:t>完成后，全厂主要</w:t>
      </w:r>
      <w:r>
        <w:rPr>
          <w:rFonts w:hint="eastAsia" w:ascii="仿宋" w:hAnsi="仿宋" w:eastAsia="仿宋" w:cs="仿宋"/>
          <w:color w:val="auto"/>
          <w:spacing w:val="0"/>
          <w:sz w:val="32"/>
          <w:szCs w:val="32"/>
        </w:rPr>
        <w:t>污染物排放总量控制指标</w:t>
      </w:r>
      <w:r>
        <w:rPr>
          <w:rFonts w:hint="eastAsia" w:ascii="仿宋" w:hAnsi="仿宋" w:eastAsia="仿宋" w:cs="仿宋"/>
          <w:color w:val="auto"/>
          <w:spacing w:val="0"/>
          <w:sz w:val="32"/>
          <w:szCs w:val="32"/>
          <w:lang w:val="en-US" w:eastAsia="zh-CN"/>
        </w:rPr>
        <w:t>为</w:t>
      </w:r>
      <w:r>
        <w:rPr>
          <w:rFonts w:hint="eastAsia" w:ascii="仿宋" w:hAnsi="仿宋" w:eastAsia="仿宋" w:cs="仿宋"/>
          <w:color w:val="auto"/>
          <w:spacing w:val="0"/>
          <w:sz w:val="32"/>
          <w:szCs w:val="32"/>
        </w:rPr>
        <w:t>COD:</w:t>
      </w:r>
      <w:r>
        <w:rPr>
          <w:rFonts w:hint="eastAsia" w:ascii="仿宋" w:hAnsi="仿宋" w:eastAsia="仿宋" w:cs="仿宋"/>
          <w:color w:val="auto"/>
          <w:spacing w:val="0"/>
          <w:sz w:val="32"/>
          <w:szCs w:val="32"/>
          <w:lang w:val="en-US" w:eastAsia="zh-CN"/>
        </w:rPr>
        <w:t>0</w:t>
      </w:r>
      <w:r>
        <w:rPr>
          <w:rFonts w:hint="eastAsia" w:ascii="仿宋" w:hAnsi="仿宋" w:eastAsia="仿宋" w:cs="仿宋"/>
          <w:color w:val="auto"/>
          <w:spacing w:val="0"/>
          <w:sz w:val="32"/>
          <w:szCs w:val="32"/>
        </w:rPr>
        <w:t>t/a</w:t>
      </w:r>
      <w:r>
        <w:rPr>
          <w:rFonts w:hint="eastAsia" w:ascii="仿宋" w:hAnsi="仿宋" w:eastAsia="仿宋" w:cs="仿宋"/>
          <w:color w:val="auto"/>
          <w:spacing w:val="0"/>
          <w:sz w:val="32"/>
          <w:szCs w:val="32"/>
          <w:lang w:eastAsia="zh-CN"/>
        </w:rPr>
        <w:t>；</w:t>
      </w:r>
      <w:r>
        <w:rPr>
          <w:rFonts w:hint="eastAsia" w:ascii="仿宋" w:hAnsi="仿宋" w:eastAsia="仿宋" w:cs="仿宋"/>
          <w:color w:val="auto"/>
          <w:spacing w:val="0"/>
          <w:sz w:val="32"/>
          <w:szCs w:val="32"/>
        </w:rPr>
        <w:t>NH</w:t>
      </w:r>
      <w:r>
        <w:rPr>
          <w:rFonts w:hint="eastAsia" w:ascii="仿宋" w:hAnsi="仿宋" w:eastAsia="仿宋" w:cs="仿宋"/>
          <w:color w:val="auto"/>
          <w:spacing w:val="0"/>
          <w:sz w:val="32"/>
          <w:szCs w:val="32"/>
          <w:lang w:val="en-US" w:eastAsia="zh-CN"/>
        </w:rPr>
        <w:t>3</w:t>
      </w:r>
      <w:r>
        <w:rPr>
          <w:rFonts w:hint="eastAsia" w:ascii="仿宋" w:hAnsi="仿宋" w:eastAsia="仿宋" w:cs="仿宋"/>
          <w:color w:val="auto"/>
          <w:spacing w:val="0"/>
          <w:sz w:val="32"/>
          <w:szCs w:val="32"/>
        </w:rPr>
        <w:t>-N:0t/a</w:t>
      </w:r>
      <w:r>
        <w:rPr>
          <w:rFonts w:hint="eastAsia" w:ascii="仿宋" w:hAnsi="仿宋" w:eastAsia="仿宋" w:cs="仿宋"/>
          <w:color w:val="auto"/>
          <w:spacing w:val="0"/>
          <w:sz w:val="32"/>
          <w:szCs w:val="32"/>
          <w:lang w:eastAsia="zh-CN"/>
        </w:rPr>
        <w:t>；</w:t>
      </w:r>
      <w:r>
        <w:rPr>
          <w:rFonts w:hint="eastAsia" w:ascii="仿宋" w:hAnsi="仿宋" w:eastAsia="仿宋" w:cs="仿宋"/>
          <w:color w:val="auto"/>
          <w:spacing w:val="0"/>
          <w:sz w:val="32"/>
          <w:szCs w:val="32"/>
        </w:rPr>
        <w:t>SO</w:t>
      </w:r>
      <w:r>
        <w:rPr>
          <w:rFonts w:hint="eastAsia" w:ascii="仿宋" w:hAnsi="仿宋" w:eastAsia="仿宋" w:cs="仿宋"/>
          <w:color w:val="auto"/>
          <w:spacing w:val="0"/>
          <w:sz w:val="32"/>
          <w:szCs w:val="32"/>
          <w:vertAlign w:val="subscript"/>
          <w:lang w:val="en-US" w:eastAsia="zh-CN"/>
        </w:rPr>
        <w:t>2</w:t>
      </w:r>
      <w:r>
        <w:rPr>
          <w:rFonts w:hint="eastAsia" w:ascii="仿宋" w:hAnsi="仿宋" w:eastAsia="仿宋" w:cs="仿宋"/>
          <w:color w:val="auto"/>
          <w:spacing w:val="0"/>
          <w:sz w:val="32"/>
          <w:szCs w:val="32"/>
        </w:rPr>
        <w:t>:1.078t/a</w:t>
      </w:r>
      <w:r>
        <w:rPr>
          <w:rFonts w:hint="eastAsia" w:ascii="仿宋" w:hAnsi="仿宋" w:eastAsia="仿宋" w:cs="仿宋"/>
          <w:color w:val="auto"/>
          <w:spacing w:val="0"/>
          <w:sz w:val="32"/>
          <w:szCs w:val="32"/>
          <w:lang w:eastAsia="zh-CN"/>
        </w:rPr>
        <w:t>；</w:t>
      </w:r>
      <w:r>
        <w:rPr>
          <w:rFonts w:hint="eastAsia" w:ascii="仿宋" w:hAnsi="仿宋" w:eastAsia="仿宋" w:cs="仿宋"/>
          <w:color w:val="auto"/>
          <w:spacing w:val="0"/>
          <w:sz w:val="32"/>
          <w:szCs w:val="32"/>
        </w:rPr>
        <w:t>NO</w:t>
      </w:r>
      <w:r>
        <w:rPr>
          <w:rFonts w:hint="eastAsia" w:ascii="仿宋" w:hAnsi="仿宋" w:eastAsia="仿宋" w:cs="仿宋"/>
          <w:color w:val="auto"/>
          <w:spacing w:val="0"/>
          <w:sz w:val="32"/>
          <w:szCs w:val="32"/>
          <w:vertAlign w:val="subscript"/>
          <w:lang w:val="en-US" w:eastAsia="zh-CN"/>
        </w:rPr>
        <w:t>X</w:t>
      </w:r>
      <w:r>
        <w:rPr>
          <w:rFonts w:hint="eastAsia" w:ascii="仿宋" w:hAnsi="仿宋" w:eastAsia="仿宋" w:cs="仿宋"/>
          <w:color w:val="auto"/>
          <w:spacing w:val="0"/>
          <w:sz w:val="32"/>
          <w:szCs w:val="32"/>
        </w:rPr>
        <w:t>:</w:t>
      </w:r>
      <w:r>
        <w:rPr>
          <w:rFonts w:hint="eastAsia" w:ascii="仿宋" w:hAnsi="仿宋" w:eastAsia="仿宋" w:cs="仿宋"/>
          <w:color w:val="auto"/>
          <w:spacing w:val="0"/>
          <w:sz w:val="32"/>
          <w:szCs w:val="32"/>
          <w:lang w:val="en-US" w:eastAsia="zh-CN"/>
        </w:rPr>
        <w:t>1.654</w:t>
      </w:r>
      <w:r>
        <w:rPr>
          <w:rFonts w:hint="eastAsia" w:ascii="仿宋" w:hAnsi="仿宋" w:eastAsia="仿宋" w:cs="仿宋"/>
          <w:color w:val="auto"/>
          <w:spacing w:val="0"/>
          <w:sz w:val="32"/>
          <w:szCs w:val="32"/>
        </w:rPr>
        <w:t>t/a</w:t>
      </w:r>
      <w:r>
        <w:rPr>
          <w:rFonts w:hint="eastAsia" w:ascii="仿宋" w:hAnsi="仿宋" w:eastAsia="仿宋" w:cs="仿宋"/>
          <w:color w:val="auto"/>
          <w:spacing w:val="0"/>
          <w:sz w:val="32"/>
          <w:szCs w:val="32"/>
          <w:lang w:eastAsia="zh-CN"/>
        </w:rPr>
        <w:t>；</w:t>
      </w:r>
      <w:r>
        <w:rPr>
          <w:rFonts w:hint="eastAsia" w:ascii="仿宋" w:hAnsi="仿宋" w:eastAsia="仿宋" w:cs="仿宋"/>
          <w:color w:val="auto"/>
          <w:spacing w:val="0"/>
          <w:sz w:val="32"/>
          <w:szCs w:val="32"/>
          <w:lang w:val="en-US" w:eastAsia="zh-CN"/>
        </w:rPr>
        <w:t>非甲烷总烃：0.001t/a。</w:t>
      </w:r>
    </w:p>
    <w:p w14:paraId="4095C412">
      <w:pPr>
        <w:keepNext w:val="0"/>
        <w:keepLines w:val="0"/>
        <w:pageBreakBefore w:val="0"/>
        <w:widowControl/>
        <w:kinsoku w:val="0"/>
        <w:wordWrap/>
        <w:overflowPunct/>
        <w:topLinePunct w:val="0"/>
        <w:autoSpaceDE w:val="0"/>
        <w:autoSpaceDN w:val="0"/>
        <w:bidi w:val="0"/>
        <w:adjustRightInd/>
        <w:snapToGrid/>
        <w:spacing w:line="600" w:lineRule="exact"/>
        <w:ind w:right="0" w:rightChars="0" w:firstLine="640" w:firstLineChars="200"/>
        <w:jc w:val="both"/>
        <w:textAlignment w:val="baseline"/>
        <w:rPr>
          <w:rFonts w:hint="eastAsia" w:ascii="仿宋" w:hAnsi="仿宋" w:eastAsia="仿宋" w:cs="仿宋"/>
          <w:color w:val="auto"/>
          <w:spacing w:val="0"/>
          <w:sz w:val="32"/>
          <w:szCs w:val="32"/>
        </w:rPr>
      </w:pPr>
      <w:r>
        <w:rPr>
          <w:rFonts w:hint="eastAsia" w:ascii="仿宋" w:hAnsi="仿宋" w:eastAsia="仿宋" w:cs="仿宋"/>
          <w:color w:val="auto"/>
          <w:spacing w:val="0"/>
          <w:sz w:val="32"/>
          <w:szCs w:val="32"/>
        </w:rPr>
        <w:t>七、请你单位取得批复后</w:t>
      </w:r>
      <w:r>
        <w:rPr>
          <w:rFonts w:hint="eastAsia" w:ascii="仿宋" w:hAnsi="仿宋" w:eastAsia="仿宋" w:cs="仿宋"/>
          <w:color w:val="auto"/>
          <w:spacing w:val="0"/>
          <w:sz w:val="32"/>
          <w:szCs w:val="32"/>
          <w:lang w:val="en-US" w:eastAsia="zh-CN"/>
        </w:rPr>
        <w:t>3</w:t>
      </w:r>
      <w:r>
        <w:rPr>
          <w:rFonts w:hint="eastAsia" w:ascii="仿宋" w:hAnsi="仿宋" w:eastAsia="仿宋" w:cs="仿宋"/>
          <w:color w:val="auto"/>
          <w:spacing w:val="0"/>
          <w:sz w:val="32"/>
          <w:szCs w:val="32"/>
        </w:rPr>
        <w:t>个工作日内将批复原件</w:t>
      </w:r>
      <w:r>
        <w:rPr>
          <w:rFonts w:hint="eastAsia" w:ascii="仿宋" w:hAnsi="仿宋" w:eastAsia="仿宋" w:cs="仿宋"/>
          <w:color w:val="auto"/>
          <w:spacing w:val="0"/>
          <w:sz w:val="32"/>
          <w:szCs w:val="32"/>
          <w:lang w:val="en-US" w:eastAsia="zh-CN"/>
        </w:rPr>
        <w:t>报</w:t>
      </w:r>
      <w:r>
        <w:rPr>
          <w:rFonts w:hint="eastAsia" w:ascii="仿宋" w:hAnsi="仿宋" w:eastAsia="仿宋" w:cs="仿宋"/>
          <w:color w:val="auto"/>
          <w:spacing w:val="0"/>
          <w:sz w:val="32"/>
          <w:szCs w:val="32"/>
        </w:rPr>
        <w:t>送石家庄市生态环境局井陉矿区分局，并按规定接受各级生态环境主管部门的监督检查。该项目日常环境监督管理工作由属地生态环境主管部门负责。</w:t>
      </w:r>
    </w:p>
    <w:p w14:paraId="0E65C92F">
      <w:pPr>
        <w:keepNext w:val="0"/>
        <w:keepLines w:val="0"/>
        <w:pageBreakBefore w:val="0"/>
        <w:widowControl/>
        <w:kinsoku w:val="0"/>
        <w:wordWrap/>
        <w:overflowPunct/>
        <w:topLinePunct w:val="0"/>
        <w:autoSpaceDE w:val="0"/>
        <w:autoSpaceDN w:val="0"/>
        <w:bidi w:val="0"/>
        <w:adjustRightInd/>
        <w:snapToGrid/>
        <w:spacing w:line="600" w:lineRule="exact"/>
        <w:ind w:right="0" w:rightChars="0" w:firstLine="640" w:firstLineChars="200"/>
        <w:jc w:val="both"/>
        <w:textAlignment w:val="baseline"/>
        <w:rPr>
          <w:rFonts w:hint="eastAsia" w:ascii="仿宋" w:hAnsi="仿宋" w:eastAsia="仿宋" w:cs="仿宋"/>
          <w:color w:val="auto"/>
          <w:spacing w:val="0"/>
          <w:sz w:val="32"/>
          <w:szCs w:val="32"/>
        </w:rPr>
      </w:pPr>
    </w:p>
    <w:p w14:paraId="279516F4">
      <w:pPr>
        <w:pStyle w:val="4"/>
        <w:keepNext w:val="0"/>
        <w:keepLines w:val="0"/>
        <w:pageBreakBefore w:val="0"/>
        <w:widowControl/>
        <w:kinsoku w:val="0"/>
        <w:wordWrap/>
        <w:overflowPunct/>
        <w:topLinePunct w:val="0"/>
        <w:autoSpaceDE w:val="0"/>
        <w:autoSpaceDN w:val="0"/>
        <w:bidi w:val="0"/>
        <w:adjustRightInd/>
        <w:snapToGrid/>
        <w:spacing w:line="600" w:lineRule="exact"/>
        <w:ind w:firstLine="640" w:firstLineChars="200"/>
        <w:textAlignment w:val="baseline"/>
        <w:rPr>
          <w:rFonts w:hint="eastAsia"/>
          <w:color w:val="auto"/>
          <w:sz w:val="32"/>
          <w:szCs w:val="32"/>
        </w:rPr>
      </w:pPr>
    </w:p>
    <w:p w14:paraId="5B76F218">
      <w:pPr>
        <w:keepNext w:val="0"/>
        <w:keepLines w:val="0"/>
        <w:pageBreakBefore w:val="0"/>
        <w:widowControl/>
        <w:kinsoku w:val="0"/>
        <w:wordWrap/>
        <w:overflowPunct/>
        <w:topLinePunct w:val="0"/>
        <w:autoSpaceDE w:val="0"/>
        <w:autoSpaceDN w:val="0"/>
        <w:bidi w:val="0"/>
        <w:adjustRightInd/>
        <w:snapToGrid/>
        <w:spacing w:line="600" w:lineRule="exact"/>
        <w:ind w:right="0" w:rightChars="0" w:firstLine="5760" w:firstLineChars="1800"/>
        <w:jc w:val="both"/>
        <w:textAlignment w:val="baseline"/>
        <w:rPr>
          <w:rFonts w:hint="eastAsia" w:ascii="仿宋" w:hAnsi="仿宋" w:eastAsia="仿宋" w:cs="仿宋"/>
          <w:color w:val="auto"/>
          <w:spacing w:val="0"/>
          <w:sz w:val="32"/>
          <w:szCs w:val="32"/>
        </w:rPr>
      </w:pPr>
      <w:r>
        <w:rPr>
          <w:rFonts w:hint="eastAsia" w:ascii="仿宋" w:hAnsi="仿宋" w:eastAsia="仿宋" w:cs="仿宋"/>
          <w:color w:val="auto"/>
          <w:spacing w:val="0"/>
          <w:sz w:val="32"/>
          <w:szCs w:val="32"/>
        </w:rPr>
        <w:t>202</w:t>
      </w:r>
      <w:r>
        <w:rPr>
          <w:rFonts w:hint="eastAsia" w:ascii="仿宋" w:hAnsi="仿宋" w:eastAsia="仿宋" w:cs="仿宋"/>
          <w:color w:val="auto"/>
          <w:spacing w:val="0"/>
          <w:sz w:val="32"/>
          <w:szCs w:val="32"/>
          <w:lang w:val="en-US" w:eastAsia="zh-CN"/>
        </w:rPr>
        <w:t>6</w:t>
      </w:r>
      <w:r>
        <w:rPr>
          <w:rFonts w:hint="eastAsia" w:ascii="仿宋" w:hAnsi="仿宋" w:eastAsia="仿宋" w:cs="仿宋"/>
          <w:color w:val="auto"/>
          <w:spacing w:val="0"/>
          <w:sz w:val="32"/>
          <w:szCs w:val="32"/>
        </w:rPr>
        <w:t>年</w:t>
      </w:r>
      <w:r>
        <w:rPr>
          <w:rFonts w:hint="eastAsia" w:ascii="仿宋" w:hAnsi="仿宋" w:eastAsia="仿宋" w:cs="仿宋"/>
          <w:color w:val="auto"/>
          <w:spacing w:val="0"/>
          <w:sz w:val="32"/>
          <w:szCs w:val="32"/>
          <w:lang w:val="en-US" w:eastAsia="zh-CN"/>
        </w:rPr>
        <w:t>9</w:t>
      </w:r>
      <w:r>
        <w:rPr>
          <w:rFonts w:hint="eastAsia" w:ascii="仿宋" w:hAnsi="仿宋" w:eastAsia="仿宋" w:cs="仿宋"/>
          <w:color w:val="auto"/>
          <w:spacing w:val="0"/>
          <w:sz w:val="32"/>
          <w:szCs w:val="32"/>
        </w:rPr>
        <w:t>月</w:t>
      </w:r>
      <w:r>
        <w:rPr>
          <w:rFonts w:hint="eastAsia" w:ascii="仿宋" w:hAnsi="仿宋" w:eastAsia="仿宋" w:cs="仿宋"/>
          <w:color w:val="auto"/>
          <w:spacing w:val="0"/>
          <w:sz w:val="32"/>
          <w:szCs w:val="32"/>
          <w:lang w:val="en-US" w:eastAsia="zh-CN"/>
        </w:rPr>
        <w:t>24</w:t>
      </w:r>
      <w:bookmarkStart w:id="0" w:name="_GoBack"/>
      <w:bookmarkEnd w:id="0"/>
      <w:r>
        <w:rPr>
          <w:rFonts w:hint="eastAsia" w:ascii="仿宋" w:hAnsi="仿宋" w:eastAsia="仿宋" w:cs="仿宋"/>
          <w:color w:val="auto"/>
          <w:spacing w:val="0"/>
          <w:sz w:val="32"/>
          <w:szCs w:val="32"/>
        </w:rPr>
        <w:t>日</w:t>
      </w:r>
    </w:p>
    <w:p w14:paraId="359BA01E">
      <w:pPr>
        <w:pStyle w:val="4"/>
      </w:pPr>
    </w:p>
    <w:p w14:paraId="7021BA23">
      <w:pPr>
        <w:keepNext w:val="0"/>
        <w:keepLines w:val="0"/>
        <w:pageBreakBefore w:val="0"/>
        <w:widowControl/>
        <w:kinsoku w:val="0"/>
        <w:wordWrap/>
        <w:overflowPunct/>
        <w:topLinePunct w:val="0"/>
        <w:autoSpaceDE w:val="0"/>
        <w:autoSpaceDN w:val="0"/>
        <w:bidi w:val="0"/>
        <w:adjustRightInd/>
        <w:snapToGrid/>
        <w:spacing w:line="580" w:lineRule="exact"/>
        <w:ind w:left="0" w:leftChars="0" w:right="0" w:rightChars="0" w:firstLine="0" w:firstLineChars="0"/>
        <w:jc w:val="both"/>
        <w:textAlignment w:val="baseline"/>
        <w:rPr>
          <w:rFonts w:hint="eastAsia" w:ascii="仿宋" w:hAnsi="仿宋" w:eastAsia="仿宋" w:cs="仿宋"/>
          <w:spacing w:val="-7"/>
          <w:sz w:val="32"/>
          <w:szCs w:val="32"/>
          <w:lang w:eastAsia="zh-CN"/>
        </w:rPr>
      </w:pPr>
    </w:p>
    <w:p w14:paraId="01120CD3">
      <w:pPr>
        <w:keepNext w:val="0"/>
        <w:keepLines w:val="0"/>
        <w:pageBreakBefore w:val="0"/>
        <w:widowControl/>
        <w:kinsoku w:val="0"/>
        <w:wordWrap/>
        <w:overflowPunct/>
        <w:topLinePunct w:val="0"/>
        <w:autoSpaceDE w:val="0"/>
        <w:autoSpaceDN w:val="0"/>
        <w:bidi w:val="0"/>
        <w:adjustRightInd/>
        <w:snapToGrid/>
        <w:spacing w:line="580" w:lineRule="exact"/>
        <w:ind w:left="0" w:leftChars="0" w:right="0" w:rightChars="0" w:firstLine="0" w:firstLineChars="0"/>
        <w:jc w:val="both"/>
        <w:textAlignment w:val="baseline"/>
        <w:rPr>
          <w:rFonts w:ascii="仿宋" w:hAnsi="仿宋" w:eastAsia="仿宋" w:cs="仿宋"/>
          <w:spacing w:val="-7"/>
          <w:sz w:val="32"/>
          <w:szCs w:val="32"/>
        </w:rPr>
      </w:pPr>
      <w:r>
        <w:rPr>
          <w:rFonts w:hint="eastAsia"/>
        </w:rPr>
        <w:drawing>
          <wp:anchor distT="0" distB="0" distL="114300" distR="114300" simplePos="0" relativeHeight="251660288" behindDoc="0" locked="0" layoutInCell="1" allowOverlap="1">
            <wp:simplePos x="0" y="0"/>
            <wp:positionH relativeFrom="column">
              <wp:posOffset>986155</wp:posOffset>
            </wp:positionH>
            <wp:positionV relativeFrom="paragraph">
              <wp:posOffset>8874125</wp:posOffset>
            </wp:positionV>
            <wp:extent cx="2457450" cy="1019175"/>
            <wp:effectExtent l="0" t="0" r="0" b="9525"/>
            <wp:wrapNone/>
            <wp:docPr id="3" name="图片 4" descr="wordml://03000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wordml://03000001.png"/>
                    <pic:cNvPicPr>
                      <a:picLocks noChangeAspect="1"/>
                    </pic:cNvPicPr>
                  </pic:nvPicPr>
                  <pic:blipFill>
                    <a:blip r:embed="rId7"/>
                    <a:stretch>
                      <a:fillRect/>
                    </a:stretch>
                  </pic:blipFill>
                  <pic:spPr>
                    <a:xfrm>
                      <a:off x="0" y="0"/>
                      <a:ext cx="2457450" cy="1019175"/>
                    </a:xfrm>
                    <a:prstGeom prst="rect">
                      <a:avLst/>
                    </a:prstGeom>
                    <a:noFill/>
                    <a:ln>
                      <a:noFill/>
                    </a:ln>
                  </pic:spPr>
                </pic:pic>
              </a:graphicData>
            </a:graphic>
          </wp:anchor>
        </w:drawing>
      </w:r>
      <w:r>
        <w:rPr>
          <w:rFonts w:hint="eastAsia"/>
        </w:rPr>
        <w:drawing>
          <wp:anchor distT="0" distB="0" distL="114300" distR="114300" simplePos="0" relativeHeight="251659264" behindDoc="0" locked="0" layoutInCell="1" allowOverlap="1">
            <wp:simplePos x="0" y="0"/>
            <wp:positionH relativeFrom="column">
              <wp:posOffset>833755</wp:posOffset>
            </wp:positionH>
            <wp:positionV relativeFrom="paragraph">
              <wp:posOffset>8721725</wp:posOffset>
            </wp:positionV>
            <wp:extent cx="2457450" cy="1019175"/>
            <wp:effectExtent l="0" t="0" r="0" b="9525"/>
            <wp:wrapNone/>
            <wp:docPr id="2" name="图片 3" descr="wordml://03000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wordml://03000001.png"/>
                    <pic:cNvPicPr>
                      <a:picLocks noChangeAspect="1"/>
                    </pic:cNvPicPr>
                  </pic:nvPicPr>
                  <pic:blipFill>
                    <a:blip r:embed="rId7"/>
                    <a:stretch>
                      <a:fillRect/>
                    </a:stretch>
                  </pic:blipFill>
                  <pic:spPr>
                    <a:xfrm>
                      <a:off x="0" y="0"/>
                      <a:ext cx="2457450" cy="1019175"/>
                    </a:xfrm>
                    <a:prstGeom prst="rect">
                      <a:avLst/>
                    </a:prstGeom>
                    <a:noFill/>
                    <a:ln>
                      <a:noFill/>
                    </a:ln>
                  </pic:spPr>
                </pic:pic>
              </a:graphicData>
            </a:graphic>
          </wp:anchor>
        </w:drawing>
      </w:r>
    </w:p>
    <w:sectPr>
      <w:footerReference r:id="rId5" w:type="default"/>
      <w:pgSz w:w="11900" w:h="16840"/>
      <w:pgMar w:top="1417" w:right="1417" w:bottom="1417" w:left="1417"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AB78629-2D07-4475-8620-B594028112CB}"/>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embedRegular r:id="rId2" w:fontKey="{5EB51D4D-C07F-4765-AAA4-AC71B4959E71}"/>
  </w:font>
  <w:font w:name="方正小标宋简体">
    <w:panose1 w:val="02010600010101010101"/>
    <w:charset w:val="86"/>
    <w:family w:val="auto"/>
    <w:pitch w:val="default"/>
    <w:sig w:usb0="00000001" w:usb1="080E0000" w:usb2="00000000" w:usb3="00000000" w:csb0="00040000" w:csb1="00000000"/>
    <w:embedRegular r:id="rId3" w:fontKey="{D544C517-7BF0-40FB-B5EE-517CE3606F2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77519">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SystemFonts/>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ZTdlMjFhZGY0NDZkMjNiZTljYzRlMjhhOGI2M2FiZmMifQ=="/>
  </w:docVars>
  <w:rsids>
    <w:rsidRoot w:val="00000000"/>
    <w:rsid w:val="000F5645"/>
    <w:rsid w:val="00D24FF0"/>
    <w:rsid w:val="00E84DEF"/>
    <w:rsid w:val="014C621F"/>
    <w:rsid w:val="01551FBD"/>
    <w:rsid w:val="018067FB"/>
    <w:rsid w:val="01FF3BC3"/>
    <w:rsid w:val="02867E41"/>
    <w:rsid w:val="03FE0FAE"/>
    <w:rsid w:val="043B2EAD"/>
    <w:rsid w:val="04D04A48"/>
    <w:rsid w:val="04E137C2"/>
    <w:rsid w:val="064424ED"/>
    <w:rsid w:val="069F3BC7"/>
    <w:rsid w:val="07587C99"/>
    <w:rsid w:val="07AC659B"/>
    <w:rsid w:val="07BA233A"/>
    <w:rsid w:val="07D4164E"/>
    <w:rsid w:val="08D35DAA"/>
    <w:rsid w:val="08DB1294"/>
    <w:rsid w:val="0922463B"/>
    <w:rsid w:val="094675B0"/>
    <w:rsid w:val="099F1451"/>
    <w:rsid w:val="09B23C11"/>
    <w:rsid w:val="0A8455AD"/>
    <w:rsid w:val="0B451FA8"/>
    <w:rsid w:val="0BC1638D"/>
    <w:rsid w:val="0C0D15D3"/>
    <w:rsid w:val="0C851169"/>
    <w:rsid w:val="0CA912FB"/>
    <w:rsid w:val="0D1A56E1"/>
    <w:rsid w:val="0D7D5C8A"/>
    <w:rsid w:val="0E582F4D"/>
    <w:rsid w:val="0FD77F2D"/>
    <w:rsid w:val="10D64689"/>
    <w:rsid w:val="118C373B"/>
    <w:rsid w:val="122907E8"/>
    <w:rsid w:val="13082AF4"/>
    <w:rsid w:val="130F79DE"/>
    <w:rsid w:val="13337B71"/>
    <w:rsid w:val="139B4B35"/>
    <w:rsid w:val="1400631A"/>
    <w:rsid w:val="140F7BE3"/>
    <w:rsid w:val="146D2C0E"/>
    <w:rsid w:val="152F25BA"/>
    <w:rsid w:val="155344FA"/>
    <w:rsid w:val="155572BB"/>
    <w:rsid w:val="15581B10"/>
    <w:rsid w:val="15AF1323"/>
    <w:rsid w:val="166167A3"/>
    <w:rsid w:val="16E178E4"/>
    <w:rsid w:val="17451C21"/>
    <w:rsid w:val="174F484D"/>
    <w:rsid w:val="17A76E15"/>
    <w:rsid w:val="17D407C3"/>
    <w:rsid w:val="17FB5215"/>
    <w:rsid w:val="184B14B9"/>
    <w:rsid w:val="18890233"/>
    <w:rsid w:val="18AE7C99"/>
    <w:rsid w:val="196F567B"/>
    <w:rsid w:val="19923117"/>
    <w:rsid w:val="19B47531"/>
    <w:rsid w:val="19ED659F"/>
    <w:rsid w:val="1B040045"/>
    <w:rsid w:val="1B7549F6"/>
    <w:rsid w:val="1BE52FD2"/>
    <w:rsid w:val="1C47643B"/>
    <w:rsid w:val="1C69015F"/>
    <w:rsid w:val="1CC31397"/>
    <w:rsid w:val="1CCB58EE"/>
    <w:rsid w:val="1DB16262"/>
    <w:rsid w:val="1DB83F1F"/>
    <w:rsid w:val="1E917E41"/>
    <w:rsid w:val="1F152820"/>
    <w:rsid w:val="1F396E36"/>
    <w:rsid w:val="200308CB"/>
    <w:rsid w:val="202F16C0"/>
    <w:rsid w:val="20336CE1"/>
    <w:rsid w:val="20511636"/>
    <w:rsid w:val="20E95D13"/>
    <w:rsid w:val="20FB77F4"/>
    <w:rsid w:val="21983295"/>
    <w:rsid w:val="226D27AC"/>
    <w:rsid w:val="22FE5379"/>
    <w:rsid w:val="235A2EF8"/>
    <w:rsid w:val="24480131"/>
    <w:rsid w:val="246B6D0B"/>
    <w:rsid w:val="250C6474"/>
    <w:rsid w:val="252A68FA"/>
    <w:rsid w:val="25315EDA"/>
    <w:rsid w:val="27A720F5"/>
    <w:rsid w:val="27EB311D"/>
    <w:rsid w:val="27F42D1C"/>
    <w:rsid w:val="280653FC"/>
    <w:rsid w:val="293935AF"/>
    <w:rsid w:val="29691CB7"/>
    <w:rsid w:val="29FF2103"/>
    <w:rsid w:val="2A051B3F"/>
    <w:rsid w:val="2A8F792B"/>
    <w:rsid w:val="2AEF5AF1"/>
    <w:rsid w:val="2B1A4D1A"/>
    <w:rsid w:val="2B1B647F"/>
    <w:rsid w:val="2C097269"/>
    <w:rsid w:val="2C5F3A7E"/>
    <w:rsid w:val="2DCF003E"/>
    <w:rsid w:val="2E073E5F"/>
    <w:rsid w:val="2ED40002"/>
    <w:rsid w:val="2F4A02C4"/>
    <w:rsid w:val="300C37CC"/>
    <w:rsid w:val="31807B1C"/>
    <w:rsid w:val="31A55C86"/>
    <w:rsid w:val="31D53E96"/>
    <w:rsid w:val="328238D1"/>
    <w:rsid w:val="329C25F5"/>
    <w:rsid w:val="329F0927"/>
    <w:rsid w:val="35154ED0"/>
    <w:rsid w:val="35216B3A"/>
    <w:rsid w:val="36022C86"/>
    <w:rsid w:val="36120909"/>
    <w:rsid w:val="36B70951"/>
    <w:rsid w:val="36C73FA8"/>
    <w:rsid w:val="36E747E0"/>
    <w:rsid w:val="37337890"/>
    <w:rsid w:val="3795328A"/>
    <w:rsid w:val="37AA3030"/>
    <w:rsid w:val="37B85359"/>
    <w:rsid w:val="37E12B13"/>
    <w:rsid w:val="37F00836"/>
    <w:rsid w:val="37F4443E"/>
    <w:rsid w:val="38183E1B"/>
    <w:rsid w:val="389D76B7"/>
    <w:rsid w:val="38B44A00"/>
    <w:rsid w:val="39AD295A"/>
    <w:rsid w:val="39AE12D5"/>
    <w:rsid w:val="3A26548A"/>
    <w:rsid w:val="3A5802CA"/>
    <w:rsid w:val="3B74606E"/>
    <w:rsid w:val="3B934DA1"/>
    <w:rsid w:val="3BCB0097"/>
    <w:rsid w:val="3C7A740B"/>
    <w:rsid w:val="3CBE5E4E"/>
    <w:rsid w:val="3E8B7FB1"/>
    <w:rsid w:val="3F057D64"/>
    <w:rsid w:val="3F0D4E6A"/>
    <w:rsid w:val="3F422D66"/>
    <w:rsid w:val="3F565BDB"/>
    <w:rsid w:val="411918A4"/>
    <w:rsid w:val="414032D5"/>
    <w:rsid w:val="41BB295C"/>
    <w:rsid w:val="432B1D63"/>
    <w:rsid w:val="435713BE"/>
    <w:rsid w:val="437C611B"/>
    <w:rsid w:val="437E6337"/>
    <w:rsid w:val="442E7912"/>
    <w:rsid w:val="44935E12"/>
    <w:rsid w:val="44A43B7B"/>
    <w:rsid w:val="451854E4"/>
    <w:rsid w:val="46322365"/>
    <w:rsid w:val="463E55BA"/>
    <w:rsid w:val="46D5171A"/>
    <w:rsid w:val="47237D0A"/>
    <w:rsid w:val="47683533"/>
    <w:rsid w:val="48D32C81"/>
    <w:rsid w:val="496C5DB7"/>
    <w:rsid w:val="49BB319E"/>
    <w:rsid w:val="4A037596"/>
    <w:rsid w:val="4A1A2EB1"/>
    <w:rsid w:val="4A4C2CEB"/>
    <w:rsid w:val="4A7E3163"/>
    <w:rsid w:val="4AB843DF"/>
    <w:rsid w:val="4B0B6702"/>
    <w:rsid w:val="4B6C0ABB"/>
    <w:rsid w:val="4B7F0E9E"/>
    <w:rsid w:val="4BB723E6"/>
    <w:rsid w:val="4CB93F3C"/>
    <w:rsid w:val="4E151645"/>
    <w:rsid w:val="4E361CE8"/>
    <w:rsid w:val="4EB3158A"/>
    <w:rsid w:val="4F18673A"/>
    <w:rsid w:val="4F3124AF"/>
    <w:rsid w:val="4F813436"/>
    <w:rsid w:val="50107A5F"/>
    <w:rsid w:val="504F748D"/>
    <w:rsid w:val="515F4891"/>
    <w:rsid w:val="51784976"/>
    <w:rsid w:val="51962A9D"/>
    <w:rsid w:val="51F06651"/>
    <w:rsid w:val="51F14CB2"/>
    <w:rsid w:val="52844FED"/>
    <w:rsid w:val="52855C88"/>
    <w:rsid w:val="53B22EEC"/>
    <w:rsid w:val="54336CC9"/>
    <w:rsid w:val="5482443D"/>
    <w:rsid w:val="54A379AB"/>
    <w:rsid w:val="54CD67FD"/>
    <w:rsid w:val="54CE47DC"/>
    <w:rsid w:val="54ED0C26"/>
    <w:rsid w:val="552C1C39"/>
    <w:rsid w:val="55D45328"/>
    <w:rsid w:val="562E7748"/>
    <w:rsid w:val="57231423"/>
    <w:rsid w:val="57AD157D"/>
    <w:rsid w:val="57E74053"/>
    <w:rsid w:val="57F16C7F"/>
    <w:rsid w:val="583F7BAE"/>
    <w:rsid w:val="58D225F1"/>
    <w:rsid w:val="592D018B"/>
    <w:rsid w:val="59A82BEB"/>
    <w:rsid w:val="59AF6DF2"/>
    <w:rsid w:val="59D979CB"/>
    <w:rsid w:val="5A673229"/>
    <w:rsid w:val="5A737E20"/>
    <w:rsid w:val="5A9F6E67"/>
    <w:rsid w:val="5ADA7E9F"/>
    <w:rsid w:val="5B8A3493"/>
    <w:rsid w:val="5C766AC2"/>
    <w:rsid w:val="5C7F52AA"/>
    <w:rsid w:val="5D5C103F"/>
    <w:rsid w:val="5D9E1657"/>
    <w:rsid w:val="5DF12CD5"/>
    <w:rsid w:val="5E257683"/>
    <w:rsid w:val="5E664BC1"/>
    <w:rsid w:val="611759A9"/>
    <w:rsid w:val="629152E7"/>
    <w:rsid w:val="62B44C29"/>
    <w:rsid w:val="63096718"/>
    <w:rsid w:val="632E3EDF"/>
    <w:rsid w:val="64124205"/>
    <w:rsid w:val="6430092E"/>
    <w:rsid w:val="653F727C"/>
    <w:rsid w:val="658D448B"/>
    <w:rsid w:val="66846F11"/>
    <w:rsid w:val="677D5E3A"/>
    <w:rsid w:val="6861325D"/>
    <w:rsid w:val="688F051A"/>
    <w:rsid w:val="69086737"/>
    <w:rsid w:val="692C3FBB"/>
    <w:rsid w:val="696279DD"/>
    <w:rsid w:val="69E623BC"/>
    <w:rsid w:val="6ADE56EF"/>
    <w:rsid w:val="6AE10DD5"/>
    <w:rsid w:val="6B60619E"/>
    <w:rsid w:val="6BC20C11"/>
    <w:rsid w:val="6BD5096C"/>
    <w:rsid w:val="6BFC2715"/>
    <w:rsid w:val="6C0B435C"/>
    <w:rsid w:val="6CBA18DE"/>
    <w:rsid w:val="6CD77ABB"/>
    <w:rsid w:val="6D4B0788"/>
    <w:rsid w:val="6D4F5DEE"/>
    <w:rsid w:val="6D7D3037"/>
    <w:rsid w:val="6DD95D94"/>
    <w:rsid w:val="6E195887"/>
    <w:rsid w:val="6F665F29"/>
    <w:rsid w:val="7020414E"/>
    <w:rsid w:val="706F2E8E"/>
    <w:rsid w:val="71552415"/>
    <w:rsid w:val="716360A0"/>
    <w:rsid w:val="71F31B1A"/>
    <w:rsid w:val="71FE226D"/>
    <w:rsid w:val="727F2977"/>
    <w:rsid w:val="73403702"/>
    <w:rsid w:val="73C51294"/>
    <w:rsid w:val="73EA35A9"/>
    <w:rsid w:val="7491561A"/>
    <w:rsid w:val="754522CD"/>
    <w:rsid w:val="75B45DFA"/>
    <w:rsid w:val="766B1A6D"/>
    <w:rsid w:val="772234F8"/>
    <w:rsid w:val="77225744"/>
    <w:rsid w:val="77242776"/>
    <w:rsid w:val="772A140E"/>
    <w:rsid w:val="77940D6B"/>
    <w:rsid w:val="783D42FB"/>
    <w:rsid w:val="798B2638"/>
    <w:rsid w:val="79E85CDC"/>
    <w:rsid w:val="7A6A04A0"/>
    <w:rsid w:val="7B4C5DF7"/>
    <w:rsid w:val="7BEE5100"/>
    <w:rsid w:val="7D016B7E"/>
    <w:rsid w:val="7D5D078F"/>
    <w:rsid w:val="7DC91981"/>
    <w:rsid w:val="7DCD2525"/>
    <w:rsid w:val="7FC70142"/>
    <w:rsid w:val="7FE0141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qFormat="1" w:uiPriority="0" w:semiHidden="0" w:name="index heading"/>
    <w:lsdException w:qFormat="1" w:uiPriority="0" w:name="caption"/>
    <w:lsdException w:qFormat="1" w:unhideWhenUsed="0"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qFormat="1"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8">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2">
    <w:name w:val="Note Heading"/>
    <w:basedOn w:val="1"/>
    <w:next w:val="1"/>
    <w:autoRedefine/>
    <w:unhideWhenUsed/>
    <w:qFormat/>
    <w:uiPriority w:val="0"/>
    <w:pPr>
      <w:jc w:val="center"/>
    </w:pPr>
    <w:rPr>
      <w:szCs w:val="24"/>
    </w:rPr>
  </w:style>
  <w:style w:type="paragraph" w:styleId="3">
    <w:name w:val="Normal Indent"/>
    <w:basedOn w:val="1"/>
    <w:next w:val="2"/>
    <w:autoRedefine/>
    <w:qFormat/>
    <w:uiPriority w:val="0"/>
    <w:pPr>
      <w:adjustRightInd w:val="0"/>
      <w:spacing w:line="480" w:lineRule="atLeast"/>
      <w:ind w:firstLine="595"/>
      <w:textAlignment w:val="baseline"/>
    </w:pPr>
    <w:rPr>
      <w:kern w:val="0"/>
      <w:sz w:val="28"/>
    </w:rPr>
  </w:style>
  <w:style w:type="paragraph" w:styleId="4">
    <w:name w:val="index heading"/>
    <w:basedOn w:val="1"/>
    <w:next w:val="5"/>
    <w:unhideWhenUsed/>
    <w:qFormat/>
    <w:uiPriority w:val="0"/>
    <w:pPr>
      <w:widowControl/>
      <w:jc w:val="left"/>
    </w:pPr>
    <w:rPr>
      <w:rFonts w:ascii="Cambria" w:hAnsi="Cambria"/>
      <w:b/>
      <w:bCs/>
      <w:sz w:val="25"/>
      <w:szCs w:val="25"/>
    </w:rPr>
  </w:style>
  <w:style w:type="paragraph" w:styleId="5">
    <w:name w:val="index 1"/>
    <w:basedOn w:val="1"/>
    <w:next w:val="1"/>
    <w:qFormat/>
    <w:uiPriority w:val="0"/>
    <w:pPr>
      <w:widowControl/>
      <w:jc w:val="left"/>
    </w:pPr>
    <w:rPr>
      <w:rFonts w:hint="eastAsia"/>
    </w:rPr>
  </w:style>
  <w:style w:type="paragraph" w:styleId="6">
    <w:name w:val="table of figures"/>
    <w:basedOn w:val="1"/>
    <w:next w:val="1"/>
    <w:qFormat/>
    <w:uiPriority w:val="99"/>
  </w:style>
  <w:style w:type="table" w:customStyle="1" w:styleId="9">
    <w:name w:val="Table Normal"/>
    <w:autoRedefine/>
    <w:semiHidden/>
    <w:unhideWhenUsed/>
    <w:qFormat/>
    <w:uiPriority w:val="0"/>
    <w:tblPr>
      <w:tblCellMar>
        <w:top w:w="0" w:type="dxa"/>
        <w:left w:w="0" w:type="dxa"/>
        <w:bottom w:w="0" w:type="dxa"/>
        <w:right w:w="0" w:type="dxa"/>
      </w:tblCellMar>
    </w:tblPr>
  </w:style>
  <w:style w:type="paragraph" w:customStyle="1" w:styleId="10">
    <w:name w:val="环评表正文"/>
    <w:basedOn w:val="1"/>
    <w:qFormat/>
    <w:uiPriority w:val="0"/>
    <w:pPr>
      <w:spacing w:line="480" w:lineRule="exact"/>
      <w:ind w:firstLine="1044" w:firstLineChars="200"/>
    </w:pPr>
    <w:rPr>
      <w:rFonts w:ascii="Times New Roman" w:hAnsi="Times New Roman" w:eastAsia="宋体"/>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Pages>
  <Words>2124</Words>
  <Characters>2386</Characters>
  <TotalTime>1</TotalTime>
  <ScaleCrop>false</ScaleCrop>
  <LinksUpToDate>false</LinksUpToDate>
  <CharactersWithSpaces>2391</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2023-10-12T10:03:00Z</dcterms:created>
  <dc:creator>Kingsoft-PDF</dc:creator>
  <cp:lastModifiedBy>lenovo</cp:lastModifiedBy>
  <cp:lastPrinted>2024-03-27T03:36:00Z</cp:lastPrinted>
  <dcterms:modified xsi:type="dcterms:W3CDTF">2026-09-24T02:44:30Z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wqlLaW5nc29mdCBQREYgdG8gV1BTIDg1</vt:lpwstr>
  </property>
  <property fmtid="{D5CDD505-2E9C-101B-9397-08002B2CF9AE}" pid="3" name="Created">
    <vt:filetime>2023-10-12T10:03:34Z</vt:filetime>
  </property>
  <property fmtid="{D5CDD505-2E9C-101B-9397-08002B2CF9AE}" pid="4" name="UsrData">
    <vt:lpwstr>652753f2b5c3b500209eafd5wl</vt:lpwstr>
  </property>
  <property fmtid="{D5CDD505-2E9C-101B-9397-08002B2CF9AE}" pid="5" name="KSOProductBuildVer">
    <vt:lpwstr>2052-12.1.0.28505</vt:lpwstr>
  </property>
  <property fmtid="{D5CDD505-2E9C-101B-9397-08002B2CF9AE}" pid="6" name="ICV">
    <vt:lpwstr>4CC6FED1931F49D99239AAE72CB184E6_12</vt:lpwstr>
  </property>
  <property fmtid="{D5CDD505-2E9C-101B-9397-08002B2CF9AE}" pid="7" name="KSOTemplateDocerSaveRecord">
    <vt:lpwstr>eyJoZGlkIjoiZTdlMjFhZGY0NDZkMjNiZTljYzRlMjhhOGI2M2FiZmMiLCJ1c2VySWQiOiIxMTY4MzcyMzI2In0=</vt:lpwstr>
  </property>
</Properties>
</file>