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adjustRightInd w:val="0"/>
        <w:snapToGrid w:val="0"/>
        <w:spacing w:line="560" w:lineRule="exact"/>
        <w:rPr>
          <w:rFonts w:ascii="黑体" w:eastAsia="黑体" w:cs="黑体" w:hAnsi="黑体" w:hint="eastAsia"/>
          <w:sz w:val="32"/>
          <w:szCs w:val="32"/>
        </w:rPr>
      </w:pPr>
      <w:r>
        <w:rPr>
          <w:rFonts w:ascii="黑体" w:eastAsia="黑体" w:cs="黑体" w:hAnsi="黑体" w:hint="eastAsia"/>
          <w:sz w:val="32"/>
          <w:szCs w:val="32"/>
        </w:rPr>
        <w:t>附件4</w:t>
      </w: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</w:p>
    <w:p>
      <w:pPr>
        <w:wordWrap/>
        <w:spacing w:line="560" w:lineRule="exact"/>
        <w:ind w:left="0"/>
        <w:jc w:val="center"/>
        <w:rPr>
          <w:rFonts w:ascii="宋体" w:cs="宋体" w:hAnsi="宋体" w:hint="eastAsia"/>
          <w:b/>
          <w:bCs/>
          <w:sz w:val="44"/>
          <w:szCs w:val="44"/>
        </w:rPr>
      </w:pPr>
      <w:r>
        <w:rPr>
          <w:rFonts w:ascii="宋体" w:cs="宋体" w:hAnsi="宋体" w:hint="eastAsia"/>
          <w:b/>
          <w:bCs/>
          <w:sz w:val="44"/>
          <w:szCs w:val="44"/>
          <w:lang w:eastAsia="zh-CN"/>
        </w:rPr>
        <w:t>共青团井陉矿区委</w:t>
      </w: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  <w:r>
        <w:rPr>
          <w:rFonts w:ascii="宋体" w:cs="宋体" w:hAnsi="宋体" w:hint="eastAsia"/>
          <w:b/>
          <w:bCs/>
          <w:sz w:val="44"/>
          <w:szCs w:val="44"/>
        </w:rPr>
        <w:t>202</w:t>
      </w:r>
      <w:r>
        <w:rPr>
          <w:rFonts w:ascii="宋体" w:cs="宋体" w:hAnsi="宋体"/>
          <w:b/>
          <w:bCs/>
          <w:sz w:val="44"/>
          <w:szCs w:val="44"/>
        </w:rPr>
        <w:t>5</w:t>
      </w:r>
      <w:r>
        <w:rPr>
          <w:rFonts w:ascii="宋体" w:cs="宋体" w:hAnsi="宋体" w:hint="eastAsia"/>
          <w:b/>
          <w:bCs/>
          <w:sz w:val="44"/>
          <w:szCs w:val="44"/>
        </w:rPr>
        <w:t>年度整体支出绩效自评报告</w:t>
      </w:r>
    </w:p>
    <w:p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贯彻落实</w:t>
      </w:r>
      <w:r>
        <w:rPr>
          <w:rFonts w:ascii="仿宋" w:eastAsia="仿宋" w:hAnsi="仿宋"/>
          <w:sz w:val="32"/>
          <w:szCs w:val="32"/>
        </w:rPr>
        <w:t>区委、区政府</w:t>
      </w:r>
      <w:r>
        <w:rPr>
          <w:rFonts w:ascii="仿宋" w:eastAsia="仿宋" w:hAnsi="仿宋" w:hint="eastAsia"/>
          <w:sz w:val="32"/>
          <w:szCs w:val="32"/>
        </w:rPr>
        <w:t>《关于全面落实预算绩效管理的实施意见》（</w:t>
      </w:r>
      <w:r>
        <w:rPr>
          <w:rFonts w:ascii="仿宋" w:eastAsia="仿宋" w:hAnsi="仿宋"/>
          <w:sz w:val="32"/>
          <w:szCs w:val="32"/>
        </w:rPr>
        <w:t>矿</w:t>
      </w:r>
      <w:r>
        <w:rPr>
          <w:rFonts w:ascii="仿宋" w:eastAsia="仿宋" w:hAnsi="仿宋" w:hint="eastAsia"/>
          <w:sz w:val="32"/>
          <w:szCs w:val="32"/>
        </w:rPr>
        <w:t>发﹝2019﹞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号）文件精神，遵循“科学性、规范性、客观性和公正性”的原则，对</w:t>
      </w:r>
      <w:r>
        <w:rPr>
          <w:rFonts w:ascii="仿宋" w:eastAsia="仿宋" w:hAnsi="仿宋" w:hint="eastAsia"/>
          <w:sz w:val="32"/>
          <w:szCs w:val="32"/>
          <w:lang w:eastAsia="zh-CN"/>
        </w:rPr>
        <w:t>团区委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2</w:t>
      </w:r>
      <w:r>
        <w:rPr>
          <w:rFonts w:ascii="仿宋" w:eastAsia="仿宋" w:hAnsi="仿宋" w:hint="eastAsia"/>
          <w:sz w:val="32"/>
          <w:szCs w:val="32"/>
        </w:rPr>
        <w:t>02</w:t>
      </w:r>
      <w:r>
        <w:rPr>
          <w:rFonts w:ascii="仿宋" w:eastAsia="仿宋" w:hAnsi="仿宋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年整体支出情况实施了财政支出绩效自评价，形成本评价报告。</w:t>
      </w:r>
    </w:p>
    <w:p>
      <w:pPr>
        <w:adjustRightInd w:val="0"/>
        <w:snapToGrid w:val="0"/>
        <w:spacing w:line="560" w:lineRule="exact"/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sz w:val="32"/>
          <w:szCs w:val="32"/>
        </w:rPr>
        <w:t xml:space="preserve">     一、部门</w:t>
      </w:r>
      <w:r>
        <w:rPr>
          <w:rFonts w:ascii="黑体" w:eastAsia="黑体" w:hAnsi="黑体" w:hint="eastAsia"/>
          <w:sz w:val="32"/>
          <w:szCs w:val="36"/>
        </w:rPr>
        <w:t>基本情况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（一）部门概况</w:t>
      </w:r>
    </w:p>
    <w:p>
      <w:pPr>
        <w:widowControl w:val="0"/>
        <w:spacing w:line="600" w:lineRule="exact"/>
        <w:ind w:firstLine="640"/>
        <w:jc w:val="both"/>
        <w:rPr>
          <w:rFonts w:ascii="仿宋" w:eastAsia="仿宋" w:hAnsi="仿宋"/>
          <w:b w:val="0"/>
          <w:i w:val="0"/>
          <w:strike w:val="0"/>
          <w:dstrike w:val="0"/>
          <w:sz w:val="32"/>
          <w:szCs w:val="22"/>
          <w:lang w:val="en-US" w:eastAsia="zh-CN"/>
        </w:rPr>
      </w:pPr>
      <w:r>
        <w:rPr>
          <w:rFonts w:ascii="仿宋" w:eastAsia="仿宋" w:hAnsi="仿宋" w:hint="eastAsia"/>
          <w:sz w:val="32"/>
          <w:lang w:eastAsia="zh-CN"/>
        </w:rPr>
        <w:t>领导全区共青团工作，指导青联和少先队工作，协助区政府教育部门做好学生教育管理工作；做好“五四”表彰工作；加强基层团组织及青少年的思想教育管理；对国家</w:t>
      </w:r>
      <w:bookmarkStart w:id="0" w:name="_GoBack"/>
      <w:bookmarkEnd w:id="0"/>
      <w:r>
        <w:rPr>
          <w:rFonts w:ascii="仿宋" w:eastAsia="仿宋" w:hAnsi="仿宋" w:hint="eastAsia"/>
          <w:sz w:val="32"/>
          <w:lang w:eastAsia="zh-CN"/>
        </w:rPr>
        <w:t>、省、市</w:t>
      </w:r>
      <w:r>
        <w:rPr>
          <w:rFonts w:ascii="仿宋" w:eastAsia="仿宋" w:hAnsi="仿宋" w:hint="eastAsia"/>
          <w:sz w:val="32"/>
          <w:lang w:val="en-US" w:eastAsia="zh-CN"/>
        </w:rPr>
        <w:t>希望工程、青少年发展基金会等相关捐助款项、物资的走访做好摸底调查、分配发放工</w:t>
      </w:r>
      <w:r>
        <w:rPr>
          <w:rFonts w:ascii="仿宋" w:eastAsia="仿宋" w:hAnsi="仿宋" w:hint="eastAsia"/>
          <w:b w:val="0"/>
          <w:i w:val="0"/>
          <w:strike w:val="0"/>
          <w:dstrike w:val="0"/>
          <w:sz w:val="32"/>
          <w:szCs w:val="22"/>
          <w:lang w:val="en-US" w:eastAsia="zh-CN"/>
        </w:rPr>
        <w:t>作；</w:t>
      </w:r>
      <w:r>
        <w:rPr>
          <w:rFonts w:ascii="仿宋" w:eastAsia="仿宋" w:hAnsi="仿宋" w:hint="eastAsia"/>
          <w:b w:val="0"/>
          <w:i w:val="0"/>
          <w:strike w:val="0"/>
          <w:dstrike w:val="0"/>
          <w:sz w:val="32"/>
          <w:szCs w:val="22"/>
          <w:lang w:eastAsia="zh-CN"/>
        </w:rPr>
        <w:t>协助区委</w:t>
      </w:r>
      <w:r>
        <w:rPr>
          <w:rFonts w:ascii="仿宋" w:eastAsia="仿宋" w:hAnsi="仿宋"/>
          <w:b w:val="0"/>
          <w:i w:val="0"/>
          <w:strike w:val="0"/>
          <w:dstrike w:val="0"/>
          <w:sz w:val="32"/>
          <w:szCs w:val="22"/>
          <w:lang w:eastAsia="zh-CN"/>
        </w:rPr>
        <w:t>、</w:t>
      </w:r>
      <w:r>
        <w:rPr>
          <w:rFonts w:ascii="仿宋" w:eastAsia="仿宋" w:hAnsi="仿宋" w:hint="eastAsia"/>
          <w:b w:val="0"/>
          <w:i w:val="0"/>
          <w:strike w:val="0"/>
          <w:dstrike w:val="0"/>
          <w:sz w:val="32"/>
          <w:szCs w:val="22"/>
          <w:lang w:eastAsia="zh-CN"/>
        </w:rPr>
        <w:t>区政府开展各项志愿服务活动；做好青少年维权和预防青少年犯罪的宣传活动。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firstLineChars="200" w:firstLine="640"/>
        <w:rPr>
          <w:rFonts w:ascii="楷体" w:eastAsia="楷体" w:cs="楷体_GB2312" w:hAnsi="楷体" w:hint="eastAsia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部门收支预决算情况</w:t>
      </w:r>
    </w:p>
    <w:p>
      <w:pPr>
        <w:snapToGrid w:val="0"/>
        <w:spacing w:line="520" w:lineRule="exact"/>
        <w:ind w:firstLineChars="200" w:firstLine="640"/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sz w:val="32"/>
          <w:lang w:eastAsia="zh-CN"/>
        </w:rPr>
        <w:t>1.</w:t>
      </w:r>
      <w:r>
        <w:rPr>
          <w:rFonts w:ascii="仿宋" w:eastAsia="仿宋" w:hAnsi="仿宋" w:hint="eastAsia"/>
          <w:sz w:val="32"/>
        </w:rPr>
        <w:t>收入支出预算安排情况。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Chars="200" w:firstLine="640"/>
        <w:textAlignment w:val="auto"/>
        <w:outlineLvl w:val="9"/>
        <w:rPr>
          <w:rFonts w:ascii="仿宋" w:eastAsia="仿宋" w:hAnsi="仿宋" w:hint="eastAsia"/>
          <w:sz w:val="32"/>
          <w:lang w:val="en-US"/>
        </w:rPr>
      </w:pPr>
      <w:r>
        <w:rPr>
          <w:rFonts w:ascii="仿宋" w:eastAsia="仿宋" w:hAnsi="仿宋" w:hint="eastAsia"/>
          <w:sz w:val="32"/>
          <w:lang w:val="en-US"/>
        </w:rPr>
        <w:t>2025年年初预算34.5万元，其中人员经费28.72万元，日常公用经费2.22万元，项目经费3.56万元。</w:t>
      </w:r>
    </w:p>
    <w:p>
      <w:pPr>
        <w:snapToGrid w:val="0"/>
        <w:spacing w:line="520" w:lineRule="exact"/>
        <w:ind w:firstLineChars="200" w:firstLine="640"/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sz w:val="32"/>
          <w:lang w:val="en-US"/>
        </w:rPr>
        <w:t>2.</w:t>
      </w:r>
      <w:r>
        <w:rPr>
          <w:rFonts w:ascii="仿宋" w:eastAsia="仿宋" w:hAnsi="仿宋" w:hint="eastAsia"/>
          <w:sz w:val="32"/>
        </w:rPr>
        <w:t>收入支出预算执行情况。</w:t>
      </w:r>
    </w:p>
    <w:p>
      <w:pPr>
        <w:wordWrap/>
        <w:adjustRightInd w:val="0"/>
        <w:snapToGrid w:val="0"/>
        <w:spacing w:line="560" w:lineRule="exact"/>
        <w:ind w:left="0" w:firstLineChars="200" w:firstLine="640"/>
        <w:rPr>
          <w:rFonts w:ascii="仿宋" w:eastAsia="仿宋" w:hAnsi="仿宋" w:hint="eastAsia"/>
          <w:bCs/>
          <w:sz w:val="32"/>
        </w:rPr>
      </w:pPr>
      <w:r>
        <w:rPr>
          <w:rFonts w:ascii="仿宋" w:eastAsia="仿宋" w:hAnsi="仿宋" w:hint="eastAsia"/>
          <w:sz w:val="32"/>
          <w:lang w:val="en-US"/>
        </w:rPr>
        <w:t>2025年年底财政拨款收入33.34万元，其中人员经费29.73万元，日常公用经费2.22万元，项目经费1.39万元。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（三）部门整体支出绩效目标、指标</w:t>
      </w:r>
    </w:p>
    <w:p>
      <w:pPr>
        <w:widowControl w:val="0"/>
        <w:wordWrap/>
        <w:adjustRightInd w:val="0"/>
        <w:snapToGrid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cs="黑体" w:hAnsi="仿宋" w:hint="eastAsia"/>
          <w:kern w:val="2"/>
          <w:sz w:val="32"/>
          <w:szCs w:val="22"/>
          <w:lang w:val="en-US" w:eastAsia="zh-CN" w:bidi="ar-SA"/>
        </w:rPr>
        <w:t>以习近平新时代中国特色社会主义思想和</w:t>
      </w:r>
      <w:r>
        <w:rPr>
          <w:rFonts w:ascii="仿宋" w:eastAsia="仿宋" w:cs="黑体" w:hAnsi="仿宋"/>
          <w:kern w:val="2"/>
          <w:sz w:val="32"/>
          <w:szCs w:val="22"/>
          <w:lang w:val="en-US" w:eastAsia="zh-CN" w:bidi="ar-SA"/>
        </w:rPr>
        <w:t>党的二十大</w:t>
      </w:r>
      <w:r>
        <w:rPr>
          <w:rFonts w:ascii="仿宋" w:eastAsia="仿宋" w:cs="黑体" w:hAnsi="仿宋" w:hint="eastAsia"/>
          <w:kern w:val="2"/>
          <w:sz w:val="32"/>
          <w:szCs w:val="22"/>
          <w:lang w:val="en-US" w:eastAsia="zh-CN" w:bidi="ar-SA"/>
        </w:rPr>
        <w:t>精神为指导，深入贯彻落实中央和省委党的群团工作会议精神和中央、省市党委关于做好青少年和共青团工作的部署要求，紧紧围绕保持和增强政治性、先进性、群众性这一基本要求，打造有影响力的青年工作品牌，构建“凝聚青年、服务大局、当好桥梁、从严治团”的工作格局，为实现经济强区做出积极贡献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二、自评工作开展情况</w:t>
      </w:r>
    </w:p>
    <w:p>
      <w:pPr>
        <w:spacing w:line="560" w:lineRule="exact"/>
        <w:rPr>
          <w:rFonts w:ascii="楷体" w:eastAsia="楷体" w:cs="楷体_GB2312" w:hAnsi="楷体"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 xml:space="preserve">    </w:t>
      </w:r>
      <w:r>
        <w:rPr>
          <w:rFonts w:ascii="楷体" w:eastAsia="楷体" w:cs="楷体_GB2312" w:hAnsi="楷体" w:hint="eastAsia"/>
          <w:bCs/>
          <w:sz w:val="32"/>
          <w:szCs w:val="32"/>
        </w:rPr>
        <w:t>（一）自评的组织工作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为进一步提高我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部门</w:t>
      </w:r>
      <w:r>
        <w:rPr>
          <w:rFonts w:ascii="仿宋" w:eastAsia="仿宋" w:cs="仿宋" w:hAnsi="仿宋" w:hint="eastAsia"/>
          <w:sz w:val="32"/>
          <w:szCs w:val="32"/>
        </w:rPr>
        <w:t>绩效预算管理工作，根据《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中共井陉矿区委、井陉矿区人民政府关于全面落实预算绩效管理的实施意见</w:t>
      </w:r>
      <w:r>
        <w:rPr>
          <w:rFonts w:ascii="仿宋" w:eastAsia="仿宋" w:cs="仿宋" w:hAnsi="仿宋" w:hint="eastAsia"/>
          <w:sz w:val="32"/>
          <w:szCs w:val="32"/>
        </w:rPr>
        <w:t>》（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矿发</w:t>
      </w:r>
      <w:r>
        <w:rPr>
          <w:rFonts w:ascii="仿宋" w:eastAsia="仿宋" w:cs="仿宋" w:hAnsi="仿宋" w:hint="eastAsia"/>
          <w:sz w:val="32"/>
          <w:szCs w:val="32"/>
        </w:rPr>
        <w:t>〔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2019</w:t>
      </w:r>
      <w:r>
        <w:rPr>
          <w:rFonts w:ascii="仿宋" w:eastAsia="仿宋" w:cs="仿宋" w:hAnsi="仿宋" w:hint="eastAsia"/>
          <w:sz w:val="32"/>
          <w:szCs w:val="32"/>
        </w:rPr>
        <w:t>〕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7</w:t>
      </w:r>
      <w:r>
        <w:rPr>
          <w:rFonts w:ascii="仿宋" w:eastAsia="仿宋" w:cs="仿宋" w:hAnsi="仿宋" w:hint="eastAsia"/>
          <w:sz w:val="32"/>
          <w:szCs w:val="32"/>
        </w:rPr>
        <w:t>号）要求，成立绩效评价工作组，对我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部门</w:t>
      </w:r>
      <w:r>
        <w:rPr>
          <w:rFonts w:ascii="仿宋" w:eastAsia="仿宋" w:cs="仿宋" w:hAnsi="仿宋" w:hint="eastAsia"/>
          <w:sz w:val="32"/>
          <w:szCs w:val="32"/>
        </w:rPr>
        <w:t>所有的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资金</w:t>
      </w:r>
      <w:r>
        <w:rPr>
          <w:rFonts w:ascii="仿宋" w:eastAsia="仿宋" w:cs="仿宋" w:hAnsi="仿宋" w:hint="eastAsia"/>
          <w:sz w:val="32"/>
          <w:szCs w:val="32"/>
        </w:rPr>
        <w:t>项目，开展20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年度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部门整体</w:t>
      </w:r>
      <w:r>
        <w:rPr>
          <w:rFonts w:ascii="仿宋" w:eastAsia="仿宋" w:cs="仿宋" w:hAnsi="仿宋" w:hint="eastAsia"/>
          <w:sz w:val="32"/>
          <w:szCs w:val="32"/>
        </w:rPr>
        <w:t>绩效自评工作。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绩效评价工作组根据工作方案，明确任务分工，确定评价程序及时间安排。根据20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年初设定的绩效目标完成情况和各绩效指标完成情况进行核实分析，填报《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202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年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区级</w:t>
      </w:r>
      <w:r>
        <w:rPr>
          <w:rFonts w:ascii="仿宋" w:eastAsia="仿宋" w:cs="仿宋" w:hAnsi="仿宋" w:hint="eastAsia"/>
          <w:sz w:val="32"/>
          <w:szCs w:val="32"/>
        </w:rPr>
        <w:t>项目绩效自评表》，并撰写绩效自评报告。</w:t>
      </w:r>
    </w:p>
    <w:p>
      <w:pPr>
        <w:numPr>
          <w:ilvl w:val="0"/>
          <w:numId w:val="2"/>
        </w:numPr>
        <w:spacing w:line="560" w:lineRule="exact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自评的方法和过程</w:t>
      </w:r>
    </w:p>
    <w:p>
      <w:pPr>
        <w:pStyle w:val="15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仿宋" w:eastAsia="仿宋" w:cs="仿宋" w:hAnsi="仿宋" w:hint="eastAsia"/>
          <w:kern w:val="2"/>
          <w:sz w:val="32"/>
          <w:szCs w:val="32"/>
          <w:lang w:val="en-US" w:eastAsia="zh-CN" w:bidi="ar-SA"/>
        </w:rPr>
        <w:t>本次绩效评价证据收集方法包括了：研究、分析项目资料、工作总结，根据基础数据表逐项进行核实。项目在前期的调研基础上，完成了项目绩效</w:t>
      </w:r>
      <w:r>
        <w:rPr>
          <w:rFonts w:ascii="仿宋" w:eastAsia="仿宋" w:cs="黑体" w:hAnsi="仿宋" w:hint="eastAsia"/>
          <w:kern w:val="2"/>
          <w:sz w:val="32"/>
          <w:szCs w:val="22"/>
          <w:lang w:val="en-US" w:eastAsia="zh-CN" w:bidi="ar-SA"/>
        </w:rPr>
        <w:t>评价工作方案，设计了指标体系、评价标准、问卷调查方案等，明确了评价的目的、方法，评价原则。项目严格按照工作方案，通过调研、相关文件的解读、数据采集、文件调查、数据分析、指标评分和撰写的环节，顺利完成了本次绩效评价工作。</w:t>
      </w:r>
    </w:p>
    <w:p>
      <w:pPr>
        <w:spacing w:line="560" w:lineRule="exact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  三、部门整体支出绩效目标实现情况及指标分析</w:t>
      </w:r>
    </w:p>
    <w:p>
      <w:pPr>
        <w:numPr>
          <w:ilvl w:val="0"/>
          <w:numId w:val="3"/>
        </w:numPr>
        <w:spacing w:line="560" w:lineRule="exact"/>
        <w:ind w:left="0"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总体绩效目标实现情况</w:t>
      </w:r>
    </w:p>
    <w:p>
      <w:pPr>
        <w:widowControl w:val="0"/>
        <w:spacing w:line="600" w:lineRule="exact"/>
        <w:ind w:firstLine="640"/>
        <w:jc w:val="both"/>
        <w:rPr>
          <w:rFonts w:ascii="仿宋" w:eastAsia="仿宋" w:hAnsi="仿宋"/>
          <w:b w:val="0"/>
          <w:i w:val="0"/>
          <w:strike w:val="0"/>
          <w:dstrike w:val="0"/>
          <w:sz w:val="32"/>
          <w:szCs w:val="22"/>
          <w:lang w:val="en-US"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202</w:t>
      </w:r>
      <w:r>
        <w:rPr>
          <w:rFonts w:ascii="仿宋" w:eastAsia="仿宋" w:cs="楷体_GB2312" w:hAnsi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年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我部门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主要工作目标是：</w:t>
      </w:r>
      <w:r>
        <w:rPr>
          <w:rFonts w:ascii="仿宋" w:eastAsia="仿宋" w:hAnsi="仿宋" w:hint="eastAsia"/>
          <w:sz w:val="32"/>
          <w:lang w:eastAsia="zh-CN"/>
        </w:rPr>
        <w:t>领导全区共青团工作，指导青联和少先队工作，协助区政府教育部门做好学生教育管理工作；做好“五四”表彰工作；加强基层团组织及青少年的思想教育管理；对国家、省、市</w:t>
      </w:r>
      <w:r>
        <w:rPr>
          <w:rFonts w:ascii="仿宋" w:eastAsia="仿宋" w:hAnsi="仿宋" w:hint="eastAsia"/>
          <w:sz w:val="32"/>
          <w:lang w:val="en-US" w:eastAsia="zh-CN"/>
        </w:rPr>
        <w:t>希望工程、青少年发展基金会等相关捐助款项、物资的走访做好摸底调查、分配发放工</w:t>
      </w:r>
      <w:r>
        <w:rPr>
          <w:rFonts w:ascii="仿宋" w:eastAsia="仿宋" w:hAnsi="仿宋" w:hint="eastAsia"/>
          <w:b w:val="0"/>
          <w:i w:val="0"/>
          <w:strike w:val="0"/>
          <w:dstrike w:val="0"/>
          <w:sz w:val="32"/>
          <w:szCs w:val="22"/>
          <w:lang w:val="en-US" w:eastAsia="zh-CN"/>
        </w:rPr>
        <w:t>作；</w:t>
      </w:r>
      <w:r>
        <w:rPr>
          <w:rFonts w:ascii="仿宋" w:eastAsia="仿宋" w:hAnsi="仿宋" w:hint="eastAsia"/>
          <w:b w:val="0"/>
          <w:i w:val="0"/>
          <w:strike w:val="0"/>
          <w:dstrike w:val="0"/>
          <w:sz w:val="32"/>
          <w:szCs w:val="22"/>
          <w:lang w:eastAsia="zh-CN"/>
        </w:rPr>
        <w:t>协助区委区政府开展各项志愿服务活动；做好青少年维权和预防青少年犯罪的宣传活动。</w:t>
      </w:r>
    </w:p>
    <w:p>
      <w:pPr>
        <w:spacing w:line="560" w:lineRule="exact"/>
        <w:rPr>
          <w:rFonts w:ascii="楷体" w:eastAsia="楷体" w:hAnsi="楷体"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 xml:space="preserve">    </w:t>
      </w:r>
      <w:r>
        <w:rPr>
          <w:rFonts w:ascii="楷体" w:eastAsia="楷体" w:cs="楷体_GB2312" w:hAnsi="楷体" w:hint="eastAsia"/>
          <w:bCs/>
          <w:sz w:val="32"/>
          <w:szCs w:val="32"/>
        </w:rPr>
        <w:t>（二）分项绩效目标实现情况及指标分析</w:t>
      </w:r>
    </w:p>
    <w:p>
      <w:pPr>
        <w:pStyle w:val="15"/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我委对202</w:t>
      </w:r>
      <w:r>
        <w:rPr>
          <w:rFonts w:ascii="仿宋" w:eastAsia="仿宋" w:cs="楷体_GB2312" w:hAnsi="仿宋"/>
          <w:b w:val="0"/>
          <w:bCs w:val="0"/>
          <w:sz w:val="32"/>
          <w:szCs w:val="32"/>
          <w:lang w:val="en-US" w:eastAsia="zh-CN"/>
        </w:rPr>
        <w:t>5年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本部</w:t>
      </w:r>
      <w:r>
        <w:rPr>
          <w:rFonts w:ascii="仿宋" w:eastAsia="仿宋" w:cs="楷体_GB2312" w:hAnsi="仿宋"/>
          <w:b w:val="0"/>
          <w:bCs w:val="0"/>
          <w:sz w:val="32"/>
          <w:szCs w:val="32"/>
          <w:lang w:val="en-US" w:eastAsia="zh-CN"/>
        </w:rPr>
        <w:t>门3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个项目开展了绩效自评工作，评价发现，评价得分在90分（含90分）以上的</w:t>
      </w:r>
      <w:r>
        <w:rPr>
          <w:rFonts w:ascii="仿宋" w:eastAsia="仿宋" w:cs="楷体_GB2312" w:hAnsi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Chars="200" w:firstLine="640"/>
        <w:jc w:val="left"/>
        <w:textAlignment w:val="auto"/>
        <w:rPr>
          <w:rFonts w:ascii="仿宋" w:eastAsia="仿宋" w:cs="楷体_GB2312" w:hAnsi="仿宋"/>
          <w:b w:val="0"/>
          <w:bCs w:val="0"/>
          <w:sz w:val="32"/>
          <w:szCs w:val="32"/>
          <w:lang w:val="en-US"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202</w:t>
      </w:r>
      <w:r>
        <w:rPr>
          <w:rFonts w:ascii="仿宋" w:eastAsia="仿宋" w:cs="楷体_GB2312" w:hAnsi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年部门自评的结果详表1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Style w:val="18"/>
          <w:highlight w:val="auto"/>
        </w:rPr>
      </w:pPr>
      <w:r>
        <w:rPr>
          <w:rFonts w:ascii="黑体" w:eastAsia="黑体" w:hAnsi="黑体" w:hint="eastAsia"/>
          <w:sz w:val="28"/>
          <w:szCs w:val="28"/>
          <w:highlight w:val="auto"/>
        </w:rPr>
        <w:t>表</w:t>
      </w:r>
      <w:r>
        <w:rPr>
          <w:rFonts w:ascii="黑体" w:eastAsia="黑体" w:hAnsi="黑体" w:hint="eastAsia"/>
          <w:sz w:val="28"/>
          <w:szCs w:val="28"/>
          <w:lang w:val="en-US" w:eastAsia="zh-CN"/>
          <w:highlight w:val="auto"/>
        </w:rPr>
        <w:t>1</w:t>
      </w:r>
      <w:r>
        <w:rPr>
          <w:rFonts w:ascii="黑体" w:eastAsia="黑体" w:hAnsi="黑体" w:hint="eastAsia"/>
          <w:sz w:val="28"/>
          <w:szCs w:val="28"/>
          <w:highlight w:val="auto"/>
        </w:rPr>
        <w:t>：</w:t>
      </w:r>
      <w:r>
        <w:rPr>
          <w:rFonts w:ascii="黑体" w:eastAsia="黑体" w:hAnsi="黑体" w:hint="eastAsia"/>
          <w:sz w:val="28"/>
          <w:szCs w:val="28"/>
          <w:lang w:val="en-US" w:eastAsia="zh-CN"/>
          <w:highlight w:val="auto"/>
        </w:rPr>
        <w:t>202</w:t>
      </w:r>
      <w:r>
        <w:rPr>
          <w:rFonts w:ascii="黑体" w:eastAsia="黑体" w:hAnsi="黑体"/>
          <w:sz w:val="28"/>
          <w:szCs w:val="28"/>
          <w:lang w:val="en-US" w:eastAsia="zh-CN"/>
          <w:highlight w:val="auto"/>
        </w:rPr>
        <w:t>5</w:t>
      </w:r>
      <w:r>
        <w:rPr>
          <w:rFonts w:ascii="黑体" w:eastAsia="黑体" w:hAnsi="黑体" w:hint="eastAsia"/>
          <w:sz w:val="28"/>
          <w:szCs w:val="28"/>
          <w:highlight w:val="auto"/>
        </w:rPr>
        <w:t>年部门自评结果</w:t>
      </w:r>
    </w:p>
    <w:tbl>
      <w:tblPr>
        <w:jc w:val="center"/>
        <w:tblW w:w="7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724"/>
        <w:gridCol w:w="2777"/>
        <w:gridCol w:w="1190"/>
        <w:gridCol w:w="1200"/>
        <w:gridCol w:w="1089"/>
        <w:gridCol w:w="977"/>
      </w:tblGrid>
      <w:tr>
        <w:trPr>
          <w:cantSplit/>
          <w:trHeight w:val="660"/>
          <w:tblHeader/>
        </w:trPr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eastAsia="宋体" w:hAnsi="宋体"/>
                <w:b/>
                <w:bCs/>
                <w:sz w:val="20"/>
                <w:szCs w:val="20"/>
                <w:highlight w:val="auto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0"/>
                <w:highlight w:val="auto"/>
              </w:rPr>
              <w:t>序号</w:t>
            </w:r>
          </w:p>
        </w:tc>
        <w:tc>
          <w:tcPr>
            <w:tcW w:w="277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eastAsia="宋体" w:hAnsi="宋体"/>
                <w:b/>
                <w:bCs/>
                <w:sz w:val="20"/>
                <w:szCs w:val="20"/>
                <w:highlight w:val="auto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0"/>
                <w:highlight w:val="auto"/>
              </w:rPr>
              <w:t>项目名称</w:t>
            </w:r>
          </w:p>
        </w:tc>
        <w:tc>
          <w:tcPr>
            <w:tcW w:w="11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eastAsia="宋体" w:hAnsi="宋体" w:hint="eastAsia"/>
                <w:b/>
                <w:bCs/>
                <w:sz w:val="20"/>
                <w:szCs w:val="20"/>
                <w:highlight w:val="auto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0"/>
                <w:highlight w:val="auto"/>
              </w:rPr>
              <w:t>预算金额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eastAsia="宋体" w:hAnsi="宋体"/>
                <w:b/>
                <w:bCs/>
                <w:sz w:val="20"/>
                <w:szCs w:val="20"/>
                <w:highlight w:val="auto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0"/>
                <w:highlight w:val="auto"/>
              </w:rPr>
              <w:t>/万元</w:t>
            </w: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eastAsia="宋体" w:hAnsi="宋体"/>
                <w:b/>
                <w:bCs/>
                <w:sz w:val="20"/>
                <w:szCs w:val="20"/>
                <w:highlight w:val="auto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0"/>
                <w:highlight w:val="auto"/>
              </w:rPr>
              <w:t>实际支出金额/万元</w:t>
            </w:r>
          </w:p>
        </w:tc>
        <w:tc>
          <w:tcPr>
            <w:tcW w:w="10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eastAsia="宋体" w:hAnsi="宋体"/>
                <w:b/>
                <w:bCs/>
                <w:sz w:val="20"/>
                <w:szCs w:val="20"/>
                <w:highlight w:val="auto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0"/>
                <w:highlight w:val="auto"/>
              </w:rPr>
              <w:t>预算执行率</w:t>
            </w:r>
            <w:r>
              <w:rPr>
                <w:rFonts w:ascii="宋体" w:eastAsia="宋体" w:hAnsi="宋体" w:hint="eastAsia"/>
                <w:b/>
                <w:bCs/>
                <w:sz w:val="20"/>
                <w:szCs w:val="20"/>
                <w:lang w:eastAsia="zh-CN"/>
                <w:highlight w:val="auto"/>
              </w:rPr>
              <w:t>（</w:t>
            </w:r>
            <w:r>
              <w:rPr>
                <w:rFonts w:ascii="宋体" w:eastAsia="宋体" w:hAnsi="宋体" w:hint="eastAsia"/>
                <w:b/>
                <w:bCs/>
                <w:sz w:val="20"/>
                <w:szCs w:val="20"/>
                <w:highlight w:val="auto"/>
              </w:rPr>
              <w:t>%</w:t>
            </w:r>
            <w:r>
              <w:rPr>
                <w:rFonts w:ascii="宋体" w:eastAsia="宋体" w:hAnsi="宋体" w:hint="eastAsia"/>
                <w:b/>
                <w:bCs/>
                <w:sz w:val="20"/>
                <w:szCs w:val="20"/>
                <w:lang w:eastAsia="zh-CN"/>
                <w:highlight w:val="auto"/>
              </w:rPr>
              <w:t>）</w:t>
            </w:r>
          </w:p>
        </w:tc>
        <w:tc>
          <w:tcPr>
            <w:tcW w:w="97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eastAsia="宋体" w:hAnsi="宋体" w:hint="eastAsia"/>
                <w:b/>
                <w:bCs/>
                <w:sz w:val="20"/>
                <w:szCs w:val="20"/>
                <w:highlight w:val="auto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0"/>
                <w:highlight w:val="auto"/>
              </w:rPr>
              <w:t>自评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eastAsia="宋体" w:hAnsi="宋体"/>
                <w:b/>
                <w:bCs/>
                <w:sz w:val="20"/>
                <w:szCs w:val="20"/>
                <w:highlight w:val="auto"/>
              </w:rPr>
            </w:pPr>
            <w:r>
              <w:rPr>
                <w:rFonts w:ascii="宋体" w:eastAsia="宋体" w:hAnsi="宋体" w:hint="eastAsia"/>
                <w:b/>
                <w:bCs/>
                <w:sz w:val="20"/>
                <w:szCs w:val="20"/>
                <w:highlight w:val="auto"/>
              </w:rPr>
              <w:t>得分</w:t>
            </w:r>
          </w:p>
        </w:tc>
      </w:tr>
      <w:tr>
        <w:trPr>
          <w:cantSplit/>
          <w:trHeight w:val="46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eastAsia="宋体" w:hAnsi="宋体"/>
                <w:sz w:val="20"/>
                <w:szCs w:val="20"/>
                <w:highlight w:val="auto"/>
              </w:rPr>
            </w:pPr>
            <w:r>
              <w:rPr>
                <w:rFonts w:ascii="宋体" w:eastAsia="宋体" w:hAnsi="宋体" w:hint="eastAsia"/>
                <w:sz w:val="20"/>
                <w:szCs w:val="20"/>
                <w:highlight w:val="auto"/>
              </w:rPr>
              <w:t>1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8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eastAsia="宋体" w:cs="宋体" w:hAnsi="宋体" w:hint="eastAsia"/>
                <w:color w:val="000000"/>
                <w:sz w:val="20"/>
                <w:szCs w:val="20"/>
                <w:lang w:eastAsia="zh-CN"/>
                <w:highlight w:val="auto"/>
              </w:rPr>
            </w:pPr>
            <w:r>
              <w:rPr>
                <w:rFonts w:ascii="宋体" w:eastAsia="宋体" w:cs="宋体" w:hAnsi="宋体" w:hint="eastAsia"/>
                <w:color w:val="000000"/>
                <w:sz w:val="20"/>
                <w:szCs w:val="20"/>
                <w:lang w:eastAsia="zh-CN"/>
                <w:highlight w:val="auto"/>
              </w:rPr>
              <w:t>团委工作经费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right"/>
              <w:textAlignment w:val="auto"/>
              <w:rPr>
                <w:rFonts w:ascii="宋体" w:eastAsia="宋体" w:cs="宋体" w:hAnsi="宋体"/>
                <w:color w:val="000000"/>
                <w:sz w:val="20"/>
                <w:szCs w:val="20"/>
                <w:lang w:val="en-US" w:eastAsia="zh-CN"/>
                <w:highlight w:val="auto"/>
              </w:rPr>
            </w:pPr>
            <w:r>
              <w:rPr>
                <w:rFonts w:ascii="宋体" w:cs="宋体" w:hAnsi="宋体" w:hint="eastAsia"/>
                <w:color w:val="000000"/>
                <w:sz w:val="20"/>
                <w:szCs w:val="20"/>
                <w:lang w:val="en-US" w:eastAsia="zh-CN"/>
                <w:highlight w:val="auto"/>
              </w:rPr>
              <w:t>0.</w:t>
            </w:r>
            <w:r>
              <w:rPr>
                <w:rFonts w:ascii="宋体" w:cs="宋体" w:hAnsi="宋体"/>
                <w:color w:val="000000"/>
                <w:sz w:val="20"/>
                <w:szCs w:val="20"/>
                <w:lang w:val="en-US" w:eastAsia="zh-CN"/>
                <w:highlight w:val="auto"/>
              </w:rPr>
              <w:t>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right"/>
              <w:textAlignment w:val="auto"/>
              <w:rPr>
                <w:rFonts w:ascii="宋体" w:eastAsia="宋体" w:cs="宋体" w:hAnsi="宋体"/>
                <w:sz w:val="20"/>
                <w:szCs w:val="20"/>
                <w:lang w:val="en-US" w:eastAsia="zh-CN"/>
                <w:highlight w:val="auto"/>
              </w:rPr>
            </w:pPr>
            <w:r>
              <w:rPr>
                <w:rFonts w:ascii="宋体" w:cs="宋体" w:hAnsi="宋体" w:hint="eastAsia"/>
                <w:sz w:val="20"/>
                <w:szCs w:val="20"/>
                <w:lang w:val="en-US" w:eastAsia="zh-CN"/>
                <w:highlight w:val="auto"/>
              </w:rPr>
              <w:t>0.</w:t>
            </w:r>
            <w:r>
              <w:rPr>
                <w:rFonts w:ascii="宋体" w:cs="宋体" w:hAnsi="宋体"/>
                <w:sz w:val="20"/>
                <w:szCs w:val="20"/>
                <w:lang w:val="en-US" w:eastAsia="zh-CN"/>
                <w:highlight w:val="auto"/>
              </w:rPr>
              <w:t>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436"/>
                <w:tab w:val="right" w:pos="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Chars="200" w:firstLine="400"/>
              <w:jc w:val="left"/>
              <w:textAlignment w:val="auto"/>
              <w:rPr>
                <w:rFonts w:ascii="宋体" w:eastAsia="宋体" w:cs="宋体" w:hAnsi="宋体"/>
                <w:color w:val="000000"/>
                <w:sz w:val="20"/>
                <w:szCs w:val="20"/>
                <w:lang w:val="en-US" w:eastAsia="zh-CN"/>
                <w:highlight w:val="auto"/>
              </w:rPr>
            </w:pPr>
            <w:r>
              <w:rPr>
                <w:rFonts w:ascii="宋体" w:cs="宋体" w:hAnsi="宋体" w:hint="eastAsia"/>
                <w:color w:val="000000"/>
                <w:sz w:val="20"/>
                <w:szCs w:val="20"/>
                <w:lang w:val="en-US" w:eastAsia="zh-CN"/>
                <w:highlight w:val="auto"/>
              </w:rPr>
              <w:t>100%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right"/>
              <w:textAlignment w:val="auto"/>
              <w:rPr>
                <w:rFonts w:ascii="宋体" w:eastAsia="宋体" w:cs="宋体" w:hAnsi="宋体"/>
                <w:color w:val="000000"/>
                <w:sz w:val="20"/>
                <w:szCs w:val="20"/>
                <w:lang w:val="en-US" w:eastAsia="zh-CN"/>
                <w:highlight w:val="auto"/>
              </w:rPr>
            </w:pPr>
            <w:r>
              <w:rPr>
                <w:rFonts w:ascii="宋体" w:eastAsia="宋体" w:cs="宋体" w:hAnsi="宋体"/>
                <w:color w:val="000000"/>
                <w:sz w:val="20"/>
                <w:szCs w:val="20"/>
                <w:lang w:val="en-US" w:eastAsia="zh-CN"/>
                <w:highlight w:val="auto"/>
              </w:rPr>
              <w:t>98</w:t>
            </w:r>
          </w:p>
        </w:tc>
      </w:tr>
      <w:tr>
        <w:trPr>
          <w:cantSplit/>
          <w:trHeight w:val="48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eastAsia="宋体" w:hAnsi="宋体"/>
                <w:sz w:val="20"/>
                <w:szCs w:val="20"/>
                <w:highlight w:val="auto"/>
              </w:rPr>
            </w:pPr>
            <w:r>
              <w:rPr>
                <w:rFonts w:ascii="宋体" w:eastAsia="宋体" w:hAnsi="宋体" w:hint="eastAsia"/>
                <w:sz w:val="20"/>
                <w:szCs w:val="20"/>
                <w:highlight w:val="auto"/>
              </w:rPr>
              <w:t>2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eastAsia="宋体" w:cs="宋体" w:hAnsi="宋体" w:hint="eastAsia"/>
                <w:color w:val="000000"/>
                <w:sz w:val="20"/>
                <w:szCs w:val="20"/>
                <w:lang w:eastAsia="zh-CN"/>
                <w:highlight w:val="auto"/>
              </w:rPr>
            </w:pPr>
            <w:r>
              <w:rPr>
                <w:rFonts w:ascii="宋体" w:cs="宋体" w:hAnsi="宋体" w:hint="eastAsia"/>
                <w:color w:val="000000"/>
                <w:sz w:val="20"/>
                <w:szCs w:val="20"/>
                <w:lang w:eastAsia="zh-CN"/>
                <w:highlight w:val="auto"/>
              </w:rPr>
              <w:t>党建经费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right"/>
              <w:textAlignment w:val="auto"/>
              <w:rPr>
                <w:rFonts w:ascii="宋体" w:eastAsia="宋体" w:cs="宋体" w:hAnsi="宋体"/>
                <w:color w:val="000000"/>
                <w:sz w:val="20"/>
                <w:szCs w:val="20"/>
                <w:lang w:val="en-US" w:eastAsia="zh-CN"/>
                <w:highlight w:val="auto"/>
              </w:rPr>
            </w:pPr>
            <w:r>
              <w:rPr>
                <w:rFonts w:ascii="宋体" w:cs="宋体" w:hAnsi="宋体" w:hint="eastAsia"/>
                <w:color w:val="000000"/>
                <w:sz w:val="20"/>
                <w:szCs w:val="20"/>
                <w:lang w:val="en-US" w:eastAsia="zh-CN"/>
                <w:highlight w:val="auto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right"/>
              <w:textAlignment w:val="auto"/>
              <w:rPr>
                <w:rFonts w:ascii="宋体" w:eastAsia="宋体" w:cs="宋体" w:hAnsi="宋体"/>
                <w:sz w:val="20"/>
                <w:szCs w:val="20"/>
                <w:lang w:val="en-US" w:eastAsia="zh-CN"/>
                <w:highlight w:val="auto"/>
              </w:rPr>
            </w:pPr>
            <w:r>
              <w:rPr>
                <w:rFonts w:ascii="宋体" w:cs="宋体" w:hAnsi="宋体" w:hint="eastAsia"/>
                <w:sz w:val="20"/>
                <w:szCs w:val="20"/>
                <w:lang w:val="en-US" w:eastAsia="zh-CN"/>
                <w:highlight w:val="auto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right"/>
              <w:textAlignment w:val="auto"/>
              <w:rPr>
                <w:rFonts w:ascii="宋体" w:eastAsia="宋体" w:hAnsi="宋体"/>
                <w:color w:val="000000"/>
                <w:sz w:val="20"/>
                <w:szCs w:val="20"/>
                <w:lang w:val="en-US" w:eastAsia="zh-CN"/>
                <w:highlight w:val="auto"/>
              </w:rPr>
            </w:pPr>
            <w:r>
              <w:rPr>
                <w:rFonts w:ascii="宋体" w:cs="宋体" w:hAnsi="宋体" w:hint="eastAsia"/>
                <w:color w:val="000000"/>
                <w:sz w:val="20"/>
                <w:szCs w:val="20"/>
                <w:lang w:val="en-US" w:eastAsia="zh-CN"/>
                <w:highlight w:val="auto"/>
              </w:rPr>
              <w:t>100%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right"/>
              <w:textAlignment w:val="auto"/>
              <w:rPr>
                <w:rFonts w:ascii="宋体" w:eastAsia="宋体" w:cs="宋体" w:hAnsi="宋体"/>
                <w:color w:val="000000"/>
                <w:sz w:val="20"/>
                <w:szCs w:val="20"/>
                <w:lang w:val="en-US" w:eastAsia="zh-CN"/>
                <w:highlight w:val="auto"/>
              </w:rPr>
            </w:pPr>
            <w:r>
              <w:rPr>
                <w:rFonts w:ascii="宋体" w:cs="宋体" w:hAnsi="宋体" w:hint="eastAsia"/>
                <w:color w:val="000000"/>
                <w:sz w:val="20"/>
                <w:szCs w:val="20"/>
                <w:lang w:val="en-US" w:eastAsia="zh-CN"/>
                <w:highlight w:val="auto"/>
              </w:rPr>
              <w:t>98</w:t>
            </w:r>
          </w:p>
        </w:tc>
      </w:tr>
      <w:tr>
        <w:trPr>
          <w:trHeight w:val="48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/>
                <w:sz w:val="20"/>
                <w:szCs w:val="20"/>
                <w:highlight w:val="auto"/>
              </w:rPr>
            </w:pPr>
            <w:r>
              <w:rPr>
                <w:rFonts w:ascii="宋体" w:eastAsia="宋体" w:hAnsi="宋体"/>
                <w:sz w:val="20"/>
                <w:szCs w:val="20"/>
                <w:highlight w:val="auto"/>
              </w:rPr>
              <w:t>3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5"/>
              </w:tabs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20" w:lineRule="exact"/>
              <w:jc w:val="center"/>
              <w:rPr>
                <w:rFonts w:ascii="宋体" w:cs="宋体" w:hAnsi="宋体"/>
                <w:color w:val="000000"/>
                <w:sz w:val="20"/>
                <w:szCs w:val="20"/>
                <w:lang w:eastAsia="zh-CN"/>
                <w:highlight w:val="auto"/>
              </w:rPr>
            </w:pPr>
            <w:r>
              <w:rPr>
                <w:rFonts w:ascii="宋体" w:cs="宋体" w:hAnsi="宋体"/>
                <w:color w:val="000000"/>
                <w:sz w:val="20"/>
                <w:szCs w:val="20"/>
                <w:lang w:eastAsia="zh-CN"/>
                <w:highlight w:val="auto"/>
              </w:rPr>
              <w:t>劳务派遣经费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20" w:lineRule="exact"/>
              <w:jc w:val="right"/>
              <w:rPr>
                <w:rFonts w:ascii="宋体" w:cs="宋体" w:hAnsi="宋体"/>
                <w:color w:val="000000"/>
                <w:sz w:val="20"/>
                <w:szCs w:val="20"/>
                <w:lang w:val="en-US" w:eastAsia="zh-CN"/>
                <w:highlight w:val="auto"/>
              </w:rPr>
            </w:pPr>
            <w:r>
              <w:rPr>
                <w:rFonts w:ascii="宋体" w:cs="宋体" w:hAnsi="宋体"/>
                <w:color w:val="000000"/>
                <w:sz w:val="20"/>
                <w:szCs w:val="20"/>
                <w:lang w:val="en-US" w:eastAsia="zh-CN"/>
                <w:highlight w:val="auto"/>
              </w:rPr>
              <w:t>0.9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20" w:lineRule="exact"/>
              <w:jc w:val="right"/>
              <w:rPr>
                <w:rFonts w:ascii="宋体" w:cs="宋体" w:hAnsi="宋体"/>
                <w:sz w:val="20"/>
                <w:szCs w:val="20"/>
                <w:lang w:val="en-US" w:eastAsia="zh-CN"/>
                <w:highlight w:val="auto"/>
              </w:rPr>
            </w:pPr>
            <w:r>
              <w:rPr>
                <w:rFonts w:ascii="宋体" w:cs="宋体" w:hAnsi="宋体"/>
                <w:sz w:val="20"/>
                <w:szCs w:val="20"/>
                <w:lang w:val="en-US" w:eastAsia="zh-CN"/>
                <w:highlight w:val="auto"/>
              </w:rPr>
              <w:t>0.9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20" w:lineRule="exact"/>
              <w:jc w:val="right"/>
              <w:rPr>
                <w:rFonts w:ascii="宋体" w:hAnsi="宋体"/>
                <w:color w:val="000000"/>
                <w:sz w:val="20"/>
                <w:szCs w:val="20"/>
                <w:lang w:val="en-US" w:eastAsia="zh-CN"/>
                <w:highlight w:val="auto"/>
              </w:rPr>
            </w:pPr>
            <w:r>
              <w:rPr>
                <w:rFonts w:ascii="宋体" w:cs="宋体" w:hAnsi="宋体" w:hint="eastAsia"/>
                <w:color w:val="000000"/>
                <w:sz w:val="20"/>
                <w:szCs w:val="20"/>
                <w:lang w:val="en-US" w:eastAsia="zh-CN"/>
                <w:highlight w:val="auto"/>
              </w:rPr>
              <w:t>100%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320" w:lineRule="exact"/>
              <w:jc w:val="right"/>
              <w:rPr>
                <w:rFonts w:ascii="宋体" w:cs="宋体" w:hAnsi="宋体"/>
                <w:color w:val="000000"/>
                <w:sz w:val="20"/>
                <w:szCs w:val="20"/>
                <w:lang w:val="en-US" w:eastAsia="zh-CN"/>
                <w:highlight w:val="auto"/>
              </w:rPr>
            </w:pPr>
            <w:r>
              <w:rPr>
                <w:rFonts w:ascii="宋体" w:cs="宋体" w:hAnsi="宋体"/>
                <w:color w:val="000000"/>
                <w:sz w:val="20"/>
                <w:szCs w:val="20"/>
                <w:lang w:val="en-US" w:eastAsia="zh-CN"/>
                <w:highlight w:val="auto"/>
              </w:rPr>
              <w:t>98</w:t>
            </w:r>
          </w:p>
        </w:tc>
      </w:tr>
    </w:tbl>
    <w:p>
      <w:pPr>
        <w:spacing w:line="560" w:lineRule="exact"/>
        <w:rPr>
          <w:rFonts w:ascii="仿宋" w:eastAsia="仿宋" w:hAnsi="仿宋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四、评价结论和评价等级</w:t>
      </w:r>
    </w:p>
    <w:p>
      <w:pPr>
        <w:widowControl w:val="0"/>
        <w:wordWrap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</w:t>
      </w:r>
      <w:r>
        <w:rPr>
          <w:rFonts w:ascii="仿宋" w:eastAsia="仿宋" w:hAnsi="仿宋" w:hint="eastAsia"/>
          <w:sz w:val="32"/>
          <w:szCs w:val="32"/>
          <w:lang w:eastAsia="zh-CN"/>
        </w:rPr>
        <w:t>部门职责定位和各项工作履职情况进行综合评价</w:t>
      </w:r>
      <w:r>
        <w:rPr>
          <w:rFonts w:ascii="仿宋" w:eastAsia="仿宋" w:hAnsi="仿宋" w:hint="eastAsia"/>
          <w:sz w:val="32"/>
          <w:szCs w:val="32"/>
        </w:rPr>
        <w:t>，给出总得分，满分100分，得出综合绩效评价等级。</w:t>
      </w:r>
      <w:r>
        <w:rPr>
          <w:rFonts w:ascii="仿宋" w:eastAsia="仿宋" w:hAnsi="仿宋" w:hint="eastAsia"/>
          <w:sz w:val="32"/>
          <w:szCs w:val="32"/>
          <w:lang w:eastAsia="zh-CN"/>
        </w:rPr>
        <w:t>部门整体支出</w:t>
      </w:r>
      <w:r>
        <w:rPr>
          <w:rFonts w:ascii="仿宋" w:eastAsia="仿宋" w:hAnsi="仿宋" w:hint="eastAsia"/>
          <w:sz w:val="32"/>
          <w:szCs w:val="32"/>
        </w:rPr>
        <w:t>综合绩效评价分为4个等级：得分</w:t>
      </w:r>
      <w:r>
        <w:rPr>
          <w:rFonts w:ascii="仿宋" w:eastAsia="仿宋" w:cs="Arial" w:hAnsi="仿宋"/>
          <w:sz w:val="32"/>
          <w:szCs w:val="32"/>
        </w:rPr>
        <w:t>≥</w:t>
      </w:r>
      <w:r>
        <w:rPr>
          <w:rFonts w:ascii="仿宋" w:eastAsia="仿宋" w:hAnsi="仿宋" w:hint="eastAsia"/>
          <w:sz w:val="32"/>
          <w:szCs w:val="32"/>
        </w:rPr>
        <w:t>85分为优秀；75</w:t>
      </w:r>
      <w:r>
        <w:rPr>
          <w:rFonts w:ascii="仿宋" w:eastAsia="仿宋" w:cs="Arial" w:hAnsi="仿宋"/>
          <w:sz w:val="32"/>
          <w:szCs w:val="32"/>
        </w:rPr>
        <w:t>≤</w:t>
      </w:r>
      <w:r>
        <w:rPr>
          <w:rFonts w:ascii="仿宋" w:eastAsia="仿宋" w:hAnsi="仿宋" w:hint="eastAsia"/>
          <w:sz w:val="32"/>
          <w:szCs w:val="32"/>
        </w:rPr>
        <w:t>得分＜85分为良好；60</w:t>
      </w:r>
      <w:r>
        <w:rPr>
          <w:rFonts w:ascii="仿宋" w:eastAsia="仿宋" w:cs="Arial" w:hAnsi="仿宋"/>
          <w:sz w:val="32"/>
          <w:szCs w:val="32"/>
        </w:rPr>
        <w:t>≤</w:t>
      </w:r>
      <w:r>
        <w:rPr>
          <w:rFonts w:ascii="仿宋" w:eastAsia="仿宋" w:hAnsi="仿宋" w:hint="eastAsia"/>
          <w:sz w:val="32"/>
          <w:szCs w:val="32"/>
        </w:rPr>
        <w:t>得分＜75分为一般；得分＜60分为较差。</w:t>
      </w: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五、存在的问题及改进措施</w:t>
      </w:r>
    </w:p>
    <w:p>
      <w:pPr>
        <w:spacing w:line="560" w:lineRule="exact"/>
        <w:ind w:firstLineChars="200" w:firstLine="640"/>
        <w:rPr>
          <w:rFonts w:ascii="楷体" w:eastAsia="楷体" w:hAnsi="楷体" w:hint="eastAsia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（一）存在的主要问题</w:t>
      </w:r>
    </w:p>
    <w:p>
      <w:pPr>
        <w:spacing w:line="560" w:lineRule="exact"/>
        <w:ind w:firstLineChars="200" w:firstLine="640"/>
        <w:rPr>
          <w:rFonts w:ascii="楷体" w:eastAsia="楷体" w:hAnsi="楷体" w:hint="eastAsia"/>
          <w:bCs/>
          <w:sz w:val="32"/>
          <w:szCs w:val="32"/>
        </w:rPr>
      </w:pPr>
      <w:r>
        <w:rPr>
          <w:rFonts w:ascii="仿宋" w:eastAsia="仿宋" w:hAnsi="仿宋" w:hint="eastAsia"/>
          <w:b w:val="0"/>
          <w:bCs w:val="0"/>
          <w:sz w:val="32"/>
          <w:szCs w:val="32"/>
        </w:rPr>
        <w:t>当前绩效考核在目标设定上不能实现多元化的目标，考核结果仅仅是停留在作为薪金或晋升的依据，还不能成为考量</w:t>
      </w:r>
      <w:r>
        <w:rPr>
          <w:rFonts w:ascii="仿宋" w:eastAsia="仿宋" w:hAnsi="仿宋" w:hint="eastAsia"/>
          <w:b w:val="0"/>
          <w:bCs w:val="0"/>
          <w:sz w:val="32"/>
          <w:szCs w:val="32"/>
          <w:lang w:eastAsia="zh-CN"/>
        </w:rPr>
        <w:t>职工</w:t>
      </w:r>
      <w:r>
        <w:rPr>
          <w:rFonts w:ascii="仿宋" w:eastAsia="仿宋" w:hAnsi="仿宋" w:hint="eastAsia"/>
          <w:b w:val="0"/>
          <w:bCs w:val="0"/>
          <w:sz w:val="32"/>
          <w:szCs w:val="32"/>
        </w:rPr>
        <w:t>发展的标杆。</w:t>
      </w:r>
    </w:p>
    <w:p>
      <w:pPr>
        <w:numPr>
          <w:ilvl w:val="0"/>
          <w:numId w:val="3"/>
        </w:numPr>
        <w:spacing w:line="560" w:lineRule="exact"/>
        <w:ind w:left="0" w:firstLineChars="200" w:firstLine="640"/>
        <w:rPr>
          <w:rFonts w:ascii="楷体" w:eastAsia="楷体" w:hAnsi="楷体" w:hint="eastAsia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针对问题提出具体的改进措施或建议</w:t>
      </w:r>
    </w:p>
    <w:p>
      <w:pPr>
        <w:wordWrap/>
        <w:spacing w:line="560" w:lineRule="exact"/>
        <w:ind w:left="0" w:firstLineChars="200" w:firstLine="640"/>
        <w:rPr>
          <w:rFonts w:ascii="楷体" w:eastAsia="楷体" w:hAnsi="楷体" w:hint="eastAsia"/>
          <w:bCs/>
          <w:sz w:val="32"/>
          <w:szCs w:val="32"/>
        </w:rPr>
      </w:pPr>
      <w:r>
        <w:rPr>
          <w:rFonts w:ascii="仿宋" w:eastAsia="仿宋" w:cs="黑体" w:hAnsi="仿宋" w:hint="eastAsia"/>
          <w:b w:val="0"/>
          <w:bCs w:val="0"/>
          <w:kern w:val="2"/>
          <w:sz w:val="32"/>
          <w:szCs w:val="32"/>
          <w:lang w:val="en-US" w:eastAsia="zh-CN" w:bidi="ar-SA"/>
        </w:rPr>
        <w:t>根据年度工作计划制定具体、可衡量、可实现的绩效目标，明确支出的必要性、可行性和有效性，并围绕绩效目标编制清晰、量化、便于考核的绩效指标。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六、评价工作组人员名单及签字（姓名、工作单位、职务、职称）</w:t>
      </w:r>
    </w:p>
    <w:p>
      <w:pPr>
        <w:widowControl w:val="0"/>
        <w:wordWrap/>
        <w:spacing w:line="560" w:lineRule="exact"/>
        <w:ind w:right="0"/>
        <w:jc w:val="center"/>
        <w:textAlignment w:val="auto"/>
        <w:outlineLvl w:val="9"/>
        <w:rPr>
          <w:rFonts w:ascii="仿宋" w:eastAsia="仿宋" w:cs="黑体" w:hAnsi="仿宋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仿宋" w:eastAsia="仿宋" w:cs="黑体" w:hAnsi="仿宋" w:hint="eastAsia"/>
          <w:b w:val="0"/>
          <w:bCs w:val="0"/>
          <w:kern w:val="2"/>
          <w:sz w:val="32"/>
          <w:szCs w:val="32"/>
          <w:lang w:val="en-US" w:eastAsia="zh-CN" w:bidi="ar-SA"/>
        </w:rPr>
        <w:t>评价工作组人员名单</w:t>
      </w:r>
    </w:p>
    <w:tbl>
      <w:tblPr>
        <w:jc w:val="left"/>
        <w:tblInd w:w="0" w:type="dxa"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1149"/>
        <w:gridCol w:w="1172"/>
        <w:gridCol w:w="1856"/>
        <w:gridCol w:w="3071"/>
        <w:gridCol w:w="1813"/>
      </w:tblGrid>
      <w:tr>
        <w:tc>
          <w:tcPr>
            <w:tcW w:w="1149" w:type="dxa"/>
          </w:tcPr>
          <w:p>
            <w:pPr>
              <w:pStyle w:val="15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序</w:t>
            </w:r>
            <w:r>
              <w:rPr>
                <w:rFonts w:hint="eastAsia"/>
                <w:vertAlign w:val="baseline"/>
                <w:lang w:eastAsia="zh-CN"/>
              </w:rPr>
              <w:t>号</w:t>
            </w:r>
          </w:p>
        </w:tc>
        <w:tc>
          <w:tcPr>
            <w:tcW w:w="1172" w:type="dxa"/>
          </w:tcPr>
          <w:p>
            <w:pPr>
              <w:pStyle w:val="15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</w:tc>
        <w:tc>
          <w:tcPr>
            <w:tcW w:w="1856" w:type="dxa"/>
          </w:tcPr>
          <w:p>
            <w:pPr>
              <w:pStyle w:val="15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工作单位</w:t>
            </w:r>
          </w:p>
        </w:tc>
        <w:tc>
          <w:tcPr>
            <w:tcW w:w="3071" w:type="dxa"/>
          </w:tcPr>
          <w:p>
            <w:pPr>
              <w:pStyle w:val="15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eastAsia="zh-CN"/>
              </w:rPr>
              <w:t>职务</w:t>
            </w:r>
          </w:p>
        </w:tc>
        <w:tc>
          <w:tcPr>
            <w:tcW w:w="1813" w:type="dxa"/>
          </w:tcPr>
          <w:p>
            <w:pPr>
              <w:pStyle w:val="15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签名</w:t>
            </w:r>
          </w:p>
        </w:tc>
      </w:tr>
      <w:tr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5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vertAlign w:val="baseline"/>
                <w:lang w:val="en-US" w:eastAsia="zh-CN"/>
              </w:rPr>
              <w:t>辛林孟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团区委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书记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5"/>
              <w:jc w:val="both"/>
              <w:rPr>
                <w:rFonts w:hint="eastAsia"/>
                <w:vertAlign w:val="baseline"/>
                <w:lang w:eastAsia="zh-CN"/>
              </w:rPr>
            </w:pPr>
          </w:p>
        </w:tc>
      </w:tr>
      <w:tr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5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刘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eastAsia="zh-CN"/>
              </w:rPr>
              <w:t>欣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ind w:left="0" w:firstLine="0"/>
              <w:jc w:val="center"/>
              <w:rPr>
                <w:rFonts w:ascii="Calibri" w:eastAsia="仿宋_GB2312" w:cs="黑体" w:hAnsi="Calibri" w:hint="eastAsia"/>
                <w:kern w:val="2"/>
                <w:sz w:val="30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Calibri" w:eastAsia="仿宋_GB2312" w:cs="黑体" w:hAnsi="Calibri" w:hint="eastAsia"/>
                <w:kern w:val="2"/>
                <w:sz w:val="30"/>
                <w:szCs w:val="22"/>
                <w:vertAlign w:val="baseline"/>
                <w:lang w:val="en-US" w:eastAsia="zh-CN" w:bidi="ar-SA"/>
              </w:rPr>
              <w:t>团区委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5"/>
              <w:ind w:left="0" w:firstLineChars="0" w:firstLine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副书记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5"/>
              <w:jc w:val="both"/>
              <w:rPr>
                <w:rFonts w:hint="eastAsia"/>
                <w:vertAlign w:val="baseline"/>
                <w:lang w:eastAsia="zh-CN"/>
              </w:rPr>
            </w:pPr>
          </w:p>
        </w:tc>
      </w:tr>
      <w:tr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"/>
              <w:ind w:left="0" w:firstLineChars="0" w:firstLine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5"/>
              <w:ind w:left="0" w:firstLineChars="0" w:firstLine="0"/>
              <w:jc w:val="both"/>
              <w:rPr>
                <w:rFonts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杨丽云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ind w:left="0" w:firstLine="0"/>
              <w:jc w:val="center"/>
              <w:rPr>
                <w:rFonts w:ascii="Calibri" w:eastAsia="仿宋_GB2312" w:cs="黑体" w:hAnsi="Calibri" w:hint="eastAsia"/>
                <w:kern w:val="2"/>
                <w:sz w:val="30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Calibri" w:eastAsia="仿宋_GB2312" w:cs="黑体" w:hAnsi="Calibri" w:hint="eastAsia"/>
                <w:kern w:val="2"/>
                <w:sz w:val="30"/>
                <w:szCs w:val="22"/>
                <w:vertAlign w:val="baseline"/>
                <w:lang w:val="en-US" w:eastAsia="zh-CN" w:bidi="ar-SA"/>
              </w:rPr>
              <w:t>团区委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5"/>
              <w:tabs>
                <w:tab w:val="left" w:pos="287"/>
              </w:tabs>
              <w:ind w:left="0" w:firstLineChars="0" w:firstLine="0"/>
              <w:jc w:val="center"/>
              <w:rPr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工作人员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5"/>
              <w:jc w:val="both"/>
              <w:rPr>
                <w:rFonts w:hint="eastAsia"/>
                <w:vertAlign w:val="baseline"/>
                <w:lang w:eastAsia="zh-CN"/>
              </w:rPr>
            </w:pPr>
          </w:p>
        </w:tc>
      </w:tr>
    </w:tbl>
    <w:p>
      <w:pPr>
        <w:widowControl w:val="0"/>
        <w:wordWrap/>
        <w:spacing w:line="560" w:lineRule="exact"/>
        <w:ind w:left="0" w:right="0"/>
        <w:textAlignment w:val="auto"/>
        <w:outlineLvl w:val="9"/>
        <w:rPr>
          <w:rFonts w:ascii="仿宋" w:eastAsia="仿宋" w:hAnsi="仿宋"/>
        </w:rPr>
      </w:pPr>
    </w:p>
    <w:p>
      <w:pPr>
        <w:spacing w:line="560" w:lineRule="exact"/>
        <w:rPr>
          <w:rFonts w:ascii="仿宋" w:eastAsia="仿宋" w:hAnsi="仿宋"/>
        </w:rPr>
      </w:pPr>
    </w:p>
    <w:sectPr>
      <w:footerReference w:type="default" r:id="rId2"/>
      <w:pgSz w:w="11906" w:h="16838"/>
      <w:pgMar w:top="1440" w:right="1474" w:bottom="1440" w:left="1587" w:header="851" w:footer="992" w:gutter="0"/>
      <w:pgNumType w:fmt="numberInDash"/>
      <w:cols w:num="1" w:space="72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华文楷体">
    <w:altName w:val="楷体_GB2312"/>
    <w:panose1 w:val="02010600040101010101"/>
    <w:charset w:val="86"/>
    <w:family w:val="auto"/>
    <w:pitch w:val="variable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7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90805" distR="90805" simplePos="0" relativeHeight="12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550" cy="162560"/>
              <wp:effectExtent l="0" t="0" r="0" b="0"/>
              <wp:wrapNone/>
              <wp:docPr id="1" name="Quad Arrow 3073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09550" cy="162560"/>
                      </a:xfrm>
                      <a:prstGeom prst="rect"/>
                      <a:noFill/>
                      <a:ln w="9525" cmpd="sng" cap="flat">
                        <a:noFill/>
                        <a:prstDash val="solid"/>
                        <a:miter/>
                      </a:ln>
                    </wps:spPr>
                    <wps:txbx id="1"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Quad Arrow 3073" o:spid="_x0000_s2" filled="f" stroked="f" style="position:absolute;margin-left:0.0pt;margin-top:0.0pt;width:16.5pt;height:12.8pt;z-index:12;mso-position-horizontal:center;mso-position-horizontal-relative:margin;mso-position-vertical:absolute;mso-wrap-distance-left:7.15pt;mso-wrap-distance-right:7.15pt;mso-wrap-style:none;">
              <v:stroke/>
              <v:textbox id="848" inset="0mm,0mm,0mm,0mm" o:insetmode="custom" style="layout-flow:horizontal;v-text-anchor:top;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73C7C438"/>
    <w:multiLevelType w:val="singleLevel"/>
    <w:tmpl w:val="73C7C438"/>
    <w:lvl w:ilvl="0">
      <w:start w:val="2"/>
      <w:numFmt w:val="chineseCounting"/>
      <w:lvlRestart w:val="0"/>
      <w:suff w:val="nothing"/>
      <w:lvlText w:val="（%1）"/>
      <w:lvlJc w:val="left"/>
      <w:pPr/>
      <w:rPr>
        <w:rFonts w:hint="eastAsia"/>
      </w:rPr>
    </w:lvl>
  </w:abstractNum>
  <w:abstractNum w:abstractNumId="1">
    <w:nsid w:val="0516AA81"/>
    <w:multiLevelType w:val="singleLevel"/>
    <w:tmpl w:val="0516AA81"/>
    <w:lvl w:ilvl="0">
      <w:start w:val="2"/>
      <w:numFmt w:val="chineseCounting"/>
      <w:lvlRestart w:val="0"/>
      <w:suff w:val="nothing"/>
      <w:lvlText w:val="（%1）"/>
      <w:lvlJc w:val="left"/>
      <w:pPr>
        <w:ind w:left="642" w:hanging="0"/>
      </w:pPr>
      <w:rPr>
        <w:rFonts w:hint="eastAsia"/>
      </w:rPr>
    </w:lvl>
  </w:abstractNum>
  <w:abstractNum w:abstractNumId="2">
    <w:nsid w:val="5E68489B"/>
    <w:multiLevelType w:val="singleLevel"/>
    <w:tmpl w:val="5E68489B"/>
    <w:lvl w:ilvl="0">
      <w:start w:val="1"/>
      <w:numFmt w:val="chineseCounting"/>
      <w:lvlRestart w:val="0"/>
      <w:suff w:val="nothing"/>
      <w:lvlText w:val="（%1）"/>
      <w:lvlJc w:val="left"/>
      <w:pPr>
        <w:ind w:left="0" w:hanging="0"/>
      </w:pPr>
      <w:rPr>
        <w:rFonts w:ascii="楷体" w:hAnsi="楷体" w:eastAsia="楷体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doNotSuppressIndentation/>
    <w:splitPgBreakAndParaMark/>
    <w:compatSetting w:name="compatibilityMode" w:uri="http://schemas.microsoft.com/office/word" w:val="11"/>
  </w:compat>
  <w:docVars>
    <w:docVar w:name="commondata" w:val="eyJoZGlkIjoiYzgxMzVhZTBlNDUyZWUxNDVhMjNkN2E1NjFlOTE5NDcifQ=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黑体" w:hAnsi="Calibri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黑体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黑体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黑体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Normal Indent"/>
    <w:qFormat/>
    <w:basedOn w:val="0"/>
    <w:next w:val="16"/>
    <w:pPr>
      <w:widowControl w:val="0"/>
      <w:ind w:firstLineChars="200" w:firstLine="200"/>
      <w:jc w:val="both"/>
    </w:pPr>
    <w:rPr>
      <w:rFonts w:ascii="Calibri" w:eastAsia="仿宋_GB2312" w:cs="黑体" w:hAnsi="Calibri"/>
      <w:kern w:val="2"/>
      <w:sz w:val="30"/>
      <w:szCs w:val="22"/>
      <w:lang w:val="en-US" w:eastAsia="zh-CN" w:bidi="ar-SA"/>
    </w:rPr>
  </w:style>
  <w:style w:type="paragraph" w:styleId="16">
    <w:name w:val="header"/>
    <w:qFormat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17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18">
    <w:name w:val="annotation reference"/>
    <w:qFormat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customXml" Target="../customXml/item1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1"/>
        </a:gradFill>
      </a:fillStyleLst>
      <a:lnStyleLst>
        <a:ln w="9525" cmpd="sng" cap="flat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mpd="sng" cap="flat">
          <a:solidFill>
            <a:schemeClr val="phClr"/>
          </a:solidFill>
          <a:prstDash val="solid"/>
          <a:round/>
        </a:ln>
        <a:ln w="38100" cmpd="sng" cap="flat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sx="100000" sy="100000" algn="b" rotWithShape="0" blurRad="40000" dist="20000" dir="5400000">
              <a:srgbClr val="000000">
                <a:alpha val="37647"/>
              </a:srgbClr>
            </a:outerShdw>
          </a:effectLst>
        </a:effectStyle>
        <a:effectStyle>
          <a:effectLst>
            <a:outerShdw sx="100000" sy="100000" algn="b" rotWithShape="0" blurRad="40000" dist="23000" dir="5400000">
              <a:srgbClr val="000000">
                <a:alpha val="34509"/>
              </a:srgbClr>
            </a:outerShdw>
          </a:effectLst>
        </a:effectStyle>
        <a:effectStyle>
          <a:effectLst>
            <a:outerShdw sx="100000" sy="100000" algn="b" rotWithShape="0" blurRad="40000" dist="23000" dir="540000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100000"/>
          </a:path>
          <a:tileRect r="-100000" b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938D0B3E-3267-4926-BA8B-D85753747EE6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25</TotalTime>
  <Application>WPS_Yozo_Office9.0.4819.102ZH</Application>
  <Pages>4</Pages>
  <Words>0</Words>
  <Characters>1439</Characters>
  <Lines>0</Lines>
  <Paragraphs>43</Paragraphs>
  <CharactersWithSpaces>1919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附件3：</dc:title>
  <dc:creator>欣欣大人</dc:creator>
  <cp:lastModifiedBy>Administrator</cp:lastModifiedBy>
  <cp:revision>3</cp:revision>
  <cp:lastPrinted>2024-03-06T07:40:00Z</cp:lastPrinted>
  <dcterms:created xsi:type="dcterms:W3CDTF">2020-02-04T03:46:00Z</dcterms:created>
  <dcterms:modified xsi:type="dcterms:W3CDTF">2026-10-10T06:36:10Z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2052-12.1.0.21541</vt:lpwstr>
  </property>
  <property fmtid="{D5CDD505-2E9C-101B-9397-08002B2CF9AE}" pid="3" name="ICV">
    <vt:lpwstr>96934721B1514D3FBAA28020338CE855_12</vt:lpwstr>
  </property>
  <property fmtid="{D5CDD505-2E9C-101B-9397-08002B2CF9AE}" pid="4" name="KSOTemplateDocerSaveRecord">
    <vt:lpwstr>eyJoZGlkIjoiM2RlMjBmMmUzOWVlZDE4MWFjMjY4NzM2NGViOTcxY2QifQ==</vt:lpwstr>
  </property>
</Properties>
</file>