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560" w:lineRule="exact"/>
        <w:rPr>
          <w:rFonts w:ascii="宋体" w:cs="宋体" w:hAnsi="宋体"/>
          <w:b/>
          <w:bCs/>
          <w:sz w:val="44"/>
          <w:szCs w:val="44"/>
        </w:rPr>
      </w:pPr>
      <w:r>
        <w:rPr>
          <w:rFonts w:ascii="黑体" w:eastAsia="黑体" w:cs="黑体" w:hAnsi="黑体"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/>
          <w:b/>
          <w:bCs/>
          <w:sz w:val="44"/>
          <w:szCs w:val="44"/>
        </w:rPr>
        <w:t>矿区工业园区管委会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202</w:t>
      </w:r>
      <w:r>
        <w:rPr>
          <w:rFonts w:ascii="宋体" w:cs="宋体" w:hAnsi="宋体"/>
          <w:b/>
          <w:bCs/>
          <w:sz w:val="44"/>
          <w:szCs w:val="44"/>
        </w:rPr>
        <w:t>5</w:t>
      </w:r>
      <w:r>
        <w:rPr>
          <w:rFonts w:ascii="宋体" w:cs="宋体" w:hAnsi="宋体" w:hint="eastAsia"/>
          <w:b/>
          <w:bCs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号）文件精神，遵循“科学性、规范性、客观性和公正性”的原则，对矿区工业园区管委会202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sz w:val="32"/>
          <w:szCs w:val="32"/>
        </w:rPr>
        <w:t xml:space="preserve">     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（一）部门概况</w:t>
      </w:r>
    </w:p>
    <w:p>
      <w:pPr>
        <w:pStyle w:val="18"/>
        <w:rPr>
          <w:rFonts w:ascii="仿宋" w:eastAsia="仿宋" w:cs="黑体" w:hAnsi="仿宋" w:hint="eastAsia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黑体" w:hAnsi="仿宋" w:hint="eastAsia"/>
          <w:kern w:val="2"/>
          <w:sz w:val="32"/>
          <w:szCs w:val="32"/>
          <w:lang w:val="en-US" w:eastAsia="zh-CN" w:bidi="ar-SA"/>
        </w:rPr>
        <w:t>区工业园区党工委主要职责：贯彻党的路线、方针、政策和上级党委的决议、指示；研究园区内重大经济发展问题；按照授权和干部管理权限负责园区干部管理；负责园区党的组织、思想、党风廉政建设和其他党务工作；负责宣传和精神文明建设工作；配合做好党的纪律检查工作；承担区委赋予的其他职责。</w:t>
      </w:r>
    </w:p>
    <w:p>
      <w:pPr>
        <w:pStyle w:val="18"/>
        <w:rPr>
          <w:rFonts w:ascii="仿宋" w:eastAsia="仿宋" w:cs="黑体" w:hAnsi="仿宋" w:hint="eastAsia"/>
          <w:kern w:val="2"/>
          <w:sz w:val="32"/>
          <w:szCs w:val="32"/>
          <w:lang w:val="en-US" w:eastAsia="zh-CN" w:bidi="ar-SA"/>
        </w:rPr>
      </w:pPr>
      <w:r>
        <w:rPr>
          <w:rFonts w:ascii="仿宋" w:eastAsia="仿宋" w:cs="黑体" w:hAnsi="仿宋" w:hint="eastAsia"/>
          <w:kern w:val="2"/>
          <w:sz w:val="32"/>
          <w:szCs w:val="32"/>
          <w:lang w:val="en-US" w:eastAsia="zh-CN" w:bidi="ar-SA"/>
        </w:rPr>
        <w:t>区工业园区管委会主要职责：编制园区的总体规划、经济发展规划，经批准后组织实施；配合有关部门编制园区区域性城市发展规划、国土利用规划，经批准后组织实施；负责园区基础设施和公用设施的建设和管理；负责园区招商引资、进出口贸易和国内外经济技术合作工作；负责园区开发建设公司的经营管理；负责区政府交办的其他事项。</w:t>
      </w:r>
    </w:p>
    <w:p>
      <w:pPr>
        <w:widowControl w:val="0"/>
        <w:wordWrap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人员情况：我单位为行政单位，在职16人。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资产情况：土地、房屋及构筑物11624.09万元，通用设备27.91万元，家具、用具、装具及动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植物7.96万元。总价值为11659.96万元。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firstLineChars="200" w:firstLine="640"/>
        <w:rPr>
          <w:rFonts w:ascii="楷体" w:eastAsia="楷体" w:cs="楷体_GB2312" w:hAnsi="楷体" w:hint="eastAsia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部门收支预决算情况</w:t>
      </w:r>
    </w:p>
    <w:p>
      <w:pPr>
        <w:ind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1、收入说明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部门</w:t>
      </w:r>
      <w:r>
        <w:rPr>
          <w:rFonts w:ascii="仿宋" w:eastAsia="仿宋" w:cs="仿宋" w:hAnsi="仿宋" w:hint="eastAsia"/>
          <w:sz w:val="32"/>
          <w:szCs w:val="32"/>
        </w:rPr>
        <w:t>收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入合计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1721.73</w:t>
      </w:r>
      <w:r>
        <w:rPr>
          <w:rFonts w:ascii="仿宋" w:eastAsia="仿宋" w:cs="仿宋" w:hAnsi="仿宋" w:hint="eastAsia"/>
          <w:sz w:val="32"/>
          <w:szCs w:val="32"/>
        </w:rPr>
        <w:t>万元，</w:t>
      </w:r>
      <w:r>
        <w:rPr>
          <w:rFonts w:ascii="仿宋" w:eastAsia="仿宋" w:cs="仿宋" w:hAnsi="仿宋" w:hint="eastAsia"/>
          <w:sz w:val="32"/>
          <w:szCs w:val="32"/>
        </w:rPr>
        <w:t>其中：一般公共预算财政拨款收入</w:t>
      </w:r>
      <w:r>
        <w:rPr>
          <w:rFonts w:ascii="仿宋" w:eastAsia="仿宋" w:cs="仿宋" w:hAnsi="仿宋" w:hint="eastAsia"/>
          <w:sz w:val="32"/>
          <w:szCs w:val="32"/>
          <w:lang w:val="en-US"/>
        </w:rPr>
        <w:t>994.05</w:t>
      </w:r>
      <w:r>
        <w:rPr>
          <w:rFonts w:ascii="仿宋" w:eastAsia="仿宋" w:cs="仿宋" w:hAnsi="仿宋" w:hint="eastAsia"/>
          <w:sz w:val="32"/>
          <w:szCs w:val="32"/>
        </w:rPr>
        <w:t>万元，政府性基金预算财政拨款收入</w:t>
      </w:r>
      <w:r>
        <w:rPr>
          <w:rFonts w:ascii="仿宋" w:eastAsia="仿宋" w:cs="仿宋" w:hAnsi="仿宋" w:hint="eastAsia"/>
          <w:sz w:val="32"/>
          <w:szCs w:val="32"/>
          <w:lang w:val="en-US"/>
        </w:rPr>
        <w:t>727.68</w:t>
      </w:r>
      <w:r>
        <w:rPr>
          <w:rFonts w:ascii="仿宋" w:eastAsia="仿宋" w:cs="仿宋" w:hAnsi="仿宋" w:hint="eastAsia"/>
          <w:sz w:val="32"/>
          <w:szCs w:val="32"/>
        </w:rPr>
        <w:t>万元，上级补助收入0万元，其他来源收入0万元。</w:t>
      </w:r>
    </w:p>
    <w:p>
      <w:pPr>
        <w:ind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2、支出说明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 w:hint="eastAsia"/>
          <w:bCs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年部门支出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合计</w:t>
      </w:r>
      <w:r>
        <w:rPr>
          <w:rFonts w:ascii="仿宋" w:eastAsia="仿宋" w:cs="仿宋" w:hAnsi="仿宋" w:hint="eastAsia"/>
          <w:sz w:val="32"/>
          <w:szCs w:val="32"/>
        </w:rPr>
        <w:t>为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1721.73</w:t>
      </w:r>
      <w:r>
        <w:rPr>
          <w:rFonts w:ascii="仿宋" w:eastAsia="仿宋" w:cs="仿宋" w:hAnsi="仿宋" w:hint="eastAsia"/>
          <w:sz w:val="32"/>
          <w:szCs w:val="32"/>
        </w:rPr>
        <w:t>万元，其中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：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1、</w:t>
      </w:r>
      <w:r>
        <w:rPr>
          <w:rFonts w:ascii="仿宋" w:eastAsia="仿宋" w:cs="仿宋" w:hAnsi="仿宋" w:hint="eastAsia"/>
          <w:sz w:val="32"/>
          <w:szCs w:val="32"/>
        </w:rPr>
        <w:t>基本支出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256.24</w:t>
      </w:r>
      <w:r>
        <w:rPr>
          <w:rFonts w:ascii="仿宋" w:eastAsia="仿宋" w:cs="仿宋" w:hAnsi="仿宋" w:hint="eastAsia"/>
          <w:sz w:val="32"/>
          <w:szCs w:val="32"/>
        </w:rPr>
        <w:t>万元，包括人员经费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240.47</w:t>
      </w:r>
      <w:r>
        <w:rPr>
          <w:rFonts w:ascii="仿宋" w:eastAsia="仿宋" w:cs="仿宋" w:hAnsi="仿宋" w:hint="eastAsia"/>
          <w:sz w:val="32"/>
          <w:szCs w:val="32"/>
        </w:rPr>
        <w:t>万元和日常公用经费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15.77</w:t>
      </w:r>
      <w:r>
        <w:rPr>
          <w:rFonts w:ascii="仿宋" w:eastAsia="仿宋" w:cs="仿宋" w:hAnsi="仿宋" w:hint="eastAsia"/>
          <w:sz w:val="32"/>
          <w:szCs w:val="32"/>
        </w:rPr>
        <w:t>万元；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2、</w:t>
      </w:r>
      <w:r>
        <w:rPr>
          <w:rFonts w:ascii="仿宋" w:eastAsia="仿宋" w:cs="仿宋" w:hAnsi="仿宋" w:hint="eastAsia"/>
          <w:sz w:val="32"/>
          <w:szCs w:val="32"/>
        </w:rPr>
        <w:t>项目支出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1465.5</w:t>
      </w:r>
      <w:r>
        <w:rPr>
          <w:rFonts w:ascii="仿宋" w:eastAsia="仿宋" w:cs="仿宋" w:hAnsi="仿宋" w:hint="eastAsia"/>
          <w:sz w:val="32"/>
          <w:szCs w:val="32"/>
        </w:rPr>
        <w:t>万元，主要为矿区工业园区公司增资款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、2025年第五批政府新增债券项目、城市矿山综合利用项目东王舍占地补偿款、污水处理厂自动监控设备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等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（三）部门整体支出绩效目标、指标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在开展预算自评工作时，针对具体绩效评价对象的特点，设计能够体现项目特点绩效评价指标体系。绩效指标权重由部门根据评价对象实际情况确定，总分设定为100分。部门整体支出产出指标</w:t>
      </w:r>
      <w:r>
        <w:rPr>
          <w:rFonts w:ascii="仿宋" w:eastAsia="仿宋" w:hAnsi="仿宋"/>
          <w:sz w:val="32"/>
          <w:szCs w:val="32"/>
        </w:rPr>
        <w:t>40</w:t>
      </w:r>
      <w:r>
        <w:rPr>
          <w:rFonts w:ascii="仿宋" w:eastAsia="仿宋" w:hAnsi="仿宋" w:hint="eastAsia"/>
          <w:sz w:val="32"/>
          <w:szCs w:val="32"/>
        </w:rPr>
        <w:t>分（包含数量指标10分、质量指标</w:t>
      </w:r>
      <w:r>
        <w:rPr>
          <w:rFonts w:ascii="仿宋" w:eastAsia="仿宋" w:hAnsi="仿宋"/>
          <w:sz w:val="32"/>
          <w:szCs w:val="32"/>
          <w:lang w:val="en-US" w:eastAsia="zh-CN"/>
        </w:rPr>
        <w:t>10</w:t>
      </w:r>
      <w:r>
        <w:rPr>
          <w:rFonts w:ascii="仿宋" w:eastAsia="仿宋" w:hAnsi="仿宋" w:hint="eastAsia"/>
          <w:sz w:val="32"/>
          <w:szCs w:val="32"/>
        </w:rPr>
        <w:t>分、时效指标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10</w:t>
      </w:r>
      <w:r>
        <w:rPr>
          <w:rFonts w:ascii="仿宋" w:eastAsia="仿宋" w:hAnsi="仿宋" w:hint="eastAsia"/>
          <w:sz w:val="32"/>
          <w:szCs w:val="32"/>
        </w:rPr>
        <w:t>分、成本指标</w:t>
      </w:r>
      <w:r>
        <w:rPr>
          <w:rFonts w:ascii="仿宋" w:eastAsia="仿宋" w:hAnsi="仿宋"/>
          <w:sz w:val="32"/>
          <w:szCs w:val="32"/>
          <w:lang w:val="en-US" w:eastAsia="zh-CN"/>
        </w:rPr>
        <w:t>10</w:t>
      </w:r>
      <w:r>
        <w:rPr>
          <w:rFonts w:ascii="仿宋" w:eastAsia="仿宋" w:hAnsi="仿宋" w:hint="eastAsia"/>
          <w:sz w:val="32"/>
          <w:szCs w:val="32"/>
        </w:rPr>
        <w:t>分）、预算执行率指标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7</w:t>
      </w:r>
      <w:r>
        <w:rPr>
          <w:rFonts w:ascii="仿宋" w:eastAsia="仿宋" w:hAnsi="仿宋" w:hint="eastAsia"/>
          <w:sz w:val="32"/>
          <w:szCs w:val="32"/>
        </w:rPr>
        <w:t>分、效益指标</w:t>
      </w:r>
      <w:r>
        <w:rPr>
          <w:rFonts w:ascii="仿宋" w:eastAsia="仿宋" w:hAnsi="仿宋"/>
          <w:sz w:val="32"/>
          <w:szCs w:val="32"/>
          <w:lang w:val="en-US" w:eastAsia="zh-CN"/>
        </w:rPr>
        <w:t>40</w:t>
      </w:r>
      <w:r>
        <w:rPr>
          <w:rFonts w:ascii="仿宋" w:eastAsia="仿宋" w:hAnsi="仿宋" w:hint="eastAsia"/>
          <w:sz w:val="32"/>
          <w:szCs w:val="32"/>
        </w:rPr>
        <w:t>分（</w:t>
      </w:r>
      <w:r>
        <w:rPr>
          <w:rFonts w:ascii="仿宋" w:eastAsia="仿宋" w:hAnsi="仿宋"/>
          <w:sz w:val="32"/>
          <w:szCs w:val="32"/>
        </w:rPr>
        <w:t>经济</w:t>
      </w:r>
      <w:r>
        <w:rPr>
          <w:rFonts w:ascii="仿宋" w:eastAsia="仿宋" w:hAnsi="仿宋" w:hint="eastAsia"/>
          <w:sz w:val="32"/>
          <w:szCs w:val="32"/>
        </w:rPr>
        <w:t>效益指标</w:t>
      </w:r>
      <w:r>
        <w:rPr>
          <w:rFonts w:ascii="仿宋" w:eastAsia="仿宋" w:hAnsi="仿宋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分</w:t>
      </w:r>
      <w:r>
        <w:rPr>
          <w:rFonts w:ascii="仿宋" w:eastAsia="仿宋" w:hAnsi="仿宋"/>
          <w:sz w:val="32"/>
          <w:szCs w:val="32"/>
        </w:rPr>
        <w:t>、社会</w:t>
      </w:r>
      <w:r>
        <w:rPr>
          <w:rFonts w:ascii="仿宋" w:eastAsia="仿宋" w:hAnsi="仿宋" w:hint="eastAsia"/>
          <w:sz w:val="32"/>
          <w:szCs w:val="32"/>
        </w:rPr>
        <w:t>效益指标</w:t>
      </w:r>
      <w:r>
        <w:rPr>
          <w:rFonts w:ascii="仿宋" w:eastAsia="仿宋" w:hAnsi="仿宋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分</w:t>
      </w:r>
      <w:r>
        <w:rPr>
          <w:rFonts w:ascii="仿宋" w:eastAsia="仿宋" w:hAnsi="仿宋"/>
          <w:sz w:val="32"/>
          <w:szCs w:val="32"/>
        </w:rPr>
        <w:t>、生态</w:t>
      </w:r>
      <w:r>
        <w:rPr>
          <w:rFonts w:ascii="仿宋" w:eastAsia="仿宋" w:hAnsi="仿宋" w:hint="eastAsia"/>
          <w:sz w:val="32"/>
          <w:szCs w:val="32"/>
        </w:rPr>
        <w:t>效益指标</w:t>
      </w:r>
      <w:r>
        <w:rPr>
          <w:rFonts w:ascii="仿宋" w:eastAsia="仿宋" w:hAnsi="仿宋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分</w:t>
      </w:r>
      <w:r>
        <w:rPr>
          <w:rFonts w:ascii="仿宋" w:eastAsia="仿宋" w:hAnsi="仿宋"/>
          <w:sz w:val="32"/>
          <w:szCs w:val="32"/>
        </w:rPr>
        <w:t>、可持续影响指标10分</w:t>
      </w:r>
      <w:r>
        <w:rPr>
          <w:rFonts w:ascii="仿宋" w:eastAsia="仿宋" w:hAnsi="仿宋" w:hint="eastAsia"/>
          <w:sz w:val="32"/>
          <w:szCs w:val="32"/>
        </w:rPr>
        <w:t>）、满意度指标</w:t>
      </w:r>
      <w:r>
        <w:rPr>
          <w:rFonts w:ascii="仿宋" w:eastAsia="仿宋" w:hAnsi="仿宋"/>
          <w:sz w:val="32"/>
          <w:szCs w:val="32"/>
        </w:rPr>
        <w:t>10</w:t>
      </w:r>
      <w:r>
        <w:rPr>
          <w:rFonts w:ascii="仿宋" w:eastAsia="仿宋" w:hAnsi="仿宋" w:hint="eastAsia"/>
          <w:sz w:val="32"/>
          <w:szCs w:val="32"/>
        </w:rPr>
        <w:t>分。部门整体支出综合绩效评价分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97</w:t>
      </w:r>
      <w:r>
        <w:rPr>
          <w:rFonts w:ascii="仿宋" w:eastAsia="仿宋" w:hAnsi="仿宋" w:hint="eastAsia"/>
          <w:sz w:val="32"/>
          <w:szCs w:val="32"/>
        </w:rPr>
        <w:t>分为优秀。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rPr>
          <w:rFonts w:ascii="楷体" w:eastAsia="楷体" w:cs="楷体_GB2312" w:hAnsi="楷体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（一）自评的组织工作</w:t>
      </w:r>
    </w:p>
    <w:p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矿区工业园区管委会高度重视此项绩效自评工作，评价以2025年预算确定的项目绩效目标和绩效指标为依据，通过对相关账目进行核实，对比各绩效指标完成情况，进一步分析和总结，对工业园区总体发展规划环境影响报告书编制费、矿区工业园区公司增资款、污水处理厂自动监控设备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等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8个项目进行了评价，并完成《</w:t>
      </w:r>
      <w:r>
        <w:rPr>
          <w:rFonts w:ascii="仿宋" w:eastAsia="仿宋" w:cs="楷体_GB2312" w:hAnsi="仿宋"/>
          <w:b w:val="0"/>
          <w:bCs w:val="0"/>
          <w:sz w:val="32"/>
          <w:szCs w:val="32"/>
          <w:lang w:val="en-US" w:eastAsia="zh-CN"/>
        </w:rPr>
        <w:t>区级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部门预算项目绩效自评表》。</w:t>
      </w:r>
    </w:p>
    <w:p>
      <w:pPr>
        <w:numPr>
          <w:ilvl w:val="0"/>
          <w:numId w:val="2"/>
        </w:numPr>
        <w:spacing w:line="560" w:lineRule="exact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自评的方法和过程</w:t>
      </w:r>
    </w:p>
    <w:p>
      <w:pPr>
        <w:spacing w:line="560" w:lineRule="exact"/>
        <w:ind w:firstLineChars="250" w:firstLine="80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>为确保该项目自评工作的科学性、严谨、公开、透明，成立了项目绩效评价小组，从项目立项、预算编制、组织实施、绩效评价等关键环节，对照绩效指标及评分标准逐条开展自评。</w:t>
      </w:r>
    </w:p>
    <w:p>
      <w:pPr>
        <w:spacing w:line="560" w:lineRule="exac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三、部门整体支出绩效目标实现情况及指标分析</w:t>
      </w:r>
    </w:p>
    <w:p>
      <w:pPr>
        <w:numPr>
          <w:ilvl w:val="0"/>
          <w:numId w:val="3"/>
        </w:numPr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总体绩效目标实现情况</w:t>
      </w:r>
    </w:p>
    <w:p>
      <w:pPr>
        <w:spacing w:line="560" w:lineRule="exact"/>
        <w:ind w:firstLineChars="200" w:firstLine="640"/>
        <w:rPr>
          <w:rFonts w:ascii="仿宋" w:eastAsia="仿宋" w:cs="楷体_GB2312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 xml:space="preserve">本年度围绕既定绩效总目标，紧扣职能任务、资金用途、工作部署有序推进实施。对照年初设定的产出、效益、满意度等核心绩效指标逐项核查，整体执行推进有序，大部分绩效目标按期落地见效，少数指标受客观因素影响未完全达标。整体资金使用规范、项目管理合规，较好完成年度核心工作任务，达到预期实施成效。 </w:t>
      </w:r>
      <w:r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（二）分项绩效目标实现情况及指标分析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劳务派遣经费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该项目年初预算为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42.71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27.42万元，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64.2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仿宋" w:eastAsia="仿宋" w:hAnsi="仿宋"/>
          <w:sz w:val="32"/>
          <w:szCs w:val="32"/>
        </w:rPr>
        <w:t>经费用于劳务派遣人员工资、保险（单位负担部分）、服务费。</w:t>
      </w:r>
    </w:p>
    <w:p>
      <w:pPr>
        <w:spacing w:line="560" w:lineRule="exact"/>
        <w:ind w:firstLineChars="250" w:firstLine="80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矿区工业园区公司增资款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650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650万元，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通过</w:t>
      </w:r>
      <w:r>
        <w:rPr>
          <w:rFonts w:ascii="仿宋" w:eastAsia="仿宋" w:hAnsi="仿宋" w:hint="eastAsia"/>
          <w:sz w:val="32"/>
          <w:szCs w:val="32"/>
        </w:rPr>
        <w:t>为矿区工业园区开发建设有限公司注资，保障了公司正常运转和业务深入开展</w:t>
      </w:r>
      <w:r>
        <w:rPr>
          <w:rFonts w:ascii="仿宋" w:eastAsia="仿宋" w:hAnsi="仿宋" w:hint="eastAsia"/>
          <w:sz w:val="32"/>
          <w:szCs w:val="32"/>
          <w:lang w:eastAsia="zh-CN"/>
        </w:rPr>
        <w:t>。</w:t>
      </w:r>
    </w:p>
    <w:p>
      <w:pPr>
        <w:spacing w:line="560" w:lineRule="exact"/>
        <w:ind w:firstLineChars="250" w:firstLine="80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3.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污水处理厂自动监控设备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42.4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42.4万元，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通过使用自动监控设备，实现了出水排污口自动监测。</w:t>
      </w:r>
    </w:p>
    <w:p>
      <w:pPr>
        <w:spacing w:line="560" w:lineRule="exact"/>
        <w:ind w:firstLineChars="250" w:firstLine="80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4.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应急基础设施项目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5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5万元，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完成雨水外排工程农民工工资拨付，保障了农民工合法权益。</w:t>
      </w:r>
    </w:p>
    <w:p>
      <w:pPr>
        <w:spacing w:line="560" w:lineRule="exact"/>
        <w:ind w:firstLineChars="250" w:firstLine="80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5.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城市矿山综合利用项目东王舍占地补偿款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35.75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35.75万元，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及时拨付占地补偿款，有效保障了农户的基本权益。</w:t>
      </w:r>
    </w:p>
    <w:p>
      <w:pPr>
        <w:spacing w:line="560" w:lineRule="exact"/>
        <w:ind w:firstLineChars="250" w:firstLine="80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6.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工业园区总体发展规划环境影响报告书编制费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结合我区产业发展的现状，编制规划环境影响报告书并通过批复。</w:t>
      </w:r>
    </w:p>
    <w:p>
      <w:pPr>
        <w:spacing w:line="560" w:lineRule="exact"/>
        <w:ind w:firstLineChars="250" w:firstLine="80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7.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招商引资经费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2.99万元，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30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积极开展、参加招商活动，争取优质项目落户矿区，保障招商工作顺利开展。</w:t>
      </w:r>
    </w:p>
    <w:p>
      <w:pPr>
        <w:spacing w:line="560" w:lineRule="exact"/>
        <w:ind w:firstLineChars="250" w:firstLine="80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8.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2025年第五批政府新增债券项目（专项资金）</w:t>
      </w:r>
    </w:p>
    <w:p>
      <w:pPr>
        <w:pStyle w:val="15"/>
        <w:ind w:left="642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）资金支出进度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该项目预算为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691.93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万元，支出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691.93万元，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总体支出进度为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100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%。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（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val="en-US" w:eastAsia="zh-CN"/>
        </w:rPr>
        <w:t>2</w:t>
      </w: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）产出指标和效果指标完成情况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清偿拖欠企业各类账款，防范化解风险。</w:t>
      </w:r>
    </w:p>
    <w:p>
      <w:pPr>
        <w:pStyle w:val="15"/>
        <w:ind w:left="0" w:firstLineChars="200" w:firstLine="640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绩效指标为4个，评价等级为优。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spacing w:line="560" w:lineRule="exact"/>
        <w:ind w:firstLineChars="200" w:firstLine="640"/>
        <w:rPr>
          <w:rFonts w:ascii="仿宋" w:eastAsia="仿宋" w:hAnsi="仿宋" w:hint="eastAsia"/>
          <w:color w:val="auto"/>
          <w:sz w:val="32"/>
          <w:szCs w:val="32"/>
          <w:highlight w:val="auto"/>
        </w:rPr>
      </w:pPr>
      <w:r>
        <w:rPr>
          <w:rFonts w:ascii="仿宋" w:eastAsia="仿宋" w:hAnsi="仿宋" w:hint="eastAsia"/>
          <w:sz w:val="32"/>
          <w:szCs w:val="32"/>
        </w:rPr>
        <w:t>根据</w:t>
      </w:r>
      <w:r>
        <w:rPr>
          <w:rFonts w:ascii="仿宋" w:eastAsia="仿宋" w:hAnsi="仿宋" w:hint="eastAsia"/>
          <w:sz w:val="32"/>
          <w:szCs w:val="32"/>
          <w:lang w:eastAsia="zh-CN"/>
        </w:rPr>
        <w:t>部门职责定位和各项工作履职情况进行综合评价</w:t>
      </w:r>
      <w:r>
        <w:rPr>
          <w:rFonts w:ascii="仿宋" w:eastAsia="仿宋" w:hAnsi="仿宋" w:hint="eastAsia"/>
          <w:sz w:val="32"/>
          <w:szCs w:val="32"/>
        </w:rPr>
        <w:t>，给出总得分，满分100分，得出综合绩效评价等级。</w:t>
      </w:r>
      <w:r>
        <w:rPr>
          <w:rFonts w:ascii="仿宋" w:eastAsia="仿宋" w:hAnsi="仿宋" w:hint="eastAsia"/>
          <w:sz w:val="32"/>
          <w:szCs w:val="32"/>
          <w:lang w:eastAsia="zh-CN"/>
        </w:rPr>
        <w:t>部门整体支出</w:t>
      </w:r>
      <w:r>
        <w:rPr>
          <w:rFonts w:ascii="仿宋" w:eastAsia="仿宋" w:hAnsi="仿宋" w:hint="eastAsia"/>
          <w:sz w:val="32"/>
          <w:szCs w:val="32"/>
        </w:rPr>
        <w:t>综合绩效评价</w:t>
      </w:r>
      <w:r>
        <w:rPr>
          <w:rFonts w:ascii="仿宋" w:eastAsia="仿宋" w:hAnsi="仿宋" w:hint="eastAsia"/>
          <w:color w:val="auto"/>
          <w:sz w:val="32"/>
          <w:szCs w:val="32"/>
          <w:highlight w:val="auto"/>
        </w:rPr>
        <w:t>分</w:t>
      </w:r>
      <w:r>
        <w:rPr>
          <w:rFonts w:ascii="仿宋" w:eastAsia="仿宋" w:hAnsi="仿宋" w:hint="eastAsia"/>
          <w:color w:val="auto"/>
          <w:sz w:val="32"/>
          <w:szCs w:val="32"/>
          <w:lang w:val="en-US" w:eastAsia="zh-CN"/>
          <w:highlight w:val="auto"/>
        </w:rPr>
        <w:t>97</w:t>
      </w:r>
      <w:r>
        <w:rPr>
          <w:rFonts w:ascii="仿宋" w:eastAsia="仿宋" w:hAnsi="仿宋" w:hint="eastAsia"/>
          <w:color w:val="auto"/>
          <w:sz w:val="32"/>
          <w:szCs w:val="32"/>
          <w:highlight w:val="auto"/>
        </w:rPr>
        <w:t>分为优秀。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spacing w:line="560" w:lineRule="exact"/>
        <w:ind w:firstLineChars="200" w:firstLine="640"/>
        <w:rPr>
          <w:rFonts w:ascii="楷体" w:eastAsia="楷体" w:hAnsi="楷体" w:hint="eastAsia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（一）存在的主要问题</w:t>
      </w:r>
    </w:p>
    <w:p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预算编制精准度不足，资金使用效益</w:t>
      </w:r>
      <w:r>
        <w:rPr>
          <w:rFonts w:ascii="仿宋" w:eastAsia="仿宋" w:hAnsi="仿宋" w:hint="eastAsia"/>
          <w:sz w:val="32"/>
          <w:szCs w:val="32"/>
          <w:lang w:eastAsia="zh-CN"/>
        </w:rPr>
        <w:t>有待提升</w:t>
      </w:r>
      <w:r>
        <w:rPr>
          <w:rFonts w:ascii="仿宋" w:eastAsia="仿宋" w:hAnsi="仿宋" w:hint="eastAsia"/>
          <w:sz w:val="32"/>
          <w:szCs w:val="32"/>
        </w:rPr>
        <w:t>。</w:t>
      </w:r>
    </w:p>
    <w:p>
      <w:pPr>
        <w:numPr>
          <w:ilvl w:val="0"/>
          <w:numId w:val="3"/>
        </w:numPr>
        <w:spacing w:line="560" w:lineRule="exact"/>
        <w:ind w:left="0" w:firstLineChars="200" w:firstLine="640"/>
        <w:rPr>
          <w:rFonts w:ascii="楷体" w:eastAsia="楷体" w:hAnsi="楷体" w:hint="eastAsia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针对问题提出具体的改进措施或建议</w:t>
      </w:r>
    </w:p>
    <w:p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加强日常监控工作</w:t>
      </w:r>
      <w:r>
        <w:rPr>
          <w:rFonts w:ascii="仿宋" w:eastAsia="仿宋" w:hAnsi="仿宋" w:hint="eastAsia"/>
          <w:sz w:val="32"/>
          <w:szCs w:val="32"/>
          <w:lang w:eastAsia="zh-CN"/>
        </w:rPr>
        <w:t>，</w:t>
      </w:r>
      <w:r>
        <w:rPr>
          <w:rFonts w:ascii="仿宋" w:eastAsia="仿宋" w:hAnsi="仿宋" w:hint="eastAsia"/>
          <w:sz w:val="32"/>
          <w:szCs w:val="32"/>
        </w:rPr>
        <w:t>针对存在的问题，我单位将进一步加强预算绩效管理，对预算的事前、事中、事后进行全过程控制。加大对预算编制与执行的监督管理力度，提高预算资金使用效率。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六、</w:t>
      </w:r>
      <w:r>
        <w:rPr>
          <w:rFonts w:ascii="黑体" w:eastAsia="黑体" w:hAnsi="黑体" w:hint="eastAsia"/>
          <w:sz w:val="32"/>
          <w:szCs w:val="32"/>
        </w:rPr>
        <w:t>评价工作组人员名单及签字（姓名、工作单位、职务、职称）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hAnsi="仿宋" w:hint="eastAsia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>刘梅锁  工业园区</w:t>
      </w:r>
      <w:r>
        <w:rPr>
          <w:rFonts w:ascii="仿宋" w:eastAsia="仿宋" w:hAnsi="仿宋"/>
          <w:sz w:val="32"/>
          <w:szCs w:val="32"/>
          <w:lang w:val="en-US" w:eastAsia="zh-CN"/>
        </w:rPr>
        <w:t xml:space="preserve">管委会  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党工委副书记兼管委会副主任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hAnsi="仿宋" w:hint="eastAsia"/>
          <w:sz w:val="32"/>
          <w:szCs w:val="32"/>
          <w:lang w:val="en-US" w:eastAsia="zh-CN"/>
        </w:rPr>
      </w:pPr>
      <w:r>
        <w:rPr>
          <w:rFonts w:ascii="仿宋" w:eastAsia="仿宋" w:hAnsi="仿宋"/>
          <w:sz w:val="32"/>
          <w:szCs w:val="32"/>
          <w:lang w:val="en-US" w:eastAsia="zh-CN"/>
        </w:rPr>
        <w:t xml:space="preserve">刘  燕  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工业园区管委会</w:t>
      </w:r>
      <w:r>
        <w:rPr>
          <w:rFonts w:ascii="仿宋" w:eastAsia="仿宋" w:hAnsi="仿宋"/>
          <w:sz w:val="32"/>
          <w:szCs w:val="32"/>
          <w:lang w:val="en-US" w:eastAsia="zh-CN"/>
        </w:rPr>
        <w:t xml:space="preserve">  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管委会副主任</w:t>
      </w:r>
    </w:p>
    <w:p>
      <w:pPr>
        <w:widowControl w:val="0"/>
        <w:wordWrap/>
        <w:adjustRightInd w:val="0"/>
        <w:snapToGrid w:val="0"/>
        <w:spacing w:line="560" w:lineRule="exact"/>
        <w:ind w:right="0" w:firstLineChars="200" w:firstLine="640"/>
        <w:textAlignment w:val="auto"/>
        <w:outlineLvl w:val="9"/>
        <w:rPr>
          <w:rFonts w:ascii="仿宋" w:eastAsia="仿宋" w:hAnsi="仿宋" w:hint="eastAsia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>刘利峰  工业园区管委会  招商局局长</w:t>
      </w:r>
    </w:p>
    <w:p>
      <w:pPr>
        <w:widowControl w:val="0"/>
        <w:wordWrap/>
        <w:adjustRightInd w:val="0"/>
        <w:snapToGrid w:val="0"/>
        <w:spacing w:line="560" w:lineRule="exact"/>
        <w:ind w:right="0" w:firstLineChars="200" w:firstLine="640"/>
        <w:textAlignment w:val="auto"/>
        <w:outlineLvl w:val="9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>王彦升  工业园区管委会  综合监管局局长</w:t>
      </w:r>
    </w:p>
    <w:p>
      <w:pPr>
        <w:widowControl w:val="0"/>
        <w:wordWrap/>
        <w:adjustRightInd w:val="0"/>
        <w:snapToGrid w:val="0"/>
        <w:spacing w:line="560" w:lineRule="exact"/>
        <w:ind w:right="0" w:firstLineChars="200" w:firstLine="640"/>
        <w:textAlignment w:val="auto"/>
        <w:outlineLvl w:val="9"/>
        <w:rPr>
          <w:rFonts w:ascii="仿宋" w:eastAsia="仿宋" w:hAnsi="仿宋" w:hint="eastAsia"/>
          <w:sz w:val="32"/>
          <w:szCs w:val="32"/>
          <w:lang w:val="en-US" w:eastAsia="zh-CN"/>
        </w:rPr>
      </w:pPr>
      <w:r>
        <w:rPr>
          <w:rFonts w:ascii="仿宋" w:eastAsia="仿宋" w:hAnsi="仿宋"/>
          <w:sz w:val="32"/>
          <w:szCs w:val="32"/>
          <w:lang w:val="en-US" w:eastAsia="zh-CN"/>
        </w:rPr>
        <w:t xml:space="preserve">苏  伽  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工业园区管委会</w:t>
      </w:r>
      <w:r>
        <w:rPr>
          <w:rFonts w:ascii="仿宋" w:eastAsia="仿宋" w:hAnsi="仿宋"/>
          <w:sz w:val="32"/>
          <w:szCs w:val="32"/>
          <w:lang w:val="en-US" w:eastAsia="zh-CN"/>
        </w:rPr>
        <w:t xml:space="preserve">  经济发展局局长</w:t>
      </w:r>
    </w:p>
    <w:p>
      <w:pPr>
        <w:widowControl w:val="0"/>
        <w:wordWrap/>
        <w:adjustRightInd w:val="0"/>
        <w:snapToGrid w:val="0"/>
        <w:spacing w:line="560" w:lineRule="exact"/>
        <w:ind w:right="0" w:firstLineChars="200" w:firstLine="640"/>
        <w:textAlignment w:val="auto"/>
        <w:outlineLvl w:val="9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>王雷瑛  工业园区管委会</w:t>
      </w:r>
      <w:r>
        <w:rPr>
          <w:rFonts w:ascii="仿宋" w:eastAsia="仿宋" w:hAnsi="仿宋"/>
          <w:sz w:val="32"/>
          <w:szCs w:val="32"/>
          <w:lang w:val="en-US" w:eastAsia="zh-CN"/>
        </w:rPr>
        <w:t xml:space="preserve">  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建设管理局</w:t>
      </w:r>
      <w:r>
        <w:rPr>
          <w:rFonts w:ascii="仿宋" w:eastAsia="仿宋" w:hAnsi="仿宋"/>
          <w:sz w:val="32"/>
          <w:szCs w:val="32"/>
          <w:lang w:val="en-US" w:eastAsia="zh-CN"/>
        </w:rPr>
        <w:t>局长</w:t>
      </w:r>
    </w:p>
    <w:p>
      <w:pPr>
        <w:widowControl w:val="0"/>
        <w:wordWrap/>
        <w:adjustRightInd w:val="0"/>
        <w:snapToGrid w:val="0"/>
        <w:spacing w:line="560" w:lineRule="exact"/>
        <w:ind w:right="0" w:firstLineChars="200" w:firstLine="640"/>
        <w:textAlignment w:val="auto"/>
        <w:outlineLvl w:val="9"/>
        <w:rPr>
          <w:rFonts w:ascii="仿宋" w:eastAsia="仿宋" w:hAnsi="仿宋"/>
          <w:sz w:val="32"/>
          <w:szCs w:val="32"/>
          <w:lang w:val="en-US" w:eastAsia="zh-CN"/>
        </w:rPr>
      </w:pPr>
      <w:r>
        <w:rPr>
          <w:rFonts w:ascii="仿宋" w:eastAsia="仿宋" w:hAnsi="仿宋" w:hint="eastAsia"/>
          <w:sz w:val="32"/>
          <w:szCs w:val="32"/>
          <w:lang w:val="en-US" w:eastAsia="zh-CN"/>
        </w:rPr>
        <w:t>谷明坤  工业园区管委会</w:t>
      </w:r>
      <w:r>
        <w:rPr>
          <w:rFonts w:ascii="仿宋" w:eastAsia="仿宋" w:hAnsi="仿宋"/>
          <w:sz w:val="32"/>
          <w:szCs w:val="32"/>
          <w:lang w:val="en-US" w:eastAsia="zh-CN"/>
        </w:rPr>
        <w:t xml:space="preserve">  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四级主任科员</w:t>
      </w: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cols w:num="1" w:space="72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华文楷体">
    <w:altName w:val="方正楷体_GBK"/>
    <w:panose1 w:val="02010600040101010101"/>
    <w:charset w:val="86"/>
    <w:family w:val="auto"/>
    <w:pitch w:val="variable"/>
    <w:sig w:usb0="00000000" w:usb1="0000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variable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variable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variable"/>
    <w:sig w:usb0="00000001" w:usb1="0800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0805" distR="90805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550" cy="16256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5pt;height:12.8pt;z-index:12;mso-position-horizontal:center;mso-position-horizontal-relative:margin;mso-position-vertical:absolute;mso-wrap-distance-left:7.15pt;mso-wrap-distance-right:7.15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FEF25EDD"/>
    <w:multiLevelType w:val="singleLevel"/>
    <w:tmpl w:val="FEF25EDD"/>
    <w:lvl w:ilvl="0">
      <w:start w:val="2"/>
      <w:numFmt w:val="chineseCounting"/>
      <w:lvlRestart w:val="0"/>
      <w:suff w:val="nothing"/>
      <w:lvlText w:val="（%1）"/>
      <w:lvlJc w:val="left"/>
      <w:pPr/>
      <w:rPr>
        <w:rFonts w:hint="eastAsia"/>
      </w:rPr>
    </w:lvl>
  </w:abstractNum>
  <w:abstractNum w:abstractNumId="1">
    <w:nsid w:val="0516AA81"/>
    <w:multiLevelType w:val="singleLevel"/>
    <w:tmpl w:val="0516AA81"/>
    <w:lvl w:ilvl="0">
      <w:start w:val="2"/>
      <w:numFmt w:val="chineseCounting"/>
      <w:lvlRestart w:val="0"/>
      <w:suff w:val="nothing"/>
      <w:lvlText w:val="（%1）"/>
      <w:lvlJc w:val="left"/>
      <w:pPr>
        <w:ind w:left="642" w:hanging="0"/>
      </w:pPr>
      <w:rPr>
        <w:rFonts w:hint="eastAsia"/>
      </w:rPr>
    </w:lvl>
  </w:abstractNum>
  <w:abstractNum w:abstractNumId="2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Normal Indent"/>
    <w:qFormat/>
    <w:basedOn w:val="0"/>
    <w:next w:val="16"/>
    <w:pPr>
      <w:widowControl w:val="0"/>
      <w:ind w:firstLineChars="200" w:firstLine="200"/>
      <w:jc w:val="both"/>
    </w:pPr>
    <w:rPr>
      <w:rFonts w:ascii="Calibri" w:eastAsia="仿宋_GB2312" w:cs="黑体" w:hAnsi="Calibri"/>
      <w:kern w:val="2"/>
      <w:sz w:val="30"/>
      <w:szCs w:val="22"/>
      <w:lang w:val="en-US" w:eastAsia="zh-CN" w:bidi="ar-SA"/>
    </w:rPr>
  </w:style>
  <w:style w:type="paragraph" w:styleId="16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17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8">
    <w:name w:val="插入文本样式-插入单位职责文件"/>
    <w:qFormat/>
    <w:basedOn w:val="0"/>
    <w:pPr>
      <w:widowControl w:val="0"/>
      <w:spacing w:line="500" w:lineRule="exact"/>
      <w:ind w:firstLine="560"/>
      <w:jc w:val="both"/>
    </w:pPr>
    <w:rPr>
      <w:rFonts w:ascii="Calibri" w:eastAsia="方正仿宋_GBK" w:cs="黑体" w:hAnsi="Calibri"/>
      <w:kern w:val="2"/>
      <w:sz w:val="28"/>
      <w:szCs w:val="22"/>
      <w:lang w:val="en-US" w:eastAsia="zh-CN" w:bidi="ar-SA"/>
    </w:rPr>
  </w:style>
  <w:style w:type="character" w:customStyle="1" w:styleId="19">
    <w:name w:val="15"/>
    <w:qFormat/>
    <w:rPr>
      <w:rFonts w:ascii="Times New Roman" w:eastAsia="宋体" w:cs="Arial" w:hAnsi="Times New Roman"/>
      <w:b/>
      <w:bCs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D8A4C774-FBBC-462B-9BF9-0E9510909BF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28</TotalTime>
  <Application>WPS_Yozo_Office9.0.4819.102ZH</Application>
  <Pages>7</Pages>
  <Words>0</Words>
  <Characters>2184</Characters>
  <Lines>0</Lines>
  <Paragraphs>90</Paragraphs>
  <CharactersWithSpaces>2912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2024-03-08T15:40:00Z</cp:lastPrinted>
  <dcterms:created xsi:type="dcterms:W3CDTF">2020-02-06T11:46:00Z</dcterms:created>
  <dcterms:modified xsi:type="dcterms:W3CDTF">2026-10-09T02:48:17Z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2052-12.1.2.22550</vt:lpwstr>
  </property>
  <property fmtid="{D5CDD505-2E9C-101B-9397-08002B2CF9AE}" pid="3" name="ICV">
    <vt:lpwstr>96934721B1514D3FBAA28020338CE855_12</vt:lpwstr>
  </property>
</Properties>
</file>