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adjustRightInd w:val="0"/>
        <w:snapToGrid w:val="0"/>
        <w:spacing w:line="56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附件4</w:t>
      </w:r>
    </w:p>
    <w:p>
      <w:pPr>
        <w:spacing w:line="560" w:lineRule="exact"/>
        <w:jc w:val="center"/>
        <w:rPr>
          <w:rFonts w:ascii="宋体" w:cs="宋体" w:hAnsi="宋体"/>
          <w:b/>
          <w:bCs/>
          <w:sz w:val="44"/>
          <w:szCs w:val="44"/>
        </w:rPr>
      </w:pPr>
    </w:p>
    <w:p>
      <w:pPr>
        <w:spacing w:line="560" w:lineRule="exact"/>
        <w:jc w:val="center"/>
        <w:rPr>
          <w:rFonts w:ascii="宋体" w:cs="宋体" w:hAnsi="宋体"/>
          <w:b/>
          <w:bCs/>
          <w:sz w:val="44"/>
          <w:szCs w:val="44"/>
        </w:rPr>
      </w:pPr>
      <w:r>
        <w:rPr>
          <w:rFonts w:ascii="宋体" w:cs="宋体" w:hAnsi="宋体" w:hint="eastAsia"/>
          <w:b/>
          <w:bCs/>
          <w:sz w:val="44"/>
          <w:szCs w:val="44"/>
        </w:rPr>
        <w:t>石家庄市井陉矿区凤山镇人民政府</w:t>
      </w:r>
    </w:p>
    <w:p>
      <w:pPr>
        <w:spacing w:line="560" w:lineRule="exact"/>
        <w:jc w:val="center"/>
        <w:rPr>
          <w:rFonts w:ascii="宋体" w:cs="宋体" w:hAnsi="宋体"/>
          <w:b/>
          <w:bCs/>
          <w:sz w:val="44"/>
          <w:szCs w:val="44"/>
        </w:rPr>
      </w:pPr>
      <w:r>
        <w:rPr>
          <w:rFonts w:ascii="宋体" w:cs="宋体" w:hAnsi="宋体" w:hint="eastAsia"/>
          <w:b/>
          <w:bCs/>
          <w:sz w:val="44"/>
          <w:szCs w:val="44"/>
        </w:rPr>
        <w:t>202</w:t>
      </w:r>
      <w:r>
        <w:rPr>
          <w:rFonts w:ascii="宋体" w:cs="宋体" w:hAnsi="宋体"/>
          <w:b/>
          <w:bCs/>
          <w:sz w:val="44"/>
          <w:szCs w:val="44"/>
        </w:rPr>
        <w:t>5</w:t>
      </w:r>
      <w:r>
        <w:rPr>
          <w:rFonts w:ascii="宋体" w:cs="宋体" w:hAnsi="宋体" w:hint="eastAsia"/>
          <w:b/>
          <w:bCs/>
          <w:sz w:val="44"/>
          <w:szCs w:val="44"/>
        </w:rPr>
        <w:t>年度整体支出绩效自评报告</w:t>
      </w:r>
    </w:p>
    <w:p>
      <w:pPr>
        <w:spacing w:line="560" w:lineRule="exact"/>
        <w:jc w:val="center"/>
        <w:rPr>
          <w:rFonts w:ascii="华文楷体" w:eastAsia="华文楷体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贯彻落实</w:t>
      </w:r>
      <w:r>
        <w:rPr>
          <w:rFonts w:ascii="仿宋" w:eastAsia="仿宋" w:hAnsi="仿宋"/>
          <w:sz w:val="32"/>
          <w:szCs w:val="32"/>
        </w:rPr>
        <w:t>区委、区政府</w:t>
      </w:r>
      <w:r>
        <w:rPr>
          <w:rFonts w:ascii="仿宋" w:eastAsia="仿宋" w:hAnsi="仿宋" w:hint="eastAsia"/>
          <w:sz w:val="32"/>
          <w:szCs w:val="32"/>
        </w:rPr>
        <w:t>《关于全面落实预算绩效管理的实施意见》（</w:t>
      </w:r>
      <w:r>
        <w:rPr>
          <w:rFonts w:ascii="仿宋" w:eastAsia="仿宋" w:hAnsi="仿宋"/>
          <w:sz w:val="32"/>
          <w:szCs w:val="32"/>
        </w:rPr>
        <w:t>矿</w:t>
      </w:r>
      <w:r>
        <w:rPr>
          <w:rFonts w:ascii="仿宋" w:eastAsia="仿宋" w:hAnsi="仿宋" w:hint="eastAsia"/>
          <w:sz w:val="32"/>
          <w:szCs w:val="32"/>
        </w:rPr>
        <w:t>发﹝2019﹞</w:t>
      </w:r>
      <w:r>
        <w:rPr>
          <w:rFonts w:ascii="仿宋" w:eastAsia="仿宋" w:hAnsi="仿宋"/>
          <w:sz w:val="32"/>
          <w:szCs w:val="32"/>
        </w:rPr>
        <w:t>7</w:t>
      </w:r>
      <w:r>
        <w:rPr>
          <w:rFonts w:ascii="仿宋" w:eastAsia="仿宋" w:hAnsi="仿宋" w:hint="eastAsia"/>
          <w:sz w:val="32"/>
          <w:szCs w:val="32"/>
        </w:rPr>
        <w:t>号）文件精神，遵循“科学性、规范性、客观性和公正性”的原则，对凤山镇人民政府202</w:t>
      </w:r>
      <w:r>
        <w:rPr>
          <w:rFonts w:ascii="仿宋" w:eastAsia="仿宋" w:hAnsi="仿宋"/>
          <w:sz w:val="32"/>
          <w:szCs w:val="32"/>
        </w:rPr>
        <w:t>5</w:t>
      </w:r>
      <w:r>
        <w:rPr>
          <w:rFonts w:ascii="仿宋" w:eastAsia="仿宋" w:hAnsi="仿宋" w:hint="eastAsia"/>
          <w:sz w:val="32"/>
          <w:szCs w:val="32"/>
        </w:rPr>
        <w:t>年整体支出情况实施了财政支出绩效自评价，形成本评价报告。</w:t>
      </w:r>
    </w:p>
    <w:p>
      <w:pPr>
        <w:adjustRightInd w:val="0"/>
        <w:snapToGrid w:val="0"/>
        <w:spacing w:line="560" w:lineRule="exact"/>
        <w:rPr>
          <w:rFonts w:ascii="黑体" w:eastAsia="黑体" w:hAnsi="黑体"/>
          <w:b/>
          <w:bCs/>
          <w:sz w:val="32"/>
          <w:szCs w:val="36"/>
        </w:rPr>
      </w:pPr>
      <w:r>
        <w:rPr>
          <w:rFonts w:ascii="黑体" w:eastAsia="黑体" w:hAnsi="黑体" w:hint="eastAsia"/>
          <w:sz w:val="32"/>
          <w:szCs w:val="32"/>
        </w:rPr>
        <w:t xml:space="preserve">     一、部门</w:t>
      </w:r>
      <w:r>
        <w:rPr>
          <w:rFonts w:ascii="黑体" w:eastAsia="黑体" w:hAnsi="黑体" w:hint="eastAsia"/>
          <w:sz w:val="32"/>
          <w:szCs w:val="36"/>
        </w:rPr>
        <w:t>基本情况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楷体" w:eastAsia="楷体" w:cs="楷体_GB2312" w:hAnsi="楷体"/>
          <w:bCs/>
          <w:sz w:val="32"/>
          <w:szCs w:val="32"/>
        </w:rPr>
      </w:pPr>
      <w:r>
        <w:rPr>
          <w:rFonts w:ascii="楷体" w:eastAsia="楷体" w:cs="楷体_GB2312" w:hAnsi="楷体" w:hint="eastAsia"/>
          <w:bCs/>
          <w:sz w:val="32"/>
          <w:szCs w:val="32"/>
        </w:rPr>
        <w:t>（一）部门概况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（1）宣传贯彻执行党的路线方针政策和党中央、上级党组织及本镇党员代表大会（党员大会）的决议。贯彻执行法律、法规、规章和上级人民代表大会及其常务委员会决议及上级政府的决定、命令，执行本级人民代表大会的决议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（2）讨论和决定本镇经济建设、整治建设、文化建设、社会建设、生态文明建设和党的建</w:t>
      </w:r>
      <w:bookmarkStart w:id="0" w:name="_GoBack"/>
      <w:bookmarkEnd w:id="0"/>
      <w:r>
        <w:rPr>
          <w:rFonts w:ascii="仿宋" w:eastAsia="仿宋" w:hAnsi="仿宋"/>
          <w:sz w:val="32"/>
          <w:szCs w:val="32"/>
        </w:rPr>
        <w:t>设以及乡村振兴中的重大问题。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（3）组织召开本级人民代表大会，充分行使重大事项决定权、监督权和任免权，做好人大代表工作，联系选民、反映群众意见和要求。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（4）执行本行政区域内的经济和社会发展计划、预算，管理本行政区域内的经济、教育、科学、文化、卫生健康、体育事业和财政、统计、民政、司法行政等行政工作。落实本行政区域内发展规划、专项规划、区域规划、国土空间规划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（5）坚持党管武装的根本原则和制度，协调各方力量，对镇人民武装工作实行统一领导。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（6）负责对干部的教育、培训、选拔、考核和监督工作。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（7）领导本镇的基层治理，加强社会主义民主法治建设和精神文明建设，加强社会治安综合治理，做好应急管理、生态环保、乡村振兴、民生保障、脱贫致富、民主宗教、防范邪教等工作。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（8）保护社会主义的全民所有的财产和劳动群众集体所有的财产，保护公民私人所有的合法财产，维护社会秩序，保障公民的人身权利、民主权利和其他权利。保护各种经济组织的合法权益。保障少数民族的合法的权利和利益，尊重少数民族的风俗习惯。保障宪法和法律赋予妇女的男女平等、同工同酬和婚姻自由等各项权利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（9）承办上级党委、人大、政府交办的其他事项</w:t>
      </w:r>
      <w:r>
        <w:rPr>
          <w:rFonts w:ascii="仿宋" w:eastAsia="仿宋" w:hAnsi="仿宋" w:hint="eastAsia"/>
          <w:sz w:val="32"/>
          <w:szCs w:val="32"/>
        </w:rPr>
        <w:t>。</w:t>
      </w:r>
    </w:p>
    <w:tbl>
      <w:tblPr>
        <w:jc w:val="left"/>
        <w:tblW w:w="88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2259"/>
        <w:gridCol w:w="2001"/>
        <w:gridCol w:w="2131"/>
        <w:gridCol w:w="2506"/>
      </w:tblGrid>
      <w:tr>
        <w:tc>
          <w:tcPr>
            <w:tcW w:w="2259" w:type="dxa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单位名称</w:t>
            </w:r>
          </w:p>
        </w:tc>
        <w:tc>
          <w:tcPr>
            <w:tcW w:w="2001" w:type="dxa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单位性质</w:t>
            </w:r>
          </w:p>
        </w:tc>
        <w:tc>
          <w:tcPr>
            <w:tcW w:w="2131" w:type="dxa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单位规格</w:t>
            </w:r>
          </w:p>
        </w:tc>
        <w:tc>
          <w:tcPr>
            <w:tcW w:w="2506" w:type="dxa"/>
            <w:vAlign w:val="center"/>
          </w:tcPr>
          <w:p>
            <w:pPr>
              <w:adjustRightInd w:val="0"/>
              <w:snapToGrid w:val="0"/>
              <w:spacing w:line="560" w:lineRule="exact"/>
              <w:ind w:left="0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经费保障形势</w:t>
            </w:r>
          </w:p>
        </w:tc>
      </w:tr>
      <w:tr>
        <w:tc>
          <w:tcPr>
            <w:tcW w:w="2259" w:type="dxa"/>
          </w:tcPr>
          <w:p>
            <w:pPr>
              <w:adjustRightInd w:val="0"/>
              <w:snapToGrid w:val="0"/>
              <w:spacing w:line="560" w:lineRule="exact"/>
              <w:ind w:firstLineChars="200" w:firstLine="640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石家庄市井陉矿区凤山镇人民政府</w:t>
            </w:r>
          </w:p>
        </w:tc>
        <w:tc>
          <w:tcPr>
            <w:tcW w:w="2001" w:type="dxa"/>
            <w:tcBorders>
              <w:left w:val="single" w:sz="4" w:space="0" w:color="00000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ind w:firstLineChars="200" w:firstLine="640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行政</w:t>
            </w:r>
          </w:p>
        </w:tc>
        <w:tc>
          <w:tcPr>
            <w:tcW w:w="2131" w:type="dxa"/>
            <w:tcBorders>
              <w:left w:val="single" w:sz="4" w:space="0" w:color="00000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ind w:firstLineChars="200" w:firstLine="640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正科级</w:t>
            </w:r>
          </w:p>
        </w:tc>
        <w:tc>
          <w:tcPr>
            <w:tcW w:w="2506" w:type="dxa"/>
            <w:tcBorders>
              <w:left w:val="single" w:sz="4" w:space="0" w:color="00000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ind w:firstLineChars="200" w:firstLine="640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财政拨款</w:t>
            </w:r>
          </w:p>
        </w:tc>
      </w:tr>
    </w:tbl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3．人员情况，包括当年变动情况及原因。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2024年末在职实有人数35人，增加3人。其中事业编制人员调入2名；公务员调入1名。截</w:t>
      </w:r>
      <w:r>
        <w:rPr>
          <w:rFonts w:ascii="仿宋" w:eastAsia="仿宋" w:hAnsi="仿宋"/>
          <w:sz w:val="32"/>
          <w:szCs w:val="32"/>
        </w:rPr>
        <w:t>至</w:t>
      </w:r>
      <w:r>
        <w:rPr>
          <w:rFonts w:ascii="仿宋" w:eastAsia="仿宋" w:hAnsi="仿宋" w:hint="eastAsia"/>
          <w:sz w:val="32"/>
          <w:szCs w:val="32"/>
        </w:rPr>
        <w:t>2025年12月在职实有人数38人。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4、资产情况，包括当年变动情况及原因。</w:t>
      </w:r>
    </w:p>
    <w:p>
      <w:pPr>
        <w:adjustRightInd w:val="0"/>
        <w:snapToGrid w:val="0"/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2025年年初资产607.24万元，年末资产638.9万元，比年初增加31.66万元。增加资产主要为文旅局调拨电瓶车4辆，购买LED屛、音频设备、投影仪、云台摄像头、会议话筒、监控录像机等满足基本需求。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楷体" w:eastAsia="楷体" w:cs="楷体_GB2312" w:hAnsi="楷体"/>
          <w:bCs/>
          <w:sz w:val="32"/>
          <w:szCs w:val="32"/>
        </w:rPr>
      </w:pPr>
      <w:r>
        <w:rPr>
          <w:rFonts w:ascii="楷体" w:eastAsia="楷体" w:cs="楷体_GB2312" w:hAnsi="楷体" w:hint="eastAsia"/>
          <w:bCs/>
          <w:sz w:val="32"/>
          <w:szCs w:val="32"/>
        </w:rPr>
        <w:t>（二）部门收支预决算情况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楷体" w:eastAsia="楷体" w:cs="楷体_GB2312" w:hAnsi="楷体"/>
          <w:bCs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2025年部门年初预算收入1898.48万元，2025年部门预算支出1898.48万元，其中：基本支出710.48万元，项目支出1188万元。2025年实际收入1968.89万元,实际支出1968.89万元。其中：基本支出713.7万元，项目支出1255.19万元</w:t>
      </w:r>
      <w:r>
        <w:rPr>
          <w:rFonts w:ascii="仿宋_GB2312" w:eastAsia="仿宋_GB2312" w:hAnsi="仿宋" w:hint="eastAsia"/>
          <w:sz w:val="32"/>
          <w:szCs w:val="32"/>
        </w:rPr>
        <w:t>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楷体" w:eastAsia="楷体" w:cs="楷体_GB2312" w:hAnsi="楷体"/>
          <w:bCs/>
          <w:sz w:val="32"/>
          <w:szCs w:val="32"/>
        </w:rPr>
      </w:pPr>
      <w:r>
        <w:rPr>
          <w:rFonts w:ascii="楷体" w:eastAsia="楷体" w:cs="楷体_GB2312" w:hAnsi="楷体" w:hint="eastAsia"/>
          <w:bCs/>
          <w:sz w:val="32"/>
          <w:szCs w:val="32"/>
        </w:rPr>
        <w:t>（三）部门整体支出绩效目标、指标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突出政治引领，把牢正确方向。坚定不移把党的政治建设摆在首位，坚定捍卫“两个确立”、坚决做到“两个维护”。聚焦产业提质，筑牢发展基础。始终把发展作为第一要务，完整准确全面贯彻新发展理念，因地制宜发展新质生产力，推动经济发展实现质的有效提升和量的合理增长。统筹乡村建设，提升民生福祉。坚持以人民为中心，全心全意办好民生实事。深化</w:t>
      </w:r>
      <w:r>
        <w:rPr>
          <w:rFonts w:ascii="仿宋" w:eastAsia="仿宋" w:hAnsi="仿宋"/>
          <w:sz w:val="32"/>
          <w:szCs w:val="32"/>
        </w:rPr>
        <w:t>全面</w:t>
      </w:r>
      <w:r>
        <w:rPr>
          <w:rFonts w:ascii="仿宋" w:eastAsia="仿宋" w:hAnsi="仿宋" w:hint="eastAsia"/>
          <w:sz w:val="32"/>
          <w:szCs w:val="32"/>
        </w:rPr>
        <w:t>从严治党，锤炼过硬作风。始终坚持用改革精神和严的标准管党治党，着力把基层党组织和干部队伍打造得更坚强有力，为全镇各项事业发展提供坚强保障。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二、自评工作开展情况</w:t>
      </w:r>
    </w:p>
    <w:p>
      <w:pPr>
        <w:spacing w:line="560" w:lineRule="exact"/>
        <w:ind w:firstLineChars="200" w:firstLine="640"/>
        <w:rPr>
          <w:rFonts w:ascii="楷体" w:eastAsia="楷体" w:cs="楷体_GB2312" w:hAnsi="楷体"/>
          <w:sz w:val="32"/>
          <w:szCs w:val="32"/>
        </w:rPr>
      </w:pPr>
      <w:r>
        <w:rPr>
          <w:rFonts w:ascii="楷体" w:eastAsia="楷体" w:cs="楷体_GB2312" w:hAnsi="楷体" w:hint="eastAsia"/>
          <w:bCs/>
          <w:sz w:val="32"/>
          <w:szCs w:val="32"/>
        </w:rPr>
        <w:t>（一）自评的组织工作</w:t>
      </w:r>
    </w:p>
    <w:p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</w:t>
      </w:r>
      <w:r>
        <w:rPr>
          <w:rFonts w:ascii="仿宋" w:eastAsia="仿宋" w:hAnsi="仿宋"/>
          <w:sz w:val="32"/>
          <w:szCs w:val="32"/>
        </w:rPr>
        <w:t>在区委、区政府的正确领导下，</w:t>
      </w:r>
      <w:r>
        <w:rPr>
          <w:rFonts w:ascii="仿宋" w:eastAsia="仿宋" w:hAnsi="仿宋" w:hint="eastAsia"/>
          <w:sz w:val="32"/>
          <w:szCs w:val="32"/>
        </w:rPr>
        <w:t>我镇财政所联合各业务科室组成联合小组，自行开展部门自评工作全面负责部门自评工作，具体包括制定工作方案、进行任务布置及辅导、收集分析相关资料、审核项目支出绩效自评表、撰写绩效评价报告等。</w:t>
      </w:r>
    </w:p>
    <w:p>
      <w:pPr>
        <w:numPr>
          <w:ilvl w:val="0"/>
          <w:numId w:val="1"/>
        </w:numPr>
        <w:spacing w:line="560" w:lineRule="exact"/>
        <w:rPr>
          <w:rFonts w:ascii="楷体" w:eastAsia="楷体" w:cs="楷体_GB2312" w:hAnsi="楷体"/>
          <w:bCs/>
          <w:sz w:val="32"/>
          <w:szCs w:val="32"/>
        </w:rPr>
      </w:pPr>
      <w:r>
        <w:rPr>
          <w:rFonts w:ascii="楷体" w:eastAsia="楷体" w:cs="楷体_GB2312" w:hAnsi="楷体" w:hint="eastAsia"/>
          <w:bCs/>
          <w:sz w:val="32"/>
          <w:szCs w:val="32"/>
        </w:rPr>
        <w:t>自评的方法和过程</w:t>
      </w:r>
    </w:p>
    <w:p>
      <w:pPr>
        <w:spacing w:line="560" w:lineRule="exact"/>
        <w:ind w:firstLineChars="200" w:firstLine="640"/>
        <w:rPr>
          <w:rFonts w:ascii="楷体" w:eastAsia="楷体" w:cs="楷体_GB2312" w:hAnsi="楷体"/>
          <w:bCs/>
          <w:sz w:val="32"/>
          <w:szCs w:val="32"/>
        </w:rPr>
      </w:pPr>
      <w:r>
        <w:rPr>
          <w:rFonts w:ascii="仿宋" w:eastAsia="仿宋" w:cs="楷体_GB2312" w:hAnsi="仿宋" w:hint="eastAsia"/>
          <w:sz w:val="32"/>
          <w:szCs w:val="32"/>
        </w:rPr>
        <w:t>本次绩效评价证据收集方法包括了：研究、分析项目预算股室提供的相关文件；整理汇总项目预算股室提供的项目资料、工作总结和合同；根据预算股室提供的基础数据表逐项进行核实；根据项目服务对象填写的问卷调查结果汇总满意度情况。项目在前期的调研基础上，完成了项目绩效评价工作方案，设计了指标体系、评价标准、问卷调查方案等，明确了评价的目的、方法，评价原则。项目严格按照工作方案，通过调研、相关文件的解读、数据采集、文件调查、数据分析、指标评分和撰写的环节，顺利完成了本次绩效评价工作。</w:t>
      </w:r>
    </w:p>
    <w:p>
      <w:pPr>
        <w:spacing w:line="560" w:lineRule="exact"/>
        <w:ind w:leftChars="67" w:left="422" w:hangingChars="88" w:hanging="281"/>
        <w:rPr>
          <w:rFonts w:ascii="黑体" w:eastAsia="黑体" w:hAnsi="黑体"/>
          <w:b/>
          <w:bCs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 xml:space="preserve">    三、部门整体支出绩效目标实现情况及指标分析</w:t>
      </w:r>
    </w:p>
    <w:p>
      <w:pPr>
        <w:numPr>
          <w:ilvl w:val="0"/>
          <w:numId w:val="2"/>
        </w:numPr>
        <w:spacing w:line="560" w:lineRule="exact"/>
        <w:ind w:left="0" w:firstLineChars="200" w:firstLine="640"/>
        <w:rPr>
          <w:rFonts w:ascii="楷体" w:eastAsia="楷体" w:cs="楷体_GB2312" w:hAnsi="楷体"/>
          <w:bCs/>
          <w:sz w:val="32"/>
          <w:szCs w:val="32"/>
        </w:rPr>
      </w:pPr>
      <w:r>
        <w:rPr>
          <w:rFonts w:ascii="楷体" w:eastAsia="楷体" w:cs="楷体_GB2312" w:hAnsi="楷体" w:hint="eastAsia"/>
          <w:bCs/>
          <w:sz w:val="32"/>
          <w:szCs w:val="32"/>
        </w:rPr>
        <w:t>总体绩效目标实现情况</w:t>
      </w:r>
    </w:p>
    <w:p>
      <w:pPr>
        <w:spacing w:line="560" w:lineRule="exact"/>
        <w:ind w:firstLineChars="250" w:firstLine="80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绩效目标是贯穿预算绩效管理始终的一条主线，是预算资金安排、事中绩效跟踪和事后绩效评价的重要依据。根据相关文件要求，我镇所有年初项目均设定了绩效目标，涉及产出指标和效果指标，但存在绩效指标不够全面、可评性不高、具体指标缺乏量化等问题。主要原因是对绩效目标的认识不够，制定多样化和细化的评价指标和标准需要在实践中不断完善。</w:t>
      </w:r>
    </w:p>
    <w:p>
      <w:pPr>
        <w:spacing w:line="560" w:lineRule="exact"/>
        <w:ind w:firstLineChars="221" w:firstLine="707"/>
        <w:rPr>
          <w:rFonts w:ascii="楷体" w:eastAsia="楷体" w:hAnsi="楷体"/>
          <w:bCs/>
          <w:sz w:val="32"/>
          <w:szCs w:val="32"/>
        </w:rPr>
      </w:pPr>
      <w:r>
        <w:rPr>
          <w:rFonts w:ascii="楷体" w:eastAsia="楷体" w:cs="楷体_GB2312" w:hAnsi="楷体" w:hint="eastAsia"/>
          <w:bCs/>
          <w:sz w:val="32"/>
          <w:szCs w:val="32"/>
        </w:rPr>
        <w:t>（二）分项绩效目标实现情况及指标分析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（一）两委干部人员经费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1.资金支出进度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该项目预算数是127.264865万元，支出127.264865万元，总体支出进度为100%。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2.产出指标和效果指标完成情况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按时支付我镇9个社区两委干部工资及保险，维护人员稳定，保障社区工作正常运转。绩效指标为4个，评价等级为优。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（二）社区工作者经费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1.资金支出进度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该项目预算数是17.011282万元，支出17.011282万元，总体支出进度为100%。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2.产出指标和效果指标完成情况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按时支付段家楼社区工作者工资，保障社区工作人员基本生活，有效开展社区各项工作。绩效指标为4个，评价等级为优。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（三）劳务派遣人员经费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1.资金支出进度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该项目预算数是62.16081万元，支出62.16081万元，总体支出进度为100%。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2.产出指标和效果指标完成情况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按时发放劳务派遣、劳务外包及保安工资，保障我镇各项工作正常运行。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（四）网格员工作经费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1.资金支出进度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该项目预算数是25.4541万元，支出25.4541万元，总体支出进度为100%。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2.产出指标和效果指标完成情况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确保网格化管理服务建设正常运行，提升综治工作的实战能力，提高社会治理科学化、法治化、智能化、精细化水平。</w:t>
      </w:r>
      <w:r>
        <w:rPr>
          <w:rFonts w:ascii="仿宋" w:eastAsia="仿宋" w:hAnsi="仿宋" w:hint="eastAsia"/>
          <w:sz w:val="32"/>
          <w:szCs w:val="32"/>
        </w:rPr>
        <w:t>绩效指标为 4 个，评价等级为优。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（五）城镇无业独生子女父母奖励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1.资金支出进度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该项目预算数是3.942万元，支出3.942万元，总体支出进度为100%。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2.产出指标和效果指标完成情况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对城镇无业独生子女父母进行资金支持，减轻家庭压力，保障生活质量。绩效指标为 4 个，评价等级为优。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（六）社区独生子女父母奖励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1.资金支出进度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该项目预算数是2.2万元，支出2.2万元，总体支出进度为100%。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2.产出指标和效果指标完成情况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对社区独生子女父母进行资金支持，减轻家庭压力，保障生活质量。绩效指标为 4 个，评价等级为优。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（七）社区工作经费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1.资金支出进度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该项目预算数是5万元，支出5万元，总体支出进度为100%。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2.产出指标和效果指标完成情况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用于支付我镇9个社区工作的相关支出，保障社区工作正常开展。绩效指标为 4 个，评价等级为优。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（八）信访维稳经费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1.资金支出进度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该项目预算数是25万元，支出25万元，总体支出进度为100%。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2.产出指标和效果指标完成情况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支付信访值班差旅费，保障信访工作正常开展，维护社会稳定，促进社会和谐发展。绩效指标为 3 个，评价等级为优。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（九）环境保护经费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1.资金支出进度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该项目预算数是5万元，支出5万元，总体支出进度为100%。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2.产出指标和效果指标完成情况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支付洗扫车相关费用，保障洗扫车运行，提高清扫效率，提高更好</w:t>
      </w:r>
      <w:r>
        <w:rPr>
          <w:rFonts w:ascii="仿宋" w:eastAsia="仿宋" w:hAnsi="仿宋"/>
          <w:sz w:val="32"/>
          <w:szCs w:val="32"/>
        </w:rPr>
        <w:t>地</w:t>
      </w:r>
      <w:r>
        <w:rPr>
          <w:rFonts w:ascii="仿宋" w:eastAsia="仿宋" w:hAnsi="仿宋" w:hint="eastAsia"/>
          <w:sz w:val="32"/>
          <w:szCs w:val="32"/>
        </w:rPr>
        <w:t>城市环境。绩效指标为 4 个，评价等级为优。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（十）乡镇五小运行费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1.资金支出进度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该项目预算数是7万元，支出7万元，总体支出进度为100%。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2.产出指标和效果指标完成情况</w:t>
      </w:r>
    </w:p>
    <w:p>
      <w:pPr>
        <w:spacing w:line="560" w:lineRule="exact"/>
        <w:ind w:firstLineChars="200" w:firstLine="64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拨付食堂支出，保障食堂正常运转为职工提供三餐需求。绩效指标为 4 个，评价等级为优。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（十一）乡镇遗留问题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1.资金支出进度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该项目预算数是15万元，支出15万元，总体支出进度为100%。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2.产出指标和效果指标完成情况</w:t>
      </w:r>
    </w:p>
    <w:p>
      <w:pPr>
        <w:spacing w:line="560" w:lineRule="exact"/>
        <w:ind w:firstLineChars="200" w:firstLine="64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支付乡镇遗留问题资金，化解信访积案，消除信访隐患。绩效指标为 3 个，评价等级为优。</w:t>
      </w:r>
    </w:p>
    <w:p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（十二）一次性抚恤金丧葬费</w:t>
      </w:r>
    </w:p>
    <w:p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1.该项目预算数是25.68616万元，支出25.68616万元，总体支出进度为100%。</w:t>
      </w:r>
    </w:p>
    <w:p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2.产出指标和效果指标完成情况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拨付韩小元一次性抚恤金丧葬费。绩效指标为4个，评价等级为优。</w:t>
      </w:r>
    </w:p>
    <w:p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（十三）占地补偿款及失地农民保险</w:t>
      </w:r>
    </w:p>
    <w:p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1.资金支出进度</w:t>
      </w:r>
    </w:p>
    <w:p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该项目预算数是213.3268万元，支出213.3268万元，总体支出进度为100%。</w:t>
      </w:r>
    </w:p>
    <w:p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2.产出指标和效果指标完成情况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按时拨付农户占地补偿款及失地农民养老保险，保障失地农民相应权益。绩效指标为4个，评价等级为优。</w:t>
      </w:r>
    </w:p>
    <w:p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（十四）西沟社区迎宾路环境整治</w:t>
      </w:r>
    </w:p>
    <w:p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1.资金支出进度</w:t>
      </w:r>
    </w:p>
    <w:p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该项目预算数是2.63万元，支出2.63万元，总体支出进度为100%。</w:t>
      </w:r>
    </w:p>
    <w:p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2.产出指标和效果指标完成情况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通过支付西沟社区迎宾路环境整治款，完成我镇工程清欠工作。绩效指标为4个，评价等级为优。</w:t>
      </w:r>
    </w:p>
    <w:p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（十五）西沟楼区商店门头牌匾制作及墙体美化</w:t>
      </w:r>
    </w:p>
    <w:p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1.该项目预算数是0.64万元，支出0.64万元，总体支出进度为100%。</w:t>
      </w:r>
    </w:p>
    <w:p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2.产出指标和效果指标完成情况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通过支付西沟楼区商店门头牌匾制作及墙体美化工程款，完成我镇工程清欠工作。绩效指标为4个，评价等级为优。</w:t>
      </w:r>
    </w:p>
    <w:p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（十六）凤山镇综合商务楼西侧外立面幕墙改造项目</w:t>
      </w:r>
    </w:p>
    <w:p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1.该项目预算数是24.02万元，支出24.02万元，总体支出进度为100%。</w:t>
      </w:r>
    </w:p>
    <w:p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2.产出指标和效果指标完成情况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通过支付凤山镇综合商务楼西侧外立面幕墙改造项目款，完成我镇工程清欠工作。绩效指标为4个，评价等级为优。</w:t>
      </w:r>
    </w:p>
    <w:p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（十七）矿市南街西沟段道路硬化及苗木栽植工程</w:t>
      </w:r>
    </w:p>
    <w:p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1.该项目预算数是9.94万元，支出9.94万元，总体支出进度为100%。</w:t>
      </w:r>
    </w:p>
    <w:p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2.产出指标和效果指标完成情况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通过支付矿市南街西沟段道路硬化及苗木栽植工程款，完成我镇工程清欠工作。绩效指标为4个，评价等级为优。</w:t>
      </w:r>
    </w:p>
    <w:p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（十八）凤山镇2025年第五批政府新增政府债券项目</w:t>
      </w:r>
    </w:p>
    <w:p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1.该项目预算数是247.85334万元，支出247.85334万元，总体支出进度为100%。</w:t>
      </w:r>
    </w:p>
    <w:p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2.产出指标和效果指标完成情况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通过支付凤山镇2025年第五批政府新增政府债券项目款，完成我镇工程清欠工作。绩效指标为4个，评价等级为优。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（十九）社区工作者薪酬待遇补助经费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1.资金支出进度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该项目预算数是0.6万元，支出0.6万元，总体支出进度为100%。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2.产出指标和效果指标完成情况</w:t>
      </w:r>
    </w:p>
    <w:p>
      <w:pPr>
        <w:spacing w:line="560" w:lineRule="exact"/>
        <w:ind w:firstLineChars="200" w:firstLine="64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社区工作者按时足额发放待遇补助，有效激励社工干事创业，更好发挥作用。绩效指标为 4 个，评价等级为优。</w:t>
      </w:r>
    </w:p>
    <w:p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（二十）关于调整下达2024年度市级社区党建惠民专项资金的通知</w:t>
      </w:r>
    </w:p>
    <w:p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1.资金支出进度</w:t>
      </w:r>
    </w:p>
    <w:p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该项目预算数是170万元，支出41万元，总体支出进度为24.12%。</w:t>
      </w:r>
    </w:p>
    <w:p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2.产出指标和效果指标完成情况</w:t>
      </w:r>
    </w:p>
    <w:p>
      <w:pPr>
        <w:spacing w:line="560" w:lineRule="exact"/>
        <w:ind w:firstLineChars="200" w:firstLine="64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用于社区既有设施改造，维护党群服务场所建设、维护、维修、设备采购，社区文体公益活动、社区志愿服务，培育和发展社区社会组织，解决社区民生问题。绩效指标为 4 个，评价等级为优。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（二十一）关于提前下达2024年中央农村综合改革转移支付预算的通知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1.资金支出进度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该项目预算数是100万元，支出50万元，总体支出进度为50%。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2.产出指标和效果指标完成情况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对我镇农综改项目资金拨付，提升村庄整体环境。绩效指标为4个，评价等级为优。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（二十二）2024年11-12月份重点区域扬尘污染防治网格工作经费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1.资金支出进度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该项目预算数是2.64万元，支出2.64万元，总体支出进度为100%。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2.产出指标和效果指标完成情况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保障重点区域网格正常运行，实现高值“快推送、快溯源、快消除、快反馈”目标，有利于减少扬尘污染。绩效指标为 4 个，评价等级为优。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（二十三）</w:t>
      </w:r>
      <w:r>
        <w:rPr>
          <w:rFonts w:ascii="仿宋" w:eastAsia="仿宋" w:cs="仿宋" w:hAnsi="仿宋" w:hint="eastAsia"/>
          <w:sz w:val="32"/>
          <w:szCs w:val="32"/>
        </w:rPr>
        <w:t>社区工作者薪酬待遇补助资金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1.资金支出进度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该项目预算数是7.5万元，支出7.5万元，总体支出进度为100%。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2.产出指标和效果指标完成情况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社区工作者按时足额发放待遇补助，有效激励社工干事创业，更好发挥作用。绩效指标为 4 个，评价等级为优。</w:t>
      </w:r>
    </w:p>
    <w:p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（二十四）2025年三馆一站免费开放中央补助资金</w:t>
      </w:r>
    </w:p>
    <w:p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1.资金支出进度</w:t>
      </w:r>
    </w:p>
    <w:p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该项目预算数是3万元，支出3万元，总体支出进度为100%。</w:t>
      </w:r>
    </w:p>
    <w:p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2.产出指标和效果指标完成情况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拨付文化站免费开放资金，保障文化站免费开放及文化活动正常开展。绩效指标为 4 个，评价等级为优。</w:t>
      </w:r>
    </w:p>
    <w:p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（二十五）2025年三馆一站免费开放省级补助资金</w:t>
      </w:r>
    </w:p>
    <w:p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1.资金支出进度</w:t>
      </w:r>
    </w:p>
    <w:p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该项目预算数是0.5万元，支出0.5万元，总体支出进度为100%。</w:t>
      </w:r>
    </w:p>
    <w:p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2.产出指标和效果指标完成情况</w:t>
      </w:r>
    </w:p>
    <w:p>
      <w:pPr>
        <w:spacing w:line="560" w:lineRule="exact"/>
        <w:ind w:firstLineChars="200" w:firstLine="64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用于各文化站免费开放及社区各项文化活动开展。绩效指标为 4 个，评价等级为优。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（二十六）关于提前下达2025年中央农村综合改革转移支付预算的通知-中凤山凤凰西街污水管网改造工程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1.资金支出进度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该项目预算数是26万元，支出26万元，总体支出进度为100%。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2.产出指标和效果指标完成情况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通过对中凤山凤凰西街污水管网改造，提升社区污水处理能力。绩效指标为4个，评价等级为优。</w:t>
      </w:r>
    </w:p>
    <w:p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（二十七）关于提前下达2025年省级农村综合改革资金预算的通知-中凤山凤凰西街污水管网改造工程</w:t>
      </w:r>
    </w:p>
    <w:p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1.资金支出进度</w:t>
      </w:r>
    </w:p>
    <w:p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该项目预算数是5.64万元，支出5.64万元，总体支出进度为100%。</w:t>
      </w:r>
    </w:p>
    <w:p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2.产出指标和效果指标完成情况</w:t>
      </w:r>
    </w:p>
    <w:p>
      <w:pPr>
        <w:spacing w:line="560" w:lineRule="exact"/>
        <w:ind w:firstLineChars="250" w:firstLine="80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通过对中凤山凤凰西街污水管网改造，提升社区污水处理能力。</w:t>
      </w:r>
      <w:r>
        <w:rPr>
          <w:rFonts w:ascii="仿宋" w:eastAsia="仿宋" w:cs="仿宋" w:hAnsi="仿宋" w:hint="eastAsia"/>
          <w:sz w:val="32"/>
          <w:szCs w:val="32"/>
        </w:rPr>
        <w:t>绩效指标为 4 个，评价等级为优。</w:t>
      </w:r>
    </w:p>
    <w:p>
      <w:pPr>
        <w:spacing w:line="560" w:lineRule="exact"/>
        <w:ind w:firstLineChars="250" w:firstLine="80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（二十八）关于提前下达2025年省级农村综合改革资金预算的通知-白彪凝元路道路硬化工程</w:t>
      </w:r>
    </w:p>
    <w:p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1.资金支出进度</w:t>
      </w:r>
    </w:p>
    <w:p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该项目预算数是23.24万元，支出23.24万元，总体支出进度为100%。</w:t>
      </w:r>
    </w:p>
    <w:p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2.产出指标和效果指标完成情况</w:t>
      </w:r>
    </w:p>
    <w:p>
      <w:pPr>
        <w:spacing w:line="560" w:lineRule="exact"/>
        <w:ind w:firstLineChars="250" w:firstLine="80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通过对白彪村凝元路道路硬化，明显改善村容村貌，方便居民出行。绩效指标为 4 个，评价等级为优。</w:t>
      </w:r>
    </w:p>
    <w:p>
      <w:pPr>
        <w:spacing w:line="560" w:lineRule="exact"/>
        <w:ind w:firstLineChars="250" w:firstLine="80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（二十九）关于提前下达2025年省级农村综合改革资金预算的通知-西沟便民路街道硬化工程</w:t>
      </w:r>
    </w:p>
    <w:p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该项目预算数是33万元，支出33万元，总体支出进度为100%。</w:t>
      </w:r>
    </w:p>
    <w:p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2.产出指标和效果指标完成情况</w:t>
      </w:r>
    </w:p>
    <w:p>
      <w:pPr>
        <w:spacing w:line="560" w:lineRule="exact"/>
        <w:ind w:firstLineChars="250" w:firstLine="80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通过对西沟便民路道路硬化，明显改善村容村貌，方便居民出行。绩效指标为 4 个，评价等级为优。</w:t>
      </w:r>
    </w:p>
    <w:p>
      <w:pPr>
        <w:spacing w:line="560" w:lineRule="exact"/>
        <w:ind w:firstLineChars="250" w:firstLine="80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（三十）关于下达以工代赈2025年第三批中央基建投资预算的通知-井陉矿区凤山镇2025年农村道路以工代赈项目</w:t>
      </w:r>
    </w:p>
    <w:p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该项目预算数是360.12万元，支出108.036万元，总体支出进度为30%。</w:t>
      </w:r>
    </w:p>
    <w:p>
      <w:pPr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2.产出指标和效果指标完成情况</w:t>
      </w:r>
    </w:p>
    <w:p>
      <w:pPr>
        <w:spacing w:line="560" w:lineRule="exact"/>
        <w:ind w:firstLineChars="250" w:firstLine="80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通过实施凤山镇2025年农村道路以工代赈项目，进一步改善提升人居环境，全面推进乡村振兴。绩效指标为 4 个，评价等级为优。</w:t>
      </w:r>
    </w:p>
    <w:p>
      <w:pPr>
        <w:spacing w:line="560" w:lineRule="exact"/>
        <w:ind w:firstLineChars="250" w:firstLine="80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（三十一）2025年重点区域扬尘污染防治网格工作经费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1.资金支出进度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该项目预算数是7.32万元，支出7.32万元，总体支出进度为100%。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2.产出指标和效果指标完成情况</w:t>
      </w:r>
    </w:p>
    <w:p>
      <w:pPr>
        <w:spacing w:line="560" w:lineRule="exact"/>
        <w:ind w:firstLineChars="250" w:firstLine="80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保障重点区域网格正常运行，实现高值“快推送、快溯源、快消除、快反馈”目标，有利于减少扬尘污染。绩效指标为 4 个，评价等级为优。</w:t>
      </w:r>
    </w:p>
    <w:p>
      <w:pPr>
        <w:spacing w:line="560" w:lineRule="exact"/>
        <w:ind w:firstLineChars="250" w:firstLine="80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（三十二）2025年度第80批次征地补偿费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1.资金支出进度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该项目预算数是2.7495万元，支出2.7495万元，总体支出进度为100%。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2.产出指标和效果指标完成情况</w:t>
      </w:r>
    </w:p>
    <w:p>
      <w:pPr>
        <w:spacing w:line="560" w:lineRule="exact"/>
        <w:ind w:firstLineChars="250" w:firstLine="80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按时拨付2025年第80批次征地补偿费。绩效指标为 4 个，评价等级为优。</w:t>
      </w:r>
    </w:p>
    <w:p>
      <w:pPr>
        <w:spacing w:line="560" w:lineRule="exact"/>
        <w:ind w:firstLineChars="250" w:firstLine="80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（三十三）2025年度第84批次征地补偿费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1.资金支出进度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该项目预算数是124.8298万元，支出124.8298万元，总体支出进度为100%。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2.产出指标和效果指标完成情况</w:t>
      </w:r>
    </w:p>
    <w:p>
      <w:pPr>
        <w:spacing w:line="560" w:lineRule="exact"/>
        <w:ind w:firstLineChars="250" w:firstLine="800"/>
        <w:rPr>
          <w:rFonts w:ascii="仿宋" w:eastAsia="仿宋" w:cs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按时拨付2025年第84批次征地补偿费。绩效指标为 4 个，评价等级为优。</w:t>
      </w:r>
    </w:p>
    <w:p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四、评价结论和评价等级</w:t>
      </w:r>
    </w:p>
    <w:p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根据部门职责定位和各项工作履职情况进行综合评价，给出总得分，满分100分，得出综合绩效评价等级。部门整体支出综合绩效评价分95分为优秀。</w:t>
      </w:r>
    </w:p>
    <w:p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五、存在的问题及改进措施</w:t>
      </w:r>
    </w:p>
    <w:p>
      <w:pPr>
        <w:spacing w:line="560" w:lineRule="exact"/>
        <w:ind w:firstLineChars="200" w:firstLine="640"/>
        <w:rPr>
          <w:rFonts w:ascii="楷体" w:eastAsia="楷体" w:hAnsi="楷体"/>
          <w:bCs/>
          <w:sz w:val="32"/>
          <w:szCs w:val="32"/>
        </w:rPr>
      </w:pPr>
      <w:r>
        <w:rPr>
          <w:rFonts w:ascii="楷体" w:eastAsia="楷体" w:hAnsi="楷体" w:hint="eastAsia"/>
          <w:bCs/>
          <w:sz w:val="32"/>
          <w:szCs w:val="32"/>
        </w:rPr>
        <w:t>（一）存在的主要问题</w:t>
      </w:r>
    </w:p>
    <w:p>
      <w:pPr>
        <w:spacing w:line="560" w:lineRule="exact"/>
        <w:ind w:firstLineChars="200" w:firstLine="640"/>
        <w:rPr>
          <w:rFonts w:ascii="楷体" w:eastAsia="楷体" w:hAnsi="楷体"/>
          <w:bCs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绩效评价在目标设定上过于简单，对于绩效考核来讲，目标就是方向，如果在绩效考核目标设定上出现问题</w:t>
      </w:r>
      <w:r>
        <w:rPr>
          <w:rFonts w:ascii="仿宋" w:eastAsia="仿宋" w:hAnsi="仿宋"/>
          <w:sz w:val="32"/>
          <w:szCs w:val="32"/>
        </w:rPr>
        <w:t>，</w:t>
      </w:r>
      <w:r>
        <w:rPr>
          <w:rFonts w:ascii="仿宋" w:eastAsia="仿宋" w:hAnsi="仿宋" w:hint="eastAsia"/>
          <w:sz w:val="32"/>
          <w:szCs w:val="32"/>
        </w:rPr>
        <w:t>或者是设计不合理势必要影响到绩效考核的全局。当前绩效考核在目标设定上不能实现多元化的目标，考核结果仅仅是停留在作为薪金或晋升的依据，还不能成为考量职工发展的标杆。绩效评价在指标设定上存在偏离的现象。在当前绩效考核指标设定上，德能勤绩这种传统的固化思维模式依旧存在，不能紧紧围绕工作重点、偏离实际的现象依旧凸显。</w:t>
      </w:r>
    </w:p>
    <w:p>
      <w:pPr>
        <w:spacing w:line="560" w:lineRule="exact"/>
        <w:ind w:firstLineChars="200" w:firstLine="640"/>
        <w:rPr>
          <w:rFonts w:ascii="楷体" w:eastAsia="楷体" w:hAnsi="楷体"/>
          <w:bCs/>
          <w:sz w:val="32"/>
          <w:szCs w:val="32"/>
        </w:rPr>
      </w:pPr>
      <w:r>
        <w:rPr>
          <w:rFonts w:ascii="楷体" w:eastAsia="楷体" w:hAnsi="楷体" w:hint="eastAsia"/>
          <w:bCs/>
          <w:sz w:val="32"/>
          <w:szCs w:val="32"/>
        </w:rPr>
        <w:t>（二）针对问题提出具体的改进措施或建议</w:t>
      </w:r>
    </w:p>
    <w:p>
      <w:pPr>
        <w:adjustRightInd w:val="0"/>
        <w:snapToGrid w:val="0"/>
        <w:spacing w:line="560" w:lineRule="exact"/>
        <w:ind w:firstLineChars="200" w:firstLine="640"/>
      </w:pPr>
      <w:r>
        <w:rPr>
          <w:rFonts w:ascii="仿宋" w:eastAsia="仿宋" w:cs="仿宋" w:hAnsi="仿宋" w:hint="eastAsia"/>
          <w:sz w:val="32"/>
          <w:szCs w:val="32"/>
        </w:rPr>
        <w:t>针对绩效指标设定中存在的问题，从实际出发，在202</w:t>
      </w:r>
      <w:r>
        <w:rPr>
          <w:rFonts w:ascii="仿宋" w:eastAsia="仿宋" w:cs="仿宋" w:hAnsi="仿宋"/>
          <w:sz w:val="32"/>
          <w:szCs w:val="32"/>
        </w:rPr>
        <w:t>5</w:t>
      </w:r>
      <w:r>
        <w:rPr>
          <w:rFonts w:ascii="仿宋" w:eastAsia="仿宋" w:cs="仿宋" w:hAnsi="仿宋" w:hint="eastAsia"/>
          <w:sz w:val="32"/>
          <w:szCs w:val="32"/>
        </w:rPr>
        <w:t>年项目绩效目标填报中增强指标的可评价性和可量化性，合理如实的反映资金使用的绩效成果，审核</w:t>
      </w:r>
      <w:r>
        <w:rPr>
          <w:rFonts w:ascii="仿宋" w:eastAsia="仿宋" w:cs="仿宋" w:hAnsi="仿宋"/>
          <w:sz w:val="32"/>
          <w:szCs w:val="32"/>
        </w:rPr>
        <w:t>实现绩效目标所需资金的合理性以及填报的规范性、完整性</w:t>
      </w:r>
      <w:r>
        <w:rPr>
          <w:rFonts w:ascii="仿宋" w:eastAsia="仿宋" w:cs="仿宋" w:hAnsi="仿宋" w:hint="eastAsia"/>
          <w:sz w:val="32"/>
          <w:szCs w:val="32"/>
        </w:rPr>
        <w:t>，提高财政支出产生的社会效益和经济效益，重点考虑项目的外界因素对年度任务的影响。</w:t>
      </w:r>
    </w:p>
    <w:p>
      <w:pPr>
        <w:spacing w:line="560" w:lineRule="exact"/>
        <w:ind w:firstLineChars="200" w:firstLine="640"/>
        <w:rPr>
          <w:rFonts w:ascii="楷体" w:eastAsia="楷体" w:hAnsi="楷体"/>
          <w:bCs/>
          <w:sz w:val="32"/>
          <w:szCs w:val="32"/>
        </w:rPr>
      </w:pPr>
      <w:r>
        <w:rPr>
          <w:rFonts w:ascii="仿宋" w:eastAsia="仿宋" w:cs="仿宋" w:hAnsi="仿宋" w:hint="eastAsia"/>
          <w:sz w:val="32"/>
          <w:szCs w:val="32"/>
        </w:rPr>
        <w:t>在以后的工作中，</w:t>
      </w:r>
      <w:r>
        <w:rPr>
          <w:rFonts w:ascii="仿宋" w:eastAsia="仿宋" w:cs="仿宋" w:hAnsi="仿宋"/>
          <w:sz w:val="32"/>
          <w:szCs w:val="32"/>
        </w:rPr>
        <w:t>要根据年度工作计划制定具体、可衡量、可实现的绩效目标，明确支出的必要性、可行性和有效性，并围绕绩效目标编制清晰、量化、便于考核的绩效指标。</w:t>
      </w:r>
      <w:r>
        <w:rPr>
          <w:rFonts w:ascii="仿宋" w:eastAsia="仿宋" w:cs="仿宋" w:hAnsi="仿宋" w:hint="eastAsia"/>
          <w:sz w:val="32"/>
          <w:szCs w:val="32"/>
        </w:rPr>
        <w:t>要重视绩效评价工作，切实发挥绩效评价结果应用的作用，通过绩效评价应用实践，积累连续的数据库，优化对比分析，总结实践中的经验和教训，强化财政资金管理水平、提高财政资金使用效益，在更高层次上实现财政资源配置的公平性和合理性。</w:t>
      </w:r>
    </w:p>
    <w:p>
      <w:pPr>
        <w:adjustRightInd w:val="0"/>
        <w:snapToGrid w:val="0"/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六、评价工作组人员名单及签字（姓名、工作单位、职务、职称）</w:t>
      </w:r>
    </w:p>
    <w:p>
      <w:pPr>
        <w:spacing w:line="560" w:lineRule="exact"/>
        <w:jc w:val="center"/>
        <w:rPr>
          <w:rFonts w:ascii="宋体" w:cs="宋体" w:hAnsi="宋体"/>
          <w:sz w:val="44"/>
          <w:szCs w:val="44"/>
        </w:rPr>
      </w:pPr>
      <w:r>
        <w:rPr>
          <w:rFonts w:ascii="宋体" w:cs="宋体" w:hAnsi="宋体" w:hint="eastAsia"/>
          <w:sz w:val="44"/>
          <w:szCs w:val="44"/>
        </w:rPr>
        <w:t>评价工作组人员名单</w:t>
      </w:r>
    </w:p>
    <w:tbl>
      <w:tblPr>
        <w:jc w:val="left"/>
        <w:tblW w:w="9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1149"/>
        <w:gridCol w:w="1172"/>
        <w:gridCol w:w="1856"/>
        <w:gridCol w:w="3071"/>
        <w:gridCol w:w="1813"/>
      </w:tblGrid>
      <w:tr>
        <w:tc>
          <w:tcPr>
            <w:tcW w:w="1149" w:type="dxa"/>
          </w:tcPr>
          <w:p>
            <w:pPr>
              <w:pStyle w:val="17"/>
              <w:ind w:firstLineChars="0" w:firstLine="0"/>
            </w:pPr>
            <w:r>
              <w:rPr>
                <w:rFonts w:hint="eastAsia"/>
              </w:rPr>
              <w:t xml:space="preserve"> 序号</w:t>
            </w:r>
          </w:p>
        </w:tc>
        <w:tc>
          <w:tcPr>
            <w:tcW w:w="1172" w:type="dxa"/>
          </w:tcPr>
          <w:p>
            <w:pPr>
              <w:pStyle w:val="17"/>
              <w:ind w:firstLineChars="50" w:firstLine="150"/>
            </w:pPr>
            <w:r>
              <w:rPr>
                <w:rFonts w:hint="eastAsia"/>
              </w:rPr>
              <w:t>姓名</w:t>
            </w:r>
          </w:p>
        </w:tc>
        <w:tc>
          <w:tcPr>
            <w:tcW w:w="1856" w:type="dxa"/>
          </w:tcPr>
          <w:p>
            <w:pPr>
              <w:pStyle w:val="17"/>
              <w:ind w:firstLineChars="50" w:firstLine="150"/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3071" w:type="dxa"/>
          </w:tcPr>
          <w:p>
            <w:pPr>
              <w:pStyle w:val="17"/>
              <w:ind w:firstLineChars="350" w:firstLine="1050"/>
            </w:pPr>
            <w:r>
              <w:rPr>
                <w:rFonts w:hint="eastAsia"/>
              </w:rPr>
              <w:t>职务</w:t>
            </w:r>
          </w:p>
        </w:tc>
        <w:tc>
          <w:tcPr>
            <w:tcW w:w="1813" w:type="dxa"/>
          </w:tcPr>
          <w:p>
            <w:pPr>
              <w:pStyle w:val="17"/>
            </w:pPr>
            <w:r>
              <w:rPr>
                <w:rFonts w:hint="eastAsia"/>
              </w:rPr>
              <w:t>签名</w:t>
            </w:r>
          </w:p>
        </w:tc>
      </w:tr>
      <w:tr>
        <w:tc>
          <w:tcPr>
            <w:tcW w:w="1149" w:type="dxa"/>
            <w:vAlign w:val="center"/>
          </w:tcPr>
          <w:p>
            <w:pPr>
              <w:pStyle w:val="17"/>
              <w:ind w:firstLineChars="0" w:firstLine="0"/>
            </w:pPr>
            <w:r>
              <w:rPr>
                <w:rFonts w:hint="eastAsia"/>
              </w:rPr>
              <w:t xml:space="preserve">  1</w:t>
            </w:r>
          </w:p>
        </w:tc>
        <w:tc>
          <w:tcPr>
            <w:tcW w:w="1172" w:type="dxa"/>
            <w:tcBorders>
              <w:left w:val="single" w:sz="4" w:space="0" w:color="auto"/>
            </w:tcBorders>
            <w:vAlign w:val="center"/>
          </w:tcPr>
          <w:p>
            <w:pPr>
              <w:pStyle w:val="17"/>
              <w:ind w:firstLineChars="0" w:firstLine="0"/>
              <w:jc w:val="center"/>
            </w:pPr>
            <w:r>
              <w:rPr>
                <w:rFonts w:hint="eastAsia"/>
              </w:rPr>
              <w:t>孙振席</w:t>
            </w:r>
          </w:p>
        </w:tc>
        <w:tc>
          <w:tcPr>
            <w:tcW w:w="1856" w:type="dxa"/>
            <w:tcBorders>
              <w:left w:val="single" w:sz="4" w:space="0" w:color="auto"/>
            </w:tcBorders>
            <w:vAlign w:val="center"/>
          </w:tcPr>
          <w:p>
            <w:pPr>
              <w:pStyle w:val="17"/>
              <w:ind w:firstLineChars="0" w:firstLine="0"/>
              <w:jc w:val="center"/>
            </w:pPr>
            <w:r>
              <w:rPr>
                <w:rFonts w:hint="eastAsia"/>
              </w:rPr>
              <w:t>凤山镇</w:t>
            </w:r>
          </w:p>
        </w:tc>
        <w:tc>
          <w:tcPr>
            <w:tcW w:w="3071" w:type="dxa"/>
            <w:tcBorders>
              <w:left w:val="single" w:sz="4" w:space="0" w:color="auto"/>
            </w:tcBorders>
          </w:tcPr>
          <w:p>
            <w:pPr>
              <w:pStyle w:val="17"/>
              <w:ind w:firstLineChars="0" w:firstLine="0"/>
              <w:jc w:val="center"/>
            </w:pPr>
            <w:r>
              <w:rPr>
                <w:rFonts w:hint="eastAsia"/>
              </w:rPr>
              <w:t>凤山镇党委副书记、</w:t>
            </w:r>
          </w:p>
          <w:p>
            <w:pPr>
              <w:pStyle w:val="17"/>
              <w:ind w:firstLineChars="0" w:firstLine="0"/>
              <w:jc w:val="center"/>
            </w:pPr>
            <w:r>
              <w:rPr>
                <w:rFonts w:hint="eastAsia"/>
              </w:rPr>
              <w:t>镇长</w:t>
            </w:r>
          </w:p>
        </w:tc>
        <w:tc>
          <w:tcPr>
            <w:tcW w:w="1813" w:type="dxa"/>
            <w:tcBorders>
              <w:left w:val="single" w:sz="4" w:space="0" w:color="auto"/>
            </w:tcBorders>
          </w:tcPr>
          <w:p>
            <w:pPr>
              <w:pStyle w:val="17"/>
            </w:pPr>
          </w:p>
        </w:tc>
      </w:tr>
      <w:tr>
        <w:trPr>
          <w:trHeight w:val="1367"/>
        </w:trPr>
        <w:tc>
          <w:tcPr>
            <w:tcW w:w="1149" w:type="dxa"/>
            <w:vAlign w:val="center"/>
          </w:tcPr>
          <w:p>
            <w:pPr>
              <w:pStyle w:val="17"/>
              <w:ind w:firstLineChars="0" w:firstLine="0"/>
            </w:pPr>
            <w:r>
              <w:rPr>
                <w:rFonts w:hint="eastAsia"/>
              </w:rPr>
              <w:t xml:space="preserve">  2</w:t>
            </w:r>
          </w:p>
        </w:tc>
        <w:tc>
          <w:tcPr>
            <w:tcW w:w="1172" w:type="dxa"/>
            <w:tcBorders>
              <w:left w:val="single" w:sz="4" w:space="0" w:color="auto"/>
            </w:tcBorders>
            <w:vAlign w:val="center"/>
          </w:tcPr>
          <w:p>
            <w:pPr>
              <w:pStyle w:val="17"/>
              <w:ind w:firstLineChars="0" w:firstLine="0"/>
              <w:jc w:val="center"/>
            </w:pPr>
            <w:r>
              <w:rPr>
                <w:rFonts w:hint="eastAsia"/>
              </w:rPr>
              <w:t>高扬</w:t>
            </w:r>
          </w:p>
        </w:tc>
        <w:tc>
          <w:tcPr>
            <w:tcW w:w="1856" w:type="dxa"/>
            <w:tcBorders>
              <w:left w:val="single" w:sz="4" w:space="0" w:color="auto"/>
            </w:tcBorders>
            <w:vAlign w:val="center"/>
          </w:tcPr>
          <w:p>
            <w:pPr>
              <w:pStyle w:val="17"/>
              <w:ind w:firstLineChars="0" w:firstLine="0"/>
              <w:jc w:val="center"/>
            </w:pPr>
            <w:r>
              <w:rPr>
                <w:rFonts w:hint="eastAsia"/>
              </w:rPr>
              <w:t>凤山镇</w:t>
            </w:r>
          </w:p>
        </w:tc>
        <w:tc>
          <w:tcPr>
            <w:tcW w:w="3071" w:type="dxa"/>
            <w:tcBorders>
              <w:left w:val="single" w:sz="4" w:space="0" w:color="auto"/>
            </w:tcBorders>
            <w:vAlign w:val="center"/>
          </w:tcPr>
          <w:p>
            <w:pPr>
              <w:pStyle w:val="17"/>
              <w:ind w:firstLineChars="0" w:firstLine="0"/>
              <w:jc w:val="center"/>
            </w:pPr>
            <w:r>
              <w:rPr>
                <w:rFonts w:hint="eastAsia"/>
              </w:rPr>
              <w:t xml:space="preserve">  凤山镇党委委员、宣传委员、副镇长</w:t>
            </w:r>
          </w:p>
        </w:tc>
        <w:tc>
          <w:tcPr>
            <w:tcW w:w="1813" w:type="dxa"/>
            <w:tcBorders>
              <w:left w:val="single" w:sz="4" w:space="0" w:color="auto"/>
            </w:tcBorders>
          </w:tcPr>
          <w:p>
            <w:pPr>
              <w:pStyle w:val="17"/>
            </w:pPr>
          </w:p>
        </w:tc>
      </w:tr>
      <w:tr>
        <w:tc>
          <w:tcPr>
            <w:tcW w:w="1149" w:type="dxa"/>
            <w:vAlign w:val="center"/>
          </w:tcPr>
          <w:p>
            <w:pPr>
              <w:pStyle w:val="17"/>
              <w:ind w:firstLineChars="100" w:firstLine="300"/>
            </w:pPr>
            <w:r>
              <w:rPr>
                <w:rFonts w:hint="eastAsia"/>
              </w:rPr>
              <w:t xml:space="preserve">3 </w:t>
            </w:r>
          </w:p>
        </w:tc>
        <w:tc>
          <w:tcPr>
            <w:tcW w:w="1172" w:type="dxa"/>
            <w:tcBorders>
              <w:left w:val="single" w:sz="4" w:space="0" w:color="auto"/>
            </w:tcBorders>
            <w:vAlign w:val="center"/>
          </w:tcPr>
          <w:p>
            <w:pPr>
              <w:pStyle w:val="17"/>
              <w:ind w:firstLineChars="0" w:firstLine="0"/>
              <w:jc w:val="center"/>
            </w:pPr>
            <w:r>
              <w:rPr>
                <w:rFonts w:hint="eastAsia"/>
              </w:rPr>
              <w:t>李筱婷</w:t>
            </w:r>
          </w:p>
        </w:tc>
        <w:tc>
          <w:tcPr>
            <w:tcW w:w="1856" w:type="dxa"/>
            <w:tcBorders>
              <w:left w:val="single" w:sz="4" w:space="0" w:color="auto"/>
            </w:tcBorders>
            <w:vAlign w:val="center"/>
          </w:tcPr>
          <w:p>
            <w:pPr>
              <w:pStyle w:val="17"/>
              <w:ind w:firstLineChars="0" w:firstLine="0"/>
              <w:jc w:val="center"/>
            </w:pPr>
            <w:r>
              <w:rPr>
                <w:rFonts w:hint="eastAsia"/>
              </w:rPr>
              <w:t>凤山镇</w:t>
            </w:r>
          </w:p>
        </w:tc>
        <w:tc>
          <w:tcPr>
            <w:tcW w:w="3071" w:type="dxa"/>
            <w:tcBorders>
              <w:left w:val="single" w:sz="4" w:space="0" w:color="auto"/>
            </w:tcBorders>
            <w:vAlign w:val="center"/>
          </w:tcPr>
          <w:p>
            <w:pPr>
              <w:pStyle w:val="17"/>
              <w:ind w:firstLineChars="150" w:firstLine="450"/>
            </w:pPr>
            <w:r>
              <w:rPr>
                <w:rFonts w:hint="eastAsia"/>
              </w:rPr>
              <w:t>凤山镇党委委员、纪委书记、监察办主任</w:t>
            </w:r>
          </w:p>
        </w:tc>
        <w:tc>
          <w:tcPr>
            <w:tcW w:w="1813" w:type="dxa"/>
            <w:tcBorders>
              <w:left w:val="single" w:sz="4" w:space="0" w:color="auto"/>
            </w:tcBorders>
          </w:tcPr>
          <w:p>
            <w:pPr>
              <w:pStyle w:val="17"/>
            </w:pPr>
          </w:p>
        </w:tc>
      </w:tr>
    </w:tbl>
    <w:p>
      <w:pPr>
        <w:spacing w:line="560" w:lineRule="exact"/>
        <w:rPr>
          <w:rFonts w:ascii="仿宋" w:eastAsia="仿宋" w:hAnsi="仿宋"/>
        </w:rPr>
      </w:pPr>
    </w:p>
    <w:sectPr>
      <w:footerReference w:type="default" r:id="rId2"/>
      <w:pgSz w:w="11906" w:h="16838"/>
      <w:pgMar w:top="1440" w:right="1474" w:bottom="1440" w:left="1587" w:header="851" w:footer="992" w:gutter="0"/>
      <w:pgNumType w:fmt="numberInDash"/>
      <w:cols w:num="1" w:space="72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黑体">
    <w:altName w:val="SimHei"/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楷体_GB2312">
    <w:altName w:val="Arial Unicode MS"/>
    <w:panose1 w:val="00000000000000000000"/>
    <w:charset w:val="86"/>
    <w:family w:val="auto"/>
    <w:pitch w:val="variable"/>
    <w:sig w:usb0="00000000" w:usb1="080E0000" w:usb2="00000000" w:usb3="00000000" w:csb0="00040000" w:csb1="00000000"/>
  </w:font>
  <w:font w:name="仿宋_GB2312">
    <w:altName w:val="Arial Unicode MS"/>
    <w:panose1 w:val="00000000000000000000"/>
    <w:charset w:val="86"/>
    <w:family w:val="auto"/>
    <w:pitch w:val="variable"/>
    <w:sig w:usb0="00000000" w:usb1="080E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5"/>
      <w:tabs>
        <w:tab w:val="center" w:pos="4153"/>
        <w:tab w:val="right" w:pos="8306"/>
      </w:tabs>
    </w:pPr>
    <w:r>
      <mc:AlternateContent>
        <mc:Choice Requires="wps">
          <w:drawing>
            <wp:anchor distT="0" distB="0" distL="91437" distR="91437" simplePos="0" relativeHeight="12" behindDoc="0" locked="0" layoutInCell="1" hidden="0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09531" cy="162780"/>
              <wp:effectExtent l="0" t="0" r="0" b="0"/>
              <wp:wrapNone/>
              <wp:docPr id="1025" name="Quad Arrow 3073"/>
              <wp:cNvGraphicFramePr>
                <a:graphicFrameLocks noChangeAspect="0"/>
              </wp:cNvGraphicFramePr>
              <a:graphic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209531" cy="162780"/>
                      </a:xfrm>
                      <a:prstGeom prst="rect"/>
                      <a:noFill/>
                      <a:ln w="9525" cmpd="sng" cap="flat">
                        <a:noFill/>
                        <a:prstDash val="solid"/>
                        <a:miter/>
                      </a:ln>
                    </wps:spPr>
                    <wps:txbx id="1"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- 14 -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type="#_x0000_t1" id="Quad Arrow 3073" o:spid="_x0000_s2" filled="f" stroked="f" style="position:absolute;margin-left:0.0pt;margin-top:0.0pt;width:16.498535pt;height:12.817383pt;z-index:12;mso-position-horizontal:center;mso-position-horizontal-relative:margin;mso-position-vertical:absolute;mso-wrap-distance-left:7.1997643pt;mso-wrap-distance-right:7.1997643pt;mso-wrap-style:none;">
              <v:stroke/>
              <v:textbox id="848" inset="0mm,0mm,0mm,0mm" o:insetmode="custom" style="layout-flow:horizontal;v-text-anchor:top;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- 14 -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nsid w:val="0516AA81"/>
    <w:multiLevelType w:val="singleLevel"/>
    <w:tmpl w:val="0516AA81"/>
    <w:lvl w:ilvl="0">
      <w:start w:val="2"/>
      <w:numFmt w:val="chineseCounting"/>
      <w:lvlRestart w:val="0"/>
      <w:suff w:val="nothing"/>
      <w:lvlText w:val="（%1）"/>
      <w:lvlJc w:val="left"/>
      <w:pPr>
        <w:ind w:left="642" w:hanging="0"/>
      </w:pPr>
      <w:rPr>
        <w:rFonts w:hint="eastAsia"/>
      </w:rPr>
    </w:lvl>
  </w:abstractNum>
  <w:abstractNum w:abstractNumId="1">
    <w:nsid w:val="5E68489B"/>
    <w:multiLevelType w:val="singleLevel"/>
    <w:tmpl w:val="5E68489B"/>
    <w:lvl w:ilvl="0">
      <w:start w:val="1"/>
      <w:numFmt w:val="chineseCounting"/>
      <w:lvlRestart w:val="0"/>
      <w:suff w:val="nothing"/>
      <w:lvlText w:val="（%1）"/>
      <w:lvlJc w:val="left"/>
      <w:pPr>
        <w:ind w:left="0" w:hanging="0"/>
      </w:pPr>
      <w:rPr>
        <w:rFonts w:ascii="楷体" w:hAnsi="楷体" w:eastAsia="楷体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doNotUseIndentAsNumberingTabStop/>
    <w:useAltKinsokuLineBreakRules/>
    <w:doNotSuppressIndentation/>
    <w:splitPgBreakAndParaMark/>
    <w:compatSetting w:name="compatibilityMode" w:uri="http://schemas.microsoft.com/office/word" w:val="12"/>
  </w:compat>
  <w:docVars>
    <w:docVar w:name="commondata" w:val="eyJoZGlkIjoiYzgxMzVhZTBlNDUyZWUxNDVhMjNkN2E1NjFlOTE5NDcifQ=="/>
  </w:docVar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Arial"/>
        <w:lang w:val="en-US" w:eastAsia="zh-CN" w:bidi="ar-SA"/>
      </w:rPr>
    </w:rPrDefault>
    <w:pPrDefault/>
  </w:docDefaults>
  <w:style w:type="paragraph" w:default="1" w:styleId="0">
    <w:name w:val="Normal"/>
    <w:qFormat/>
    <w:pPr>
      <w:widowControl w:val="0"/>
      <w:jc w:val="both"/>
    </w:pPr>
    <w:rPr>
      <w:rFonts w:ascii="Calibri" w:eastAsia="宋体" w:cs="黑体" w:hAnsi="Calibri"/>
      <w:kern w:val="2"/>
      <w:sz w:val="21"/>
      <w:szCs w:val="22"/>
      <w:lang w:val="en-US" w:eastAsia="zh-CN" w:bidi="ar-SA"/>
    </w:rPr>
  </w:style>
  <w:style w:type="paragraph" w:styleId="1">
    <w:name w:val="heading 1"/>
    <w:qFormat/>
    <w:basedOn w:val="0"/>
    <w:next w:val="0"/>
    <w:link w:val="1Char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Calibri" w:eastAsia="宋体" w:cs="黑体" w:hAnsi="Calibri"/>
      <w:b/>
      <w:bCs/>
      <w:kern w:val="44"/>
      <w:sz w:val="44"/>
      <w:szCs w:val="44"/>
      <w:lang w:val="en-US" w:eastAsia="zh-CN" w:bidi="ar-SA"/>
    </w:rPr>
  </w:style>
  <w:style w:type="paragraph" w:styleId="2">
    <w:name w:val="heading 2"/>
    <w:qFormat/>
    <w:basedOn w:val="0"/>
    <w:next w:val="0"/>
    <w:link w:val="2Char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character" w:customStyle="1" w:styleId="2Char">
    <w:name w:val="heading 2 Char"/>
    <w:basedOn w:val="10"/>
    <w:link w:val="2"/>
    <w:rPr>
      <w:rFonts w:ascii="Times New Roman" w:eastAsia="黑体" w:cs="黑体" w:hAnsi="Times New Roman"/>
      <w:b/>
      <w:bCs/>
      <w:kern w:val="2"/>
      <w:sz w:val="32"/>
      <w:szCs w:val="32"/>
      <w:lang w:val="en-US" w:eastAsia="zh-CN" w:bidi="ar-SA"/>
    </w:rPr>
  </w:style>
  <w:style w:type="paragraph" w:styleId="3">
    <w:name w:val="heading 3"/>
    <w:qFormat/>
    <w:basedOn w:val="0"/>
    <w:next w:val="0"/>
    <w:link w:val="3Char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customStyle="1" w:styleId="3Char">
    <w:name w:val="heading 3 Char"/>
    <w:basedOn w:val="10"/>
    <w:link w:val="3"/>
    <w:rPr>
      <w:rFonts w:ascii="Calibri" w:eastAsia="宋体" w:cs="黑体" w:hAnsi="Calibri"/>
      <w:b/>
      <w:bCs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qFormat/>
  </w:style>
  <w:style w:type="paragraph" w:styleId="15">
    <w:name w:val="footer"/>
    <w:qFormat/>
    <w:basedOn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6">
    <w:name w:val="header"/>
    <w:qFormat/>
    <w:basedOn w:val="0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17">
    <w:name w:val="Normal Indent"/>
    <w:qFormat/>
    <w:basedOn w:val="0"/>
    <w:pPr>
      <w:ind w:firstLineChars="200" w:firstLine="200"/>
    </w:pPr>
    <w:rPr>
      <w:rFonts w:eastAsia="仿宋_GB2312"/>
      <w:sz w:val="30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customXml" Target="../customXml/item1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mpd="sng" cap="flat">
          <a:solidFill>
            <a:schemeClr val="phClr"/>
          </a:solidFill>
          <a:prstDash val="solid"/>
          <a:miter/>
        </a:ln>
        <a:ln w="12700" cmpd="sng" cap="flat">
          <a:solidFill>
            <a:schemeClr val="phClr"/>
          </a:solidFill>
          <a:prstDash val="solid"/>
          <a:miter/>
        </a:ln>
        <a:ln w="19050" cmpd="sng" cap="flat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algn="b" rotWithShape="0" blurRad="57150" dist="19050" dir="540000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3609DDB3-925E-4E7F-8A57-114310B3FF23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178</TotalTime>
  <Application>Yozo_Office9.0.4819.102ZH</Application>
  <Pages>16</Pages>
  <Words>0</Words>
  <Characters>5466</Characters>
  <Lines>0</Lines>
  <Paragraphs>205</Paragraphs>
  <CharactersWithSpaces>7289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附件3：</dc:title>
  <dc:creator>欣欣大人</dc:creator>
  <cp:lastModifiedBy>Administrator</cp:lastModifiedBy>
  <cp:revision>7</cp:revision>
  <cp:lastPrinted>2026-09-14T08:09:06Z</cp:lastPrinted>
  <dcterms:created xsi:type="dcterms:W3CDTF">2020-02-04T03:46:00Z</dcterms:created>
  <dcterms:modified xsi:type="dcterms:W3CDTF">2026-10-09T01:38:44Z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2052-12.1.0.16388</vt:lpwstr>
  </property>
  <property fmtid="{D5CDD505-2E9C-101B-9397-08002B2CF9AE}" pid="3" name="ICV">
    <vt:lpwstr>96934721B1514D3FBAA28020338CE855_12</vt:lpwstr>
  </property>
</Properties>
</file>