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adjustRightInd w:val="0"/>
        <w:snapToGrid w:val="0"/>
        <w:spacing w:line="560" w:lineRule="exact"/>
        <w:rPr>
          <w:rFonts w:ascii="黑体" w:eastAsia="黑体" w:cs="黑体" w:hAnsi="黑体" w:hint="eastAsia"/>
          <w:sz w:val="32"/>
          <w:szCs w:val="32"/>
        </w:rPr>
      </w:pPr>
      <w:r>
        <w:rPr>
          <w:rFonts w:ascii="黑体" w:eastAsia="黑体" w:cs="黑体" w:hAnsi="黑体" w:hint="eastAsia"/>
          <w:sz w:val="32"/>
          <w:szCs w:val="32"/>
        </w:rPr>
        <w:t>附件4</w:t>
      </w:r>
    </w:p>
    <w:p>
      <w:pPr>
        <w:spacing w:line="560" w:lineRule="exact"/>
        <w:jc w:val="center"/>
        <w:rPr>
          <w:rFonts w:ascii="宋体" w:cs="宋体" w:hAnsi="宋体"/>
          <w:b/>
          <w:bCs/>
          <w:sz w:val="44"/>
          <w:szCs w:val="44"/>
        </w:rPr>
      </w:pPr>
    </w:p>
    <w:p>
      <w:pPr>
        <w:spacing w:line="560" w:lineRule="exact"/>
        <w:jc w:val="center"/>
        <w:rPr>
          <w:rFonts w:ascii="宋体" w:cs="宋体" w:hAnsi="宋体" w:hint="eastAsia"/>
          <w:b/>
          <w:bCs/>
          <w:sz w:val="44"/>
          <w:szCs w:val="44"/>
          <w:lang w:val="en-US" w:eastAsia="zh-CN"/>
        </w:rPr>
      </w:pPr>
      <w:r>
        <w:rPr>
          <w:rFonts w:ascii="宋体" w:cs="宋体" w:hAnsi="宋体" w:hint="eastAsia"/>
          <w:b/>
          <w:bCs/>
          <w:sz w:val="44"/>
          <w:szCs w:val="44"/>
          <w:lang w:val="en-US" w:eastAsia="zh-CN"/>
        </w:rPr>
        <w:t>井陉矿区大气污染防治服务保障中心</w:t>
      </w:r>
    </w:p>
    <w:p>
      <w:pPr>
        <w:spacing w:line="560" w:lineRule="exact"/>
        <w:jc w:val="center"/>
        <w:rPr>
          <w:rFonts w:ascii="宋体" w:cs="宋体" w:hAnsi="宋体"/>
          <w:b/>
          <w:bCs/>
          <w:sz w:val="44"/>
          <w:szCs w:val="44"/>
        </w:rPr>
      </w:pPr>
      <w:r>
        <w:rPr>
          <w:rFonts w:ascii="宋体" w:cs="宋体" w:hAnsi="宋体" w:hint="eastAsia"/>
          <w:b/>
          <w:bCs/>
          <w:sz w:val="44"/>
          <w:szCs w:val="44"/>
        </w:rPr>
        <w:t>部门202</w:t>
      </w:r>
      <w:r>
        <w:rPr>
          <w:rFonts w:ascii="宋体" w:cs="宋体" w:hAnsi="宋体"/>
          <w:b/>
          <w:bCs/>
          <w:sz w:val="44"/>
          <w:szCs w:val="44"/>
        </w:rPr>
        <w:t>5</w:t>
      </w:r>
      <w:r>
        <w:rPr>
          <w:rFonts w:ascii="宋体" w:cs="宋体" w:hAnsi="宋体" w:hint="eastAsia"/>
          <w:b/>
          <w:bCs/>
          <w:sz w:val="44"/>
          <w:szCs w:val="44"/>
        </w:rPr>
        <w:t>年度整体支出绩效自评报告</w:t>
      </w:r>
    </w:p>
    <w:p>
      <w:pPr>
        <w:spacing w:line="560" w:lineRule="exact"/>
        <w:jc w:val="center"/>
        <w:rPr>
          <w:rFonts w:ascii="华文楷体" w:eastAsia="华文楷体"/>
          <w:sz w:val="32"/>
          <w:szCs w:val="32"/>
        </w:rPr>
      </w:pP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lang w:eastAsia="zh-CN"/>
        </w:rPr>
        <w:t>为</w:t>
      </w:r>
      <w:r>
        <w:rPr>
          <w:rFonts w:ascii="仿宋" w:eastAsia="仿宋" w:hAnsi="仿宋" w:hint="eastAsia"/>
          <w:sz w:val="32"/>
          <w:szCs w:val="32"/>
        </w:rPr>
        <w:t>贯彻落实</w:t>
      </w:r>
      <w:r>
        <w:rPr>
          <w:rFonts w:ascii="仿宋" w:eastAsia="仿宋" w:hAnsi="仿宋"/>
          <w:sz w:val="32"/>
          <w:szCs w:val="32"/>
        </w:rPr>
        <w:t>区委区政府</w:t>
      </w:r>
      <w:r>
        <w:rPr>
          <w:rFonts w:ascii="仿宋" w:eastAsia="仿宋" w:hAnsi="仿宋" w:hint="eastAsia"/>
          <w:sz w:val="32"/>
          <w:szCs w:val="32"/>
        </w:rPr>
        <w:t>《关于全面落实预算绩效管理的实施意见》（</w:t>
      </w:r>
      <w:r>
        <w:rPr>
          <w:rFonts w:ascii="仿宋" w:eastAsia="仿宋" w:hAnsi="仿宋"/>
          <w:sz w:val="32"/>
          <w:szCs w:val="32"/>
        </w:rPr>
        <w:t>矿</w:t>
      </w:r>
      <w:r>
        <w:rPr>
          <w:rFonts w:ascii="仿宋" w:eastAsia="仿宋" w:hAnsi="仿宋" w:hint="eastAsia"/>
          <w:sz w:val="32"/>
          <w:szCs w:val="32"/>
        </w:rPr>
        <w:t>发﹝2019﹞</w:t>
      </w:r>
      <w:r>
        <w:rPr>
          <w:rFonts w:ascii="仿宋" w:eastAsia="仿宋" w:hAnsi="仿宋"/>
          <w:sz w:val="32"/>
          <w:szCs w:val="32"/>
        </w:rPr>
        <w:t>7</w:t>
      </w:r>
      <w:r>
        <w:rPr>
          <w:rFonts w:ascii="仿宋" w:eastAsia="仿宋" w:hAnsi="仿宋" w:hint="eastAsia"/>
          <w:sz w:val="32"/>
          <w:szCs w:val="32"/>
        </w:rPr>
        <w:t>号）文件精神，遵循“科学性、规范性、客观性和公正性”的原则，对</w:t>
      </w:r>
      <w:r>
        <w:rPr>
          <w:rFonts w:ascii="仿宋" w:eastAsia="仿宋" w:hAnsi="仿宋" w:hint="eastAsia"/>
          <w:sz w:val="32"/>
          <w:szCs w:val="32"/>
          <w:lang w:val="en-US" w:eastAsia="zh-CN"/>
        </w:rPr>
        <w:t>井陉矿区大气污染防治服务保障中心</w:t>
      </w:r>
      <w:r>
        <w:rPr>
          <w:rFonts w:ascii="仿宋" w:eastAsia="仿宋" w:hAnsi="仿宋" w:hint="eastAsia"/>
          <w:sz w:val="32"/>
          <w:szCs w:val="32"/>
        </w:rPr>
        <w:t>部门202</w:t>
      </w:r>
      <w:r>
        <w:rPr>
          <w:rFonts w:ascii="仿宋" w:eastAsia="仿宋" w:hAnsi="仿宋"/>
          <w:sz w:val="32"/>
          <w:szCs w:val="32"/>
        </w:rPr>
        <w:t>5</w:t>
      </w:r>
      <w:r>
        <w:rPr>
          <w:rFonts w:ascii="仿宋" w:eastAsia="仿宋" w:hAnsi="仿宋" w:hint="eastAsia"/>
          <w:sz w:val="32"/>
          <w:szCs w:val="32"/>
        </w:rPr>
        <w:t>年整体支出情况实施了财政支出绩效自评价，形成本评价报告。</w:t>
      </w:r>
    </w:p>
    <w:p>
      <w:pPr>
        <w:adjustRightInd w:val="0"/>
        <w:snapToGrid w:val="0"/>
        <w:spacing w:line="560" w:lineRule="exact"/>
        <w:rPr>
          <w:rFonts w:ascii="黑体" w:eastAsia="黑体" w:hAnsi="黑体"/>
          <w:b/>
          <w:bCs/>
          <w:sz w:val="32"/>
          <w:szCs w:val="36"/>
        </w:rPr>
      </w:pPr>
      <w:r>
        <w:rPr>
          <w:rFonts w:ascii="黑体" w:eastAsia="黑体" w:hAnsi="黑体" w:hint="eastAsia"/>
          <w:sz w:val="32"/>
          <w:szCs w:val="32"/>
        </w:rPr>
        <w:t xml:space="preserve">     一、部门</w:t>
      </w:r>
      <w:r>
        <w:rPr>
          <w:rFonts w:ascii="黑体" w:eastAsia="黑体" w:hAnsi="黑体" w:hint="eastAsia"/>
          <w:sz w:val="32"/>
          <w:szCs w:val="36"/>
        </w:rPr>
        <w:t>基本情况</w:t>
      </w:r>
    </w:p>
    <w:p>
      <w:pPr>
        <w:adjustRightInd w:val="0"/>
        <w:snapToGrid w:val="0"/>
        <w:spacing w:line="560" w:lineRule="exact"/>
        <w:ind w:firstLineChars="200" w:firstLine="640"/>
        <w:rPr>
          <w:rFonts w:ascii="楷体" w:eastAsia="楷体" w:cs="楷体_GB2312" w:hAnsi="楷体"/>
          <w:bCs/>
          <w:sz w:val="32"/>
          <w:szCs w:val="32"/>
        </w:rPr>
      </w:pPr>
      <w:r>
        <w:rPr>
          <w:rFonts w:ascii="楷体" w:eastAsia="楷体" w:cs="楷体_GB2312" w:hAnsi="楷体" w:hint="eastAsia"/>
          <w:bCs/>
          <w:sz w:val="32"/>
          <w:szCs w:val="32"/>
        </w:rPr>
        <w:t>（一）部门概况</w:t>
      </w:r>
    </w:p>
    <w:p>
      <w:pPr>
        <w:adjustRightInd w:val="0"/>
        <w:snapToGrid w:val="0"/>
        <w:spacing w:line="600" w:lineRule="exact"/>
        <w:ind w:firstLineChars="200" w:firstLine="640"/>
        <w:rPr>
          <w:rFonts w:ascii="仿宋_GB2312" w:eastAsia="仿宋_GB2312" w:cs="楷体_GB2312" w:hAnsi="仿宋"/>
          <w:bCs/>
          <w:sz w:val="32"/>
          <w:szCs w:val="32"/>
        </w:rPr>
      </w:pPr>
      <w:r>
        <w:rPr>
          <w:rFonts w:ascii="仿宋_GB2312" w:eastAsia="仿宋_GB2312" w:cs="楷体_GB2312" w:hAnsi="仿宋" w:hint="eastAsia"/>
          <w:bCs/>
          <w:sz w:val="32"/>
          <w:szCs w:val="32"/>
        </w:rPr>
        <w:t>1.部门职能</w:t>
      </w:r>
    </w:p>
    <w:p>
      <w:pPr>
        <w:spacing w:line="600" w:lineRule="exact"/>
        <w:ind w:firstLine="560"/>
        <w:rPr>
          <w:rFonts w:ascii="仿宋_GB2312" w:eastAsia="仿宋_GB2312" w:cs="仿宋_GB2312" w:hAnsi="仿宋_GB2312"/>
          <w:sz w:val="32"/>
          <w:szCs w:val="32"/>
        </w:rPr>
      </w:pPr>
      <w:r>
        <w:rPr>
          <w:rFonts w:ascii="仿宋_GB2312" w:eastAsia="仿宋_GB2312" w:cs="仿宋_GB2312" w:hAnsi="仿宋_GB2312" w:hint="eastAsia"/>
          <w:sz w:val="32"/>
          <w:szCs w:val="32"/>
        </w:rPr>
        <w:t>（1）大气环境综合检查与督察</w:t>
      </w:r>
    </w:p>
    <w:p>
      <w:pPr>
        <w:spacing w:line="600" w:lineRule="exact"/>
        <w:ind w:firstLine="560"/>
        <w:rPr>
          <w:rFonts w:ascii="仿宋_GB2312" w:eastAsia="仿宋_GB2312" w:cs="仿宋_GB2312" w:hAnsi="仿宋_GB2312"/>
          <w:sz w:val="32"/>
          <w:szCs w:val="32"/>
        </w:rPr>
      </w:pPr>
      <w:r>
        <w:rPr>
          <w:rFonts w:ascii="仿宋_GB2312" w:eastAsia="仿宋_GB2312" w:cs="仿宋_GB2312" w:hAnsi="仿宋_GB2312" w:hint="eastAsia"/>
          <w:sz w:val="32"/>
          <w:szCs w:val="32"/>
        </w:rPr>
        <w:t xml:space="preserve"> 组织对全区大气防治工作进行综合检查。对道路、工地、矿山、农村面源污染进行督导检查，稳控扬尘污染。对全区重点排污企业环保设施运行、无组织排放、主要道路扬尘控制等进行远程视频和在线监控，督促其加强操作管理，减少污染物排放。建立健全全区重污染天气应急预警体系，督促各级各部门落实应急预警措施。</w:t>
      </w:r>
    </w:p>
    <w:p>
      <w:pPr>
        <w:spacing w:line="600" w:lineRule="exact"/>
        <w:ind w:firstLine="560"/>
        <w:rPr>
          <w:rFonts w:ascii="仿宋_GB2312" w:eastAsia="仿宋_GB2312" w:cs="仿宋_GB2312" w:hAnsi="仿宋_GB2312"/>
          <w:sz w:val="32"/>
          <w:szCs w:val="32"/>
        </w:rPr>
      </w:pPr>
      <w:r>
        <w:rPr>
          <w:rFonts w:ascii="仿宋_GB2312" w:eastAsia="仿宋_GB2312" w:cs="仿宋_GB2312" w:hAnsi="仿宋_GB2312" w:hint="eastAsia"/>
          <w:sz w:val="32"/>
          <w:szCs w:val="32"/>
        </w:rPr>
        <w:t>（2）大气污染考核工作</w:t>
      </w:r>
    </w:p>
    <w:p>
      <w:pPr>
        <w:spacing w:line="600" w:lineRule="exact"/>
        <w:ind w:firstLine="560"/>
        <w:rPr>
          <w:rFonts w:ascii="仿宋_GB2312" w:eastAsia="仿宋_GB2312" w:cs="仿宋_GB2312" w:hAnsi="仿宋_GB2312"/>
          <w:sz w:val="32"/>
          <w:szCs w:val="32"/>
        </w:rPr>
      </w:pPr>
      <w:r>
        <w:rPr>
          <w:rFonts w:ascii="仿宋_GB2312" w:eastAsia="仿宋_GB2312" w:cs="仿宋_GB2312" w:hAnsi="仿宋_GB2312" w:hint="eastAsia"/>
          <w:sz w:val="32"/>
          <w:szCs w:val="32"/>
        </w:rPr>
        <w:t xml:space="preserve"> 负责与大气污染防治成员单位签订环保目标责任书，落实各级各部门责任。制定考核办法，定期将考核结果进行公布。牵头开展市政府对我区大气污染综合治理考核工作，力争考核名次位列全市中上游。组织相关部门开展大气污染综合治理联合执法工作。</w:t>
      </w:r>
    </w:p>
    <w:p>
      <w:pPr>
        <w:spacing w:line="600" w:lineRule="exact"/>
        <w:ind w:firstLine="560"/>
        <w:rPr>
          <w:rFonts w:ascii="仿宋_GB2312" w:eastAsia="仿宋_GB2312" w:cs="仿宋_GB2312" w:hAnsi="仿宋_GB2312"/>
          <w:sz w:val="32"/>
          <w:szCs w:val="32"/>
        </w:rPr>
      </w:pPr>
      <w:r>
        <w:rPr>
          <w:rFonts w:ascii="仿宋_GB2312" w:eastAsia="仿宋_GB2312" w:cs="仿宋_GB2312" w:hAnsi="仿宋_GB2312" w:hint="eastAsia"/>
          <w:sz w:val="32"/>
          <w:szCs w:val="32"/>
        </w:rPr>
        <w:t>（3）做好各级环保督</w:t>
      </w:r>
      <w:r>
        <w:rPr>
          <w:rFonts w:ascii="仿宋_GB2312" w:eastAsia="仿宋_GB2312" w:cs="仿宋_GB2312" w:hAnsi="仿宋_GB2312" w:hint="eastAsia"/>
          <w:sz w:val="32"/>
          <w:szCs w:val="32"/>
          <w:lang w:val="en-US" w:eastAsia="zh-CN"/>
        </w:rPr>
        <w:t>察</w:t>
      </w:r>
      <w:r>
        <w:rPr>
          <w:rFonts w:ascii="仿宋_GB2312" w:eastAsia="仿宋_GB2312" w:cs="仿宋_GB2312" w:hAnsi="仿宋_GB2312" w:hint="eastAsia"/>
          <w:sz w:val="32"/>
          <w:szCs w:val="32"/>
        </w:rPr>
        <w:t>工作</w:t>
      </w:r>
    </w:p>
    <w:p>
      <w:pPr>
        <w:spacing w:line="60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sz w:val="32"/>
          <w:szCs w:val="32"/>
        </w:rPr>
        <w:t>积极做好生态环境部、省环保厅、市</w:t>
      </w:r>
      <w:r>
        <w:rPr>
          <w:rFonts w:ascii="仿宋_GB2312" w:eastAsia="仿宋_GB2312" w:cs="仿宋_GB2312" w:hAnsi="仿宋_GB2312"/>
          <w:sz w:val="32"/>
          <w:szCs w:val="32"/>
        </w:rPr>
        <w:t>大气中心</w:t>
      </w:r>
      <w:r>
        <w:rPr>
          <w:rFonts w:ascii="仿宋_GB2312" w:eastAsia="仿宋_GB2312" w:cs="仿宋_GB2312" w:hAnsi="仿宋_GB2312" w:hint="eastAsia"/>
          <w:sz w:val="32"/>
          <w:szCs w:val="32"/>
        </w:rPr>
        <w:t>等各级环保督察工作。</w:t>
      </w:r>
    </w:p>
    <w:p>
      <w:pPr>
        <w:spacing w:line="600" w:lineRule="exact"/>
        <w:ind w:firstLine="560"/>
        <w:rPr>
          <w:rFonts w:ascii="仿宋_GB2312" w:eastAsia="仿宋_GB2312" w:cs="仿宋_GB2312" w:hAnsi="仿宋_GB2312"/>
          <w:sz w:val="32"/>
          <w:szCs w:val="32"/>
        </w:rPr>
      </w:pPr>
      <w:r>
        <w:rPr>
          <w:rFonts w:ascii="仿宋_GB2312" w:eastAsia="仿宋_GB2312" w:cs="仿宋_GB2312" w:hAnsi="仿宋_GB2312" w:hint="eastAsia"/>
          <w:sz w:val="32"/>
          <w:szCs w:val="32"/>
        </w:rPr>
        <w:t>（4）大气污染防治宣传教育工作</w:t>
      </w:r>
    </w:p>
    <w:p>
      <w:pPr>
        <w:spacing w:line="600" w:lineRule="exact"/>
        <w:ind w:firstLine="560"/>
        <w:rPr>
          <w:rFonts w:ascii="仿宋_GB2312" w:eastAsia="仿宋_GB2312" w:cs="仿宋_GB2312" w:hAnsi="仿宋_GB2312"/>
          <w:sz w:val="32"/>
          <w:szCs w:val="32"/>
        </w:rPr>
      </w:pPr>
      <w:r>
        <w:rPr>
          <w:rFonts w:ascii="仿宋_GB2312" w:eastAsia="仿宋_GB2312" w:cs="仿宋_GB2312" w:hAnsi="仿宋_GB2312" w:hint="eastAsia"/>
          <w:sz w:val="32"/>
          <w:szCs w:val="32"/>
        </w:rPr>
        <w:t>组织全区各级各部门和重点企业开展大气污染防治有关工作的宣传报道和舆论监督工作；组织大气污染成员单位进行培训，增强执法监督能力，营造全社会关心环保、支持环保、参与环保的浓厚氛围。</w:t>
      </w:r>
    </w:p>
    <w:p>
      <w:pPr>
        <w:spacing w:line="600" w:lineRule="exact"/>
        <w:ind w:firstLine="560"/>
        <w:rPr>
          <w:rFonts w:ascii="仿宋_GB2312" w:eastAsia="仿宋_GB2312" w:cs="仿宋_GB2312" w:hAnsi="仿宋_GB2312"/>
          <w:sz w:val="32"/>
          <w:szCs w:val="32"/>
        </w:rPr>
      </w:pPr>
      <w:r>
        <w:rPr>
          <w:rFonts w:ascii="仿宋_GB2312" w:eastAsia="仿宋_GB2312" w:cs="仿宋_GB2312" w:hAnsi="仿宋_GB2312" w:hint="eastAsia"/>
          <w:sz w:val="32"/>
          <w:szCs w:val="32"/>
        </w:rPr>
        <w:t>（5）日常政务管理</w:t>
      </w:r>
    </w:p>
    <w:p>
      <w:pPr>
        <w:widowControl/>
        <w:spacing w:line="600" w:lineRule="exact"/>
        <w:ind w:firstLine="480"/>
        <w:rPr>
          <w:rFonts w:ascii="仿宋_GB2312" w:eastAsia="仿宋_GB2312" w:cs="Calibri"/>
          <w:color w:val="000000"/>
          <w:kern w:val="0"/>
          <w:sz w:val="32"/>
          <w:szCs w:val="32"/>
        </w:rPr>
      </w:pPr>
      <w:r>
        <w:rPr>
          <w:rFonts w:ascii="仿宋_GB2312" w:eastAsia="仿宋_GB2312" w:cs="仿宋_GB2312" w:hAnsi="仿宋_GB2312" w:hint="eastAsia"/>
          <w:sz w:val="32"/>
          <w:szCs w:val="32"/>
        </w:rPr>
        <w:t>负责大气污染防治综合业务管理和机关综合事务管理。</w:t>
      </w:r>
    </w:p>
    <w:p>
      <w:pPr>
        <w:adjustRightInd w:val="0"/>
        <w:snapToGrid w:val="0"/>
        <w:spacing w:line="600" w:lineRule="exact"/>
        <w:ind w:firstLineChars="200" w:firstLine="640"/>
        <w:rPr>
          <w:rFonts w:ascii="仿宋_GB2312" w:eastAsia="仿宋_GB2312" w:cs="楷体_GB2312" w:hAnsi="仿宋"/>
          <w:bCs/>
          <w:sz w:val="32"/>
          <w:szCs w:val="32"/>
        </w:rPr>
      </w:pPr>
      <w:r>
        <w:rPr>
          <w:rFonts w:ascii="仿宋_GB2312" w:eastAsia="仿宋_GB2312" w:cs="楷体_GB2312" w:hAnsi="仿宋" w:hint="eastAsia"/>
          <w:bCs/>
          <w:sz w:val="32"/>
          <w:szCs w:val="32"/>
        </w:rPr>
        <w:t>2.组织机构及人员</w:t>
      </w:r>
    </w:p>
    <w:p>
      <w:pPr>
        <w:adjustRightInd w:val="0"/>
        <w:snapToGrid w:val="0"/>
        <w:spacing w:line="600" w:lineRule="exact"/>
        <w:ind w:firstLineChars="200" w:firstLine="640"/>
        <w:rPr>
          <w:rFonts w:ascii="仿宋_GB2312" w:eastAsia="仿宋_GB2312" w:hAnsi="仿宋" w:hint="eastAsia"/>
          <w:sz w:val="32"/>
          <w:szCs w:val="32"/>
          <w:lang w:val="en-US" w:eastAsia="zh-CN"/>
        </w:rPr>
      </w:pPr>
      <w:r>
        <w:rPr>
          <w:rFonts w:ascii="仿宋_GB2312" w:eastAsia="仿宋_GB2312" w:hAnsi="仿宋" w:hint="eastAsia"/>
          <w:sz w:val="32"/>
          <w:szCs w:val="32"/>
        </w:rPr>
        <w:t>单位名称：</w:t>
      </w:r>
      <w:r>
        <w:rPr>
          <w:rFonts w:ascii="仿宋_GB2312" w:eastAsia="仿宋_GB2312" w:hAnsi="仿宋" w:hint="eastAsia"/>
          <w:sz w:val="32"/>
          <w:szCs w:val="32"/>
          <w:lang w:val="en-US" w:eastAsia="zh-CN"/>
        </w:rPr>
        <w:t>井陉矿区大气污染防治服务保障中心</w:t>
      </w:r>
    </w:p>
    <w:p>
      <w:pPr>
        <w:adjustRightInd w:val="0"/>
        <w:snapToGrid w:val="0"/>
        <w:spacing w:line="600" w:lineRule="exact"/>
        <w:ind w:firstLineChars="200" w:firstLine="640"/>
        <w:rPr>
          <w:rFonts w:ascii="仿宋_GB2312" w:eastAsia="仿宋_GB2312" w:hAnsi="仿宋"/>
          <w:sz w:val="32"/>
          <w:szCs w:val="32"/>
          <w:lang w:val="en-US" w:eastAsia="zh-CN"/>
        </w:rPr>
      </w:pPr>
      <w:r>
        <w:rPr>
          <w:rFonts w:ascii="仿宋_GB2312" w:eastAsia="仿宋_GB2312" w:hAnsi="仿宋" w:hint="eastAsia"/>
          <w:sz w:val="32"/>
          <w:szCs w:val="32"/>
        </w:rPr>
        <w:t>单位性质：</w:t>
      </w:r>
      <w:r>
        <w:rPr>
          <w:rFonts w:ascii="仿宋_GB2312" w:eastAsia="仿宋_GB2312" w:hAnsi="仿宋" w:hint="eastAsia"/>
          <w:sz w:val="32"/>
          <w:szCs w:val="32"/>
          <w:lang w:val="en-US" w:eastAsia="zh-CN"/>
        </w:rPr>
        <w:t>事业单位</w:t>
      </w:r>
    </w:p>
    <w:p>
      <w:pPr>
        <w:snapToGrid w:val="0"/>
        <w:spacing w:line="600" w:lineRule="exact"/>
        <w:rPr>
          <w:rFonts w:ascii="仿宋_GB2312" w:eastAsia="仿宋_GB2312" w:hAnsi="仿宋"/>
          <w:sz w:val="32"/>
          <w:szCs w:val="32"/>
        </w:rPr>
      </w:pPr>
      <w:r>
        <w:rPr>
          <w:rFonts w:ascii="仿宋_GB2312" w:eastAsia="仿宋_GB2312" w:hAnsi="仿宋" w:hint="eastAsia"/>
          <w:sz w:val="32"/>
          <w:szCs w:val="32"/>
        </w:rPr>
        <w:t xml:space="preserve">    独立编制机构数：1个</w:t>
      </w:r>
    </w:p>
    <w:p>
      <w:pPr>
        <w:snapToGrid w:val="0"/>
        <w:spacing w:line="600" w:lineRule="exact"/>
        <w:ind w:firstLine="640"/>
        <w:rPr>
          <w:rFonts w:ascii="仿宋_GB2312" w:eastAsia="仿宋_GB2312" w:hAnsi="仿宋" w:hint="eastAsia"/>
          <w:sz w:val="32"/>
          <w:szCs w:val="32"/>
        </w:rPr>
      </w:pPr>
      <w:r>
        <w:rPr>
          <w:rFonts w:ascii="仿宋_GB2312" w:eastAsia="仿宋_GB2312" w:hAnsi="仿宋" w:hint="eastAsia"/>
          <w:sz w:val="32"/>
          <w:szCs w:val="32"/>
        </w:rPr>
        <w:t>资金来源：财政拨款</w:t>
      </w:r>
    </w:p>
    <w:p>
      <w:pPr>
        <w:widowControl/>
        <w:spacing w:line="600" w:lineRule="exact"/>
        <w:ind w:firstLine="480"/>
        <w:rPr>
          <w:rFonts w:ascii="仿宋_GB2312" w:eastAsia="仿宋_GB2312" w:cs="Calibri"/>
          <w:color w:val="000000"/>
          <w:kern w:val="0"/>
          <w:sz w:val="32"/>
          <w:szCs w:val="32"/>
        </w:rPr>
      </w:pPr>
      <w:r>
        <w:rPr>
          <w:rFonts w:ascii="仿宋_GB2312" w:eastAsia="仿宋_GB2312" w:cs="Calibri" w:hint="eastAsia"/>
          <w:color w:val="000000"/>
          <w:kern w:val="0"/>
          <w:sz w:val="32"/>
          <w:szCs w:val="32"/>
        </w:rPr>
        <w:t>3.资产情况</w:t>
      </w:r>
    </w:p>
    <w:p>
      <w:pPr>
        <w:snapToGrid w:val="0"/>
        <w:spacing w:line="600" w:lineRule="exact"/>
        <w:ind w:firstLine="640"/>
        <w:rPr>
          <w:rFonts w:ascii="仿宋_GB2312" w:eastAsia="仿宋_GB2312" w:hAnsi="仿宋" w:hint="eastAsia"/>
          <w:sz w:val="32"/>
          <w:szCs w:val="32"/>
        </w:rPr>
      </w:pPr>
      <w:r>
        <w:rPr>
          <w:rFonts w:ascii="仿宋_GB2312" w:eastAsia="仿宋_GB2312" w:cs="Calibri" w:hint="eastAsia"/>
          <w:color w:val="000000"/>
          <w:kern w:val="0"/>
          <w:sz w:val="32"/>
          <w:szCs w:val="32"/>
        </w:rPr>
        <w:t>截</w:t>
      </w:r>
      <w:r>
        <w:rPr>
          <w:rFonts w:ascii="仿宋_GB2312" w:eastAsia="仿宋_GB2312" w:cs="Calibri" w:hint="eastAsia"/>
          <w:color w:val="000000"/>
          <w:kern w:val="0"/>
          <w:sz w:val="32"/>
          <w:szCs w:val="32"/>
          <w:lang w:val="en-US" w:eastAsia="zh-CN"/>
        </w:rPr>
        <w:t>至</w:t>
      </w:r>
      <w:r>
        <w:rPr>
          <w:rFonts w:ascii="仿宋_GB2312" w:eastAsia="仿宋_GB2312" w:cs="Calibri" w:hint="eastAsia"/>
          <w:color w:val="000000"/>
          <w:kern w:val="0"/>
          <w:sz w:val="32"/>
          <w:szCs w:val="32"/>
        </w:rPr>
        <w:t>202</w:t>
      </w:r>
      <w:r>
        <w:rPr>
          <w:rFonts w:ascii="仿宋_GB2312" w:eastAsia="仿宋_GB2312" w:cs="Calibri"/>
          <w:color w:val="000000"/>
          <w:kern w:val="0"/>
          <w:sz w:val="32"/>
          <w:szCs w:val="32"/>
        </w:rPr>
        <w:t>5</w:t>
      </w:r>
      <w:r>
        <w:rPr>
          <w:rFonts w:ascii="仿宋_GB2312" w:eastAsia="仿宋_GB2312" w:cs="Calibri" w:hint="eastAsia"/>
          <w:color w:val="000000"/>
          <w:kern w:val="0"/>
          <w:sz w:val="32"/>
          <w:szCs w:val="32"/>
        </w:rPr>
        <w:t>年12月，我单位固定资产原值共</w:t>
      </w:r>
      <w:r>
        <w:rPr>
          <w:rFonts w:ascii="仿宋_GB2312" w:eastAsia="仿宋_GB2312" w:cs="Calibri"/>
          <w:color w:val="000000"/>
          <w:kern w:val="0"/>
          <w:sz w:val="32"/>
          <w:szCs w:val="32"/>
          <w:lang w:val="en-US" w:eastAsia="zh-CN"/>
        </w:rPr>
        <w:t>1776.66</w:t>
      </w:r>
      <w:r>
        <w:rPr>
          <w:rFonts w:ascii="仿宋_GB2312" w:eastAsia="仿宋_GB2312" w:cs="Calibri" w:hint="eastAsia"/>
          <w:color w:val="000000"/>
          <w:kern w:val="0"/>
          <w:sz w:val="32"/>
          <w:szCs w:val="32"/>
        </w:rPr>
        <w:t>万元，</w:t>
      </w:r>
      <w:r>
        <w:rPr>
          <w:rFonts w:ascii="仿宋_GB2312" w:eastAsia="仿宋_GB2312" w:cs="Calibri"/>
          <w:color w:val="000000"/>
          <w:kern w:val="0"/>
          <w:sz w:val="32"/>
          <w:szCs w:val="32"/>
        </w:rPr>
        <w:t>，净资产680.03万元，累计折旧1096.63万元</w:t>
      </w:r>
      <w:r>
        <w:rPr>
          <w:rFonts w:ascii="仿宋_GB2312" w:eastAsia="仿宋_GB2312" w:cs="Calibri" w:hint="eastAsia"/>
          <w:color w:val="000000"/>
          <w:kern w:val="0"/>
          <w:sz w:val="32"/>
          <w:szCs w:val="32"/>
        </w:rPr>
        <w:t>。</w:t>
      </w:r>
    </w:p>
    <w:p>
      <w:pPr>
        <w:numPr>
          <w:ilvl w:val="0"/>
          <w:numId w:val="1"/>
        </w:numPr>
        <w:adjustRightInd w:val="0"/>
        <w:snapToGrid w:val="0"/>
        <w:spacing w:line="560" w:lineRule="exact"/>
        <w:ind w:left="0" w:firstLineChars="200" w:firstLine="640"/>
        <w:rPr>
          <w:rFonts w:ascii="楷体" w:eastAsia="楷体" w:cs="楷体_GB2312" w:hAnsi="楷体" w:hint="eastAsia"/>
          <w:bCs/>
          <w:sz w:val="32"/>
          <w:szCs w:val="32"/>
        </w:rPr>
      </w:pPr>
      <w:r>
        <w:rPr>
          <w:rFonts w:ascii="楷体" w:eastAsia="楷体" w:cs="楷体_GB2312" w:hAnsi="楷体" w:hint="eastAsia"/>
          <w:bCs/>
          <w:sz w:val="32"/>
          <w:szCs w:val="32"/>
        </w:rPr>
        <w:t>部门收支预决算情况</w:t>
      </w:r>
    </w:p>
    <w:p>
      <w:pPr>
        <w:widowControl/>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202</w:t>
      </w:r>
      <w:r>
        <w:rPr>
          <w:rFonts w:ascii="仿宋_GB2312" w:eastAsia="仿宋_GB2312" w:hAnsi="仿宋"/>
          <w:sz w:val="32"/>
          <w:szCs w:val="32"/>
        </w:rPr>
        <w:t>5</w:t>
      </w:r>
      <w:r>
        <w:rPr>
          <w:rFonts w:ascii="仿宋_GB2312" w:eastAsia="仿宋_GB2312" w:hAnsi="仿宋" w:hint="eastAsia"/>
          <w:sz w:val="32"/>
          <w:szCs w:val="32"/>
        </w:rPr>
        <w:t>年我单位调整一般公共预算数为</w:t>
      </w:r>
      <w:r>
        <w:rPr>
          <w:rFonts w:ascii="仿宋_GB2312" w:eastAsia="仿宋_GB2312" w:hAnsi="仿宋"/>
          <w:sz w:val="32"/>
          <w:szCs w:val="32"/>
          <w:lang w:val="en-US" w:eastAsia="zh-CN"/>
        </w:rPr>
        <w:t>171.13</w:t>
      </w:r>
      <w:r>
        <w:rPr>
          <w:rFonts w:ascii="仿宋_GB2312" w:eastAsia="仿宋_GB2312" w:hAnsi="仿宋" w:hint="eastAsia"/>
          <w:sz w:val="32"/>
          <w:szCs w:val="32"/>
        </w:rPr>
        <w:t>万元，比上年</w:t>
      </w:r>
      <w:r>
        <w:rPr>
          <w:rFonts w:ascii="仿宋_GB2312" w:eastAsia="仿宋_GB2312" w:hAnsi="仿宋"/>
          <w:sz w:val="32"/>
          <w:szCs w:val="32"/>
        </w:rPr>
        <w:t>减少210.55</w:t>
      </w:r>
      <w:r>
        <w:rPr>
          <w:rFonts w:ascii="仿宋_GB2312" w:eastAsia="仿宋_GB2312" w:hAnsi="仿宋" w:hint="eastAsia"/>
          <w:sz w:val="32"/>
          <w:szCs w:val="32"/>
        </w:rPr>
        <w:t>万元，原因是今年预算项目</w:t>
      </w:r>
      <w:r>
        <w:rPr>
          <w:rFonts w:ascii="仿宋_GB2312" w:eastAsia="仿宋_GB2312" w:hAnsi="仿宋"/>
          <w:sz w:val="32"/>
          <w:szCs w:val="32"/>
        </w:rPr>
        <w:t>较少</w:t>
      </w:r>
      <w:r>
        <w:rPr>
          <w:rFonts w:ascii="仿宋_GB2312" w:eastAsia="仿宋_GB2312" w:hAnsi="仿宋" w:hint="eastAsia"/>
          <w:sz w:val="32"/>
          <w:szCs w:val="32"/>
        </w:rPr>
        <w:t>；政府性基金0元，比上年减少</w:t>
      </w:r>
      <w:r>
        <w:rPr>
          <w:rFonts w:ascii="仿宋_GB2312" w:eastAsia="仿宋_GB2312" w:hAnsi="仿宋" w:hint="eastAsia"/>
          <w:sz w:val="32"/>
          <w:szCs w:val="32"/>
          <w:lang w:val="en-US" w:eastAsia="zh-CN"/>
        </w:rPr>
        <w:t>0</w:t>
      </w:r>
      <w:r>
        <w:rPr>
          <w:rFonts w:ascii="仿宋_GB2312" w:eastAsia="仿宋_GB2312" w:hAnsi="仿宋" w:hint="eastAsia"/>
          <w:sz w:val="32"/>
          <w:szCs w:val="32"/>
        </w:rPr>
        <w:t>万元，原因是今年年初预算无政府性基金。</w:t>
      </w:r>
    </w:p>
    <w:p>
      <w:pPr>
        <w:adjustRightInd w:val="0"/>
        <w:snapToGrid w:val="0"/>
        <w:spacing w:line="560" w:lineRule="exact"/>
        <w:rPr>
          <w:rFonts w:ascii="楷体" w:eastAsia="仿宋_GB2312" w:cs="楷体_GB2312" w:hAnsi="楷体"/>
          <w:bCs/>
          <w:sz w:val="32"/>
          <w:szCs w:val="32"/>
          <w:lang w:val="en-US" w:eastAsia="zh-CN"/>
        </w:rPr>
      </w:pPr>
      <w:r>
        <w:rPr>
          <w:rFonts w:ascii="仿宋_GB2312" w:eastAsia="仿宋_GB2312" w:cs="楷体_GB2312" w:hAnsi="仿宋" w:hint="eastAsia"/>
          <w:bCs/>
          <w:sz w:val="32"/>
          <w:szCs w:val="32"/>
        </w:rPr>
        <w:t>202</w:t>
      </w:r>
      <w:r>
        <w:rPr>
          <w:rFonts w:ascii="仿宋_GB2312" w:eastAsia="仿宋_GB2312" w:cs="楷体_GB2312" w:hAnsi="仿宋"/>
          <w:bCs/>
          <w:sz w:val="32"/>
          <w:szCs w:val="32"/>
        </w:rPr>
        <w:t>5</w:t>
      </w:r>
      <w:r>
        <w:rPr>
          <w:rFonts w:ascii="仿宋_GB2312" w:eastAsia="仿宋_GB2312" w:cs="楷体_GB2312" w:hAnsi="仿宋" w:hint="eastAsia"/>
          <w:bCs/>
          <w:sz w:val="32"/>
          <w:szCs w:val="32"/>
        </w:rPr>
        <w:t>年我单位决算支出</w:t>
      </w:r>
      <w:r>
        <w:rPr>
          <w:rFonts w:ascii="仿宋_GB2312" w:eastAsia="仿宋_GB2312" w:cs="楷体_GB2312" w:hAnsi="仿宋"/>
          <w:bCs/>
          <w:sz w:val="32"/>
          <w:szCs w:val="32"/>
          <w:lang w:val="en-US" w:eastAsia="zh-CN"/>
        </w:rPr>
        <w:t>171.13</w:t>
      </w:r>
      <w:r>
        <w:rPr>
          <w:rFonts w:ascii="仿宋_GB2312" w:eastAsia="仿宋_GB2312" w:cs="楷体_GB2312" w:hAnsi="仿宋" w:hint="eastAsia"/>
          <w:bCs/>
          <w:sz w:val="32"/>
          <w:szCs w:val="32"/>
        </w:rPr>
        <w:t>万元，</w:t>
      </w:r>
      <w:r>
        <w:rPr>
          <w:rFonts w:ascii="仿宋_GB2312" w:eastAsia="仿宋_GB2312" w:cs="楷体_GB2312" w:hAnsi="仿宋"/>
          <w:bCs/>
          <w:sz w:val="32"/>
          <w:szCs w:val="32"/>
        </w:rPr>
        <w:t>主要为大气类支出</w:t>
      </w:r>
      <w:r>
        <w:rPr>
          <w:rFonts w:ascii="仿宋_GB2312" w:eastAsia="仿宋_GB2312" w:cs="楷体_GB2312" w:hAnsi="仿宋" w:hint="eastAsia"/>
          <w:bCs/>
          <w:sz w:val="32"/>
          <w:szCs w:val="32"/>
          <w:lang w:val="en-US" w:eastAsia="zh-CN"/>
        </w:rPr>
        <w:t>。</w:t>
      </w:r>
    </w:p>
    <w:p>
      <w:pPr>
        <w:adjustRightInd w:val="0"/>
        <w:snapToGrid w:val="0"/>
        <w:spacing w:line="560" w:lineRule="exact"/>
        <w:ind w:firstLineChars="200" w:firstLine="640"/>
        <w:rPr>
          <w:rFonts w:ascii="楷体" w:eastAsia="楷体" w:cs="楷体_GB2312" w:hAnsi="楷体"/>
          <w:bCs/>
          <w:sz w:val="32"/>
          <w:szCs w:val="32"/>
        </w:rPr>
      </w:pPr>
      <w:r>
        <w:rPr>
          <w:rFonts w:ascii="楷体" w:eastAsia="楷体" w:cs="楷体_GB2312" w:hAnsi="楷体" w:hint="eastAsia"/>
          <w:bCs/>
          <w:sz w:val="32"/>
          <w:szCs w:val="32"/>
        </w:rPr>
        <w:t>（三）部门整体支出绩效目标、指标</w:t>
      </w:r>
    </w:p>
    <w:p>
      <w:pPr>
        <w:adjustRightInd w:val="0"/>
        <w:snapToGrid w:val="0"/>
        <w:spacing w:line="560" w:lineRule="exact"/>
        <w:ind w:leftChars="200" w:left="420" w:firstLineChars="200" w:firstLine="640"/>
        <w:rPr>
          <w:rFonts w:ascii="楷体" w:eastAsia="楷体" w:cs="楷体_GB2312" w:hAnsi="楷体"/>
          <w:bCs/>
          <w:sz w:val="32"/>
          <w:szCs w:val="32"/>
        </w:rPr>
      </w:pPr>
      <w:r>
        <w:rPr>
          <w:rFonts w:ascii="楷体" w:eastAsia="楷体" w:cs="楷体_GB2312" w:hAnsi="楷体" w:hint="eastAsia"/>
          <w:bCs/>
          <w:sz w:val="32"/>
          <w:szCs w:val="32"/>
        </w:rPr>
        <w:t>总体绩效目标</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 xml:space="preserve"> （</w:t>
      </w:r>
      <w:r>
        <w:rPr>
          <w:rFonts w:ascii="仿宋_GB2312" w:eastAsia="仿宋_GB2312" w:hint="eastAsia"/>
          <w:sz w:val="32"/>
          <w:szCs w:val="32"/>
          <w:lang w:val="en-US" w:eastAsia="zh-CN"/>
        </w:rPr>
        <w:t>1</w:t>
      </w:r>
      <w:r>
        <w:rPr>
          <w:rFonts w:ascii="仿宋_GB2312" w:eastAsia="仿宋_GB2312" w:hint="eastAsia"/>
          <w:sz w:val="32"/>
          <w:szCs w:val="32"/>
        </w:rPr>
        <w:t>）大气环境综合检查与督察</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完成环境数据的综合分析、数据发布，环境质量预警等多项工作，预报污染事故，保证政府及时采取对策，降低或减少环境灾害。加大对重点案件的现场调查处理。完成本区环境保护督查工作。建立健全应急救援体系，有效控制、减轻环境风险，最大程度避免突发环境事件对环境造成的损失和危害。</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lang w:val="en-US" w:eastAsia="zh-CN"/>
        </w:rPr>
        <w:t>2</w:t>
      </w:r>
      <w:r>
        <w:rPr>
          <w:rFonts w:ascii="仿宋_GB2312" w:eastAsia="仿宋_GB2312" w:hint="eastAsia"/>
          <w:sz w:val="32"/>
          <w:szCs w:val="32"/>
        </w:rPr>
        <w:t>）大气污染考核工作</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通过开展各项联合执法、半年考核等，推动市政府下达目标任务完成。完成煤炭经营企业综合考核工作。</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lang w:val="en-US" w:eastAsia="zh-CN"/>
        </w:rPr>
        <w:t>3</w:t>
      </w:r>
      <w:r>
        <w:rPr>
          <w:rFonts w:ascii="仿宋_GB2312" w:eastAsia="仿宋_GB2312" w:hint="eastAsia"/>
          <w:sz w:val="32"/>
          <w:szCs w:val="32"/>
        </w:rPr>
        <w:t>）做好各级环保督</w:t>
      </w:r>
      <w:r>
        <w:rPr>
          <w:rFonts w:ascii="仿宋_GB2312" w:eastAsia="仿宋_GB2312" w:hint="eastAsia"/>
          <w:sz w:val="32"/>
          <w:szCs w:val="32"/>
          <w:lang w:val="en-US" w:eastAsia="zh-CN"/>
        </w:rPr>
        <w:t>察</w:t>
      </w:r>
      <w:r>
        <w:rPr>
          <w:rFonts w:ascii="仿宋_GB2312" w:eastAsia="仿宋_GB2312" w:hint="eastAsia"/>
          <w:sz w:val="32"/>
          <w:szCs w:val="32"/>
        </w:rPr>
        <w:t>工作</w:t>
      </w:r>
    </w:p>
    <w:p>
      <w:pPr>
        <w:spacing w:line="600" w:lineRule="exact"/>
        <w:ind w:firstLineChars="200" w:firstLine="640"/>
        <w:jc w:val="left"/>
        <w:rPr>
          <w:rFonts w:ascii="仿宋_GB2312" w:eastAsia="仿宋_GB2312"/>
          <w:sz w:val="32"/>
          <w:szCs w:val="32"/>
        </w:rPr>
      </w:pPr>
      <w:r>
        <w:rPr>
          <w:rFonts w:ascii="仿宋_GB2312" w:eastAsia="仿宋_GB2312"/>
          <w:sz w:val="32"/>
          <w:szCs w:val="32"/>
        </w:rPr>
        <w:t>积极配合各级环保督察工作。</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w:t>
      </w:r>
      <w:r>
        <w:rPr>
          <w:rFonts w:ascii="仿宋_GB2312" w:eastAsia="仿宋_GB2312"/>
          <w:sz w:val="32"/>
          <w:szCs w:val="32"/>
        </w:rPr>
        <w:t>4</w:t>
      </w:r>
      <w:r>
        <w:rPr>
          <w:rFonts w:ascii="仿宋_GB2312" w:eastAsia="仿宋_GB2312" w:hint="eastAsia"/>
          <w:sz w:val="32"/>
          <w:szCs w:val="32"/>
        </w:rPr>
        <w:t>）日常政务管理</w:t>
      </w:r>
    </w:p>
    <w:p>
      <w:pPr>
        <w:adjustRightInd w:val="0"/>
        <w:snapToGrid w:val="0"/>
        <w:spacing w:line="560" w:lineRule="exact"/>
        <w:ind w:leftChars="200" w:left="420"/>
        <w:rPr>
          <w:rFonts w:ascii="仿宋_GB2312" w:eastAsia="仿宋_GB2312"/>
          <w:sz w:val="32"/>
          <w:szCs w:val="32"/>
        </w:rPr>
      </w:pPr>
      <w:r>
        <w:rPr>
          <w:rFonts w:ascii="仿宋_GB2312" w:eastAsia="仿宋_GB2312" w:hint="eastAsia"/>
          <w:sz w:val="32"/>
          <w:szCs w:val="32"/>
        </w:rPr>
        <w:t>加强大气污染防治管理工作。</w:t>
      </w:r>
    </w:p>
    <w:p>
      <w:pPr>
        <w:spacing w:line="600" w:lineRule="exact"/>
        <w:ind w:firstLineChars="300" w:firstLine="960"/>
        <w:jc w:val="left"/>
        <w:rPr>
          <w:rFonts w:ascii="仿宋_GB2312" w:eastAsia="仿宋_GB2312" w:hAnsi="宋体"/>
          <w:b/>
          <w:sz w:val="32"/>
          <w:szCs w:val="32"/>
        </w:rPr>
      </w:pPr>
      <w:r>
        <w:rPr>
          <w:rFonts w:ascii="仿宋_GB2312" w:eastAsia="仿宋_GB2312" w:hint="eastAsia"/>
          <w:b/>
          <w:sz w:val="32"/>
          <w:szCs w:val="32"/>
        </w:rPr>
        <w:t>分项绩效目标</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 xml:space="preserve"> （</w:t>
      </w:r>
      <w:r>
        <w:rPr>
          <w:rFonts w:ascii="仿宋_GB2312" w:eastAsia="仿宋_GB2312" w:hint="eastAsia"/>
          <w:sz w:val="32"/>
          <w:szCs w:val="32"/>
          <w:lang w:val="en-US" w:eastAsia="zh-CN"/>
        </w:rPr>
        <w:t>1</w:t>
      </w:r>
      <w:r>
        <w:rPr>
          <w:rFonts w:ascii="仿宋_GB2312" w:eastAsia="仿宋_GB2312" w:hint="eastAsia"/>
          <w:sz w:val="32"/>
          <w:szCs w:val="32"/>
        </w:rPr>
        <w:t>）空气质量预警预报指挥中心</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绩效目标：指挥中心正常稳定运转，全天24小时值守，对道路，企业进行视频和在线监控。对存在问题的路段和企业及时向责任部门进行交办。定期进行数据分析，完成空气质量分析报告，为环境质量管控提供技术和指导。</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绩效指标：提交空气质量分析报告、下达任务交办单、PM10和PM2.5监测企业、道路、工地数量</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lang w:val="en-US" w:eastAsia="zh-CN"/>
        </w:rPr>
        <w:t>2</w:t>
      </w:r>
      <w:r>
        <w:rPr>
          <w:rFonts w:ascii="仿宋_GB2312" w:eastAsia="仿宋_GB2312" w:hint="eastAsia"/>
          <w:sz w:val="32"/>
          <w:szCs w:val="32"/>
        </w:rPr>
        <w:t>）大气环境综合检查与督察</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绩效目标：做好省控监测点周边道路扬尘、工地、农村面源污染管控工作。督促相关单位和部门落实好分管领域大气污染防治工作。对发现的大气污染方面问题及时交办查处，限期整改到位。对达到复工要求企业组织联合验收。</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绩效指标：督导各部门工作完成率、下达督改通知单数量、企业复工验收、扬尘污染控制率、省控监测点周边环境问题完成率、组织工作人员培训人数</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lang w:val="en-US" w:eastAsia="zh-CN"/>
        </w:rPr>
        <w:t>3</w:t>
      </w:r>
      <w:r>
        <w:rPr>
          <w:rFonts w:ascii="仿宋_GB2312" w:eastAsia="仿宋_GB2312" w:hint="eastAsia"/>
          <w:sz w:val="32"/>
          <w:szCs w:val="32"/>
        </w:rPr>
        <w:t>）重污染天气应急预警体系运行</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 xml:space="preserve">绩效目标：制定全区重污染天气应急预警预案，及时发布预警通知，建立区政府牵头，各部门、乡镇、企业协调联动应急预警体系，最大程度减少对环境影响。牵头完成应急减排清单的制定工作。相关部门完成制定各自应急预案制定和措施落实。 </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绩效指标：相关部门和企业应急响应措施落实、督导检查频次、相关部门应急预案制定、区重污染天气应急预案、应急减排清单制定、重污染天气应急预警通知发布</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lang w:val="en-US" w:eastAsia="zh-CN"/>
        </w:rPr>
        <w:t>4</w:t>
      </w:r>
      <w:r>
        <w:rPr>
          <w:rFonts w:ascii="仿宋_GB2312" w:eastAsia="仿宋_GB2312" w:hint="eastAsia"/>
          <w:sz w:val="32"/>
          <w:szCs w:val="32"/>
        </w:rPr>
        <w:t>）网格化环境监管工作</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 xml:space="preserve">绩效目标：制定全区网格化环境监管工作方案，按照一级网格月调度、二级网格周汇总、三级网格日巡查的网格化监管要求，督促其建立工作台账和巡查记录，组织开展大气和水污染防治巡查工作。 </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绩效指标：网格化责任落实情况、网格化体系建设情况</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lang w:val="en-US" w:eastAsia="zh-CN"/>
        </w:rPr>
        <w:t>5</w:t>
      </w:r>
      <w:r>
        <w:rPr>
          <w:rFonts w:ascii="仿宋_GB2312" w:eastAsia="仿宋_GB2312" w:hint="eastAsia"/>
          <w:sz w:val="32"/>
          <w:szCs w:val="32"/>
        </w:rPr>
        <w:t>）日常考核</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绩效目标：完成环保目标责任书签订工作，层层传递压力，落实工作任务。年初，制定考核办法，每半年对各成员单位进行考核，奖优罚劣。</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绩效指标：考核结果完成情况、考核办法制定出台、环保目标责任书签订完成</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w:t>
      </w:r>
      <w:r>
        <w:rPr>
          <w:rFonts w:ascii="仿宋_GB2312" w:eastAsia="仿宋_GB2312"/>
          <w:sz w:val="32"/>
          <w:szCs w:val="32"/>
        </w:rPr>
        <w:t>6</w:t>
      </w:r>
      <w:r>
        <w:rPr>
          <w:rFonts w:ascii="仿宋_GB2312" w:eastAsia="仿宋_GB2312" w:hint="eastAsia"/>
          <w:sz w:val="32"/>
          <w:szCs w:val="32"/>
        </w:rPr>
        <w:t>）联合执法工作</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绩效目标： 解决散乱污企业、施工道路扬尘反复问题。</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绩效指标：施工、道路扬尘治理落实到位、散乱污企业两断三清</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w:t>
      </w:r>
      <w:r>
        <w:rPr>
          <w:rFonts w:ascii="仿宋_GB2312" w:eastAsia="仿宋_GB2312"/>
          <w:sz w:val="32"/>
          <w:szCs w:val="32"/>
        </w:rPr>
        <w:t>7</w:t>
      </w:r>
      <w:r>
        <w:rPr>
          <w:rFonts w:ascii="仿宋_GB2312" w:eastAsia="仿宋_GB2312" w:hint="eastAsia"/>
          <w:sz w:val="32"/>
          <w:szCs w:val="32"/>
        </w:rPr>
        <w:t>）综合业务管理</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绩效目标：完成全区大气治理各项工作任务。保障各项业务工作畅通。</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绩效指标： 各项综合业务管理工作完成率</w:t>
      </w:r>
    </w:p>
    <w:p>
      <w:pPr>
        <w:spacing w:line="600" w:lineRule="exact"/>
        <w:ind w:firstLineChars="200" w:firstLine="640"/>
        <w:jc w:val="left"/>
        <w:rPr>
          <w:rFonts w:ascii="仿宋_GB2312" w:eastAsia="仿宋_GB2312" w:hAnsi="宋体"/>
          <w:b/>
          <w:sz w:val="32"/>
          <w:szCs w:val="32"/>
        </w:rPr>
      </w:pPr>
      <w:r>
        <w:rPr>
          <w:rFonts w:ascii="仿宋_GB2312" w:eastAsia="仿宋_GB2312" w:hint="eastAsia"/>
          <w:b/>
          <w:sz w:val="32"/>
          <w:szCs w:val="32"/>
        </w:rPr>
        <w:t>工作保障措施</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完善制度建设。制定完善预算绩效管理制度、资金管理办法、工作保障制度等，为全年预算绩效目标的实现奠定制度基础。</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加强支出管理。通过优化支出结构、编细编实预算、加快履行政府采购手续、尽快启动项目、及时支付资金、细化代编预算、按规定及时下达资金等多种措施，确保支出进度达标。</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加强绩效运行监控。按要求开展绩效运行监控，发现问题及时采取措施，确保绩效目标如期保质实现。</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做好绩效自评。按要求开展上年度部门预算绩效自评和重点评价工作，对评价中发现的问题及时整改，调整优化支出结构，提高财政资金使用效益。</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规范财务资产管理。完善财务管理制度，严格审批程序，加强固定资产登记、使用和报废处置管理，做到支出合理，物尽其用。</w:t>
      </w:r>
    </w:p>
    <w:p>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加强内部监督。加强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pPr>
        <w:spacing w:line="600" w:lineRule="exact"/>
        <w:ind w:firstLineChars="200" w:firstLine="640"/>
        <w:jc w:val="left"/>
        <w:rPr>
          <w:rFonts w:ascii="仿宋" w:eastAsia="仿宋" w:hAnsi="仿宋"/>
          <w:sz w:val="32"/>
          <w:szCs w:val="32"/>
        </w:rPr>
      </w:pPr>
      <w:r>
        <w:rPr>
          <w:rFonts w:ascii="仿宋_GB2312" w:eastAsia="仿宋_GB2312" w:hint="eastAsia"/>
          <w:sz w:val="32"/>
          <w:szCs w:val="32"/>
        </w:rPr>
        <w:t>加强宣传培训调研等。加强人员培训，提高本部门职工业务素质；加强调研，提出优化财政资金配置、提高资金使用效益的意见；加大宣传力度，强化预算绩效管理意识，促进预算绩效管理水平进一步提升。</w:t>
      </w:r>
    </w:p>
    <w:p>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二、自评工作开展情况</w:t>
      </w:r>
    </w:p>
    <w:p>
      <w:pPr>
        <w:spacing w:line="560" w:lineRule="exact"/>
        <w:rPr>
          <w:rFonts w:ascii="楷体" w:eastAsia="楷体" w:cs="楷体_GB2312" w:hAnsi="楷体"/>
          <w:sz w:val="32"/>
          <w:szCs w:val="32"/>
        </w:rPr>
      </w:pPr>
      <w:r>
        <w:rPr>
          <w:rFonts w:ascii="仿宋" w:eastAsia="仿宋" w:cs="楷体_GB2312" w:hAnsi="仿宋" w:hint="eastAsia"/>
          <w:b/>
          <w:bCs/>
          <w:sz w:val="32"/>
          <w:szCs w:val="32"/>
        </w:rPr>
        <w:t xml:space="preserve">   </w:t>
      </w:r>
      <w:r>
        <w:rPr>
          <w:rFonts w:ascii="楷体" w:eastAsia="楷体" w:cs="楷体_GB2312" w:hAnsi="楷体" w:hint="eastAsia"/>
          <w:bCs/>
          <w:sz w:val="32"/>
          <w:szCs w:val="32"/>
        </w:rPr>
        <w:t>（一）自评的组织工作</w:t>
      </w:r>
    </w:p>
    <w:p>
      <w:pPr>
        <w:adjustRightInd w:val="0"/>
        <w:snapToGrid w:val="0"/>
        <w:spacing w:line="600" w:lineRule="exact"/>
        <w:ind w:firstLineChars="200" w:firstLine="640"/>
        <w:rPr>
          <w:rFonts w:ascii="仿宋" w:eastAsia="仿宋" w:hAnsi="仿宋"/>
          <w:sz w:val="32"/>
          <w:szCs w:val="32"/>
        </w:rPr>
      </w:pPr>
      <w:r>
        <w:rPr>
          <w:rFonts w:ascii="仿宋_GB2312" w:eastAsia="仿宋_GB2312" w:hint="eastAsia"/>
          <w:sz w:val="32"/>
          <w:szCs w:val="32"/>
        </w:rPr>
        <w:t>为确保202</w:t>
      </w:r>
      <w:r>
        <w:rPr>
          <w:rFonts w:ascii="仿宋_GB2312" w:eastAsia="仿宋_GB2312"/>
          <w:sz w:val="32"/>
          <w:szCs w:val="32"/>
        </w:rPr>
        <w:t>5</w:t>
      </w:r>
      <w:r>
        <w:rPr>
          <w:rFonts w:ascii="仿宋_GB2312" w:eastAsia="仿宋_GB2312" w:hint="eastAsia"/>
          <w:sz w:val="32"/>
          <w:szCs w:val="32"/>
        </w:rPr>
        <w:t>年度财政支出项目部门绩效自评工作（以下简称“部门自评”）的顺利开展，办公室、财务室等组成联合小组，自行开展部门</w:t>
      </w:r>
      <w:bookmarkStart w:id="0" w:name="_GoBack"/>
      <w:bookmarkEnd w:id="0"/>
      <w:r>
        <w:rPr>
          <w:rFonts w:ascii="仿宋_GB2312" w:eastAsia="仿宋_GB2312" w:hint="eastAsia"/>
          <w:sz w:val="32"/>
          <w:szCs w:val="32"/>
        </w:rPr>
        <w:t>自评工作，全面负责部门自评工作，具体包括制定工作方案、进行任务布置及辅导、收集分析相关资料、审核项目支出绩效自评表、撰写绩效评价报告等。</w:t>
      </w:r>
    </w:p>
    <w:p>
      <w:pPr>
        <w:numPr>
          <w:ilvl w:val="0"/>
          <w:numId w:val="2"/>
        </w:numPr>
        <w:spacing w:line="560" w:lineRule="exact"/>
        <w:rPr>
          <w:rFonts w:ascii="楷体" w:eastAsia="楷体" w:cs="楷体_GB2312" w:hAnsi="楷体"/>
          <w:bCs/>
          <w:sz w:val="32"/>
          <w:szCs w:val="32"/>
        </w:rPr>
      </w:pPr>
      <w:r>
        <w:rPr>
          <w:rFonts w:ascii="楷体" w:eastAsia="楷体" w:cs="楷体_GB2312" w:hAnsi="楷体" w:hint="eastAsia"/>
          <w:bCs/>
          <w:sz w:val="32"/>
          <w:szCs w:val="32"/>
        </w:rPr>
        <w:t>自评的方法和过程</w:t>
      </w:r>
    </w:p>
    <w:p>
      <w:pPr>
        <w:adjustRightInd w:val="0"/>
        <w:snapToGrid w:val="0"/>
        <w:spacing w:line="600" w:lineRule="exact"/>
        <w:ind w:firstLineChars="200" w:firstLine="640"/>
        <w:rPr>
          <w:rFonts w:ascii="仿宋_GB2312" w:eastAsia="仿宋_GB2312"/>
          <w:sz w:val="32"/>
          <w:szCs w:val="32"/>
        </w:rPr>
      </w:pPr>
      <w:r>
        <w:rPr>
          <w:rFonts w:ascii="仿宋_GB2312" w:eastAsia="仿宋_GB2312" w:hint="eastAsia"/>
          <w:b/>
          <w:sz w:val="32"/>
          <w:szCs w:val="32"/>
        </w:rPr>
        <w:t>1.制定自评工作方案</w:t>
      </w:r>
    </w:p>
    <w:p>
      <w:pPr>
        <w:adjustRightInd w:val="0"/>
        <w:snapToGrid w:val="0"/>
        <w:spacing w:line="600" w:lineRule="exact"/>
        <w:ind w:firstLineChars="200" w:firstLine="640"/>
        <w:rPr>
          <w:rFonts w:ascii="仿宋_GB2312" w:eastAsia="仿宋_GB2312"/>
          <w:sz w:val="32"/>
          <w:szCs w:val="32"/>
        </w:rPr>
      </w:pPr>
      <w:r>
        <w:rPr>
          <w:rFonts w:ascii="仿宋_GB2312" w:eastAsia="仿宋_GB2312" w:hint="eastAsia"/>
          <w:sz w:val="32"/>
          <w:szCs w:val="32"/>
        </w:rPr>
        <w:t>为确保部门自评工作的顺利完成，依据《实施意见》的要求，自评工作小组拟定了部门自评工作方案，全面部署自评工作开展。</w:t>
      </w:r>
    </w:p>
    <w:p>
      <w:pPr>
        <w:adjustRightInd w:val="0"/>
        <w:snapToGrid w:val="0"/>
        <w:spacing w:line="600" w:lineRule="exact"/>
        <w:ind w:firstLineChars="200" w:firstLine="640"/>
        <w:rPr>
          <w:rFonts w:ascii="仿宋_GB2312" w:eastAsia="仿宋_GB2312"/>
          <w:sz w:val="32"/>
          <w:szCs w:val="32"/>
        </w:rPr>
      </w:pPr>
      <w:r>
        <w:rPr>
          <w:rFonts w:ascii="仿宋_GB2312" w:eastAsia="仿宋_GB2312" w:hint="eastAsia"/>
          <w:b/>
          <w:sz w:val="32"/>
          <w:szCs w:val="32"/>
        </w:rPr>
        <w:t>2.开展自评培训</w:t>
      </w:r>
    </w:p>
    <w:p>
      <w:pPr>
        <w:adjustRightInd w:val="0"/>
        <w:snapToGrid w:val="0"/>
        <w:spacing w:line="600" w:lineRule="exact"/>
        <w:ind w:firstLineChars="200" w:firstLine="640"/>
        <w:rPr>
          <w:rFonts w:ascii="仿宋_GB2312" w:eastAsia="仿宋_GB2312" w:hint="eastAsia"/>
          <w:sz w:val="32"/>
          <w:szCs w:val="32"/>
        </w:rPr>
      </w:pPr>
      <w:r>
        <w:rPr>
          <w:rFonts w:ascii="仿宋_GB2312" w:eastAsia="仿宋_GB2312" w:hint="eastAsia"/>
          <w:sz w:val="32"/>
          <w:szCs w:val="32"/>
          <w:lang w:val="en-US" w:eastAsia="zh-CN"/>
        </w:rPr>
        <w:t>6</w:t>
      </w:r>
      <w:r>
        <w:rPr>
          <w:rFonts w:ascii="仿宋_GB2312" w:eastAsia="仿宋_GB2312" w:hint="eastAsia"/>
          <w:sz w:val="32"/>
          <w:szCs w:val="32"/>
        </w:rPr>
        <w:t>月</w:t>
      </w:r>
      <w:r>
        <w:rPr>
          <w:rFonts w:ascii="仿宋_GB2312" w:eastAsia="仿宋_GB2312"/>
          <w:sz w:val="32"/>
          <w:szCs w:val="32"/>
        </w:rPr>
        <w:t>24</w:t>
      </w:r>
      <w:r>
        <w:rPr>
          <w:rFonts w:ascii="仿宋_GB2312" w:eastAsia="仿宋_GB2312" w:hint="eastAsia"/>
          <w:sz w:val="32"/>
          <w:szCs w:val="32"/>
        </w:rPr>
        <w:t>日，自评工作小组组织召开了自评工作培训会，对绩效评价的目的、自评工作要求、绩效自评表填写、自评工作程序及资料准备等进行培训，制定资料清单，建立自评工作微信群及时沟通部门自评工作的进展情况。</w:t>
      </w:r>
    </w:p>
    <w:p>
      <w:pPr>
        <w:adjustRightInd w:val="0"/>
        <w:snapToGrid w:val="0"/>
        <w:spacing w:line="600" w:lineRule="exact"/>
        <w:ind w:firstLineChars="200" w:firstLine="640"/>
        <w:rPr>
          <w:rFonts w:ascii="仿宋_GB2312" w:eastAsia="仿宋_GB2312"/>
          <w:sz w:val="32"/>
          <w:szCs w:val="32"/>
        </w:rPr>
      </w:pPr>
      <w:r>
        <w:rPr>
          <w:rFonts w:ascii="仿宋_GB2312" w:eastAsia="仿宋_GB2312" w:hint="eastAsia"/>
          <w:b/>
          <w:sz w:val="32"/>
          <w:szCs w:val="32"/>
        </w:rPr>
        <w:t>3.开展资料收集、分析与评价</w:t>
      </w:r>
    </w:p>
    <w:p>
      <w:pPr>
        <w:adjustRightInd w:val="0"/>
        <w:snapToGrid w:val="0"/>
        <w:spacing w:line="600" w:lineRule="exact"/>
        <w:ind w:firstLineChars="200" w:firstLine="640"/>
        <w:rPr>
          <w:rFonts w:ascii="仿宋_GB2312" w:eastAsia="仿宋_GB2312" w:hint="eastAsia"/>
          <w:sz w:val="32"/>
          <w:szCs w:val="32"/>
        </w:rPr>
      </w:pPr>
      <w:r>
        <w:rPr>
          <w:rFonts w:ascii="仿宋_GB2312" w:eastAsia="仿宋_GB2312" w:hint="eastAsia"/>
          <w:sz w:val="32"/>
          <w:szCs w:val="32"/>
        </w:rPr>
        <w:t>自评工作小组对</w:t>
      </w:r>
      <w:r>
        <w:rPr>
          <w:rFonts w:ascii="仿宋_GB2312" w:eastAsia="仿宋_GB2312"/>
          <w:sz w:val="32"/>
          <w:szCs w:val="32"/>
        </w:rPr>
        <w:t>7</w:t>
      </w:r>
      <w:r>
        <w:rPr>
          <w:rFonts w:ascii="仿宋_GB2312" w:eastAsia="仿宋_GB2312" w:hint="eastAsia"/>
          <w:sz w:val="32"/>
          <w:szCs w:val="32"/>
        </w:rPr>
        <w:t>个项目提交的《绩效自评表》逐一进行了审核，将填报的问题向业务处室反馈并要求修改完善，直至符合填报要求，具备评价基础。其后，自评工作组按照《实施意见》的要求，根据各项目实际情况，逐一对各项目预算执行、绩效指标等赋予分值及权重，并根据项目各项指标年初指标值与实际完成值的对比结果给予各项指标评分，汇总形成各项目绩效自评总得分。对于自评中发现的问题，自评工作小组予以全面记录，反馈业务处室。根据分析结果，全面总结项目决策、管理、绩效情况，撰写项目绩效评价报告。</w:t>
      </w:r>
    </w:p>
    <w:p>
      <w:pPr>
        <w:spacing w:line="560" w:lineRule="exact"/>
        <w:rPr>
          <w:rFonts w:ascii="黑体" w:eastAsia="黑体" w:hAnsi="黑体"/>
          <w:b/>
          <w:bCs/>
          <w:sz w:val="32"/>
          <w:szCs w:val="32"/>
        </w:rPr>
      </w:pPr>
      <w:r>
        <w:rPr>
          <w:rFonts w:ascii="黑体" w:eastAsia="黑体" w:hAnsi="黑体" w:hint="eastAsia"/>
          <w:sz w:val="32"/>
          <w:szCs w:val="32"/>
        </w:rPr>
        <w:t xml:space="preserve">    三、部门整体支出绩效目标实现情况及指标分析</w:t>
      </w:r>
    </w:p>
    <w:p>
      <w:pPr>
        <w:numPr>
          <w:ilvl w:val="0"/>
          <w:numId w:val="3"/>
        </w:numPr>
        <w:spacing w:line="560" w:lineRule="exact"/>
        <w:ind w:left="0" w:firstLineChars="200" w:firstLine="640"/>
        <w:rPr>
          <w:rFonts w:ascii="楷体" w:eastAsia="楷体" w:cs="楷体_GB2312" w:hAnsi="楷体"/>
          <w:bCs/>
          <w:sz w:val="32"/>
          <w:szCs w:val="32"/>
        </w:rPr>
      </w:pPr>
      <w:r>
        <w:rPr>
          <w:rFonts w:ascii="楷体" w:eastAsia="楷体" w:cs="楷体_GB2312" w:hAnsi="楷体" w:hint="eastAsia"/>
          <w:bCs/>
          <w:sz w:val="32"/>
          <w:szCs w:val="32"/>
        </w:rPr>
        <w:t>总体绩效目标实现情况</w:t>
      </w:r>
    </w:p>
    <w:p>
      <w:pPr>
        <w:spacing w:line="560" w:lineRule="exact"/>
        <w:ind w:firstLineChars="200" w:firstLine="640"/>
        <w:rPr>
          <w:rFonts w:ascii="仿宋" w:eastAsia="仿宋" w:hAnsi="仿宋"/>
          <w:sz w:val="32"/>
          <w:szCs w:val="32"/>
        </w:rPr>
      </w:pPr>
      <w:r>
        <w:rPr>
          <w:rFonts w:ascii="仿宋" w:eastAsia="仿宋" w:cs="仿宋" w:hAnsi="仿宋" w:hint="eastAsia"/>
          <w:sz w:val="32"/>
          <w:szCs w:val="32"/>
        </w:rPr>
        <w:t>我部门202</w:t>
      </w:r>
      <w:r>
        <w:rPr>
          <w:rFonts w:ascii="仿宋" w:eastAsia="仿宋" w:cs="仿宋" w:hAnsi="仿宋"/>
          <w:sz w:val="32"/>
          <w:szCs w:val="32"/>
        </w:rPr>
        <w:t>5</w:t>
      </w:r>
      <w:r>
        <w:rPr>
          <w:rFonts w:ascii="仿宋" w:eastAsia="仿宋" w:cs="仿宋" w:hAnsi="仿宋" w:hint="eastAsia"/>
          <w:sz w:val="32"/>
          <w:szCs w:val="32"/>
        </w:rPr>
        <w:t>年共涉及</w:t>
      </w:r>
      <w:r>
        <w:rPr>
          <w:rFonts w:ascii="仿宋" w:eastAsia="仿宋" w:cs="仿宋" w:hAnsi="仿宋"/>
          <w:sz w:val="32"/>
          <w:szCs w:val="32"/>
        </w:rPr>
        <w:t>7</w:t>
      </w:r>
      <w:r>
        <w:rPr>
          <w:rFonts w:ascii="仿宋" w:eastAsia="仿宋" w:cs="仿宋" w:hAnsi="仿宋" w:hint="eastAsia"/>
          <w:sz w:val="32"/>
          <w:szCs w:val="32"/>
        </w:rPr>
        <w:t>个预算项目，均全部支出，完成年初预算计划100%。</w:t>
      </w:r>
    </w:p>
    <w:p>
      <w:pPr>
        <w:spacing w:line="560" w:lineRule="exact"/>
        <w:rPr>
          <w:rFonts w:ascii="楷体" w:eastAsia="楷体" w:hAnsi="楷体"/>
          <w:bCs/>
          <w:sz w:val="32"/>
          <w:szCs w:val="32"/>
        </w:rPr>
      </w:pPr>
      <w:r>
        <w:rPr>
          <w:rFonts w:ascii="仿宋" w:eastAsia="仿宋" w:cs="楷体_GB2312" w:hAnsi="仿宋" w:hint="eastAsia"/>
          <w:b/>
          <w:bCs/>
          <w:sz w:val="32"/>
          <w:szCs w:val="32"/>
        </w:rPr>
        <w:t xml:space="preserve">    </w:t>
      </w:r>
      <w:r>
        <w:rPr>
          <w:rFonts w:ascii="楷体" w:eastAsia="楷体" w:cs="楷体_GB2312" w:hAnsi="楷体" w:hint="eastAsia"/>
          <w:bCs/>
          <w:sz w:val="32"/>
          <w:szCs w:val="32"/>
        </w:rPr>
        <w:t>（二）分项绩效目标实现情况及指标分析</w:t>
      </w:r>
    </w:p>
    <w:p>
      <w:pPr>
        <w:spacing w:line="560" w:lineRule="exact"/>
        <w:ind w:firstLineChars="250" w:firstLine="800"/>
        <w:rPr>
          <w:rFonts w:ascii="仿宋" w:eastAsia="仿宋" w:hAnsi="仿宋"/>
          <w:sz w:val="32"/>
          <w:szCs w:val="32"/>
        </w:rPr>
      </w:pPr>
      <w:r>
        <w:rPr>
          <w:rFonts w:ascii="仿宋" w:eastAsia="仿宋" w:hAnsi="仿宋" w:hint="eastAsia"/>
          <w:sz w:val="32"/>
          <w:szCs w:val="32"/>
        </w:rPr>
        <w:t>参照预算绩效文本中分项绩效目标、指标，从完成数量、质量、时效、成本效益等方面，对分项目标指标完成情况进行评价，指标要细化、量化，得分依据要充分。</w:t>
      </w:r>
    </w:p>
    <w:p>
      <w:pPr>
        <w:numPr>
          <w:ilvl w:val="0"/>
          <w:numId w:val="4"/>
        </w:numPr>
        <w:spacing w:line="560" w:lineRule="exact"/>
        <w:ind w:left="410" w:firstLine="640"/>
        <w:rPr>
          <w:rFonts w:ascii="黑体" w:eastAsia="黑体" w:hAnsi="黑体" w:hint="eastAsia"/>
          <w:sz w:val="32"/>
          <w:szCs w:val="32"/>
        </w:rPr>
      </w:pPr>
      <w:r>
        <w:rPr>
          <w:rFonts w:ascii="黑体" w:eastAsia="黑体" w:hAnsi="黑体" w:hint="eastAsia"/>
          <w:sz w:val="32"/>
          <w:szCs w:val="32"/>
        </w:rPr>
        <w:t>评价结论和评价等级</w:t>
      </w:r>
    </w:p>
    <w:p>
      <w:pPr>
        <w:spacing w:line="600" w:lineRule="exact"/>
        <w:ind w:firstLineChars="200" w:firstLine="640"/>
        <w:rPr>
          <w:rFonts w:ascii="仿宋" w:eastAsia="仿宋" w:hAnsi="仿宋"/>
          <w:sz w:val="32"/>
          <w:szCs w:val="32"/>
        </w:rPr>
      </w:pPr>
      <w:r>
        <w:rPr>
          <w:rFonts w:ascii="仿宋_GB2312" w:eastAsia="仿宋_GB2312" w:hAnsi="仿宋" w:hint="eastAsia"/>
          <w:sz w:val="32"/>
          <w:szCs w:val="32"/>
        </w:rPr>
        <w:t>经过此次自评工作，共</w:t>
      </w:r>
      <w:r>
        <w:rPr>
          <w:rFonts w:ascii="仿宋_GB2312" w:eastAsia="仿宋_GB2312" w:hAnsi="仿宋"/>
          <w:sz w:val="32"/>
          <w:szCs w:val="32"/>
        </w:rPr>
        <w:t>7</w:t>
      </w:r>
      <w:r>
        <w:rPr>
          <w:rFonts w:ascii="仿宋_GB2312" w:eastAsia="仿宋_GB2312" w:hAnsi="仿宋" w:hint="eastAsia"/>
          <w:sz w:val="32"/>
          <w:szCs w:val="32"/>
        </w:rPr>
        <w:t>个预算项目，其中等级优秀（≥85分）项目</w:t>
      </w:r>
      <w:r>
        <w:rPr>
          <w:rFonts w:ascii="仿宋_GB2312" w:eastAsia="仿宋_GB2312" w:hAnsi="仿宋"/>
          <w:sz w:val="32"/>
          <w:szCs w:val="32"/>
        </w:rPr>
        <w:t>7</w:t>
      </w:r>
      <w:r>
        <w:rPr>
          <w:rFonts w:ascii="仿宋_GB2312" w:eastAsia="仿宋_GB2312" w:hAnsi="仿宋" w:hint="eastAsia"/>
          <w:sz w:val="32"/>
          <w:szCs w:val="32"/>
        </w:rPr>
        <w:t>个，良好（</w:t>
      </w:r>
      <w:r>
        <w:rPr>
          <w:rFonts w:ascii="仿宋" w:eastAsia="仿宋" w:hAnsi="仿宋" w:hint="eastAsia"/>
          <w:sz w:val="32"/>
          <w:szCs w:val="32"/>
        </w:rPr>
        <w:t>75</w:t>
      </w:r>
      <w:r>
        <w:rPr>
          <w:rFonts w:ascii="仿宋" w:eastAsia="仿宋" w:cs="Arial" w:hAnsi="仿宋"/>
          <w:sz w:val="32"/>
          <w:szCs w:val="32"/>
        </w:rPr>
        <w:t>≤</w:t>
      </w:r>
      <w:r>
        <w:rPr>
          <w:rFonts w:ascii="仿宋" w:eastAsia="仿宋" w:hAnsi="仿宋" w:hint="eastAsia"/>
          <w:sz w:val="32"/>
          <w:szCs w:val="32"/>
        </w:rPr>
        <w:t>得分＜85</w:t>
      </w:r>
      <w:r>
        <w:rPr>
          <w:rFonts w:ascii="仿宋_GB2312" w:eastAsia="仿宋_GB2312" w:hAnsi="仿宋" w:hint="eastAsia"/>
          <w:sz w:val="32"/>
          <w:szCs w:val="32"/>
        </w:rPr>
        <w:t>）0个，一般（</w:t>
      </w:r>
      <w:r>
        <w:rPr>
          <w:rFonts w:ascii="仿宋" w:eastAsia="仿宋" w:hAnsi="仿宋" w:hint="eastAsia"/>
          <w:sz w:val="32"/>
          <w:szCs w:val="32"/>
        </w:rPr>
        <w:t>60</w:t>
      </w:r>
      <w:r>
        <w:rPr>
          <w:rFonts w:ascii="仿宋" w:eastAsia="仿宋" w:cs="Arial" w:hAnsi="仿宋"/>
          <w:sz w:val="32"/>
          <w:szCs w:val="32"/>
        </w:rPr>
        <w:t>≤</w:t>
      </w:r>
      <w:r>
        <w:rPr>
          <w:rFonts w:ascii="仿宋" w:eastAsia="仿宋" w:hAnsi="仿宋" w:hint="eastAsia"/>
          <w:sz w:val="32"/>
          <w:szCs w:val="32"/>
        </w:rPr>
        <w:t>得分＜75分</w:t>
      </w:r>
      <w:r>
        <w:rPr>
          <w:rFonts w:ascii="仿宋_GB2312" w:eastAsia="仿宋_GB2312" w:hAnsi="仿宋" w:hint="eastAsia"/>
          <w:sz w:val="32"/>
          <w:szCs w:val="32"/>
        </w:rPr>
        <w:t>）0个，较差（</w:t>
      </w:r>
      <w:r>
        <w:rPr>
          <w:rFonts w:ascii="仿宋" w:eastAsia="仿宋" w:hAnsi="仿宋" w:hint="eastAsia"/>
          <w:sz w:val="32"/>
          <w:szCs w:val="32"/>
        </w:rPr>
        <w:t>＜60分</w:t>
      </w:r>
      <w:r>
        <w:rPr>
          <w:rFonts w:ascii="仿宋_GB2312" w:eastAsia="仿宋_GB2312" w:hAnsi="仿宋" w:hint="eastAsia"/>
          <w:sz w:val="32"/>
          <w:szCs w:val="32"/>
        </w:rPr>
        <w:t>）0个。</w:t>
      </w:r>
    </w:p>
    <w:p>
      <w:pPr>
        <w:spacing w:line="560" w:lineRule="exact"/>
        <w:ind w:firstLineChars="200" w:firstLine="640"/>
        <w:rPr>
          <w:rFonts w:ascii="黑体" w:eastAsia="黑体" w:hAnsi="黑体"/>
          <w:sz w:val="32"/>
          <w:szCs w:val="32"/>
        </w:rPr>
      </w:pPr>
      <w:r>
        <w:rPr>
          <w:rFonts w:ascii="黑体" w:eastAsia="黑体" w:hAnsi="黑体" w:hint="eastAsia"/>
          <w:sz w:val="32"/>
          <w:szCs w:val="32"/>
        </w:rPr>
        <w:t>五、存在的问题及改进措施</w:t>
      </w:r>
    </w:p>
    <w:p>
      <w:pPr>
        <w:spacing w:line="560" w:lineRule="exact"/>
        <w:ind w:firstLineChars="200" w:firstLine="640"/>
        <w:rPr>
          <w:rFonts w:ascii="楷体" w:eastAsia="楷体" w:hAnsi="楷体" w:hint="eastAsia"/>
          <w:bCs/>
          <w:sz w:val="32"/>
          <w:szCs w:val="32"/>
        </w:rPr>
      </w:pPr>
      <w:r>
        <w:rPr>
          <w:rFonts w:ascii="楷体" w:eastAsia="楷体" w:hAnsi="楷体" w:hint="eastAsia"/>
          <w:bCs/>
          <w:sz w:val="32"/>
          <w:szCs w:val="32"/>
        </w:rPr>
        <w:t>（一）存在的主要问题</w:t>
      </w:r>
    </w:p>
    <w:p>
      <w:pPr>
        <w:adjustRightInd w:val="0"/>
        <w:snapToGrid w:val="0"/>
        <w:spacing w:line="600" w:lineRule="exact"/>
        <w:ind w:firstLineChars="200" w:firstLine="640"/>
        <w:rPr>
          <w:rFonts w:ascii="仿宋_GB2312" w:eastAsia="仿宋_GB2312"/>
          <w:sz w:val="32"/>
          <w:szCs w:val="32"/>
        </w:rPr>
      </w:pPr>
      <w:r>
        <w:rPr>
          <w:rFonts w:ascii="仿宋_GB2312" w:eastAsia="仿宋_GB2312" w:hint="eastAsia"/>
          <w:sz w:val="32"/>
          <w:szCs w:val="32"/>
        </w:rPr>
        <w:t>1.绩效目标及指标设定不够准确、细化</w:t>
      </w:r>
    </w:p>
    <w:p>
      <w:pPr>
        <w:adjustRightInd w:val="0"/>
        <w:snapToGrid w:val="0"/>
        <w:spacing w:line="600" w:lineRule="exact"/>
        <w:ind w:firstLineChars="200" w:firstLine="640"/>
        <w:rPr>
          <w:rFonts w:ascii="仿宋_GB2312" w:eastAsia="仿宋_GB2312"/>
          <w:sz w:val="32"/>
          <w:szCs w:val="32"/>
        </w:rPr>
      </w:pPr>
      <w:r>
        <w:rPr>
          <w:rFonts w:ascii="仿宋_GB2312" w:eastAsia="仿宋_GB2312" w:hint="eastAsia"/>
          <w:sz w:val="32"/>
          <w:szCs w:val="32"/>
        </w:rPr>
        <w:t>评价发现，部分项目绩效目标填报水平有待提升，绩效目标和指标设置存在以下不足：一是部分产出指标设置不够细化，难以准确衡量项目完成情况。二是指标值设置不够合理，指标值设置预期值较高或难以达到预期指标，无法衡量指标完成情况。</w:t>
      </w:r>
    </w:p>
    <w:p>
      <w:pPr>
        <w:adjustRightInd w:val="0"/>
        <w:snapToGrid w:val="0"/>
        <w:spacing w:line="600" w:lineRule="exact"/>
        <w:ind w:firstLineChars="200" w:firstLine="640"/>
        <w:rPr>
          <w:rFonts w:ascii="仿宋_GB2312" w:eastAsia="仿宋_GB2312"/>
          <w:sz w:val="32"/>
          <w:szCs w:val="32"/>
        </w:rPr>
      </w:pPr>
      <w:r>
        <w:rPr>
          <w:rFonts w:ascii="仿宋_GB2312" w:eastAsia="仿宋_GB2312" w:cs="仿宋_GB2312" w:hAnsi="仿宋_GB2312" w:hint="eastAsia"/>
          <w:sz w:val="32"/>
          <w:szCs w:val="32"/>
        </w:rPr>
        <w:t>2.</w:t>
      </w:r>
      <w:r>
        <w:rPr>
          <w:rFonts w:ascii="仿宋_GB2312" w:eastAsia="仿宋_GB2312" w:hint="eastAsia"/>
          <w:sz w:val="32"/>
          <w:szCs w:val="32"/>
        </w:rPr>
        <w:t>预算编制不够准确，个别项目预算执行低</w:t>
      </w:r>
    </w:p>
    <w:p>
      <w:pPr>
        <w:adjustRightInd w:val="0"/>
        <w:snapToGrid w:val="0"/>
        <w:spacing w:line="600" w:lineRule="exact"/>
        <w:ind w:firstLineChars="200" w:firstLine="640"/>
        <w:rPr>
          <w:rFonts w:ascii="仿宋_GB2312" w:eastAsia="仿宋_GB2312"/>
          <w:sz w:val="32"/>
          <w:szCs w:val="32"/>
        </w:rPr>
      </w:pPr>
      <w:r>
        <w:rPr>
          <w:rFonts w:ascii="仿宋_GB2312" w:eastAsia="仿宋_GB2312" w:hint="eastAsia"/>
          <w:sz w:val="32"/>
          <w:szCs w:val="32"/>
        </w:rPr>
        <w:t>评价发现，个别项目预算编制不够准确，导致实际执行与预算存在较大差异，个别项目预算执行低。如抑尘剂购置项目，执行率为0%,因招投标工作滞后，无法完成预期，造成该项目预算执行率较低。</w:t>
      </w:r>
    </w:p>
    <w:p>
      <w:pPr>
        <w:adjustRightInd w:val="0"/>
        <w:snapToGrid w:val="0"/>
        <w:spacing w:line="600" w:lineRule="exact"/>
        <w:ind w:firstLineChars="200" w:firstLine="640"/>
        <w:rPr>
          <w:rFonts w:ascii="仿宋_GB2312" w:eastAsia="仿宋_GB2312"/>
          <w:sz w:val="32"/>
          <w:szCs w:val="32"/>
        </w:rPr>
      </w:pPr>
      <w:r>
        <w:rPr>
          <w:rFonts w:ascii="仿宋_GB2312" w:eastAsia="仿宋_GB2312" w:hint="eastAsia"/>
          <w:sz w:val="32"/>
          <w:szCs w:val="32"/>
        </w:rPr>
        <w:t>3.绩效材料收集不够充分，影响对项目效益实现情况的评价</w:t>
      </w:r>
    </w:p>
    <w:p>
      <w:pPr>
        <w:spacing w:line="600" w:lineRule="exact"/>
        <w:ind w:firstLineChars="200" w:firstLine="640"/>
        <w:rPr>
          <w:rFonts w:ascii="仿宋" w:eastAsia="仿宋" w:hAnsi="仿宋"/>
          <w:b/>
          <w:bCs/>
          <w:sz w:val="32"/>
          <w:szCs w:val="32"/>
        </w:rPr>
      </w:pPr>
      <w:r>
        <w:rPr>
          <w:rFonts w:ascii="仿宋_GB2312" w:eastAsia="仿宋_GB2312" w:hint="eastAsia"/>
          <w:sz w:val="32"/>
          <w:szCs w:val="32"/>
        </w:rPr>
        <w:t>绩效资料是体现项目效益情况的重要依据，本次纳入自评范围的项目多数存在缺少绩效资料的情况。项目服务对象满意度调查等关键绩效材料收集不够充分，一定程度上影响了项目效益的实现情况的评价。</w:t>
      </w:r>
    </w:p>
    <w:p>
      <w:pPr>
        <w:numPr>
          <w:ilvl w:val="0"/>
          <w:numId w:val="3"/>
        </w:numPr>
        <w:spacing w:line="560" w:lineRule="exact"/>
        <w:ind w:left="0" w:firstLineChars="200" w:firstLine="640"/>
        <w:rPr>
          <w:rFonts w:ascii="仿宋" w:eastAsia="仿宋" w:hAnsi="仿宋"/>
          <w:b/>
          <w:bCs/>
          <w:sz w:val="32"/>
          <w:szCs w:val="32"/>
        </w:rPr>
      </w:pPr>
      <w:r>
        <w:rPr>
          <w:rFonts w:ascii="仿宋" w:eastAsia="仿宋" w:hAnsi="仿宋" w:hint="eastAsia"/>
          <w:b/>
          <w:bCs/>
          <w:sz w:val="32"/>
          <w:szCs w:val="32"/>
        </w:rPr>
        <w:t>针对问题提出具体的改进措施或建议</w:t>
      </w:r>
    </w:p>
    <w:p>
      <w:pPr>
        <w:pStyle w:val="17"/>
        <w:adjustRightInd w:val="0"/>
        <w:snapToGrid w:val="0"/>
        <w:spacing w:line="600" w:lineRule="exact"/>
        <w:ind w:leftChars="75" w:left="158" w:firstLineChars="147" w:firstLine="470"/>
        <w:rPr>
          <w:rFonts w:ascii="仿宋_GB2312" w:eastAsia="仿宋_GB2312" w:cs="仿宋_GB2312" w:hAnsi="仿宋_GB2312"/>
          <w:bCs/>
          <w:sz w:val="32"/>
          <w:szCs w:val="32"/>
        </w:rPr>
      </w:pPr>
      <w:r>
        <w:rPr>
          <w:rFonts w:ascii="仿宋_GB2312" w:eastAsia="仿宋_GB2312" w:cs="仿宋_GB2312" w:hAnsi="仿宋_GB2312" w:hint="eastAsia"/>
          <w:bCs/>
          <w:sz w:val="32"/>
          <w:szCs w:val="32"/>
        </w:rPr>
        <w:t>1.健全项目管理制度，改进项目管理</w:t>
      </w:r>
    </w:p>
    <w:p>
      <w:pPr>
        <w:adjustRightInd w:val="0"/>
        <w:snapToGrid w:val="0"/>
        <w:spacing w:line="600" w:lineRule="exact"/>
        <w:rPr>
          <w:rFonts w:ascii="仿宋_GB2312" w:eastAsia="仿宋_GB2312" w:cs="仿宋_GB2312" w:hAnsi="仿宋_GB2312"/>
          <w:sz w:val="32"/>
          <w:szCs w:val="32"/>
        </w:rPr>
      </w:pPr>
      <w:r>
        <w:rPr>
          <w:rFonts w:ascii="仿宋_GB2312" w:eastAsia="仿宋_GB2312" w:cs="仿宋_GB2312" w:hAnsi="仿宋_GB2312" w:hint="eastAsia"/>
          <w:sz w:val="32"/>
          <w:szCs w:val="32"/>
        </w:rPr>
        <w:t xml:space="preserve">    建立健全项目管理制度，严格按照预算制度管理要求完成项目设立、项目管理、项目绩效评价流程，加强项目支出管理。</w:t>
      </w:r>
    </w:p>
    <w:p>
      <w:pPr>
        <w:widowControl/>
        <w:adjustRightInd w:val="0"/>
        <w:snapToGrid w:val="0"/>
        <w:spacing w:line="600" w:lineRule="exact"/>
        <w:ind w:leftChars="306" w:left="643" w:firstLineChars="49" w:firstLine="157"/>
        <w:rPr>
          <w:rFonts w:ascii="仿宋_GB2312" w:eastAsia="仿宋_GB2312" w:cs="仿宋_GB2312" w:hAnsi="仿宋_GB2312"/>
          <w:bCs/>
          <w:sz w:val="32"/>
          <w:szCs w:val="32"/>
        </w:rPr>
      </w:pPr>
      <w:r>
        <w:rPr>
          <w:rFonts w:ascii="仿宋_GB2312" w:eastAsia="仿宋_GB2312" w:cs="仿宋_GB2312" w:hAnsi="仿宋_GB2312" w:hint="eastAsia"/>
          <w:bCs/>
          <w:sz w:val="32"/>
          <w:szCs w:val="32"/>
        </w:rPr>
        <w:t>2.加大培训力度，树立绩效管理理念</w:t>
      </w:r>
    </w:p>
    <w:p>
      <w:pPr>
        <w:widowControl/>
        <w:adjustRightInd w:val="0"/>
        <w:snapToGrid w:val="0"/>
        <w:spacing w:line="600" w:lineRule="exact"/>
        <w:rPr>
          <w:rFonts w:ascii="楷体" w:eastAsia="楷体" w:hAnsi="楷体" w:hint="eastAsia"/>
          <w:bCs/>
          <w:sz w:val="32"/>
          <w:szCs w:val="32"/>
        </w:rPr>
      </w:pPr>
      <w:r>
        <w:rPr>
          <w:rFonts w:ascii="仿宋_GB2312" w:eastAsia="仿宋_GB2312" w:cs="仿宋_GB2312" w:hAnsi="仿宋_GB2312" w:hint="eastAsia"/>
          <w:b/>
          <w:bCs/>
          <w:sz w:val="32"/>
          <w:szCs w:val="32"/>
        </w:rPr>
        <w:t xml:space="preserve">     </w:t>
      </w:r>
      <w:r>
        <w:rPr>
          <w:rFonts w:ascii="仿宋_GB2312" w:eastAsia="仿宋_GB2312" w:cs="仿宋_GB2312" w:hAnsi="仿宋_GB2312" w:hint="eastAsia"/>
          <w:sz w:val="32"/>
          <w:szCs w:val="32"/>
        </w:rPr>
        <w:t>定期组织财务人员及项目管理人员培训，加强预算制度及项目管理制度知识学习，提高财务人员专业知识水平，树立绩效管理理念，完善项目绩效评价工作。</w:t>
      </w:r>
    </w:p>
    <w:p>
      <w:pPr>
        <w:spacing w:line="600" w:lineRule="exact"/>
        <w:ind w:firstLineChars="250" w:firstLine="800"/>
        <w:rPr>
          <w:rFonts w:ascii="仿宋_GB2312" w:eastAsia="仿宋_GB2312" w:cs="仿宋_GB2312" w:hAnsi="仿宋_GB2312"/>
          <w:bCs/>
          <w:sz w:val="32"/>
          <w:szCs w:val="32"/>
        </w:rPr>
      </w:pPr>
      <w:r>
        <w:rPr>
          <w:rFonts w:ascii="仿宋_GB2312" w:eastAsia="仿宋_GB2312" w:cs="仿宋_GB2312" w:hAnsi="仿宋_GB2312" w:hint="eastAsia"/>
          <w:bCs/>
          <w:sz w:val="32"/>
          <w:szCs w:val="32"/>
        </w:rPr>
        <w:t>3.逐步建立绩效自评结果与年度预算安排相结合制度</w:t>
      </w:r>
    </w:p>
    <w:p>
      <w:pPr>
        <w:spacing w:line="600" w:lineRule="exact"/>
        <w:rPr>
          <w:rFonts w:ascii="仿宋_GB2312" w:eastAsia="仿宋_GB2312" w:cs="仿宋_GB2312" w:hAnsi="仿宋_GB2312"/>
          <w:sz w:val="32"/>
          <w:szCs w:val="32"/>
        </w:rPr>
      </w:pPr>
      <w:r>
        <w:rPr>
          <w:rFonts w:ascii="仿宋_GB2312" w:eastAsia="仿宋_GB2312" w:cs="仿宋_GB2312" w:hAnsi="仿宋_GB2312" w:hint="eastAsia"/>
          <w:b/>
          <w:bCs/>
          <w:sz w:val="32"/>
          <w:szCs w:val="32"/>
        </w:rPr>
        <w:t xml:space="preserve">   </w:t>
      </w:r>
      <w:r>
        <w:rPr>
          <w:rFonts w:ascii="仿宋_GB2312" w:eastAsia="仿宋_GB2312" w:cs="仿宋_GB2312" w:hAnsi="仿宋_GB2312" w:hint="eastAsia"/>
          <w:sz w:val="32"/>
          <w:szCs w:val="32"/>
        </w:rPr>
        <w:t xml:space="preserve">  根据此次项目绩效自评结果，在今后的项目管理中严格按照项目预算绩效目标制度，严格按照支付流程进行项目支出，做到与年初项目预算一直，不超预算最大额，做到资金支付利用最大化。</w:t>
      </w:r>
    </w:p>
    <w:p>
      <w:pPr>
        <w:adjustRightInd w:val="0"/>
        <w:snapToGrid w:val="0"/>
        <w:spacing w:line="600" w:lineRule="exact"/>
        <w:ind w:firstLineChars="200" w:firstLine="640"/>
        <w:rPr>
          <w:rFonts w:ascii="楷体" w:eastAsia="楷体" w:hAnsi="楷体" w:hint="eastAsia"/>
          <w:bCs/>
          <w:sz w:val="32"/>
          <w:szCs w:val="32"/>
          <w:lang w:val="en-US" w:eastAsia="zh-CN"/>
        </w:rPr>
      </w:pPr>
      <w:r>
        <w:rPr>
          <w:rFonts w:ascii="仿宋_GB2312" w:eastAsia="仿宋_GB2312" w:cs="宋体" w:hAnsi="宋体" w:hint="eastAsia"/>
          <w:kern w:val="0"/>
          <w:sz w:val="32"/>
          <w:szCs w:val="32"/>
        </w:rPr>
        <w:t>在总结此次绩效自评经验、结果基础上，完善绩效自评工作流程、环节，并逐步将绩效自评结果作为年度预算安排的参考依据。对绩效自评结果较好的单位或项目，在年度预算安排时将优先考虑；对绩效考评结果不理想的，将督促项目实施单位总结经验、发现问题，加强预算管理、强化支出责任、提升绩效管理水平，提高财政资金使用效率。</w:t>
      </w:r>
    </w:p>
    <w:p>
      <w:pPr>
        <w:adjustRightInd w:val="0"/>
        <w:snapToGrid w:val="0"/>
        <w:spacing w:line="560" w:lineRule="exact"/>
        <w:rPr>
          <w:rFonts w:ascii="黑体" w:eastAsia="黑体" w:hAnsi="黑体" w:hint="eastAsia"/>
          <w:sz w:val="32"/>
          <w:szCs w:val="32"/>
        </w:rPr>
      </w:pPr>
      <w:r>
        <w:rPr>
          <w:rFonts w:ascii="黑体" w:eastAsia="黑体" w:hAnsi="黑体" w:hint="eastAsia"/>
          <w:sz w:val="32"/>
          <w:szCs w:val="32"/>
          <w:lang w:val="en-US" w:eastAsia="zh-CN"/>
        </w:rPr>
        <w:t>六、</w:t>
      </w:r>
      <w:r>
        <w:rPr>
          <w:rFonts w:ascii="黑体" w:eastAsia="黑体" w:hAnsi="黑体" w:hint="eastAsia"/>
          <w:sz w:val="32"/>
          <w:szCs w:val="32"/>
        </w:rPr>
        <w:t>评价工作组人员名单及签字（姓名、工作单位、职务、职称）</w:t>
      </w:r>
    </w:p>
    <w:p>
      <w:pPr>
        <w:adjustRightInd w:val="0"/>
        <w:snapToGrid w:val="0"/>
        <w:spacing w:line="560" w:lineRule="exact"/>
        <w:ind w:left="1050"/>
        <w:rPr>
          <w:rFonts w:ascii="黑体" w:eastAsia="黑体" w:hAnsi="黑体" w:hint="eastAsia"/>
          <w:sz w:val="32"/>
          <w:szCs w:val="32"/>
        </w:rPr>
      </w:pPr>
    </w:p>
    <w:p/>
    <w:p>
      <w:pPr>
        <w:spacing w:line="560" w:lineRule="exact"/>
        <w:jc w:val="center"/>
        <w:rPr>
          <w:rFonts w:ascii="仿宋" w:eastAsia="仿宋" w:hAnsi="仿宋"/>
        </w:rPr>
      </w:pPr>
    </w:p>
    <w:sectPr>
      <w:footerReference w:type="default" r:id="rId2"/>
      <w:pgSz w:w="11906" w:h="16838"/>
      <w:pgMar w:top="1440" w:right="1474" w:bottom="1440" w:left="1587" w:header="851" w:footer="992" w:gutter="0"/>
      <w:pgNumType w:fmt="numberInDash"/>
      <w:docGrid w:type="lines" w:linePitch="312" w:charSpace="0"/>
    </w:sectPr>
  </w:body>
</w:document>
</file>

<file path=word/fontTable.xml><?xml version="1.0" encoding="utf-8"?>
<w:fonts xmlns:w="http://schemas.openxmlformats.org/wordprocessingml/2006/main" xmlns:r="http://schemas.openxmlformats.org/officeDocument/2006/relationships">
  <w:font w:name="黑体">
    <w:panose1 w:val="02010609060101010101"/>
    <w:charset w:val="86"/>
    <w:family w:val="auto"/>
    <w:pitch w:val="variable"/>
    <w:sig w:usb0="800002BF" w:usb1="38CF7CFA" w:usb2="00000016" w:usb3="00000000" w:csb0="00040001" w:csb1="00000000"/>
  </w:font>
  <w:font w:name="宋体">
    <w:panose1 w:val="02010600030101010101"/>
    <w:charset w:val="86"/>
    <w:family w:val="auto"/>
    <w:pitch w:val="variable"/>
    <w:sig w:usb0="00000203" w:usb1="288F0000" w:usb2="00000006" w:usb3="00000000" w:csb0="00040001" w:csb1="00000000"/>
  </w:font>
  <w:font w:name="华文楷体">
    <w:panose1 w:val="02010600040101010101"/>
    <w:charset w:val="86"/>
    <w:family w:val="auto"/>
    <w:pitch w:val="variable"/>
    <w:sig w:usb0="00000287" w:usb1="080F0000" w:usb2="00000000" w:usb3="00000000" w:csb0="0004009F" w:csb1="DFD70000"/>
  </w:font>
  <w:font w:name="仿宋">
    <w:panose1 w:val="02010609060101010101"/>
    <w:charset w:val="86"/>
    <w:family w:val="modern"/>
    <w:pitch w:val="variable"/>
    <w:sig w:usb0="800002BF" w:usb1="38CF7CFA" w:usb2="00000016" w:usb3="00000000" w:csb0="00040001" w:csb1="00000000"/>
  </w:font>
  <w:font w:name="楷体">
    <w:panose1 w:val="02010609060101010101"/>
    <w:charset w:val="86"/>
    <w:family w:val="modern"/>
    <w:pitch w:val="variable"/>
    <w:sig w:usb0="800002BF" w:usb1="38CF7CFA" w:usb2="00000016" w:usb3="00000000" w:csb0="00040001" w:csb1="00000000"/>
  </w:font>
  <w:font w:name="楷体_GB2312">
    <w:altName w:val="楷体"/>
    <w:panose1 w:val="02010609030101010101"/>
    <w:charset w:val="86"/>
    <w:family w:val="auto"/>
    <w:pitch w:val="variable"/>
    <w:sig w:usb0="00000001" w:usb1="080E0000" w:usb2="00000000" w:usb3="00000000" w:csb0="00040000" w:csb1="00000000"/>
  </w:font>
  <w:font w:name="仿宋_GB2312">
    <w:panose1 w:val="02010609030101010101"/>
    <w:charset w:val="86"/>
    <w:family w:val="modern"/>
    <w:pitch w:val="variable"/>
    <w:sig w:usb0="00000001" w:usb1="080E0000" w:usb2="00000000" w:usb3="00000000" w:csb0="00040000" w:csb1="00000000"/>
  </w:font>
  <w:font w:name="Calibri">
    <w:panose1 w:val="020F0502020204030204"/>
    <w:charset w:val="00"/>
    <w:family w:val="swiss"/>
    <w:pitch w:val="variable"/>
    <w:sig w:usb0="E4002EFF" w:usb1="C000247B" w:usb2="00000009" w:usb3="00000000" w:csb0="200001FF" w:csb1="00000000"/>
  </w:font>
  <w:font w:name="Arial">
    <w:panose1 w:val="020B0604020202020204"/>
    <w:charset w:val="01"/>
    <w:family w:val="swiss"/>
    <w:pitch w:val="variable"/>
    <w:sig w:usb0="E0002EFF" w:usb1="C000785B" w:usb2="00000009" w:usb3="00000000" w:csb0="400001FF" w:csb1="FFFF0000"/>
  </w:font>
  <w:font w:name="Times New Roman">
    <w:panose1 w:val="02020603050405020304"/>
    <w:charset w:val="00"/>
    <w:family w:val="roman"/>
    <w:pitch w:val="variable"/>
    <w:sig w:usb0="20007A87" w:usb1="80000000" w:usb2="00000008" w:usb3="00000000" w:csb0="0000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tabs>
        <w:tab w:val="center" w:pos="4153"/>
        <w:tab w:val="right" w:pos="8306"/>
      </w:tabs>
    </w:pPr>
    <w:r>
      <mc:AlternateContent>
        <mc:Choice Requires="wps">
          <w:drawing>
            <wp:anchor distT="0" distB="0" distL="91437" distR="91437" simplePos="0" relativeHeight="12" behindDoc="0" locked="0" layoutInCell="1" hidden="0" allowOverlap="1">
              <wp:simplePos x="0" y="0"/>
              <wp:positionH relativeFrom="margin">
                <wp:align>center</wp:align>
              </wp:positionH>
              <wp:positionV relativeFrom="paragraph">
                <wp:posOffset>0</wp:posOffset>
              </wp:positionV>
              <wp:extent cx="209531" cy="162780"/>
              <wp:effectExtent l="0" t="0" r="0" b="0"/>
              <wp:wrapNone/>
              <wp:docPr id="1" name="Quad Arrow 3073"/>
              <wp:cNvGraphicFramePr>
                <a:graphicFrameLocks noChangeAspect="0"/>
              </wp:cNvGraphicFramePr>
              <a:graphic>
                <a:graphicData uri="http://schemas.microsoft.com/office/word/2010/wordprocessingShape">
                  <wps:wsp>
                    <wps:cNvSpPr/>
                    <wps:spPr>
                      <a:xfrm rot="0">
                        <a:off x="0" y="0"/>
                        <a:ext cx="209531" cy="162780"/>
                      </a:xfrm>
                      <a:prstGeom prst="rect"/>
                      <a:noFill/>
                      <a:ln w="9525" cmpd="sng" cap="flat">
                        <a:noFill/>
                        <a:prstDash val="solid"/>
                        <a:miter/>
                      </a:ln>
                    </wps:spPr>
                    <wps:txbx id="1">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wps:txbx>
                    <wps:bodyPr vert="horz" wrap="none" lIns="0" tIns="0" rIns="0" bIns="0" anchor="t" anchorCtr="0" upright="1">
                      <a:spAutoFit/>
                    </wps:bodyPr>
                  </wps:wsp>
                </a:graphicData>
              </a:graphic>
            </wp:anchor>
          </w:drawing>
        </mc:Choice>
        <mc:Fallback>
          <w:pict>
            <v:rect type="#_x0000_t1" id="Quad Arrow 3073" o:spid="_x0000_s2" filled="f" stroked="f" style="position:absolute;margin-left:0.0pt;margin-top:0.0pt;width:16.498535pt;height:12.817383pt;z-index:12;mso-position-horizontal:center;mso-position-horizontal-relative:margin;mso-position-vertical:absolute;mso-wrap-distance-left:7.1997643pt;mso-wrap-distance-right:7.1997643pt;mso-wrap-style:none;">
              <v:stroke/>
              <v:textbox id="848" inset="0mm,0mm,0mm,0mm" o:insetmode="custom" style="layout-flow:horizontal;v-text-anchor:top;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DEF2C1A4"/>
    <w:multiLevelType w:val="singleLevel"/>
    <w:tmpl w:val="DEF2C1A4"/>
    <w:lvl w:ilvl="0">
      <w:start w:val="2"/>
      <w:numFmt w:val="chineseCounting"/>
      <w:lvlRestart w:val="0"/>
      <w:suff w:val="nothing"/>
      <w:lvlText w:val="（%1）"/>
      <w:lvlJc w:val="left"/>
      <w:pPr/>
      <w:rPr>
        <w:rFonts w:hint="eastAsia"/>
      </w:rPr>
    </w:lvl>
  </w:abstractNum>
  <w:abstractNum w:abstractNumId="1">
    <w:nsid w:val="0516AA81"/>
    <w:multiLevelType w:val="singleLevel"/>
    <w:tmpl w:val="0516AA81"/>
    <w:lvl w:ilvl="0">
      <w:start w:val="2"/>
      <w:numFmt w:val="chineseCounting"/>
      <w:lvlRestart w:val="0"/>
      <w:suff w:val="nothing"/>
      <w:lvlText w:val="（%1）"/>
      <w:lvlJc w:val="left"/>
      <w:pPr>
        <w:ind w:left="642" w:hanging="0"/>
      </w:pPr>
      <w:rPr>
        <w:rFonts w:hint="eastAsia"/>
      </w:rPr>
    </w:lvl>
  </w:abstractNum>
  <w:abstractNum w:abstractNumId="2">
    <w:nsid w:val="5E68489B"/>
    <w:multiLevelType w:val="singleLevel"/>
    <w:tmpl w:val="5E68489B"/>
    <w:lvl w:ilvl="0">
      <w:start w:val="1"/>
      <w:numFmt w:val="chineseCounting"/>
      <w:lvlRestart w:val="0"/>
      <w:suff w:val="nothing"/>
      <w:lvlText w:val="（%1）"/>
      <w:lvlJc w:val="left"/>
      <w:pPr>
        <w:ind w:left="0" w:hanging="0"/>
      </w:pPr>
      <w:rPr>
        <w:rFonts w:ascii="楷体" w:hAnsi="楷体" w:eastAsia="楷体" w:hint="default"/>
      </w:rPr>
    </w:lvl>
  </w:abstractNum>
  <w:abstractNum w:abstractNumId="3">
    <w:nsid w:val="C3D4DA1E"/>
    <w:multiLevelType w:val="singleLevel"/>
    <w:tmpl w:val="C3D4DA1E"/>
    <w:lvl w:ilvl="0">
      <w:start w:val="4"/>
      <w:numFmt w:val="chineseCounting"/>
      <w:lvlRestart w:val="0"/>
      <w:suff w:val="nothing"/>
      <w:lvlText w:val="%1、"/>
      <w:lvlJc w:val="left"/>
      <w:pPr/>
      <w:rPr>
        <w:rFonts w:hint="eastAsia"/>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doNotUseIndentAsNumberingTabStop/>
    <w:useAltKinsokuLineBreakRules/>
    <w:doNotSuppressIndentation/>
    <w:splitPgBreakAndParaMark/>
    <w:compatSetting w:name="compatibilityMode" w:uri="http://schemas.microsoft.com/office/word" w:val="11"/>
  </w:compat>
  <w:docVars>
    <w:docVar w:name="commondata" w:val="eyJoZGlkIjoiYzgxMzVhZTBlNDUyZWUxNDVhMjNkN2E1NjFlOTE5NDcifQ=="/>
  </w:docVars>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pPr>
      <w:widowControl w:val="0"/>
      <w:jc w:val="both"/>
    </w:pPr>
    <w:rPr>
      <w:rFonts w:ascii="Calibri" w:eastAsia="宋体" w:cs="黑体" w:hAnsi="Calibri"/>
      <w:kern w:val="2"/>
      <w:sz w:val="21"/>
      <w:szCs w:val="22"/>
      <w:lang w:val="en-US" w:eastAsia="zh-CN" w:bidi="ar-SA"/>
    </w:rPr>
  </w:style>
  <w:style w:type="paragraph" w:styleId="1">
    <w:name w:val="heading 1"/>
    <w:qFormat/>
    <w:basedOn w:val="0"/>
    <w:next w:val="0"/>
    <w:link w:val="1Char"/>
    <w:pPr>
      <w:keepNext/>
      <w:keepLines/>
      <w:spacing w:before="340" w:after="330" w:line="578" w:lineRule="auto"/>
      <w:outlineLvl w:val="0"/>
    </w:pPr>
    <w:rPr>
      <w:b/>
      <w:bCs/>
      <w:kern w:val="44"/>
      <w:sz w:val="44"/>
      <w:szCs w:val="44"/>
    </w:rPr>
  </w:style>
  <w:style w:type="character" w:customStyle="1" w:styleId="1Char">
    <w:name w:val="heading 1 Char"/>
    <w:basedOn w:val="10"/>
    <w:link w:val="1"/>
    <w:rPr>
      <w:rFonts w:ascii="Calibri" w:eastAsia="宋体" w:cs="黑体" w:hAnsi="Calibri"/>
      <w:b/>
      <w:bCs/>
      <w:kern w:val="44"/>
      <w:sz w:val="44"/>
      <w:szCs w:val="44"/>
      <w:lang w:val="en-US" w:eastAsia="zh-CN" w:bidi="ar-SA"/>
    </w:rPr>
  </w:style>
  <w:style w:type="paragraph" w:styleId="2">
    <w:name w:val="heading 2"/>
    <w:qFormat/>
    <w:basedOn w:val="0"/>
    <w:next w:val="0"/>
    <w:link w:val="2Char"/>
    <w:pPr>
      <w:keepNext/>
      <w:keepLines/>
      <w:spacing w:before="260" w:after="260" w:line="415" w:lineRule="auto"/>
      <w:outlineLvl w:val="1"/>
    </w:pPr>
    <w:rPr>
      <w:rFonts w:ascii="Times New Roman" w:eastAsia="黑体" w:hAnsi="Times New Roman"/>
      <w:b/>
      <w:bCs/>
      <w:sz w:val="32"/>
      <w:szCs w:val="32"/>
    </w:rPr>
  </w:style>
  <w:style w:type="character" w:customStyle="1" w:styleId="2Char">
    <w:name w:val="heading 2 Char"/>
    <w:basedOn w:val="10"/>
    <w:link w:val="2"/>
    <w:rPr>
      <w:rFonts w:ascii="Times New Roman" w:eastAsia="黑体" w:cs="黑体" w:hAnsi="Times New Roman"/>
      <w:b/>
      <w:bCs/>
      <w:kern w:val="2"/>
      <w:sz w:val="32"/>
      <w:szCs w:val="32"/>
      <w:lang w:val="en-US" w:eastAsia="zh-CN" w:bidi="ar-SA"/>
    </w:rPr>
  </w:style>
  <w:style w:type="paragraph" w:styleId="3">
    <w:name w:val="heading 3"/>
    <w:qFormat/>
    <w:basedOn w:val="0"/>
    <w:next w:val="0"/>
    <w:link w:val="3Char"/>
    <w:pPr>
      <w:keepNext/>
      <w:keepLines/>
      <w:spacing w:before="260" w:after="260" w:line="415" w:lineRule="auto"/>
      <w:outlineLvl w:val="2"/>
    </w:pPr>
    <w:rPr>
      <w:b/>
      <w:bCs/>
      <w:sz w:val="32"/>
      <w:szCs w:val="32"/>
    </w:rPr>
  </w:style>
  <w:style w:type="character" w:customStyle="1" w:styleId="3Char">
    <w:name w:val="heading 3 Char"/>
    <w:basedOn w:val="10"/>
    <w:link w:val="3"/>
    <w:rPr>
      <w:rFonts w:ascii="Calibri" w:eastAsia="宋体" w:cs="黑体" w:hAnsi="Calibri"/>
      <w:b/>
      <w:bCs/>
      <w:kern w:val="2"/>
      <w:sz w:val="32"/>
      <w:szCs w:val="32"/>
      <w:lang w:val="en-US" w:eastAsia="zh-CN" w:bidi="ar-SA"/>
    </w:rPr>
  </w:style>
  <w:style w:type="character" w:default="1" w:styleId="10">
    <w:name w:val="Default Paragraph Font"/>
    <w:qFormat/>
  </w:style>
  <w:style w:type="paragraph" w:styleId="15">
    <w:name w:val="footer"/>
    <w:qFormat/>
    <w:basedOn w:val="0"/>
    <w:pPr>
      <w:tabs>
        <w:tab w:val="center" w:pos="4153"/>
        <w:tab w:val="right" w:pos="8306"/>
      </w:tabs>
      <w:snapToGrid w:val="0"/>
      <w:jc w:val="left"/>
    </w:pPr>
    <w:rPr>
      <w:sz w:val="18"/>
    </w:rPr>
  </w:style>
  <w:style w:type="paragraph" w:styleId="16">
    <w:name w:val="header"/>
    <w:qFormat/>
    <w:basedOn w:val="0"/>
    <w:pPr>
      <w:pBdr>
        <w:top w:val="none" w:sz="0" w:space="0" w:color="auto"/>
        <w:left w:val="none" w:sz="0" w:space="0" w:color="auto"/>
        <w:bottom w:val="none" w:sz="0" w:space="0" w:color="auto"/>
        <w:right w:val="none" w:sz="0" w:space="0" w:color="auto"/>
      </w:pBdr>
      <w:tabs>
        <w:tab w:val="center" w:pos="4153"/>
        <w:tab w:val="right" w:pos="8306"/>
      </w:tabs>
      <w:snapToGrid w:val="0"/>
    </w:pPr>
    <w:rPr>
      <w:rFonts w:ascii="Times New Roman" w:hAnsi="Times New Roman"/>
      <w:sz w:val="18"/>
    </w:rPr>
  </w:style>
  <w:style w:type="paragraph" w:styleId="17">
    <w:name w:val="List Paragraph"/>
    <w:qFormat/>
    <w:basedOn w:val="0"/>
    <w:pPr>
      <w:widowControl w:val="0"/>
      <w:ind w:firstLineChars="200" w:firstLine="200"/>
      <w:jc w:val="both"/>
    </w:pPr>
    <w:rPr>
      <w:rFonts w:ascii="Calibri" w:eastAsia="宋体" w:cs="黑体" w:hAnsi="Calibri"/>
      <w:kern w:val="2"/>
      <w:sz w:val="21"/>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customXml" Target="../customXml/item1.xml"/><Relationship Id="rId7"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mpd="sng" cap="flat">
          <a:solidFill>
            <a:schemeClr val="phClr"/>
          </a:solidFill>
          <a:prstDash val="solid"/>
          <a:miter/>
        </a:ln>
        <a:ln w="12700" cmpd="sng" cap="flat">
          <a:solidFill>
            <a:schemeClr val="phClr"/>
          </a:solidFill>
          <a:prstDash val="solid"/>
          <a:miter/>
        </a:ln>
        <a:ln w="19050" cmpd="sng" cap="flat">
          <a:solidFill>
            <a:schemeClr val="phClr"/>
          </a:solidFill>
          <a:prstDash val="solid"/>
          <a:miter/>
        </a:ln>
      </a:lnStyleLst>
      <a:effectStyleLst>
        <a:effectStyle>
          <a:effectLst/>
        </a:effectStyle>
        <a:effectStyle>
          <a:effectLst/>
        </a:effectStyle>
        <a:effectStyle>
          <a:effectLst>
            <a:outerShdw sx="100000" sy="100000" algn="b" rotWithShape="0" blurRad="57150" dist="19050" dir="540000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51411DA2-88FB-4C01-87C8-51AE80B43D52}">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2029</TotalTime>
  <Application>Yozo_Office9.0.4819.102ZH</Application>
  <Pages>10</Pages>
  <Words>0</Words>
  <Characters>3264</Characters>
  <Lines>0</Lines>
  <Paragraphs>106</Paragraphs>
  <CharactersWithSpaces>4352</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title>附件3：</dc:title>
  <dc:creator>欣欣大人</dc:creator>
  <cp:lastModifiedBy>Administrator</cp:lastModifiedBy>
  <cp:revision>3</cp:revision>
  <cp:lastPrinted>2026-09-18T07:30:52Z</cp:lastPrinted>
  <dcterms:created xsi:type="dcterms:W3CDTF">2020-02-04T03:46:00Z</dcterms:created>
  <dcterms:modified xsi:type="dcterms:W3CDTF">2026-09-18T07:31:53Z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2052-12.1.0.16388</vt:lpwstr>
  </property>
  <property fmtid="{D5CDD505-2E9C-101B-9397-08002B2CF9AE}" pid="3" name="ICV">
    <vt:lpwstr>96934721B1514D3FBAA28020338CE855_12</vt:lpwstr>
  </property>
</Properties>
</file>