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adjustRightInd w:val="0"/>
        <w:snapToGrid w:val="0"/>
        <w:spacing w:line="560" w:lineRule="exact"/>
        <w:rPr>
          <w:rFonts w:ascii="黑体" w:eastAsia="黑体" w:cs="黑体" w:hAnsi="黑体" w:hint="eastAsia"/>
          <w:sz w:val="32"/>
          <w:szCs w:val="32"/>
        </w:rPr>
      </w:pPr>
      <w:r>
        <w:rPr>
          <w:rFonts w:ascii="黑体" w:eastAsia="黑体" w:cs="黑体" w:hAnsi="黑体" w:hint="eastAsia"/>
          <w:sz w:val="32"/>
          <w:szCs w:val="32"/>
        </w:rPr>
        <w:t>附件4</w:t>
      </w:r>
    </w:p>
    <w:p>
      <w:pPr>
        <w:spacing w:line="560" w:lineRule="exact"/>
        <w:jc w:val="center"/>
        <w:rPr>
          <w:rFonts w:ascii="宋体" w:cs="宋体" w:hAnsi="宋体"/>
          <w:b/>
          <w:bCs/>
          <w:sz w:val="44"/>
          <w:szCs w:val="44"/>
        </w:rPr>
      </w:pPr>
    </w:p>
    <w:p>
      <w:pPr>
        <w:spacing w:line="560" w:lineRule="exact"/>
        <w:jc w:val="center"/>
        <w:rPr>
          <w:rFonts w:ascii="宋体" w:cs="宋体" w:hAnsi="宋体" w:hint="eastAsia"/>
          <w:b/>
          <w:bCs/>
          <w:sz w:val="44"/>
          <w:szCs w:val="44"/>
        </w:rPr>
      </w:pPr>
      <w:r>
        <w:rPr>
          <w:rFonts w:ascii="宋体" w:cs="宋体" w:hAnsi="宋体"/>
          <w:b/>
          <w:bCs/>
          <w:sz w:val="44"/>
          <w:szCs w:val="44"/>
        </w:rPr>
        <w:t>井陉矿区商务局</w:t>
      </w:r>
    </w:p>
    <w:p>
      <w:pPr>
        <w:spacing w:line="560" w:lineRule="exact"/>
        <w:jc w:val="center"/>
        <w:rPr>
          <w:rFonts w:ascii="宋体" w:cs="宋体" w:hAnsi="宋体"/>
          <w:b/>
          <w:bCs/>
          <w:sz w:val="44"/>
          <w:szCs w:val="44"/>
        </w:rPr>
      </w:pPr>
      <w:r>
        <w:rPr>
          <w:rFonts w:ascii="宋体" w:cs="宋体" w:hAnsi="宋体" w:hint="eastAsia"/>
          <w:b/>
          <w:bCs/>
          <w:sz w:val="44"/>
          <w:szCs w:val="44"/>
        </w:rPr>
        <w:t>202</w:t>
      </w:r>
      <w:r>
        <w:rPr>
          <w:rFonts w:ascii="宋体" w:cs="宋体" w:hAnsi="宋体"/>
          <w:b/>
          <w:bCs/>
          <w:sz w:val="44"/>
          <w:szCs w:val="44"/>
        </w:rPr>
        <w:t>5</w:t>
      </w:r>
      <w:r>
        <w:rPr>
          <w:rFonts w:ascii="宋体" w:cs="宋体" w:hAnsi="宋体" w:hint="eastAsia"/>
          <w:b/>
          <w:bCs/>
          <w:sz w:val="44"/>
          <w:szCs w:val="44"/>
        </w:rPr>
        <w:t>年度整体支出绩效自评报告</w:t>
      </w:r>
    </w:p>
    <w:p>
      <w:pPr>
        <w:spacing w:line="560" w:lineRule="exact"/>
        <w:jc w:val="center"/>
        <w:rPr>
          <w:rFonts w:ascii="华文楷体" w:eastAsia="华文楷体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贯彻落实</w:t>
      </w:r>
      <w:r>
        <w:rPr>
          <w:rFonts w:ascii="仿宋" w:eastAsia="仿宋" w:hAnsi="仿宋"/>
          <w:sz w:val="32"/>
          <w:szCs w:val="32"/>
        </w:rPr>
        <w:t>区委区政府</w:t>
      </w:r>
      <w:r>
        <w:rPr>
          <w:rFonts w:ascii="仿宋" w:eastAsia="仿宋" w:hAnsi="仿宋" w:hint="eastAsia"/>
          <w:sz w:val="32"/>
          <w:szCs w:val="32"/>
        </w:rPr>
        <w:t>《关于全面落实预算绩效管理的实施意见》（</w:t>
      </w:r>
      <w:r>
        <w:rPr>
          <w:rFonts w:ascii="仿宋" w:eastAsia="仿宋" w:hAnsi="仿宋"/>
          <w:sz w:val="32"/>
          <w:szCs w:val="32"/>
        </w:rPr>
        <w:t>矿</w:t>
      </w:r>
      <w:r>
        <w:rPr>
          <w:rFonts w:ascii="仿宋" w:eastAsia="仿宋" w:hAnsi="仿宋" w:hint="eastAsia"/>
          <w:sz w:val="32"/>
          <w:szCs w:val="32"/>
        </w:rPr>
        <w:t>发﹝2019﹞</w:t>
      </w:r>
      <w:r>
        <w:rPr>
          <w:rFonts w:ascii="仿宋" w:eastAsia="仿宋" w:hAnsi="仿宋"/>
          <w:sz w:val="32"/>
          <w:szCs w:val="32"/>
        </w:rPr>
        <w:t>7</w:t>
      </w:r>
      <w:r>
        <w:rPr>
          <w:rFonts w:ascii="仿宋" w:eastAsia="仿宋" w:hAnsi="仿宋" w:hint="eastAsia"/>
          <w:sz w:val="32"/>
          <w:szCs w:val="32"/>
        </w:rPr>
        <w:t>号）文件精神，遵循“科学性、规范性、客观性和公正性”的原则，对</w:t>
      </w:r>
      <w:r>
        <w:rPr>
          <w:rFonts w:ascii="仿宋" w:eastAsia="仿宋" w:hAnsi="仿宋"/>
          <w:sz w:val="32"/>
          <w:szCs w:val="32"/>
        </w:rPr>
        <w:t>商务局</w:t>
      </w:r>
      <w:r>
        <w:rPr>
          <w:rFonts w:ascii="仿宋" w:eastAsia="仿宋" w:hAnsi="仿宋" w:hint="eastAsia"/>
          <w:sz w:val="32"/>
          <w:szCs w:val="32"/>
        </w:rPr>
        <w:t>202</w:t>
      </w:r>
      <w:r>
        <w:rPr>
          <w:rFonts w:ascii="仿宋" w:eastAsia="仿宋" w:hAnsi="仿宋"/>
          <w:sz w:val="32"/>
          <w:szCs w:val="32"/>
        </w:rPr>
        <w:t>5</w:t>
      </w:r>
      <w:r>
        <w:rPr>
          <w:rFonts w:ascii="仿宋" w:eastAsia="仿宋" w:hAnsi="仿宋" w:hint="eastAsia"/>
          <w:sz w:val="32"/>
          <w:szCs w:val="32"/>
        </w:rPr>
        <w:t>年整体支出情况实施了财政支出绩效自评价，形成本评价报告。</w:t>
      </w:r>
    </w:p>
    <w:p>
      <w:pPr>
        <w:adjustRightInd w:val="0"/>
        <w:snapToGrid w:val="0"/>
        <w:spacing w:line="560" w:lineRule="exact"/>
        <w:rPr>
          <w:rFonts w:ascii="黑体" w:eastAsia="黑体" w:hAnsi="黑体"/>
          <w:b/>
          <w:bCs/>
          <w:sz w:val="32"/>
          <w:szCs w:val="36"/>
        </w:rPr>
      </w:pPr>
      <w:r>
        <w:rPr>
          <w:rFonts w:ascii="黑体" w:eastAsia="黑体" w:hAnsi="黑体" w:hint="eastAsia"/>
          <w:sz w:val="32"/>
          <w:szCs w:val="32"/>
        </w:rPr>
        <w:t xml:space="preserve">    </w:t>
      </w:r>
      <w:r>
        <w:rPr>
          <w:rFonts w:ascii="黑体" w:eastAsia="黑体" w:hAnsi="黑体"/>
          <w:sz w:val="32"/>
          <w:szCs w:val="32"/>
        </w:rPr>
        <w:t xml:space="preserve"> </w:t>
      </w:r>
      <w:r>
        <w:rPr>
          <w:rFonts w:ascii="黑体" w:eastAsia="黑体" w:hAnsi="黑体" w:hint="eastAsia"/>
          <w:sz w:val="32"/>
          <w:szCs w:val="32"/>
        </w:rPr>
        <w:t>一、部门</w:t>
      </w:r>
      <w:r>
        <w:rPr>
          <w:rFonts w:ascii="黑体" w:eastAsia="黑体" w:hAnsi="黑体" w:hint="eastAsia"/>
          <w:sz w:val="32"/>
          <w:szCs w:val="36"/>
        </w:rPr>
        <w:t>基本情况</w:t>
      </w:r>
    </w:p>
    <w:p>
      <w:pPr>
        <w:adjustRightInd w:val="0"/>
        <w:snapToGrid w:val="0"/>
        <w:spacing w:line="560" w:lineRule="exact"/>
        <w:ind w:left="0" w:firstLineChars="200" w:firstLine="640"/>
        <w:rPr>
          <w:rFonts w:ascii="楷体" w:eastAsia="楷体" w:cs="楷体_GB2312" w:hAnsi="楷体"/>
          <w:bCs/>
          <w:sz w:val="32"/>
          <w:szCs w:val="32"/>
        </w:rPr>
      </w:pPr>
      <w:r>
        <w:rPr>
          <w:rFonts w:ascii="楷体" w:eastAsia="楷体" w:cs="楷体_GB2312" w:hAnsi="楷体" w:hint="eastAsia"/>
          <w:bCs/>
          <w:sz w:val="32"/>
          <w:szCs w:val="32"/>
        </w:rPr>
        <w:t>（一）部门概况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cs="仿宋_GB2312" w:hAnsi="仿宋_GB2312" w:hint="eastAsia"/>
          <w:sz w:val="32"/>
          <w:szCs w:val="32"/>
          <w:lang w:val="en-US" w:eastAsia="zh-CN"/>
        </w:rPr>
      </w:pPr>
      <w:r>
        <w:rPr>
          <w:rFonts w:ascii="仿宋_GB2312" w:eastAsia="仿宋_GB2312" w:cs="仿宋_GB2312" w:hAnsi="仿宋_GB2312" w:hint="eastAsia"/>
          <w:sz w:val="32"/>
          <w:szCs w:val="32"/>
          <w:lang w:val="en-US" w:eastAsia="zh-CN"/>
        </w:rPr>
        <w:t>1.部门职能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cs="仿宋_GB2312" w:hAnsi="仿宋_GB2312"/>
          <w:sz w:val="32"/>
          <w:szCs w:val="32"/>
          <w:lang w:val="en-US" w:eastAsia="zh-CN"/>
        </w:rPr>
      </w:pPr>
      <w:r>
        <w:rPr>
          <w:rFonts w:ascii="仿宋_GB2312" w:eastAsia="仿宋_GB2312" w:cs="仿宋_GB2312" w:hAnsi="仿宋_GB2312" w:hint="eastAsia"/>
          <w:sz w:val="32"/>
          <w:szCs w:val="32"/>
          <w:lang w:val="en-US" w:eastAsia="zh-CN"/>
        </w:rPr>
        <w:t>拟订全区商务发展、招商引资、利用外资、区域协作规划、政策措施和年度计划并组织实施。全区国内贸易发展规划，促进城乡市场发展；负责大宗产品批发市场、商业网点规划及商业体系建设工作；组织实施重要消费品市场调控。负责建立健全生活必需品市场供应应急管理机制，监测分析市场运行、商品供求状况，调查分析商品价格信息，进行预测预警和信息引导；按分工负责重要消费品储备管理和市场调控工作。执行国家制定的进出口商品、加工贸易管理办法和进出口商品、技术目录。贯彻执行国家促进外贸增长方式转变的政策措施，组织实施国家制定的重要工业品、原材料和重要农产品进出口总量计划，会同有关部门协调大宗进出口商品，组织指导贸易促进活动和外贸促进体系建设；完成上级交办的各项任务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cs="仿宋_GB2312" w:hAnsi="仿宋_GB2312"/>
          <w:sz w:val="32"/>
          <w:szCs w:val="32"/>
          <w:lang w:val="en-US" w:eastAsia="zh-CN"/>
        </w:rPr>
      </w:pPr>
      <w:r>
        <w:rPr>
          <w:rFonts w:ascii="仿宋_GB2312" w:eastAsia="仿宋_GB2312" w:cs="仿宋_GB2312" w:hAnsi="仿宋_GB2312" w:hint="eastAsia"/>
          <w:sz w:val="32"/>
          <w:szCs w:val="32"/>
          <w:lang w:val="en-US" w:eastAsia="zh-CN"/>
        </w:rPr>
        <w:t>2.组织机构及人员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cs="仿宋_GB2312" w:hAnsi="仿宋_GB2312"/>
          <w:sz w:val="32"/>
          <w:szCs w:val="32"/>
        </w:rPr>
      </w:pPr>
      <w:r>
        <w:rPr>
          <w:rFonts w:ascii="仿宋_GB2312" w:eastAsia="仿宋_GB2312" w:cs="仿宋_GB2312" w:hAnsi="仿宋_GB2312" w:hint="eastAsia"/>
          <w:sz w:val="32"/>
          <w:szCs w:val="32"/>
          <w:lang w:eastAsia="zh-CN"/>
        </w:rPr>
        <w:t>区商务局</w:t>
      </w:r>
      <w:r>
        <w:rPr>
          <w:rFonts w:ascii="仿宋_GB2312" w:eastAsia="仿宋_GB2312" w:cs="仿宋_GB2312" w:hAnsi="仿宋_GB2312" w:hint="eastAsia"/>
          <w:sz w:val="32"/>
          <w:szCs w:val="32"/>
        </w:rPr>
        <w:t>是政府工作部门，机构规格为正科级， 202</w:t>
      </w:r>
      <w:r>
        <w:rPr>
          <w:rFonts w:ascii="仿宋_GB2312" w:eastAsia="仿宋_GB2312" w:cs="仿宋_GB2312" w:hAnsi="仿宋_GB2312"/>
          <w:sz w:val="32"/>
          <w:szCs w:val="32"/>
        </w:rPr>
        <w:t>5</w:t>
      </w:r>
      <w:r>
        <w:rPr>
          <w:rFonts w:ascii="仿宋_GB2312" w:eastAsia="仿宋_GB2312" w:cs="仿宋_GB2312" w:hAnsi="仿宋_GB2312" w:hint="eastAsia"/>
          <w:sz w:val="32"/>
          <w:szCs w:val="32"/>
        </w:rPr>
        <w:t>年年末</w:t>
      </w:r>
      <w:r>
        <w:rPr>
          <w:rFonts w:ascii="仿宋_GB2312" w:eastAsia="仿宋_GB2312" w:cs="仿宋_GB2312" w:hAnsi="仿宋_GB2312" w:hint="eastAsia"/>
          <w:sz w:val="32"/>
          <w:szCs w:val="32"/>
          <w:lang w:eastAsia="zh-CN"/>
        </w:rPr>
        <w:t>本</w:t>
      </w:r>
      <w:r>
        <w:rPr>
          <w:rFonts w:ascii="仿宋_GB2312" w:eastAsia="仿宋_GB2312" w:cs="仿宋_GB2312" w:hAnsi="仿宋_GB2312" w:hint="eastAsia"/>
          <w:sz w:val="32"/>
          <w:szCs w:val="32"/>
        </w:rPr>
        <w:t>单位</w:t>
      </w:r>
      <w:r>
        <w:rPr>
          <w:rFonts w:ascii="仿宋_GB2312" w:eastAsia="仿宋_GB2312" w:cs="仿宋_GB2312" w:hAnsi="仿宋_GB2312" w:hint="eastAsia"/>
          <w:sz w:val="32"/>
          <w:szCs w:val="32"/>
          <w:lang w:eastAsia="zh-CN"/>
        </w:rPr>
        <w:t>在编在岗</w:t>
      </w:r>
      <w:r>
        <w:rPr>
          <w:rFonts w:ascii="仿宋_GB2312" w:eastAsia="仿宋_GB2312" w:cs="仿宋_GB2312" w:hAnsi="仿宋_GB2312" w:hint="eastAsia"/>
          <w:sz w:val="32"/>
          <w:szCs w:val="32"/>
        </w:rPr>
        <w:t>人员</w:t>
      </w:r>
      <w:r>
        <w:rPr>
          <w:rFonts w:ascii="仿宋_GB2312" w:eastAsia="仿宋_GB2312" w:cs="仿宋_GB2312" w:hAnsi="仿宋_GB2312" w:hint="eastAsia"/>
          <w:sz w:val="32"/>
          <w:szCs w:val="32"/>
          <w:lang w:val="en-US" w:eastAsia="zh-CN"/>
        </w:rPr>
        <w:t>1</w:t>
      </w:r>
      <w:r>
        <w:rPr>
          <w:rFonts w:ascii="仿宋_GB2312" w:eastAsia="仿宋_GB2312" w:cs="仿宋_GB2312" w:hAnsi="仿宋_GB2312"/>
          <w:sz w:val="32"/>
          <w:szCs w:val="32"/>
          <w:lang w:val="en-US" w:eastAsia="zh-CN"/>
        </w:rPr>
        <w:t>0</w:t>
      </w:r>
      <w:r>
        <w:rPr>
          <w:rFonts w:ascii="仿宋_GB2312" w:eastAsia="仿宋_GB2312" w:cs="仿宋_GB2312" w:hAnsi="仿宋_GB2312" w:hint="eastAsia"/>
          <w:sz w:val="32"/>
          <w:szCs w:val="32"/>
          <w:lang w:val="en-US" w:eastAsia="zh-CN"/>
        </w:rPr>
        <w:t>人</w:t>
      </w:r>
      <w:r>
        <w:rPr>
          <w:rFonts w:ascii="仿宋_GB2312" w:eastAsia="仿宋_GB2312" w:cs="仿宋_GB2312" w:hAnsi="仿宋_GB2312" w:hint="eastAsia"/>
          <w:sz w:val="32"/>
          <w:szCs w:val="32"/>
        </w:rPr>
        <w:t>，</w:t>
      </w:r>
      <w:r>
        <w:rPr>
          <w:rFonts w:ascii="仿宋_GB2312" w:eastAsia="仿宋_GB2312" w:cs="仿宋_GB2312" w:hAnsi="仿宋_GB2312" w:hint="eastAsia"/>
          <w:sz w:val="32"/>
          <w:szCs w:val="32"/>
          <w:lang w:eastAsia="zh-CN"/>
        </w:rPr>
        <w:t>其中</w:t>
      </w:r>
      <w:r>
        <w:rPr>
          <w:rFonts w:ascii="仿宋_GB2312" w:eastAsia="仿宋_GB2312" w:cs="仿宋_GB2312" w:hAnsi="仿宋_GB2312"/>
          <w:sz w:val="32"/>
          <w:szCs w:val="32"/>
          <w:lang w:eastAsia="zh-CN"/>
        </w:rPr>
        <w:t>5</w:t>
      </w:r>
      <w:r>
        <w:rPr>
          <w:rFonts w:ascii="仿宋_GB2312" w:eastAsia="仿宋_GB2312" w:cs="仿宋_GB2312" w:hAnsi="仿宋_GB2312" w:hint="eastAsia"/>
          <w:sz w:val="32"/>
          <w:szCs w:val="32"/>
        </w:rPr>
        <w:t>名行政人员，</w:t>
      </w:r>
      <w:r>
        <w:rPr>
          <w:rFonts w:ascii="仿宋_GB2312" w:eastAsia="仿宋_GB2312" w:cs="仿宋_GB2312" w:hAnsi="仿宋_GB2312"/>
          <w:sz w:val="32"/>
          <w:szCs w:val="32"/>
        </w:rPr>
        <w:t>5</w:t>
      </w:r>
      <w:r>
        <w:rPr>
          <w:rFonts w:ascii="仿宋_GB2312" w:eastAsia="仿宋_GB2312" w:cs="仿宋_GB2312" w:hAnsi="仿宋_GB2312" w:hint="eastAsia"/>
          <w:sz w:val="32"/>
          <w:szCs w:val="32"/>
        </w:rPr>
        <w:t>名非参公事业人员。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cs="仿宋_GB2312" w:hAnsi="仿宋_GB2312"/>
          <w:sz w:val="32"/>
          <w:szCs w:val="32"/>
          <w:lang w:val="en-US" w:eastAsia="zh-CN"/>
        </w:rPr>
      </w:pPr>
      <w:r>
        <w:rPr>
          <w:rFonts w:ascii="仿宋_GB2312" w:eastAsia="仿宋_GB2312" w:cs="仿宋_GB2312" w:hAnsi="仿宋_GB2312" w:hint="eastAsia"/>
          <w:sz w:val="32"/>
          <w:szCs w:val="32"/>
          <w:lang w:val="en-US" w:eastAsia="zh-CN"/>
        </w:rPr>
        <w:t>3.部门资产情况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cs="仿宋_GB2312" w:hAnsi="仿宋_GB2312" w:hint="eastAsia"/>
          <w:sz w:val="32"/>
          <w:szCs w:val="32"/>
        </w:rPr>
      </w:pPr>
      <w:r>
        <w:rPr>
          <w:rFonts w:ascii="仿宋_GB2312" w:eastAsia="仿宋_GB2312" w:cs="仿宋_GB2312" w:hAnsi="仿宋_GB2312" w:hint="eastAsia"/>
          <w:sz w:val="32"/>
          <w:szCs w:val="32"/>
        </w:rPr>
        <w:t>截至202</w:t>
      </w:r>
      <w:r>
        <w:rPr>
          <w:rFonts w:ascii="仿宋_GB2312" w:eastAsia="仿宋_GB2312" w:cs="仿宋_GB2312" w:hAnsi="仿宋_GB2312"/>
          <w:sz w:val="32"/>
          <w:szCs w:val="32"/>
        </w:rPr>
        <w:t>5</w:t>
      </w:r>
      <w:r>
        <w:rPr>
          <w:rFonts w:ascii="仿宋_GB2312" w:eastAsia="仿宋_GB2312" w:cs="仿宋_GB2312" w:hAnsi="仿宋_GB2312" w:hint="eastAsia"/>
          <w:sz w:val="32"/>
          <w:szCs w:val="32"/>
        </w:rPr>
        <w:t>年12月31日，我单位</w:t>
      </w:r>
      <w:r>
        <w:rPr>
          <w:rFonts w:ascii="仿宋_GB2312" w:eastAsia="仿宋_GB2312" w:cs="仿宋_GB2312" w:hAnsi="仿宋_GB2312" w:hint="eastAsia"/>
          <w:sz w:val="32"/>
          <w:szCs w:val="32"/>
          <w:lang w:eastAsia="zh-CN"/>
        </w:rPr>
        <w:t>固定</w:t>
      </w:r>
      <w:r>
        <w:rPr>
          <w:rFonts w:ascii="仿宋_GB2312" w:eastAsia="仿宋_GB2312" w:cs="仿宋_GB2312" w:hAnsi="仿宋_GB2312" w:hint="eastAsia"/>
          <w:sz w:val="32"/>
          <w:szCs w:val="32"/>
        </w:rPr>
        <w:t>资产</w:t>
      </w:r>
      <w:r>
        <w:rPr>
          <w:rFonts w:ascii="仿宋_GB2312" w:eastAsia="仿宋_GB2312" w:cs="仿宋_GB2312" w:hAnsi="仿宋_GB2312" w:hint="eastAsia"/>
          <w:sz w:val="32"/>
          <w:szCs w:val="32"/>
          <w:lang w:eastAsia="zh-CN"/>
        </w:rPr>
        <w:t>原值</w:t>
      </w:r>
      <w:r>
        <w:rPr>
          <w:rFonts w:ascii="仿宋_GB2312" w:eastAsia="仿宋_GB2312" w:cs="仿宋_GB2312" w:hAnsi="仿宋_GB2312" w:hint="eastAsia"/>
          <w:sz w:val="32"/>
          <w:szCs w:val="32"/>
          <w:lang w:val="en-US" w:eastAsia="zh-CN"/>
        </w:rPr>
        <w:t>28.17</w:t>
      </w:r>
      <w:r>
        <w:rPr>
          <w:rFonts w:ascii="仿宋_GB2312" w:eastAsia="仿宋_GB2312" w:cs="仿宋_GB2312" w:hAnsi="仿宋_GB2312" w:hint="eastAsia"/>
          <w:sz w:val="32"/>
          <w:szCs w:val="32"/>
        </w:rPr>
        <w:t>万元，</w:t>
      </w:r>
      <w:r>
        <w:rPr>
          <w:rFonts w:ascii="仿宋_GB2312" w:eastAsia="仿宋_GB2312" w:cs="仿宋_GB2312" w:hAnsi="仿宋_GB2312" w:hint="eastAsia"/>
          <w:sz w:val="32"/>
          <w:szCs w:val="32"/>
          <w:lang w:eastAsia="zh-CN"/>
        </w:rPr>
        <w:t>累计折旧</w:t>
      </w:r>
      <w:r>
        <w:rPr>
          <w:rFonts w:ascii="仿宋_GB2312" w:eastAsia="仿宋_GB2312" w:cs="仿宋_GB2312" w:hAnsi="仿宋_GB2312"/>
          <w:sz w:val="32"/>
          <w:szCs w:val="32"/>
          <w:lang w:eastAsia="zh-CN"/>
        </w:rPr>
        <w:t>21.01</w:t>
      </w:r>
      <w:r>
        <w:rPr>
          <w:rFonts w:ascii="仿宋_GB2312" w:eastAsia="仿宋_GB2312" w:cs="仿宋_GB2312" w:hAnsi="仿宋_GB2312" w:hint="eastAsia"/>
          <w:sz w:val="32"/>
          <w:szCs w:val="32"/>
          <w:lang w:val="en-US" w:eastAsia="zh-CN"/>
        </w:rPr>
        <w:t>万元</w:t>
      </w:r>
      <w:r>
        <w:rPr>
          <w:rFonts w:ascii="仿宋_GB2312" w:eastAsia="仿宋_GB2312" w:cs="仿宋_GB2312" w:hAnsi="仿宋_GB2312" w:hint="eastAsia"/>
          <w:sz w:val="32"/>
          <w:szCs w:val="32"/>
          <w:lang w:eastAsia="zh-CN"/>
        </w:rPr>
        <w:t>，年末固定资产净值</w:t>
      </w:r>
      <w:r>
        <w:rPr>
          <w:rFonts w:ascii="仿宋_GB2312" w:eastAsia="仿宋_GB2312" w:cs="仿宋_GB2312" w:hAnsi="仿宋_GB2312"/>
          <w:sz w:val="32"/>
          <w:szCs w:val="32"/>
          <w:lang w:eastAsia="zh-CN"/>
        </w:rPr>
        <w:t>7.15</w:t>
      </w:r>
      <w:r>
        <w:rPr>
          <w:rFonts w:ascii="仿宋_GB2312" w:eastAsia="仿宋_GB2312" w:cs="仿宋_GB2312" w:hAnsi="仿宋_GB2312" w:hint="eastAsia"/>
          <w:sz w:val="32"/>
          <w:szCs w:val="32"/>
          <w:lang w:val="en-US" w:eastAsia="zh-CN"/>
        </w:rPr>
        <w:t>万元</w:t>
      </w:r>
      <w:r>
        <w:rPr>
          <w:rFonts w:ascii="仿宋_GB2312" w:eastAsia="仿宋_GB2312" w:cs="仿宋_GB2312" w:hAnsi="仿宋_GB2312" w:hint="eastAsia"/>
          <w:sz w:val="32"/>
          <w:szCs w:val="32"/>
          <w:lang w:eastAsia="zh-CN"/>
        </w:rPr>
        <w:t>，无流动资产和负债。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楷体" w:eastAsia="楷体" w:cs="楷体_GB2312" w:hAnsi="楷体"/>
          <w:bCs/>
          <w:sz w:val="32"/>
          <w:szCs w:val="32"/>
        </w:rPr>
      </w:pPr>
      <w:r>
        <w:rPr>
          <w:rFonts w:ascii="楷体" w:eastAsia="楷体" w:cs="楷体_GB2312" w:hAnsi="楷体" w:hint="eastAsia"/>
          <w:bCs/>
          <w:sz w:val="32"/>
          <w:szCs w:val="32"/>
        </w:rPr>
        <w:t>（二）部门收支预决算情况</w:t>
      </w:r>
    </w:p>
    <w:p>
      <w:pPr>
        <w:widowControl/>
        <w:spacing w:line="315" w:lineRule="atLeast"/>
        <w:ind w:left="0" w:firstLineChars="200" w:firstLine="640"/>
        <w:rPr>
          <w:rFonts w:ascii="仿宋_GB2312" w:eastAsia="仿宋_GB2312" w:cs="仿宋_GB2312" w:hint="eastAsia"/>
          <w:sz w:val="32"/>
          <w:szCs w:val="32"/>
          <w:lang w:bidi="ar-SA"/>
        </w:rPr>
      </w:pPr>
      <w:r>
        <w:rPr>
          <w:rFonts w:ascii="仿宋_GB2312" w:eastAsia="仿宋_GB2312" w:cs="仿宋_GB2312" w:hint="eastAsia"/>
          <w:sz w:val="32"/>
          <w:szCs w:val="32"/>
          <w:lang w:bidi="ar-SA"/>
        </w:rPr>
        <w:t>2025年预算收入219.35万元，其中：一般公共预算收入</w:t>
      </w:r>
      <w:r>
        <w:rPr>
          <w:rFonts w:ascii="仿宋_GB2312" w:eastAsia="仿宋_GB2312" w:cs="仿宋_GB2312" w:hint="eastAsia"/>
          <w:sz w:val="32"/>
          <w:szCs w:val="32"/>
          <w:lang w:val="en-US" w:eastAsia="zh-CN" w:bidi="ar-SA"/>
        </w:rPr>
        <w:t>219.35</w:t>
      </w:r>
      <w:r>
        <w:rPr>
          <w:rFonts w:ascii="仿宋_GB2312" w:eastAsia="仿宋_GB2312" w:cs="仿宋_GB2312" w:hint="eastAsia"/>
          <w:sz w:val="32"/>
          <w:szCs w:val="32"/>
          <w:lang w:bidi="ar-SA"/>
        </w:rPr>
        <w:t>万元， 基金预算收入0万元， 财政专户核拨收入0万元， 其他来源收入0万元</w:t>
      </w:r>
      <w:r>
        <w:rPr>
          <w:rFonts w:ascii="仿宋_GB2312" w:eastAsia="仿宋_GB2312" w:cs="仿宋_GB2312" w:hint="eastAsia"/>
          <w:sz w:val="32"/>
          <w:szCs w:val="32"/>
          <w:lang w:eastAsia="zh-CN" w:bidi="ar-SA"/>
        </w:rPr>
        <w:t>，上年度结转结余0</w:t>
      </w:r>
      <w:r>
        <w:rPr>
          <w:rFonts w:ascii="仿宋_GB2312" w:eastAsia="仿宋_GB2312" w:cs="仿宋_GB2312" w:hint="eastAsia"/>
          <w:sz w:val="32"/>
          <w:szCs w:val="32"/>
          <w:lang w:val="en-US" w:eastAsia="zh-CN" w:bidi="ar-SA"/>
        </w:rPr>
        <w:t>万元</w:t>
      </w:r>
      <w:r>
        <w:rPr>
          <w:rFonts w:ascii="仿宋_GB2312" w:eastAsia="仿宋_GB2312" w:cs="仿宋_GB2312" w:hint="eastAsia"/>
          <w:sz w:val="32"/>
          <w:szCs w:val="32"/>
          <w:lang w:bidi="ar-SA"/>
        </w:rPr>
        <w:t>。</w:t>
      </w:r>
    </w:p>
    <w:p>
      <w:pPr>
        <w:widowControl/>
        <w:spacing w:line="315" w:lineRule="atLeast"/>
        <w:ind w:firstLineChars="200" w:firstLine="640"/>
        <w:rPr>
          <w:rFonts w:ascii="仿宋_GB2312" w:eastAsia="仿宋_GB2312" w:cs="仿宋_GB2312"/>
          <w:sz w:val="32"/>
          <w:szCs w:val="32"/>
          <w:lang w:bidi="ar-SA"/>
        </w:rPr>
      </w:pPr>
      <w:r>
        <w:rPr>
          <w:rFonts w:ascii="仿宋_GB2312" w:eastAsia="仿宋_GB2312" w:cs="仿宋_GB2312" w:hint="eastAsia"/>
          <w:sz w:val="32"/>
          <w:szCs w:val="32"/>
          <w:lang w:bidi="ar-SA"/>
        </w:rPr>
        <w:t>2025年预算支出</w:t>
      </w:r>
      <w:r>
        <w:rPr>
          <w:rFonts w:ascii="仿宋_GB2312" w:eastAsia="仿宋_GB2312" w:cs="仿宋_GB2312" w:hint="eastAsia"/>
          <w:sz w:val="32"/>
          <w:szCs w:val="32"/>
          <w:lang w:val="en-US" w:eastAsia="zh-CN" w:bidi="ar-SA"/>
        </w:rPr>
        <w:t>219.35</w:t>
      </w:r>
      <w:r>
        <w:rPr>
          <w:rFonts w:ascii="仿宋_GB2312" w:eastAsia="仿宋_GB2312" w:cs="仿宋_GB2312" w:hint="eastAsia"/>
          <w:sz w:val="32"/>
          <w:szCs w:val="32"/>
          <w:lang w:bidi="ar-SA"/>
        </w:rPr>
        <w:t>万元,与上年对比减少198.46万元，增减变动主要是2025年度人员、项目发生变化。</w:t>
      </w:r>
    </w:p>
    <w:p>
      <w:pPr>
        <w:widowControl/>
        <w:spacing w:line="315" w:lineRule="atLeast"/>
        <w:ind w:firstLineChars="200" w:firstLine="640"/>
        <w:rPr>
          <w:rFonts w:ascii="仿宋_GB2312" w:eastAsia="仿宋_GB2312" w:cs="仿宋_GB2312" w:hint="eastAsia"/>
          <w:sz w:val="32"/>
          <w:szCs w:val="32"/>
          <w:lang w:bidi="ar-SA"/>
        </w:rPr>
      </w:pPr>
      <w:r>
        <w:rPr>
          <w:rFonts w:ascii="仿宋_GB2312" w:eastAsia="仿宋_GB2312" w:cs="DengXian-Regular" w:hint="eastAsia"/>
          <w:sz w:val="32"/>
          <w:szCs w:val="32"/>
          <w:lang w:bidi="ar-SA"/>
        </w:rPr>
        <w:t>2025年收入预算执行219.35万元，完成调整预算的100%；支出预算执行219.35万元，完成调整预算的100%。</w:t>
      </w:r>
    </w:p>
    <w:p>
      <w:pPr>
        <w:adjustRightInd w:val="0"/>
        <w:snapToGrid w:val="0"/>
        <w:spacing w:line="560" w:lineRule="exact"/>
        <w:ind w:left="0" w:firstLineChars="200" w:firstLine="640"/>
        <w:rPr>
          <w:rFonts w:ascii="楷体" w:eastAsia="楷体" w:cs="楷体_GB2312" w:hAnsi="楷体"/>
          <w:bCs/>
          <w:sz w:val="32"/>
          <w:szCs w:val="32"/>
        </w:rPr>
      </w:pPr>
      <w:r>
        <w:rPr>
          <w:rFonts w:ascii="楷体" w:eastAsia="楷体" w:cs="楷体_GB2312" w:hAnsi="楷体" w:hint="eastAsia"/>
          <w:bCs/>
          <w:sz w:val="32"/>
          <w:szCs w:val="32"/>
        </w:rPr>
        <w:t>（三）部门整体支出绩效目标、指标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_GB2312" w:eastAsia="仿宋_GB2312" w:cs="仿宋_GB2312" w:hAnsi="仿宋_GB2312" w:hint="eastAsia"/>
          <w:sz w:val="32"/>
          <w:szCs w:val="32"/>
          <w:lang w:val="en-US" w:eastAsia="zh-CN" w:bidi="ar-SA"/>
        </w:rPr>
        <w:t>坚持以习近平新时代中国特色社会主义思想为指导，全面贯彻党的二十大</w:t>
      </w:r>
      <w:r>
        <w:rPr>
          <w:rFonts w:ascii="仿宋_GB2312" w:eastAsia="仿宋_GB2312" w:cs="仿宋_GB2312" w:hAnsi="仿宋_GB2312"/>
          <w:sz w:val="32"/>
          <w:szCs w:val="32"/>
          <w:lang w:val="en-US" w:eastAsia="zh-CN" w:bidi="ar-SA"/>
        </w:rPr>
        <w:t>和</w:t>
      </w:r>
      <w:r>
        <w:rPr>
          <w:rFonts w:ascii="仿宋_GB2312" w:eastAsia="仿宋_GB2312" w:cs="仿宋_GB2312" w:hAnsi="仿宋_GB2312" w:hint="eastAsia"/>
          <w:sz w:val="32"/>
          <w:szCs w:val="32"/>
          <w:lang w:val="en-US" w:eastAsia="zh-CN" w:bidi="ar-SA"/>
        </w:rPr>
        <w:t>二十届历次全会精神，坚持稳中求进工作总基调，聚焦主责主业，聚力攻坚克难，全力抓招商、扩消费、稳增长、促开放，为我区经济社会高质量发展贡献商务力量。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二、自评工作开展情况</w:t>
      </w:r>
    </w:p>
    <w:p>
      <w:pPr>
        <w:spacing w:line="560" w:lineRule="exact"/>
        <w:rPr>
          <w:rFonts w:ascii="楷体" w:eastAsia="楷体" w:cs="楷体_GB2312" w:hAnsi="楷体"/>
          <w:sz w:val="32"/>
          <w:szCs w:val="32"/>
        </w:rPr>
      </w:pPr>
      <w:r>
        <w:rPr>
          <w:rFonts w:ascii="仿宋" w:eastAsia="仿宋" w:cs="楷体_GB2312" w:hAnsi="仿宋" w:hint="eastAsia"/>
          <w:b/>
          <w:bCs/>
          <w:sz w:val="32"/>
          <w:szCs w:val="32"/>
        </w:rPr>
        <w:t xml:space="preserve">    </w:t>
      </w:r>
      <w:r>
        <w:rPr>
          <w:rFonts w:ascii="楷体" w:eastAsia="楷体" w:cs="楷体_GB2312" w:hAnsi="楷体" w:hint="eastAsia"/>
          <w:bCs/>
          <w:sz w:val="32"/>
          <w:szCs w:val="32"/>
        </w:rPr>
        <w:t>（一）自评的组织工作</w:t>
      </w:r>
    </w:p>
    <w:p>
      <w:pPr>
        <w:spacing w:line="560" w:lineRule="exact"/>
        <w:rPr>
          <w:rFonts w:ascii="仿宋_GB2312" w:eastAsia="仿宋_GB2312" w:cs="仿宋_GB2312" w:hAnsi="仿宋_GB2312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</w:t>
      </w:r>
      <w:r>
        <w:rPr>
          <w:rFonts w:ascii="仿宋_GB2312" w:eastAsia="仿宋_GB2312" w:cs="仿宋_GB2312" w:hAnsi="仿宋_GB2312" w:hint="eastAsia"/>
          <w:sz w:val="32"/>
          <w:szCs w:val="32"/>
          <w:lang w:eastAsia="zh-CN"/>
        </w:rPr>
        <w:t>根据</w:t>
      </w:r>
      <w:r>
        <w:rPr>
          <w:rFonts w:ascii="仿宋_GB2312" w:eastAsia="仿宋_GB2312" w:cs="仿宋_GB2312" w:hAnsi="仿宋_GB2312" w:hint="eastAsia"/>
          <w:sz w:val="32"/>
          <w:szCs w:val="32"/>
        </w:rPr>
        <w:t>区</w:t>
      </w:r>
      <w:r>
        <w:rPr>
          <w:rFonts w:ascii="仿宋_GB2312" w:eastAsia="仿宋_GB2312" w:cs="仿宋_GB2312" w:hAnsi="仿宋_GB2312" w:hint="eastAsia"/>
          <w:sz w:val="32"/>
          <w:szCs w:val="32"/>
          <w:lang w:eastAsia="zh-CN"/>
        </w:rPr>
        <w:t>财政局</w:t>
      </w:r>
      <w:r>
        <w:rPr>
          <w:rFonts w:ascii="仿宋_GB2312" w:eastAsia="仿宋_GB2312" w:cs="仿宋_GB2312" w:hAnsi="仿宋_GB2312" w:hint="eastAsia"/>
          <w:sz w:val="32"/>
          <w:szCs w:val="32"/>
        </w:rPr>
        <w:t>《</w:t>
      </w:r>
      <w:r>
        <w:rPr>
          <w:rFonts w:ascii="仿宋_GB2312" w:eastAsia="仿宋_GB2312" w:cs="仿宋_GB2312" w:hAnsi="仿宋_GB2312" w:hint="eastAsia"/>
          <w:sz w:val="32"/>
          <w:szCs w:val="32"/>
          <w:lang w:eastAsia="zh-CN"/>
        </w:rPr>
        <w:t>井陉矿区区级部门项目绩效自评管理办法</w:t>
      </w:r>
      <w:r>
        <w:rPr>
          <w:rFonts w:ascii="仿宋_GB2312" w:eastAsia="仿宋_GB2312" w:cs="仿宋_GB2312" w:hAnsi="仿宋_GB2312" w:hint="eastAsia"/>
          <w:sz w:val="32"/>
          <w:szCs w:val="32"/>
        </w:rPr>
        <w:t>》（矿</w:t>
      </w:r>
      <w:r>
        <w:rPr>
          <w:rFonts w:ascii="仿宋_GB2312" w:eastAsia="仿宋_GB2312" w:cs="仿宋_GB2312" w:hAnsi="仿宋_GB2312" w:hint="eastAsia"/>
          <w:sz w:val="32"/>
          <w:szCs w:val="32"/>
          <w:lang w:eastAsia="zh-CN"/>
        </w:rPr>
        <w:t>财</w:t>
      </w:r>
      <w:r>
        <w:rPr>
          <w:rFonts w:ascii="仿宋_GB2312" w:eastAsia="仿宋_GB2312" w:cs="仿宋_GB2312" w:hAnsi="仿宋_GB2312" w:hint="eastAsia"/>
          <w:sz w:val="32"/>
          <w:szCs w:val="32"/>
        </w:rPr>
        <w:t>﹝20</w:t>
      </w:r>
      <w:r>
        <w:rPr>
          <w:rFonts w:ascii="仿宋_GB2312" w:eastAsia="仿宋_GB2312" w:cs="仿宋_GB2312" w:hAnsi="仿宋_GB2312" w:hint="eastAsia"/>
          <w:sz w:val="32"/>
          <w:szCs w:val="32"/>
          <w:lang w:val="en-US" w:eastAsia="zh-CN"/>
        </w:rPr>
        <w:t>21</w:t>
      </w:r>
      <w:r>
        <w:rPr>
          <w:rFonts w:ascii="仿宋_GB2312" w:eastAsia="仿宋_GB2312" w:cs="仿宋_GB2312" w:hAnsi="仿宋_GB2312" w:hint="eastAsia"/>
          <w:sz w:val="32"/>
          <w:szCs w:val="32"/>
        </w:rPr>
        <w:t>﹞</w:t>
      </w:r>
      <w:r>
        <w:rPr>
          <w:rFonts w:ascii="仿宋_GB2312" w:eastAsia="仿宋_GB2312" w:cs="仿宋_GB2312" w:hAnsi="仿宋_GB2312" w:hint="eastAsia"/>
          <w:sz w:val="32"/>
          <w:szCs w:val="32"/>
          <w:lang w:val="en-US" w:eastAsia="zh-CN"/>
        </w:rPr>
        <w:t>12</w:t>
      </w:r>
      <w:r>
        <w:rPr>
          <w:rFonts w:ascii="仿宋_GB2312" w:eastAsia="仿宋_GB2312" w:cs="仿宋_GB2312" w:hAnsi="仿宋_GB2312" w:hint="eastAsia"/>
          <w:sz w:val="32"/>
          <w:szCs w:val="32"/>
        </w:rPr>
        <w:t>号）文件</w:t>
      </w:r>
      <w:r>
        <w:rPr>
          <w:rFonts w:ascii="仿宋_GB2312" w:eastAsia="仿宋_GB2312" w:cs="仿宋_GB2312" w:hAnsi="仿宋_GB2312" w:hint="eastAsia"/>
          <w:sz w:val="32"/>
          <w:szCs w:val="32"/>
          <w:lang w:eastAsia="zh-CN"/>
        </w:rPr>
        <w:t>要求，我局高度重视此项绩效自评工作，成立了由局长</w:t>
      </w:r>
      <w:r>
        <w:rPr>
          <w:rFonts w:ascii="仿宋_GB2312" w:eastAsia="仿宋_GB2312" w:cs="仿宋_GB2312" w:hAnsi="仿宋_GB2312"/>
          <w:sz w:val="32"/>
          <w:szCs w:val="32"/>
          <w:lang w:eastAsia="zh-CN"/>
        </w:rPr>
        <w:t>吴涛</w:t>
      </w:r>
      <w:r>
        <w:rPr>
          <w:rFonts w:ascii="仿宋_GB2312" w:eastAsia="仿宋_GB2312" w:cs="仿宋_GB2312" w:hAnsi="仿宋_GB2312" w:hint="eastAsia"/>
          <w:sz w:val="32"/>
          <w:szCs w:val="32"/>
          <w:lang w:eastAsia="zh-CN"/>
        </w:rPr>
        <w:t>担任组长的绩效评价小组，副组长由</w:t>
      </w:r>
      <w:r>
        <w:rPr>
          <w:rFonts w:ascii="仿宋_GB2312" w:eastAsia="仿宋_GB2312" w:cs="仿宋_GB2312" w:hAnsi="仿宋_GB2312"/>
          <w:sz w:val="32"/>
          <w:szCs w:val="32"/>
          <w:lang w:eastAsia="zh-CN"/>
        </w:rPr>
        <w:t>一级主任科员阎新海</w:t>
      </w:r>
      <w:r>
        <w:rPr>
          <w:rFonts w:ascii="仿宋_GB2312" w:eastAsia="仿宋_GB2312" w:cs="仿宋_GB2312" w:hAnsi="仿宋_GB2312" w:hint="eastAsia"/>
          <w:sz w:val="32"/>
          <w:szCs w:val="32"/>
          <w:lang w:eastAsia="zh-CN"/>
        </w:rPr>
        <w:t>担任，成员包括单位办公室、商贸股、投促股、财务人员，评价组按照通知要求，明确评价内容、评价程序及时间安排，并通知单位相关人员提前准备相关资料，积极配合做好自评工作。评价以202</w:t>
      </w:r>
      <w:r>
        <w:rPr>
          <w:rFonts w:ascii="仿宋_GB2312" w:eastAsia="仿宋_GB2312" w:cs="仿宋_GB2312" w:hAnsi="仿宋_GB2312"/>
          <w:sz w:val="32"/>
          <w:szCs w:val="32"/>
          <w:lang w:eastAsia="zh-CN"/>
        </w:rPr>
        <w:t>5</w:t>
      </w:r>
      <w:r>
        <w:rPr>
          <w:rFonts w:ascii="仿宋_GB2312" w:eastAsia="仿宋_GB2312" w:cs="仿宋_GB2312" w:hAnsi="仿宋_GB2312" w:hint="eastAsia"/>
          <w:sz w:val="32"/>
          <w:szCs w:val="32"/>
          <w:lang w:eastAsia="zh-CN"/>
        </w:rPr>
        <w:t>年项目绩效目标和绩效指标为依据，通过对相关账目进行核实，对比各绩效指标完成情况，进一步分析和总结，对</w:t>
      </w:r>
      <w:r>
        <w:rPr>
          <w:rFonts w:ascii="仿宋_GB2312" w:eastAsia="仿宋_GB2312" w:cs="仿宋_GB2312" w:hAnsi="仿宋_GB2312" w:hint="eastAsia"/>
          <w:sz w:val="32"/>
          <w:szCs w:val="32"/>
          <w:lang w:val="en-US" w:eastAsia="zh-CN"/>
        </w:rPr>
        <w:t>1</w:t>
      </w:r>
      <w:r>
        <w:rPr>
          <w:rFonts w:ascii="仿宋_GB2312" w:eastAsia="仿宋_GB2312" w:cs="仿宋_GB2312" w:hAnsi="仿宋_GB2312"/>
          <w:sz w:val="32"/>
          <w:szCs w:val="32"/>
          <w:lang w:val="en-US" w:eastAsia="zh-CN"/>
        </w:rPr>
        <w:t>1</w:t>
      </w:r>
      <w:r>
        <w:rPr>
          <w:rFonts w:ascii="仿宋_GB2312" w:eastAsia="仿宋_GB2312" w:cs="仿宋_GB2312" w:hAnsi="仿宋_GB2312" w:hint="eastAsia"/>
          <w:sz w:val="32"/>
          <w:szCs w:val="32"/>
          <w:lang w:eastAsia="zh-CN"/>
        </w:rPr>
        <w:t>个项目进行了自评价，并完成《石家庄市井陉矿区部门预算项目绩效自评表》。</w:t>
      </w:r>
    </w:p>
    <w:p>
      <w:pPr>
        <w:spacing w:line="560" w:lineRule="exact"/>
        <w:ind w:firstLineChars="200" w:firstLine="640"/>
        <w:rPr>
          <w:rFonts w:ascii="楷体" w:eastAsia="楷体" w:cs="楷体_GB2312" w:hAnsi="楷体"/>
          <w:bCs/>
          <w:sz w:val="32"/>
          <w:szCs w:val="32"/>
        </w:rPr>
      </w:pPr>
      <w:r>
        <w:rPr>
          <w:rFonts w:ascii="楷体" w:eastAsia="楷体" w:cs="楷体_GB2312" w:hAnsi="楷体"/>
          <w:bCs/>
          <w:sz w:val="32"/>
          <w:szCs w:val="32"/>
        </w:rPr>
        <w:t>（二）</w:t>
      </w:r>
      <w:r>
        <w:rPr>
          <w:rFonts w:ascii="楷体" w:eastAsia="楷体" w:cs="楷体_GB2312" w:hAnsi="楷体" w:hint="eastAsia"/>
          <w:bCs/>
          <w:sz w:val="32"/>
          <w:szCs w:val="32"/>
        </w:rPr>
        <w:t>自评的方法和过程</w:t>
      </w:r>
    </w:p>
    <w:p>
      <w:pPr>
        <w:spacing w:line="560" w:lineRule="exact"/>
        <w:ind w:firstLineChars="200" w:firstLine="640"/>
        <w:rPr>
          <w:rFonts w:ascii="仿宋_GB2312" w:eastAsia="仿宋_GB2312" w:cs="仿宋_GB2312" w:hAnsi="仿宋_GB2312" w:hint="eastAsia"/>
          <w:sz w:val="32"/>
          <w:szCs w:val="32"/>
          <w:lang w:eastAsia="zh-CN"/>
        </w:rPr>
      </w:pPr>
      <w:r>
        <w:rPr>
          <w:rFonts w:ascii="仿宋_GB2312" w:eastAsia="仿宋_GB2312" w:cs="仿宋_GB2312" w:hAnsi="仿宋_GB2312" w:hint="eastAsia"/>
          <w:sz w:val="32"/>
          <w:szCs w:val="32"/>
          <w:lang w:eastAsia="zh-CN"/>
        </w:rPr>
        <w:t>预算项目绩效管理小组根据本单位预算项目的内容、操作流程、管理机制、资金使用、产出效果等情况，根据项目的实际情况和绩效管理要求制定绩效评价工作方案，与项目相关业务科室人员进行了座谈，并抽查了财务记账凭证及部分佐证材料。对复核后的数据和资料进行汇总，依据评分标准对评价指标进行评分，对我部门202</w:t>
      </w:r>
      <w:r>
        <w:rPr>
          <w:rFonts w:ascii="仿宋_GB2312" w:eastAsia="仿宋_GB2312" w:cs="仿宋_GB2312" w:hAnsi="仿宋_GB2312"/>
          <w:sz w:val="32"/>
          <w:szCs w:val="32"/>
          <w:lang w:eastAsia="zh-CN"/>
        </w:rPr>
        <w:t>5</w:t>
      </w:r>
      <w:r>
        <w:rPr>
          <w:rFonts w:ascii="仿宋_GB2312" w:eastAsia="仿宋_GB2312" w:cs="仿宋_GB2312" w:hAnsi="仿宋_GB2312" w:hint="eastAsia"/>
          <w:sz w:val="32"/>
          <w:szCs w:val="32"/>
          <w:lang w:eastAsia="zh-CN"/>
        </w:rPr>
        <w:t>年经费使用情况进行了全方位自查和自评，并通过绩效分析形成绩效评价报告。</w:t>
      </w:r>
    </w:p>
    <w:p>
      <w:pPr>
        <w:spacing w:line="560" w:lineRule="exact"/>
        <w:ind w:firstLineChars="200" w:firstLine="640"/>
        <w:rPr>
          <w:rFonts w:ascii="黑体" w:eastAsia="黑体" w:hAnsi="黑体"/>
          <w:b/>
          <w:bCs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三、部门整体支出绩效目标实现情况及指标分析</w:t>
      </w:r>
    </w:p>
    <w:p>
      <w:pPr>
        <w:numPr>
          <w:ilvl w:val="0"/>
          <w:numId w:val="1"/>
        </w:numPr>
        <w:spacing w:line="560" w:lineRule="exact"/>
        <w:ind w:left="0" w:firstLineChars="200" w:firstLine="640"/>
        <w:rPr>
          <w:rFonts w:ascii="楷体" w:eastAsia="楷体" w:cs="楷体_GB2312" w:hAnsi="楷体"/>
          <w:bCs/>
          <w:sz w:val="32"/>
          <w:szCs w:val="32"/>
        </w:rPr>
      </w:pPr>
      <w:r>
        <w:rPr>
          <w:rFonts w:ascii="楷体" w:eastAsia="楷体" w:cs="楷体_GB2312" w:hAnsi="楷体" w:hint="eastAsia"/>
          <w:bCs/>
          <w:sz w:val="32"/>
          <w:szCs w:val="32"/>
        </w:rPr>
        <w:t>总体绩效目标实现情况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beforeAutospacing="0" w:afterAutospacing="0" w:line="600" w:lineRule="exact"/>
        <w:ind w:firstLineChars="200" w:firstLine="640"/>
        <w:rPr>
          <w:rFonts w:ascii="仿宋_GB2312" w:eastAsia="仿宋_GB2312" w:cs="仿宋_GB2312" w:hAnsi="仿宋_GB2312" w:hint="eastAsia"/>
          <w:sz w:val="32"/>
          <w:szCs w:val="32"/>
        </w:rPr>
      </w:pPr>
      <w:r>
        <w:rPr>
          <w:rFonts w:ascii="仿宋_GB2312" w:eastAsia="仿宋_GB2312" w:cs="仿宋_GB2312" w:hint="eastAsia"/>
          <w:sz w:val="32"/>
          <w:szCs w:val="32"/>
          <w:lang w:bidi="ar-SA"/>
        </w:rPr>
        <w:t>2025年以来，</w:t>
      </w:r>
      <w:r>
        <w:rPr>
          <w:rFonts w:ascii="仿宋_GB2312" w:eastAsia="仿宋_GB2312" w:cs="仿宋_GB2312" w:hAnsi="仿宋_GB2312" w:hint="eastAsia"/>
          <w:sz w:val="32"/>
          <w:szCs w:val="32"/>
          <w:lang w:val="en-US" w:eastAsia="zh-CN" w:bidi="ar-SA"/>
        </w:rPr>
        <w:t>商务局始终坚持以习近平新时代中国特色社会主义思想为指导，全面贯彻党的二十大</w:t>
      </w:r>
      <w:r>
        <w:rPr>
          <w:rFonts w:ascii="仿宋_GB2312" w:eastAsia="仿宋_GB2312" w:cs="仿宋_GB2312" w:hAnsi="仿宋_GB2312"/>
          <w:sz w:val="32"/>
          <w:szCs w:val="32"/>
          <w:lang w:val="en-US" w:eastAsia="zh-CN" w:bidi="ar-SA"/>
        </w:rPr>
        <w:t>和</w:t>
      </w:r>
      <w:r>
        <w:rPr>
          <w:rFonts w:ascii="仿宋_GB2312" w:eastAsia="仿宋_GB2312" w:cs="仿宋_GB2312" w:hAnsi="仿宋_GB2312" w:hint="eastAsia"/>
          <w:sz w:val="32"/>
          <w:szCs w:val="32"/>
          <w:lang w:val="en-US" w:eastAsia="zh-CN" w:bidi="ar-SA"/>
        </w:rPr>
        <w:t>二十届历次全会精神，坚持稳中求进工作总基调，聚焦主责主业，聚力攻坚克难，全力抓招商、扩消费、稳增长、促开放，为我区经济社会高质量发展贡献了商务力量。</w:t>
      </w:r>
    </w:p>
    <w:p>
      <w:pPr>
        <w:spacing w:line="560" w:lineRule="exact"/>
        <w:rPr>
          <w:rFonts w:ascii="楷体" w:eastAsia="楷体" w:hAnsi="楷体"/>
          <w:bCs/>
          <w:sz w:val="32"/>
          <w:szCs w:val="32"/>
        </w:rPr>
      </w:pPr>
      <w:r>
        <w:rPr>
          <w:rFonts w:ascii="仿宋" w:eastAsia="仿宋" w:cs="楷体_GB2312" w:hAnsi="仿宋" w:hint="eastAsia"/>
          <w:b/>
          <w:bCs/>
          <w:sz w:val="32"/>
          <w:szCs w:val="32"/>
        </w:rPr>
        <w:t xml:space="preserve">    </w:t>
      </w:r>
      <w:r>
        <w:rPr>
          <w:rFonts w:ascii="楷体" w:eastAsia="楷体" w:cs="楷体_GB2312" w:hAnsi="楷体" w:hint="eastAsia"/>
          <w:bCs/>
          <w:sz w:val="32"/>
          <w:szCs w:val="32"/>
        </w:rPr>
        <w:t>（二）分项绩效目标实现情况及指标分析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beforeAutospacing="0" w:afterAutospacing="0" w:line="600" w:lineRule="exact"/>
        <w:ind w:firstLineChars="200" w:firstLine="640"/>
        <w:rPr>
          <w:rFonts w:ascii="仿宋_GB2312" w:eastAsia="仿宋_GB2312" w:cs="仿宋_GB2312" w:hAnsi="仿宋_GB2312" w:hint="eastAsia"/>
          <w:sz w:val="32"/>
          <w:szCs w:val="32"/>
          <w:u w:val="single"/>
          <w:lang w:bidi="ar-SA"/>
        </w:rPr>
      </w:pPr>
      <w:r>
        <w:rPr>
          <w:rFonts w:ascii="仿宋_GB2312" w:eastAsia="仿宋_GB2312" w:cs="仿宋_GB2312" w:hAnsi="仿宋_GB2312" w:hint="eastAsia"/>
          <w:b/>
          <w:bCs/>
          <w:sz w:val="32"/>
          <w:szCs w:val="32"/>
          <w:u w:val="none"/>
          <w:lang w:eastAsia="zh-CN" w:bidi="ar-SA"/>
        </w:rPr>
        <w:t>招商引资方面：</w:t>
      </w:r>
      <w:r>
        <w:rPr>
          <w:rFonts w:ascii="仿宋_GB2312" w:eastAsia="仿宋_GB2312" w:cs="仿宋_GB2312" w:hAnsi="仿宋_GB2312" w:hint="eastAsia"/>
          <w:sz w:val="32"/>
          <w:szCs w:val="32"/>
          <w:u w:val="none"/>
          <w:lang w:eastAsia="zh-CN" w:bidi="ar-SA"/>
        </w:rPr>
        <w:t>牵头</w:t>
      </w:r>
      <w:r>
        <w:rPr>
          <w:rFonts w:ascii="仿宋_GB2312" w:eastAsia="仿宋_GB2312" w:hint="eastAsia"/>
          <w:sz w:val="32"/>
          <w:szCs w:val="32"/>
          <w:lang w:val="en-US" w:eastAsia="zh-CN"/>
        </w:rPr>
        <w:t>制定《全区</w:t>
      </w:r>
      <w:r>
        <w:rPr>
          <w:rFonts w:ascii="仿宋_GB2312" w:eastAsia="仿宋_GB2312" w:cs="仿宋_GB2312" w:hAnsi="宋体" w:hint="eastAsia"/>
          <w:sz w:val="32"/>
          <w:szCs w:val="32"/>
          <w:lang w:val="en-US" w:bidi="ar-SA"/>
        </w:rPr>
        <w:t>2025</w:t>
      </w:r>
      <w:r>
        <w:rPr>
          <w:rFonts w:ascii="仿宋_GB2312" w:eastAsia="仿宋_GB2312" w:hint="eastAsia"/>
          <w:sz w:val="32"/>
          <w:szCs w:val="32"/>
          <w:lang w:val="en-US" w:eastAsia="zh-CN"/>
        </w:rPr>
        <w:t>年招商引资工作实施方案》，构建“精准招商为主、全员招商为辅”的工作体系，组建</w:t>
      </w:r>
      <w:r>
        <w:rPr>
          <w:rFonts w:ascii="仿宋_GB2312" w:eastAsia="仿宋_GB2312" w:cs="仿宋_GB2312" w:hAnsi="仿宋_GB2312" w:hint="eastAsia"/>
          <w:kern w:val="2"/>
          <w:sz w:val="32"/>
          <w:szCs w:val="32"/>
          <w:lang w:val="en-US" w:eastAsia="zh-CN" w:bidi="ar-SA"/>
        </w:rPr>
        <w:t>以区委书记为政委、政府区长为指挥长的“</w:t>
      </w:r>
      <w:r>
        <w:rPr>
          <w:rFonts w:ascii="仿宋_GB2312" w:eastAsia="仿宋_GB2312" w:cs="仿宋_GB2312" w:hAnsi="宋体" w:hint="eastAsia"/>
          <w:sz w:val="32"/>
          <w:szCs w:val="32"/>
          <w:lang w:val="en-US" w:bidi="ar-SA"/>
        </w:rPr>
        <w:t>1</w:t>
      </w:r>
      <w:r>
        <w:rPr>
          <w:rFonts w:ascii="仿宋_GB2312" w:eastAsia="仿宋_GB2312" w:cs="仿宋_GB2312" w:hAnsi="仿宋_GB2312" w:hint="eastAsia"/>
          <w:kern w:val="2"/>
          <w:sz w:val="32"/>
          <w:szCs w:val="32"/>
          <w:lang w:val="en-US" w:eastAsia="zh-CN" w:bidi="ar-SA"/>
        </w:rPr>
        <w:t>个指挥部+</w:t>
      </w:r>
      <w:r>
        <w:rPr>
          <w:rFonts w:ascii="仿宋_GB2312" w:eastAsia="仿宋_GB2312" w:cs="仿宋_GB2312" w:hAnsi="宋体" w:hint="eastAsia"/>
          <w:sz w:val="32"/>
          <w:szCs w:val="32"/>
          <w:lang w:val="en-US" w:bidi="ar-SA"/>
        </w:rPr>
        <w:t>5</w:t>
      </w:r>
      <w:r>
        <w:rPr>
          <w:rFonts w:ascii="仿宋_GB2312" w:eastAsia="仿宋_GB2312" w:cs="仿宋_GB2312" w:hAnsi="仿宋_GB2312" w:hint="eastAsia"/>
          <w:kern w:val="2"/>
          <w:sz w:val="32"/>
          <w:szCs w:val="32"/>
          <w:lang w:val="en-US" w:eastAsia="zh-CN" w:bidi="ar-SA"/>
        </w:rPr>
        <w:t>个精准招商组+</w:t>
      </w:r>
      <w:r>
        <w:rPr>
          <w:rFonts w:ascii="仿宋_GB2312" w:eastAsia="仿宋_GB2312" w:cs="仿宋_GB2312" w:hAnsi="宋体" w:hint="eastAsia"/>
          <w:sz w:val="32"/>
          <w:szCs w:val="32"/>
          <w:lang w:val="en-US" w:bidi="ar-SA"/>
        </w:rPr>
        <w:t>1</w:t>
      </w:r>
      <w:r>
        <w:rPr>
          <w:rFonts w:ascii="仿宋_GB2312" w:eastAsia="仿宋_GB2312" w:cs="仿宋_GB2312" w:hAnsi="仿宋_GB2312" w:hint="eastAsia"/>
          <w:kern w:val="2"/>
          <w:sz w:val="32"/>
          <w:szCs w:val="32"/>
          <w:lang w:val="en-US" w:eastAsia="zh-CN" w:bidi="ar-SA"/>
        </w:rPr>
        <w:t>个保</w:t>
      </w:r>
      <w:r>
        <w:rPr>
          <w:rFonts w:ascii="仿宋_GB2312" w:eastAsia="仿宋_GB2312" w:cs="仿宋_GB2312" w:hAnsi="宋体" w:hint="eastAsia"/>
          <w:sz w:val="32"/>
          <w:szCs w:val="32"/>
          <w:lang w:bidi="ar-SA"/>
        </w:rPr>
        <w:t>障组”的工作机制，绘制三大产业招商图谱，建立动态更新的13块招商地块和101处闲置厂房台账。总投资15亿元的河北轨道交通产教融合园区项目顺利落地，填补了我区高等教育空白；塞艾斯特种钢管新材料项目作为石钢产业链关键延链补链项目，总投资1.5亿元，实现当年签约、当年落地、当年订购设备；北京食平方IGBT/MOSFET封装生产线项目系我区引进的首个高科技芯片类项目，为培育战略性新兴产业注入关键动能；朗福影视短</w:t>
      </w:r>
      <w:bookmarkStart w:id="0" w:name="_GoBack"/>
      <w:bookmarkEnd w:id="0"/>
      <w:r>
        <w:rPr>
          <w:rFonts w:ascii="仿宋_GB2312" w:eastAsia="仿宋_GB2312" w:cs="仿宋_GB2312" w:hAnsi="宋体" w:hint="eastAsia"/>
          <w:sz w:val="32"/>
          <w:szCs w:val="32"/>
          <w:lang w:bidi="ar-SA"/>
        </w:rPr>
        <w:t>剧制作基地落户，有效拉动了三产服务业发展。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spacing w:beforeAutospacing="0" w:afterAutospacing="0" w:line="600" w:lineRule="exact"/>
        <w:ind w:left="0" w:firstLineChars="200" w:firstLine="640"/>
        <w:rPr>
          <w:rFonts w:ascii="仿宋_GB2312" w:eastAsia="仿宋_GB2312" w:cs="仿宋_GB2312" w:hAnsi="宋体" w:hint="eastAsia"/>
          <w:sz w:val="32"/>
          <w:szCs w:val="32"/>
          <w:lang w:eastAsia="zh-CN" w:bidi="ar-SA"/>
        </w:rPr>
      </w:pPr>
      <w:r>
        <w:rPr>
          <w:rFonts w:ascii="仿宋_GB2312" w:eastAsia="仿宋_GB2312" w:cs="仿宋_GB2312" w:hAnsi="仿宋" w:hint="eastAsia"/>
          <w:b/>
          <w:bCs/>
          <w:sz w:val="32"/>
          <w:szCs w:val="32"/>
          <w:u w:val="none"/>
          <w:lang w:eastAsia="zh-CN" w:bidi="ar-SA"/>
        </w:rPr>
        <w:t>促消费方面：</w:t>
      </w:r>
      <w:r>
        <w:rPr>
          <w:rFonts w:ascii="仿宋_GB2312" w:eastAsia="仿宋_GB2312" w:cs="仿宋_GB2312" w:hAnsi="宋体" w:hint="eastAsia"/>
          <w:sz w:val="32"/>
          <w:szCs w:val="32"/>
          <w:lang w:eastAsia="zh-CN" w:bidi="ar-SA"/>
        </w:rPr>
        <w:t>积极争取上级资金265.5万元，大力开展中秋国庆</w:t>
      </w:r>
      <w:r>
        <w:rPr>
          <w:rFonts w:ascii="仿宋_GB2312" w:eastAsia="仿宋_GB2312" w:cs="仿宋_GB2312" w:hAnsi="宋体"/>
          <w:sz w:val="32"/>
          <w:szCs w:val="32"/>
          <w:lang w:eastAsia="zh-CN" w:bidi="ar-SA"/>
        </w:rPr>
        <w:t>促销</w:t>
      </w:r>
      <w:r>
        <w:rPr>
          <w:rFonts w:ascii="仿宋_GB2312" w:eastAsia="仿宋_GB2312" w:cs="仿宋_GB2312" w:hAnsi="宋体" w:hint="eastAsia"/>
          <w:sz w:val="32"/>
          <w:szCs w:val="32"/>
          <w:lang w:eastAsia="zh-CN" w:bidi="ar-SA"/>
        </w:rPr>
        <w:t>活动，稳步落实“以旧换新”政策，为全区39家企业争取了参与资格，</w:t>
      </w:r>
      <w:r>
        <w:rPr>
          <w:rFonts w:ascii="仿宋_GB2312" w:eastAsia="仿宋_GB2312" w:cs="仿宋_GB2312" w:hint="eastAsia"/>
          <w:sz w:val="32"/>
          <w:szCs w:val="32"/>
          <w:lang w:bidi="ar-SA"/>
        </w:rPr>
        <w:t>累计销售</w:t>
      </w:r>
      <w:r>
        <w:rPr>
          <w:rFonts w:ascii="仿宋_GB2312" w:eastAsia="仿宋_GB2312" w:cs="仿宋_GB2312" w:hAnsi="宋体" w:hint="eastAsia"/>
          <w:sz w:val="32"/>
          <w:szCs w:val="32"/>
          <w:lang w:eastAsia="zh-CN" w:bidi="ar-SA"/>
        </w:rPr>
        <w:t>1445.27万元，增长50%，获取补贴金额238.33万元，增长40%，带动家电、家装、电动自行车及数码3C等重点领域销售提升，增长势头稳定。</w:t>
      </w:r>
      <w:r>
        <w:rPr>
          <w:rFonts w:ascii="仿宋_GB2312" w:eastAsia="仿宋_GB2312" w:cs="仿宋_GB2312" w:hAnsi="方正仿宋_GB2312" w:hint="eastAsia"/>
          <w:sz w:val="32"/>
          <w:szCs w:val="32"/>
          <w:lang w:val="en-US" w:eastAsia="zh-CN" w:bidi="ar-SA"/>
        </w:rPr>
        <w:t>今</w:t>
      </w:r>
      <w:r>
        <w:rPr>
          <w:rFonts w:ascii="仿宋_GB2312" w:eastAsia="仿宋_GB2312" w:cs="仿宋_GB2312" w:hAnsi="宋体" w:hint="eastAsia"/>
          <w:sz w:val="32"/>
          <w:szCs w:val="32"/>
          <w:lang w:eastAsia="zh-CN" w:bidi="ar-SA"/>
        </w:rPr>
        <w:t>年以来，成功培育珀尚商贸和浩浩生活超市2家企业入统，其中珀尚商贸年内贡献销售额1087万元，为后续增长储备动能。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spacing w:beforeAutospacing="0" w:afterAutospacing="0" w:line="600" w:lineRule="exact"/>
        <w:ind w:left="0" w:firstLineChars="200" w:firstLine="640"/>
        <w:rPr>
          <w:rFonts w:ascii="仿宋_GB2312" w:eastAsia="仿宋_GB2312" w:cs="仿宋_GB2312" w:hAnsi="方正仿宋_GB2312" w:hint="eastAsia"/>
          <w:sz w:val="32"/>
          <w:szCs w:val="32"/>
          <w:lang w:val="en-US" w:eastAsia="zh-CN" w:bidi="ar-SA"/>
        </w:rPr>
      </w:pPr>
      <w:r>
        <w:rPr>
          <w:rFonts w:ascii="仿宋_GB2312" w:eastAsia="仿宋_GB2312" w:cs="仿宋_GB2312" w:hAnsi="仿宋" w:hint="eastAsia"/>
          <w:b/>
          <w:bCs/>
          <w:sz w:val="32"/>
          <w:szCs w:val="32"/>
          <w:u w:val="none"/>
          <w:lang w:eastAsia="zh-CN" w:bidi="ar-SA"/>
        </w:rPr>
        <w:t>外贸进出口方面：</w:t>
      </w:r>
      <w:r>
        <w:rPr>
          <w:rFonts w:ascii="仿宋_GB2312" w:eastAsia="仿宋_GB2312" w:cs="仿宋_GB2312" w:hAnsi="方正仿宋_GB2312" w:hint="eastAsia"/>
          <w:bCs/>
          <w:sz w:val="32"/>
          <w:szCs w:val="32"/>
          <w:lang w:bidi="ar-SA"/>
        </w:rPr>
        <w:t>深入落实上级外贸扶持政策，强化外贸企业培育力度，推动全区外贸经营主体数量、质量“双提升”。截</w:t>
      </w:r>
      <w:r>
        <w:rPr>
          <w:rFonts w:ascii="仿宋_GB2312" w:eastAsia="仿宋_GB2312" w:cs="仿宋_GB2312" w:hAnsi="方正仿宋_GB2312"/>
          <w:bCs/>
          <w:sz w:val="32"/>
          <w:szCs w:val="32"/>
          <w:lang w:bidi="ar-SA"/>
        </w:rPr>
        <w:t>至</w:t>
      </w:r>
      <w:r>
        <w:rPr>
          <w:rFonts w:ascii="仿宋_GB2312" w:eastAsia="仿宋_GB2312" w:cs="仿宋_GB2312" w:hAnsi="方正仿宋_GB2312" w:hint="eastAsia"/>
          <w:bCs/>
          <w:sz w:val="32"/>
          <w:szCs w:val="32"/>
          <w:lang w:bidi="ar-SA"/>
        </w:rPr>
        <w:t>2025年，全区海关备案外贸企业达19家，较2020年增长70%；成功培育AEO认证企业2家，企业合规经营水平和国际市场竞争力显著增强。聚焦企业发展堵点难点问题，靠前服务、精准发力，累计为企业协调解决通关、融资、贸易摩擦应对等实际问题3个。</w:t>
      </w:r>
      <w:r>
        <w:rPr>
          <w:rFonts w:ascii="仿宋_GB2312" w:eastAsia="仿宋_GB2312" w:cs="仿宋_GB2312" w:hAnsi="方正仿宋_GB2312" w:hint="eastAsia"/>
          <w:sz w:val="32"/>
          <w:szCs w:val="32"/>
          <w:lang w:val="en-US" w:eastAsia="zh-CN" w:bidi="ar-SA"/>
        </w:rPr>
        <w:t>发放AEO认证及各类展会奖补资金共计27.17万元，惠及企业3家，助力企业降本增效、高质量发展。</w:t>
      </w:r>
    </w:p>
    <w:p>
      <w:pPr>
        <w:pStyle w:val="1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spacing w:before="0" w:beforeAutospacing="0" w:after="0" w:afterAutospacing="0" w:line="600" w:lineRule="exact"/>
        <w:ind w:firstLineChars="200" w:firstLine="640"/>
        <w:rPr>
          <w:rFonts w:ascii="仿宋_GB2312" w:eastAsia="仿宋_GB2312" w:cs="仿宋_GB2312" w:hAnsi="仿宋_GB2312" w:hint="eastAsia"/>
          <w:sz w:val="32"/>
          <w:szCs w:val="32"/>
          <w:lang w:bidi="ar-SA"/>
        </w:rPr>
      </w:pPr>
      <w:r>
        <w:rPr>
          <w:rFonts w:ascii="仿宋_GB2312" w:eastAsia="仿宋_GB2312" w:cs="仿宋_GB2312" w:hint="eastAsia"/>
          <w:b/>
          <w:bCs/>
          <w:sz w:val="32"/>
          <w:szCs w:val="32"/>
          <w:u w:val="none"/>
          <w:lang w:val="en-US" w:eastAsia="zh-CN" w:bidi="ar-SA"/>
        </w:rPr>
        <w:t>其他重点工作：</w:t>
      </w:r>
      <w:r>
        <w:rPr>
          <w:rFonts w:ascii="仿宋_GB2312" w:eastAsia="仿宋_GB2312" w:cs="仿宋_GB2312" w:hAnsi="仿宋_GB2312" w:hint="eastAsia"/>
          <w:b/>
          <w:bCs/>
          <w:sz w:val="32"/>
          <w:szCs w:val="32"/>
          <w:u w:val="none"/>
          <w:lang w:val="en-US" w:eastAsia="zh-CN" w:bidi="ar-SA"/>
        </w:rPr>
        <w:t>重点工程项目：</w:t>
      </w:r>
      <w:r>
        <w:rPr>
          <w:rFonts w:ascii="仿宋_GB2312" w:eastAsia="仿宋_GB2312" w:cs="仿宋_GB2312" w:hAnsi="仿宋_GB2312" w:hint="eastAsia"/>
          <w:sz w:val="32"/>
          <w:szCs w:val="32"/>
          <w:u w:val="none"/>
          <w:lang w:val="en-US" w:eastAsia="zh-CN" w:bidi="ar-SA"/>
        </w:rPr>
        <w:t>持续督导</w:t>
      </w:r>
      <w:r>
        <w:rPr>
          <w:rFonts w:ascii="仿宋_GB2312" w:eastAsia="仿宋_GB2312" w:cs="仿宋_GB2312" w:hint="eastAsia"/>
          <w:sz w:val="32"/>
          <w:szCs w:val="32"/>
          <w:lang w:val="en-US" w:eastAsia="zh-CN" w:bidi="ar-SA"/>
        </w:rPr>
        <w:t>云顶商务酒店项目建设，在</w:t>
      </w:r>
      <w:r>
        <w:rPr>
          <w:rFonts w:ascii="仿宋_GB2312" w:eastAsia="仿宋_GB2312" w:cs="仿宋_GB2312" w:hint="eastAsia"/>
          <w:sz w:val="32"/>
          <w:szCs w:val="32"/>
          <w:u w:val="none"/>
          <w:lang w:bidi="ar-SA"/>
        </w:rPr>
        <w:t>严守环保底线和安全红线的前提下加快施工进度，目前</w:t>
      </w:r>
      <w:r>
        <w:rPr>
          <w:rFonts w:ascii="仿宋_GB2312" w:eastAsia="仿宋_GB2312" w:cs="仿宋_GB2312" w:hint="eastAsia"/>
          <w:sz w:val="32"/>
          <w:szCs w:val="32"/>
          <w:lang w:val="en-US" w:eastAsia="zh-CN" w:bidi="ar-SA"/>
        </w:rPr>
        <w:t>已完成主体封顶，二次结构已完成</w:t>
      </w:r>
      <w:r>
        <w:rPr>
          <w:rFonts w:ascii="仿宋_GB2312" w:eastAsia="仿宋_GB2312" w:cs="仿宋_GB2312" w:hint="eastAsia"/>
          <w:sz w:val="32"/>
          <w:szCs w:val="32"/>
          <w:lang w:val="en-US" w:bidi="ar-SA"/>
        </w:rPr>
        <w:t>30%</w:t>
      </w:r>
      <w:r>
        <w:rPr>
          <w:rFonts w:ascii="仿宋_GB2312" w:eastAsia="仿宋_GB2312" w:cs="仿宋_GB2312" w:hint="eastAsia"/>
          <w:sz w:val="32"/>
          <w:szCs w:val="32"/>
          <w:lang w:val="en-US" w:eastAsia="zh-CN" w:bidi="ar-SA"/>
        </w:rPr>
        <w:t>，计划固投总</w:t>
      </w:r>
      <w:r>
        <w:rPr>
          <w:rFonts w:ascii="仿宋_GB2312" w:eastAsia="仿宋_GB2312" w:cs="仿宋_GB2312" w:hint="eastAsia"/>
          <w:color w:val="000000"/>
          <w:sz w:val="32"/>
          <w:szCs w:val="32"/>
          <w:lang w:val="en-US" w:eastAsia="zh-CN" w:bidi="ar-SA"/>
        </w:rPr>
        <w:t>额1.73亿元，</w:t>
      </w:r>
      <w:r>
        <w:rPr>
          <w:rFonts w:ascii="仿宋_GB2312" w:eastAsia="仿宋_GB2312" w:cs="仿宋_GB2312" w:hint="eastAsia"/>
          <w:color w:val="000000"/>
          <w:spacing w:val="0"/>
          <w:sz w:val="32"/>
          <w:szCs w:val="32"/>
          <w:lang w:bidi="ar-SA"/>
        </w:rPr>
        <w:t>已成功入统1.25亿元</w:t>
      </w:r>
      <w:r>
        <w:rPr>
          <w:rFonts w:ascii="仿宋_GB2312" w:eastAsia="仿宋_GB2312" w:cs="仿宋_GB2312" w:hint="eastAsia"/>
          <w:color w:val="000000"/>
          <w:sz w:val="32"/>
          <w:szCs w:val="32"/>
          <w:lang w:val="en-US" w:eastAsia="zh-CN" w:bidi="ar-SA"/>
        </w:rPr>
        <w:t>，</w:t>
      </w:r>
      <w:r>
        <w:rPr>
          <w:rFonts w:ascii="仿宋_GB2312" w:eastAsia="仿宋_GB2312" w:cs="仿宋_GB2312" w:hAnsi="仿宋_GB2312" w:hint="eastAsia"/>
          <w:sz w:val="32"/>
          <w:szCs w:val="32"/>
          <w:lang w:val="en-US" w:eastAsia="zh-CN" w:bidi="ar-SA"/>
        </w:rPr>
        <w:t>预计</w:t>
      </w:r>
      <w:r>
        <w:rPr>
          <w:rFonts w:ascii="仿宋_GB2312" w:eastAsia="仿宋_GB2312" w:cs="仿宋_GB2312" w:hAnsi="宋体" w:hint="eastAsia"/>
          <w:sz w:val="32"/>
          <w:szCs w:val="32"/>
          <w:lang w:val="en-US" w:bidi="ar-SA"/>
        </w:rPr>
        <w:t>2026</w:t>
      </w:r>
      <w:r>
        <w:rPr>
          <w:rFonts w:ascii="仿宋_GB2312" w:eastAsia="仿宋_GB2312" w:cs="仿宋_GB2312" w:hAnsi="仿宋_GB2312" w:hint="eastAsia"/>
          <w:sz w:val="32"/>
          <w:szCs w:val="32"/>
          <w:lang w:val="en-US" w:eastAsia="zh-CN" w:bidi="ar-SA"/>
        </w:rPr>
        <w:t>年底投运，投运后将有效填补矿区高端商务酒店空白。</w:t>
      </w:r>
      <w:r>
        <w:rPr>
          <w:rFonts w:ascii="仿宋_GB2312" w:eastAsia="仿宋_GB2312" w:cs="仿宋_GB2312" w:hAnsi="仿宋_GB2312" w:hint="eastAsia"/>
          <w:sz w:val="32"/>
          <w:szCs w:val="32"/>
          <w:lang w:bidi="ar-SA"/>
        </w:rPr>
        <w:t>因在项目推进中表现优异，于2025年9月获评“石家庄市重点项目建设先进集体”，得到市委市政府的认可。</w:t>
      </w:r>
      <w:r>
        <w:rPr>
          <w:rFonts w:ascii="仿宋_GB2312" w:eastAsia="仿宋_GB2312" w:cs="仿宋_GB2312" w:hint="eastAsia"/>
          <w:b/>
          <w:bCs/>
          <w:sz w:val="32"/>
          <w:szCs w:val="32"/>
          <w:lang w:val="en-US" w:eastAsia="zh-CN" w:bidi="ar-SA"/>
        </w:rPr>
        <w:t>大气污染防治方面</w:t>
      </w:r>
      <w:r>
        <w:rPr>
          <w:rFonts w:ascii="仿宋_GB2312" w:eastAsia="仿宋_GB2312" w:cs="仿宋_GB2312" w:hint="eastAsia"/>
          <w:sz w:val="32"/>
          <w:szCs w:val="32"/>
          <w:lang w:val="en-US" w:eastAsia="zh-CN" w:bidi="ar-SA"/>
        </w:rPr>
        <w:t>：</w:t>
      </w:r>
      <w:r>
        <w:rPr>
          <w:rFonts w:ascii="仿宋_GB2312" w:eastAsia="仿宋_GB2312" w:cs="仿宋_GB2312" w:hint="eastAsia"/>
          <w:bCs/>
          <w:sz w:val="32"/>
          <w:szCs w:val="32"/>
          <w:lang w:bidi="ar-SA"/>
        </w:rPr>
        <w:t>狠抓</w:t>
      </w:r>
      <w:r>
        <w:rPr>
          <w:rFonts w:ascii="仿宋_GB2312" w:eastAsia="仿宋_GB2312" w:cs="仿宋_GB2312" w:hint="eastAsia"/>
          <w:sz w:val="32"/>
          <w:szCs w:val="32"/>
          <w:lang w:val="en-US" w:eastAsia="zh-CN" w:bidi="ar-SA"/>
        </w:rPr>
        <w:t>黑加油排查整治，充分发挥区成品油领导小组办公室职责，组织各成员单位不定期督查检查，全年出动检查人员820余人次、车辆370余辆次，未发现有黑加油问题。</w:t>
      </w:r>
      <w:r>
        <w:rPr>
          <w:rFonts w:ascii="仿宋_GB2312" w:eastAsia="仿宋_GB2312" w:cs="仿宋_GB2312" w:hAnsi="仿宋_GB2312" w:hint="eastAsia"/>
          <w:bCs/>
          <w:sz w:val="32"/>
          <w:szCs w:val="32"/>
          <w:lang w:bidi="ar-SA"/>
        </w:rPr>
        <w:t>同时，</w:t>
      </w:r>
      <w:r>
        <w:rPr>
          <w:rFonts w:ascii="仿宋_GB2312" w:eastAsia="仿宋_GB2312" w:cs="仿宋_GB2312" w:hAnsi="仿宋_GB2312" w:hint="eastAsia"/>
          <w:sz w:val="32"/>
          <w:szCs w:val="32"/>
          <w:lang w:val="en-US" w:eastAsia="zh-CN" w:bidi="ar-SA"/>
        </w:rPr>
        <w:t>引导全区</w:t>
      </w:r>
      <w:r>
        <w:rPr>
          <w:rFonts w:ascii="仿宋_GB2312" w:eastAsia="仿宋_GB2312" w:cs="仿宋_GB2312" w:hAnsi="黑体" w:hint="eastAsia"/>
          <w:color w:val="000000"/>
          <w:sz w:val="32"/>
          <w:szCs w:val="32"/>
          <w:lang w:bidi="ar-SA"/>
        </w:rPr>
        <w:t>15</w:t>
      </w:r>
      <w:r>
        <w:rPr>
          <w:rFonts w:ascii="仿宋_GB2312" w:eastAsia="仿宋_GB2312" w:cs="仿宋_GB2312" w:hAnsi="仿宋_GB2312" w:hint="eastAsia"/>
          <w:sz w:val="32"/>
          <w:szCs w:val="32"/>
          <w:lang w:val="en-US" w:eastAsia="zh-CN" w:bidi="ar-SA"/>
        </w:rPr>
        <w:t>座加油站全部参与错峰加油和错峰装卸油活动，并出台错峰加油优惠政策，吸引消费者错峰加油，多措并举</w:t>
      </w:r>
      <w:r>
        <w:rPr>
          <w:rFonts w:ascii="仿宋_GB2312" w:eastAsia="仿宋_GB2312" w:cs="仿宋_GB2312" w:hint="eastAsia"/>
          <w:sz w:val="32"/>
          <w:szCs w:val="32"/>
          <w:lang w:val="en-US" w:eastAsia="zh-CN" w:bidi="ar-SA"/>
        </w:rPr>
        <w:t>切实维护我区成品油领域安全生产和环保成果。</w:t>
      </w:r>
      <w:r>
        <w:rPr>
          <w:rFonts w:ascii="仿宋_GB2312" w:eastAsia="仿宋_GB2312" w:cs="仿宋_GB2312" w:hint="eastAsia"/>
          <w:b/>
          <w:bCs/>
          <w:sz w:val="32"/>
          <w:szCs w:val="32"/>
          <w:lang w:val="en-US" w:eastAsia="zh-CN" w:bidi="ar-SA"/>
        </w:rPr>
        <w:t>安全生产方面，</w:t>
      </w:r>
      <w:r>
        <w:rPr>
          <w:rFonts w:ascii="仿宋_GB2312" w:eastAsia="仿宋_GB2312" w:cs="仿宋_GB2312" w:hAnsi="仿宋_GB2312" w:hint="eastAsia"/>
          <w:kern w:val="0"/>
          <w:sz w:val="32"/>
          <w:szCs w:val="32"/>
          <w:lang w:val="en-US" w:eastAsia="zh-CN" w:bidi="ar-SA"/>
        </w:rPr>
        <w:t>采取日常巡查和节假日重点排查相结合，</w:t>
      </w:r>
      <w:r>
        <w:rPr>
          <w:rFonts w:ascii="仿宋_GB2312" w:eastAsia="仿宋_GB2312" w:cs="仿宋_GB2312" w:hint="eastAsia"/>
          <w:sz w:val="32"/>
          <w:szCs w:val="32"/>
          <w:lang w:bidi="ar-SA"/>
        </w:rPr>
        <w:t>排查加油站、商超、餐饮企业等共216家次，整改隐患84项；宣教培训覆盖企业30余家，分类开展季度培训4场，培训从业人员100人次，通报典型案例强化警示教育，推动全员安全意识和应急能力提升。</w:t>
      </w:r>
      <w:r>
        <w:rPr>
          <w:rFonts w:ascii="仿宋_GB2312" w:eastAsia="仿宋_GB2312" w:cs="仿宋_GB2312" w:hint="eastAsia"/>
          <w:b/>
          <w:bCs/>
          <w:sz w:val="32"/>
          <w:szCs w:val="32"/>
          <w:lang w:bidi="ar-SA"/>
        </w:rPr>
        <w:t>应急保供方面，</w:t>
      </w:r>
      <w:r>
        <w:rPr>
          <w:rFonts w:ascii="仿宋_GB2312" w:eastAsia="仿宋_GB2312" w:cs="仿宋_GB2312" w:hint="eastAsia"/>
          <w:sz w:val="32"/>
          <w:szCs w:val="32"/>
          <w:lang w:bidi="ar-SA"/>
        </w:rPr>
        <w:t>在重要节假日、汛期等特殊时期督导指导生活必需品重点保供企业积极组织货源，确保市场供应充足。</w:t>
      </w:r>
      <w:r>
        <w:rPr>
          <w:rFonts w:ascii="仿宋_GB2312" w:eastAsia="仿宋_GB2312" w:cs="仿宋_GB2312" w:hint="eastAsia"/>
          <w:b/>
          <w:bCs/>
          <w:sz w:val="32"/>
          <w:szCs w:val="32"/>
          <w:lang w:bidi="ar-SA"/>
        </w:rPr>
        <w:t>行政执法方面，</w:t>
      </w:r>
      <w:r>
        <w:rPr>
          <w:rFonts w:ascii="仿宋_GB2312" w:eastAsia="仿宋_GB2312" w:cs="仿宋_GB2312" w:hAnsi="仿宋_GB2312" w:hint="eastAsia"/>
          <w:sz w:val="32"/>
          <w:szCs w:val="32"/>
          <w:lang w:bidi="ar-SA"/>
        </w:rPr>
        <w:t>联合市监、消防、环保等部门对加油站、餐饮等行业企业进行检查，提升监管效能，不断优化营商环境。</w:t>
      </w:r>
      <w:r>
        <w:rPr>
          <w:rFonts w:ascii="仿宋_GB2312" w:eastAsia="仿宋_GB2312" w:cs="仿宋_GB2312" w:hAnsi="楷体" w:hint="eastAsia"/>
          <w:sz w:val="32"/>
          <w:szCs w:val="32"/>
          <w:lang w:bidi="ar-SA"/>
        </w:rPr>
        <w:t>高标准完成区委、区政府交办的各项工作。</w:t>
      </w:r>
    </w:p>
    <w:p>
      <w:pPr>
        <w:spacing w:line="560" w:lineRule="exact"/>
        <w:ind w:firstLineChars="250" w:firstLine="800"/>
        <w:rPr>
          <w:rFonts w:ascii="仿宋" w:eastAsia="仿宋" w:hAnsi="仿宋"/>
          <w:sz w:val="32"/>
          <w:szCs w:val="32"/>
        </w:rPr>
      </w:pPr>
    </w:p>
    <w:p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四、评价结论和评价等级</w:t>
      </w:r>
    </w:p>
    <w:p>
      <w:pPr>
        <w:spacing w:line="560" w:lineRule="exact"/>
        <w:ind w:firstLineChars="200" w:firstLine="640"/>
        <w:rPr>
          <w:rFonts w:ascii="仿宋_GB2312" w:eastAsia="仿宋_GB2312" w:cs="仿宋_GB2312" w:hAnsi="仿宋_GB2312" w:hint="eastAsia"/>
          <w:sz w:val="32"/>
          <w:szCs w:val="32"/>
        </w:rPr>
      </w:pPr>
      <w:r>
        <w:rPr>
          <w:rFonts w:ascii="仿宋_GB2312" w:eastAsia="仿宋_GB2312" w:cs="仿宋_GB2312" w:hAnsi="仿宋_GB2312" w:hint="eastAsia"/>
          <w:sz w:val="32"/>
          <w:szCs w:val="32"/>
          <w:highlight w:val="auto"/>
        </w:rPr>
        <w:t>根据部门职责定位和各项工作履职情况进行综合评价，</w:t>
      </w:r>
      <w:r>
        <w:rPr>
          <w:rFonts w:ascii="仿宋_GB2312" w:eastAsia="仿宋_GB2312" w:cs="仿宋_GB2312" w:hAnsi="仿宋_GB2312" w:hint="eastAsia"/>
          <w:sz w:val="32"/>
          <w:szCs w:val="32"/>
          <w:lang w:eastAsia="zh-CN"/>
          <w:highlight w:val="auto"/>
        </w:rPr>
        <w:t>我局</w:t>
      </w:r>
      <w:r>
        <w:rPr>
          <w:rFonts w:ascii="仿宋_GB2312" w:eastAsia="仿宋_GB2312" w:cs="仿宋_GB2312" w:hAnsi="仿宋_GB2312" w:hint="eastAsia"/>
          <w:sz w:val="32"/>
          <w:szCs w:val="32"/>
          <w:highlight w:val="auto"/>
        </w:rPr>
        <w:t>总得分</w:t>
      </w:r>
      <w:r>
        <w:rPr>
          <w:rFonts w:ascii="仿宋_GB2312" w:eastAsia="仿宋_GB2312" w:cs="仿宋_GB2312" w:hAnsi="仿宋_GB2312" w:hint="eastAsia"/>
          <w:sz w:val="32"/>
          <w:szCs w:val="32"/>
          <w:lang w:eastAsia="zh-CN"/>
          <w:highlight w:val="auto"/>
        </w:rPr>
        <w:t>为</w:t>
      </w:r>
      <w:r>
        <w:rPr>
          <w:rFonts w:ascii="仿宋_GB2312" w:eastAsia="仿宋_GB2312" w:cs="仿宋_GB2312" w:hAnsi="仿宋_GB2312"/>
          <w:sz w:val="32"/>
          <w:szCs w:val="32"/>
          <w:lang w:eastAsia="zh-CN"/>
        </w:rPr>
        <w:t>100</w:t>
      </w:r>
      <w:r>
        <w:rPr>
          <w:rFonts w:ascii="仿宋_GB2312" w:eastAsia="仿宋_GB2312" w:cs="仿宋_GB2312" w:hAnsi="仿宋_GB2312" w:hint="eastAsia"/>
          <w:sz w:val="32"/>
          <w:szCs w:val="32"/>
        </w:rPr>
        <w:t>分，</w:t>
      </w:r>
      <w:r>
        <w:rPr>
          <w:rFonts w:ascii="仿宋_GB2312" w:eastAsia="仿宋_GB2312" w:cs="仿宋_GB2312" w:hAnsi="仿宋_GB2312" w:hint="eastAsia"/>
          <w:sz w:val="32"/>
          <w:szCs w:val="32"/>
          <w:highlight w:val="auto"/>
        </w:rPr>
        <w:t>综合绩效评价等级</w:t>
      </w:r>
      <w:r>
        <w:rPr>
          <w:rFonts w:ascii="仿宋_GB2312" w:eastAsia="仿宋_GB2312" w:cs="仿宋_GB2312" w:hAnsi="仿宋_GB2312" w:hint="eastAsia"/>
          <w:sz w:val="32"/>
          <w:szCs w:val="32"/>
          <w:lang w:eastAsia="zh-CN"/>
          <w:highlight w:val="auto"/>
        </w:rPr>
        <w:t>为优秀</w:t>
      </w:r>
      <w:r>
        <w:rPr>
          <w:rFonts w:ascii="仿宋_GB2312" w:eastAsia="仿宋_GB2312" w:cs="仿宋_GB2312" w:hAnsi="仿宋_GB2312" w:hint="eastAsia"/>
          <w:sz w:val="32"/>
          <w:szCs w:val="32"/>
          <w:highlight w:val="auto"/>
        </w:rPr>
        <w:t>。</w:t>
      </w:r>
    </w:p>
    <w:p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五、存在的问题及改进措施</w:t>
      </w:r>
    </w:p>
    <w:p>
      <w:pPr>
        <w:spacing w:line="560" w:lineRule="exact"/>
        <w:ind w:firstLineChars="200" w:firstLine="640"/>
        <w:rPr>
          <w:rFonts w:ascii="楷体" w:eastAsia="楷体" w:hAnsi="楷体"/>
          <w:bCs/>
          <w:sz w:val="32"/>
          <w:szCs w:val="32"/>
        </w:rPr>
      </w:pPr>
      <w:r>
        <w:rPr>
          <w:rFonts w:ascii="楷体" w:eastAsia="楷体" w:hAnsi="楷体" w:hint="eastAsia"/>
          <w:bCs/>
          <w:sz w:val="32"/>
          <w:szCs w:val="32"/>
        </w:rPr>
        <w:t>（一）存在的主要问题</w:t>
      </w:r>
    </w:p>
    <w:p>
      <w:pPr>
        <w:spacing w:line="560" w:lineRule="exact"/>
        <w:ind w:firstLineChars="200" w:firstLine="640"/>
        <w:rPr>
          <w:rFonts w:ascii="楷体" w:eastAsia="楷体" w:hAnsi="楷体"/>
          <w:bCs/>
          <w:sz w:val="32"/>
          <w:szCs w:val="32"/>
        </w:rPr>
      </w:pPr>
      <w:r>
        <w:rPr>
          <w:rFonts w:ascii="楷体" w:eastAsia="楷体" w:hAnsi="楷体" w:hint="eastAsia"/>
          <w:bCs/>
          <w:sz w:val="32"/>
          <w:szCs w:val="32"/>
        </w:rPr>
        <w:t>（二）针对问题提出具体的改进措施或建议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六、评价工作组人员名单及签字（姓名、工作单位、职务、职称）</w:t>
      </w:r>
      <w:r>
        <w:rPr>
          <w:rFonts w:ascii="仿宋" w:eastAsia="仿宋" w:hAnsi="仿宋"/>
        </w:rPr>
        <w:t xml:space="preserve">  </w:t>
      </w:r>
    </w:p>
    <w:tbl>
      <w:tblPr>
        <w:tblpPr w:leftFromText="180" w:rightFromText="180" w:vertAnchor="text" w:horzAnchor="page" w:tblpX="1828" w:tblpY="835"/>
        <w:tblOverlap w:val="never"/>
        <w:tblW w:w="88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1077"/>
        <w:gridCol w:w="1692"/>
        <w:gridCol w:w="2110"/>
        <w:gridCol w:w="2135"/>
        <w:gridCol w:w="1797"/>
      </w:tblGrid>
      <w:tr>
        <w:trPr>
          <w:trHeight w:val="757"/>
        </w:trPr>
        <w:tc>
          <w:tcPr>
            <w:tcW w:w="1077" w:type="dxa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仿宋" w:eastAsia="仿宋" w:hAnsi="仿宋"/>
                <w:bCs/>
                <w:color w:val="000000"/>
                <w:sz w:val="32"/>
                <w:szCs w:val="32"/>
                <w:highlight w:val="auto"/>
              </w:rPr>
            </w:pPr>
            <w:r>
              <w:rPr>
                <w:rFonts w:ascii="仿宋" w:eastAsia="仿宋" w:hAnsi="仿宋" w:hint="eastAsia"/>
                <w:bCs/>
                <w:color w:val="000000"/>
                <w:sz w:val="32"/>
                <w:szCs w:val="32"/>
                <w:highlight w:val="auto"/>
              </w:rPr>
              <w:t>序号</w:t>
            </w:r>
          </w:p>
        </w:tc>
        <w:tc>
          <w:tcPr>
            <w:tcW w:w="1692" w:type="dxa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仿宋" w:eastAsia="仿宋" w:hAnsi="仿宋"/>
                <w:bCs/>
                <w:color w:val="000000"/>
                <w:sz w:val="32"/>
                <w:szCs w:val="32"/>
                <w:highlight w:val="auto"/>
              </w:rPr>
            </w:pPr>
            <w:r>
              <w:rPr>
                <w:rFonts w:ascii="仿宋" w:eastAsia="仿宋" w:hAnsi="仿宋" w:hint="eastAsia"/>
                <w:bCs/>
                <w:color w:val="000000"/>
                <w:sz w:val="32"/>
                <w:szCs w:val="32"/>
                <w:highlight w:val="auto"/>
              </w:rPr>
              <w:t>姓名</w:t>
            </w:r>
          </w:p>
        </w:tc>
        <w:tc>
          <w:tcPr>
            <w:tcW w:w="2110" w:type="dxa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仿宋" w:eastAsia="仿宋" w:hAnsi="仿宋"/>
                <w:bCs/>
                <w:color w:val="000000"/>
                <w:sz w:val="32"/>
                <w:szCs w:val="32"/>
                <w:highlight w:val="auto"/>
              </w:rPr>
            </w:pPr>
            <w:r>
              <w:rPr>
                <w:rFonts w:ascii="仿宋" w:eastAsia="仿宋" w:hAnsi="仿宋" w:hint="eastAsia"/>
                <w:bCs/>
                <w:color w:val="000000"/>
                <w:sz w:val="32"/>
                <w:szCs w:val="32"/>
                <w:highlight w:val="auto"/>
              </w:rPr>
              <w:t>工作单位</w:t>
            </w:r>
          </w:p>
        </w:tc>
        <w:tc>
          <w:tcPr>
            <w:tcW w:w="2135" w:type="dxa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仿宋" w:eastAsia="仿宋" w:hAnsi="仿宋"/>
                <w:bCs/>
                <w:color w:val="000000"/>
                <w:sz w:val="32"/>
                <w:szCs w:val="32"/>
                <w:highlight w:val="auto"/>
              </w:rPr>
            </w:pPr>
            <w:r>
              <w:rPr>
                <w:rFonts w:ascii="仿宋" w:eastAsia="仿宋" w:hAnsi="仿宋" w:hint="eastAsia"/>
                <w:bCs/>
                <w:color w:val="000000"/>
                <w:sz w:val="32"/>
                <w:szCs w:val="32"/>
                <w:highlight w:val="auto"/>
              </w:rPr>
              <w:t>职务</w:t>
            </w:r>
          </w:p>
        </w:tc>
        <w:tc>
          <w:tcPr>
            <w:tcW w:w="1797" w:type="dxa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仿宋" w:eastAsia="仿宋" w:hAnsi="仿宋" w:hint="eastAsia"/>
                <w:bCs/>
                <w:color w:val="000000"/>
                <w:sz w:val="32"/>
                <w:szCs w:val="32"/>
                <w:lang w:eastAsia="zh-CN"/>
                <w:highlight w:val="auto"/>
              </w:rPr>
            </w:pPr>
            <w:r>
              <w:rPr>
                <w:rFonts w:ascii="仿宋" w:eastAsia="仿宋" w:hAnsi="仿宋" w:hint="eastAsia"/>
                <w:bCs/>
                <w:color w:val="000000"/>
                <w:sz w:val="32"/>
                <w:szCs w:val="32"/>
                <w:lang w:eastAsia="zh-CN"/>
                <w:highlight w:val="auto"/>
              </w:rPr>
              <w:t>签字</w:t>
            </w:r>
          </w:p>
        </w:tc>
      </w:tr>
      <w:tr>
        <w:trPr>
          <w:trHeight w:val="1133"/>
        </w:trPr>
        <w:tc>
          <w:tcPr>
            <w:tcW w:w="1077" w:type="dxa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仿宋" w:eastAsia="仿宋" w:hAnsi="仿宋"/>
                <w:bCs/>
                <w:color w:val="000000"/>
                <w:sz w:val="32"/>
                <w:szCs w:val="32"/>
                <w:highlight w:val="auto"/>
              </w:rPr>
            </w:pPr>
            <w:r>
              <w:rPr>
                <w:rFonts w:ascii="仿宋" w:eastAsia="仿宋" w:hAnsi="仿宋" w:hint="eastAsia"/>
                <w:bCs/>
                <w:color w:val="000000"/>
                <w:sz w:val="32"/>
                <w:szCs w:val="32"/>
                <w:highlight w:val="auto"/>
              </w:rPr>
              <w:t>1</w:t>
            </w:r>
          </w:p>
        </w:tc>
        <w:tc>
          <w:tcPr>
            <w:tcW w:w="1692" w:type="dxa"/>
            <w:tcBorders>
              <w:left w:val="single" w:sz="4" w:space="0" w:color="auto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仿宋" w:eastAsia="仿宋" w:hAnsi="仿宋" w:hint="eastAsia"/>
                <w:bCs/>
                <w:color w:val="000000"/>
                <w:sz w:val="32"/>
                <w:szCs w:val="32"/>
                <w:lang w:eastAsia="zh-CN"/>
                <w:highlight w:val="auto"/>
              </w:rPr>
            </w:pPr>
            <w:r>
              <w:rPr>
                <w:rFonts w:ascii="仿宋" w:eastAsia="仿宋" w:hAnsi="仿宋"/>
                <w:bCs/>
                <w:color w:val="000000"/>
                <w:sz w:val="32"/>
                <w:szCs w:val="32"/>
                <w:lang w:eastAsia="zh-CN"/>
                <w:highlight w:val="auto"/>
              </w:rPr>
              <w:t>吴涛</w:t>
            </w:r>
          </w:p>
        </w:tc>
        <w:tc>
          <w:tcPr>
            <w:tcW w:w="2110" w:type="dxa"/>
            <w:tcBorders>
              <w:left w:val="single" w:sz="4" w:space="0" w:color="auto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仿宋" w:eastAsia="仿宋" w:hAnsi="仿宋"/>
                <w:bCs/>
                <w:color w:val="000000"/>
                <w:sz w:val="32"/>
                <w:szCs w:val="32"/>
                <w:highlight w:val="auto"/>
              </w:rPr>
            </w:pPr>
            <w:r>
              <w:rPr>
                <w:rFonts w:ascii="仿宋" w:eastAsia="仿宋" w:hAnsi="仿宋" w:hint="eastAsia"/>
                <w:bCs/>
                <w:color w:val="000000"/>
                <w:sz w:val="32"/>
                <w:szCs w:val="32"/>
                <w:highlight w:val="auto"/>
              </w:rPr>
              <w:t>区</w:t>
            </w:r>
            <w:r>
              <w:rPr>
                <w:rFonts w:ascii="仿宋" w:eastAsia="仿宋" w:hAnsi="仿宋" w:hint="eastAsia"/>
                <w:bCs/>
                <w:color w:val="000000"/>
                <w:sz w:val="32"/>
                <w:szCs w:val="32"/>
                <w:lang w:eastAsia="zh-CN"/>
                <w:highlight w:val="auto"/>
              </w:rPr>
              <w:t>商务</w:t>
            </w:r>
            <w:r>
              <w:rPr>
                <w:rFonts w:ascii="仿宋" w:eastAsia="仿宋" w:hAnsi="仿宋" w:hint="eastAsia"/>
                <w:bCs/>
                <w:color w:val="000000"/>
                <w:sz w:val="32"/>
                <w:szCs w:val="32"/>
                <w:highlight w:val="auto"/>
              </w:rPr>
              <w:t>局</w:t>
            </w:r>
          </w:p>
        </w:tc>
        <w:tc>
          <w:tcPr>
            <w:tcW w:w="2135" w:type="dxa"/>
            <w:tcBorders>
              <w:left w:val="single" w:sz="4" w:space="0" w:color="auto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仿宋" w:eastAsia="仿宋" w:hAnsi="仿宋"/>
                <w:bCs/>
                <w:color w:val="000000"/>
                <w:sz w:val="32"/>
                <w:szCs w:val="32"/>
                <w:highlight w:val="auto"/>
              </w:rPr>
            </w:pPr>
            <w:r>
              <w:rPr>
                <w:rFonts w:ascii="仿宋" w:eastAsia="仿宋" w:hAnsi="仿宋" w:hint="eastAsia"/>
                <w:bCs/>
                <w:color w:val="000000"/>
                <w:sz w:val="32"/>
                <w:szCs w:val="32"/>
                <w:highlight w:val="auto"/>
              </w:rPr>
              <w:t>局长</w:t>
            </w:r>
          </w:p>
        </w:tc>
        <w:tc>
          <w:tcPr>
            <w:tcW w:w="1797" w:type="dxa"/>
            <w:tcBorders>
              <w:left w:val="single" w:sz="4" w:space="0" w:color="auto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黑体" w:eastAsia="黑体" w:hAnsi="黑体"/>
                <w:color w:val="000000"/>
                <w:sz w:val="32"/>
                <w:szCs w:val="32"/>
                <w:highlight w:val="auto"/>
              </w:rPr>
            </w:pPr>
          </w:p>
        </w:tc>
      </w:tr>
      <w:tr>
        <w:trPr>
          <w:trHeight w:val="1133"/>
        </w:trPr>
        <w:tc>
          <w:tcPr>
            <w:tcW w:w="1077" w:type="dxa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仿宋" w:eastAsia="仿宋" w:hAnsi="仿宋"/>
                <w:bCs/>
                <w:color w:val="000000"/>
                <w:sz w:val="32"/>
                <w:szCs w:val="32"/>
                <w:highlight w:val="auto"/>
              </w:rPr>
            </w:pPr>
            <w:r>
              <w:rPr>
                <w:rFonts w:ascii="仿宋" w:eastAsia="仿宋" w:hAnsi="仿宋" w:hint="eastAsia"/>
                <w:bCs/>
                <w:color w:val="000000"/>
                <w:sz w:val="32"/>
                <w:szCs w:val="32"/>
                <w:highlight w:val="auto"/>
              </w:rPr>
              <w:t>2</w:t>
            </w:r>
          </w:p>
        </w:tc>
        <w:tc>
          <w:tcPr>
            <w:tcW w:w="1692" w:type="dxa"/>
            <w:tcBorders>
              <w:left w:val="single" w:sz="4" w:space="0" w:color="auto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仿宋" w:eastAsia="仿宋" w:hAnsi="仿宋" w:hint="eastAsia"/>
                <w:bCs/>
                <w:color w:val="000000"/>
                <w:sz w:val="32"/>
                <w:szCs w:val="32"/>
                <w:lang w:eastAsia="zh-CN"/>
                <w:highlight w:val="auto"/>
              </w:rPr>
            </w:pPr>
            <w:r>
              <w:rPr>
                <w:rFonts w:ascii="仿宋" w:eastAsia="仿宋" w:hAnsi="仿宋"/>
                <w:bCs/>
                <w:color w:val="000000"/>
                <w:sz w:val="32"/>
                <w:szCs w:val="32"/>
                <w:lang w:eastAsia="zh-CN"/>
                <w:highlight w:val="auto"/>
              </w:rPr>
              <w:t>阎新海</w:t>
            </w:r>
          </w:p>
        </w:tc>
        <w:tc>
          <w:tcPr>
            <w:tcW w:w="2110" w:type="dxa"/>
            <w:tcBorders>
              <w:left w:val="single" w:sz="4" w:space="0" w:color="auto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仿宋" w:eastAsia="仿宋" w:hAnsi="仿宋"/>
                <w:bCs/>
                <w:color w:val="000000"/>
                <w:sz w:val="32"/>
                <w:szCs w:val="32"/>
                <w:highlight w:val="auto"/>
              </w:rPr>
            </w:pPr>
            <w:r>
              <w:rPr>
                <w:rFonts w:ascii="仿宋" w:eastAsia="仿宋" w:hAnsi="仿宋" w:hint="eastAsia"/>
                <w:bCs/>
                <w:color w:val="000000"/>
                <w:sz w:val="32"/>
                <w:szCs w:val="32"/>
                <w:highlight w:val="auto"/>
              </w:rPr>
              <w:t>区</w:t>
            </w:r>
            <w:r>
              <w:rPr>
                <w:rFonts w:ascii="仿宋" w:eastAsia="仿宋" w:hAnsi="仿宋" w:hint="eastAsia"/>
                <w:bCs/>
                <w:color w:val="000000"/>
                <w:sz w:val="32"/>
                <w:szCs w:val="32"/>
                <w:lang w:eastAsia="zh-CN"/>
                <w:highlight w:val="auto"/>
              </w:rPr>
              <w:t>商务</w:t>
            </w:r>
            <w:r>
              <w:rPr>
                <w:rFonts w:ascii="仿宋" w:eastAsia="仿宋" w:hAnsi="仿宋" w:hint="eastAsia"/>
                <w:bCs/>
                <w:color w:val="000000"/>
                <w:sz w:val="32"/>
                <w:szCs w:val="32"/>
                <w:highlight w:val="auto"/>
              </w:rPr>
              <w:t>局</w:t>
            </w:r>
          </w:p>
        </w:tc>
        <w:tc>
          <w:tcPr>
            <w:tcW w:w="2135" w:type="dxa"/>
            <w:tcBorders>
              <w:left w:val="single" w:sz="4" w:space="0" w:color="auto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仿宋" w:eastAsia="仿宋" w:hAnsi="仿宋"/>
                <w:bCs/>
                <w:color w:val="000000"/>
                <w:sz w:val="32"/>
                <w:szCs w:val="32"/>
                <w:highlight w:val="auto"/>
              </w:rPr>
            </w:pPr>
            <w:r>
              <w:rPr>
                <w:rFonts w:ascii="仿宋" w:eastAsia="仿宋" w:hAnsi="仿宋"/>
                <w:bCs/>
                <w:color w:val="000000"/>
                <w:sz w:val="32"/>
                <w:szCs w:val="32"/>
                <w:highlight w:val="auto"/>
              </w:rPr>
              <w:t>一级主任科员</w:t>
            </w:r>
          </w:p>
        </w:tc>
        <w:tc>
          <w:tcPr>
            <w:tcW w:w="1797" w:type="dxa"/>
            <w:tcBorders>
              <w:left w:val="single" w:sz="4" w:space="0" w:color="auto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黑体" w:eastAsia="黑体" w:hAnsi="黑体"/>
                <w:color w:val="000000"/>
                <w:sz w:val="32"/>
                <w:szCs w:val="32"/>
                <w:highlight w:val="auto"/>
              </w:rPr>
            </w:pPr>
          </w:p>
        </w:tc>
      </w:tr>
      <w:tr>
        <w:trPr>
          <w:trHeight w:val="1133"/>
        </w:trPr>
        <w:tc>
          <w:tcPr>
            <w:tcW w:w="1077" w:type="dxa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仿宋" w:eastAsia="仿宋" w:hAnsi="仿宋" w:hint="eastAsia"/>
                <w:bCs/>
                <w:color w:val="000000"/>
                <w:sz w:val="32"/>
                <w:szCs w:val="32"/>
                <w:lang w:val="en-US" w:eastAsia="zh-CN"/>
                <w:highlight w:val="auto"/>
              </w:rPr>
            </w:pPr>
            <w:r>
              <w:rPr>
                <w:rFonts w:ascii="仿宋" w:eastAsia="仿宋" w:hAnsi="仿宋" w:hint="eastAsia"/>
                <w:bCs/>
                <w:color w:val="000000"/>
                <w:sz w:val="32"/>
                <w:szCs w:val="32"/>
                <w:lang w:val="en-US" w:eastAsia="zh-CN"/>
                <w:highlight w:val="auto"/>
              </w:rPr>
              <w:t>3</w:t>
            </w:r>
          </w:p>
        </w:tc>
        <w:tc>
          <w:tcPr>
            <w:tcW w:w="1692" w:type="dxa"/>
            <w:tcBorders>
              <w:left w:val="single" w:sz="4" w:space="0" w:color="auto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仿宋" w:eastAsia="仿宋" w:hAnsi="仿宋" w:hint="eastAsia"/>
                <w:bCs/>
                <w:color w:val="000000"/>
                <w:sz w:val="32"/>
                <w:szCs w:val="32"/>
                <w:lang w:eastAsia="zh-CN"/>
                <w:highlight w:val="auto"/>
              </w:rPr>
            </w:pPr>
            <w:r>
              <w:rPr>
                <w:rFonts w:ascii="仿宋" w:eastAsia="仿宋" w:hAnsi="仿宋" w:hint="eastAsia"/>
                <w:bCs/>
                <w:color w:val="000000"/>
                <w:sz w:val="32"/>
                <w:szCs w:val="32"/>
                <w:lang w:eastAsia="zh-CN"/>
                <w:highlight w:val="auto"/>
              </w:rPr>
              <w:t>董慈航</w:t>
            </w:r>
          </w:p>
        </w:tc>
        <w:tc>
          <w:tcPr>
            <w:tcW w:w="2110" w:type="dxa"/>
            <w:tcBorders>
              <w:left w:val="single" w:sz="4" w:space="0" w:color="auto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仿宋" w:eastAsia="仿宋" w:hAnsi="仿宋" w:hint="eastAsia"/>
                <w:bCs/>
                <w:color w:val="000000"/>
                <w:sz w:val="32"/>
                <w:szCs w:val="32"/>
                <w:lang w:eastAsia="zh-CN"/>
                <w:highlight w:val="auto"/>
              </w:rPr>
            </w:pPr>
            <w:r>
              <w:rPr>
                <w:rFonts w:ascii="仿宋" w:eastAsia="仿宋" w:hAnsi="仿宋" w:hint="eastAsia"/>
                <w:bCs/>
                <w:color w:val="000000"/>
                <w:sz w:val="32"/>
                <w:szCs w:val="32"/>
                <w:highlight w:val="auto"/>
              </w:rPr>
              <w:t>区</w:t>
            </w:r>
            <w:r>
              <w:rPr>
                <w:rFonts w:ascii="仿宋" w:eastAsia="仿宋" w:hAnsi="仿宋" w:hint="eastAsia"/>
                <w:bCs/>
                <w:color w:val="000000"/>
                <w:sz w:val="32"/>
                <w:szCs w:val="32"/>
                <w:lang w:eastAsia="zh-CN"/>
                <w:highlight w:val="auto"/>
              </w:rPr>
              <w:t>商务</w:t>
            </w:r>
            <w:r>
              <w:rPr>
                <w:rFonts w:ascii="仿宋" w:eastAsia="仿宋" w:hAnsi="仿宋" w:hint="eastAsia"/>
                <w:bCs/>
                <w:color w:val="000000"/>
                <w:sz w:val="32"/>
                <w:szCs w:val="32"/>
                <w:highlight w:val="auto"/>
              </w:rPr>
              <w:t>局</w:t>
            </w:r>
          </w:p>
        </w:tc>
        <w:tc>
          <w:tcPr>
            <w:tcW w:w="2135" w:type="dxa"/>
            <w:tcBorders>
              <w:left w:val="single" w:sz="4" w:space="0" w:color="auto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仿宋" w:eastAsia="仿宋" w:hAnsi="仿宋" w:hint="eastAsia"/>
                <w:bCs/>
                <w:color w:val="000000"/>
                <w:sz w:val="32"/>
                <w:szCs w:val="32"/>
                <w:lang w:eastAsia="zh-CN"/>
                <w:highlight w:val="auto"/>
              </w:rPr>
            </w:pPr>
            <w:r>
              <w:rPr>
                <w:rFonts w:ascii="仿宋" w:eastAsia="仿宋" w:hAnsi="仿宋"/>
                <w:bCs/>
                <w:color w:val="000000"/>
                <w:sz w:val="32"/>
                <w:szCs w:val="32"/>
                <w:lang w:eastAsia="zh-CN"/>
                <w:highlight w:val="auto"/>
              </w:rPr>
              <w:t>职员</w:t>
            </w:r>
          </w:p>
        </w:tc>
        <w:tc>
          <w:tcPr>
            <w:tcW w:w="1797" w:type="dxa"/>
            <w:tcBorders>
              <w:left w:val="single" w:sz="4" w:space="0" w:color="auto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黑体" w:eastAsia="黑体" w:hAnsi="黑体"/>
                <w:color w:val="000000"/>
                <w:sz w:val="32"/>
                <w:szCs w:val="32"/>
                <w:highlight w:val="auto"/>
              </w:rPr>
            </w:pPr>
          </w:p>
        </w:tc>
      </w:tr>
    </w:tbl>
    <w:p>
      <w:pPr>
        <w:spacing w:line="560" w:lineRule="exact"/>
        <w:rPr>
          <w:rFonts w:ascii="仿宋" w:eastAsia="仿宋" w:hAnsi="仿宋"/>
        </w:rPr>
      </w:pPr>
    </w:p>
    <w:sectPr>
      <w:footerReference w:type="default" r:id="rId2"/>
      <w:pgSz w:w="11906" w:h="16838"/>
      <w:pgMar w:top="1440" w:right="1474" w:bottom="1440" w:left="1587" w:header="851" w:footer="992" w:gutter="0"/>
      <w:pgNumType w:fmt="numberInDash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宋体">
    <w:panose1 w:val="02010600030101010101"/>
    <w:charset w:val="86"/>
    <w:family w:val="auto"/>
    <w:pitch w:val="variable"/>
    <w:sig w:usb0="00000203" w:usb1="288F0000" w:usb2="00000006" w:usb3="00000000" w:csb0="00040001" w:csb1="00000000"/>
  </w:font>
  <w:font w:name="华文楷体">
    <w:altName w:val="楷体"/>
    <w:panose1 w:val="02010600040101010101"/>
    <w:charset w:val="86"/>
    <w:family w:val="auto"/>
    <w:pitch w:val="variable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variable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variable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variable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variable"/>
    <w:sig w:usb0="00000001" w:usb1="080E0000" w:usb2="00000000" w:usb3="00000000" w:csb0="00040000" w:csb1="00000000"/>
  </w:font>
  <w:font w:name="DengXian-Regular">
    <w:altName w:val="楷体"/>
    <w:panose1 w:val="00000000000000000000"/>
    <w:charset w:val="86"/>
    <w:family w:val="auto"/>
    <w:pitch w:val="variable"/>
    <w:sig w:usb0="00000000" w:usb1="00000000" w:usb2="00000010" w:usb3="00000000" w:csb0="00040001" w:csb1="00000000"/>
  </w:font>
  <w:font w:name="方正仿宋_GB2312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pStyle w:val="15"/>
      <w:tabs>
        <w:tab w:val="center" w:pos="4153"/>
        <w:tab w:val="right" w:pos="8306"/>
      </w:tabs>
    </w:pPr>
    <w:r>
      <mc:AlternateContent>
        <mc:Choice Requires="wps">
          <w:drawing>
            <wp:anchor distT="0" distB="0" distL="91437" distR="91437" simplePos="0" relativeHeight="12" behindDoc="0" locked="0" layoutInCell="1" hidden="0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209492" cy="162820"/>
              <wp:effectExtent l="0" t="0" r="0" b="0"/>
              <wp:wrapNone/>
              <wp:docPr id="1" name="Quad Arrow 3073"/>
              <wp:cNvGraphicFramePr>
                <a:graphicFrameLocks noChangeAspect="0"/>
              </wp:cNvGraphicFramePr>
              <a:graphic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209492" cy="162820"/>
                      </a:xfrm>
                      <a:prstGeom prst="rect"/>
                      <a:noFill/>
                      <a:ln w="9525" cmpd="sng" cap="flat">
                        <a:noFill/>
                        <a:prstDash val="solid"/>
                        <a:miter/>
                      </a:ln>
                    </wps:spPr>
                    <wps:txbx id="1"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t>- 1 -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type="#_x0000_t1" id="Quad Arrow 3073" o:spid="_x0000_s2" filled="f" stroked="f" style="position:absolute;margin-left:0.0pt;margin-top:0.0pt;width:16.495434pt;height:12.820473pt;z-index:12;mso-position-horizontal:center;mso-position-horizontal-relative:margin;mso-position-vertical:absolute;mso-wrap-distance-left:7.1997643pt;mso-wrap-distance-right:7.1997643pt;mso-wrap-style:none;">
              <v:stroke/>
              <v:textbox id="848" inset="0mm,0mm,0mm,0mm" o:insetmode="custom" style="layout-flow:horizontal;v-text-anchor:top;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t>- 1 -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mc="http://schemas.openxmlformats.org/markup-compatibility/2006" xmlns:w14="http://schemas.microsoft.com/office/word/2010/wordml">
  <w:abstractNum w:abstractNumId="0">
    <w:nsid w:val="5E68489B"/>
    <w:multiLevelType w:val="singleLevel"/>
    <w:tmpl w:val="5E68489B"/>
    <w:lvl w:ilvl="0">
      <w:start w:val="1"/>
      <w:numFmt w:val="chineseCounting"/>
      <w:lvlRestart w:val="0"/>
      <w:suff w:val="nothing"/>
      <w:lvlText w:val="（%1）"/>
      <w:lvlJc w:val="left"/>
      <w:pPr>
        <w:ind w:left="0" w:hanging="0"/>
      </w:pPr>
      <w:rPr>
        <w:rFonts w:ascii="楷体" w:hAnsi="楷体" w:eastAsia="楷体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bordersDoNotSurroundHeader/>
  <w:bordersDoNotSurroundFooter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doNotUseIndentAsNumberingTabStop/>
    <w:useAltKinsokuLineBreakRules/>
    <w:doNotSuppressIndentation/>
    <w:splitPgBreakAndParaMark/>
    <w:compatSetting w:name="compatibilityMode" w:uri="http://schemas.microsoft.com/office/word" w:val="11"/>
  </w:compat>
  <w:docVars>
    <w:docVar w:name="commondata" w:val="eyJoZGlkIjoiYzgxMzVhZTBlNDUyZWUxNDVhMjNkN2E1NjFlOTE5NDcifQ=="/>
  </w:docVar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Arial"/>
        <w:lang w:val="en-US" w:eastAsia="zh-CN" w:bidi="ar-SA"/>
      </w:rPr>
    </w:rPrDefault>
    <w:pPrDefault/>
  </w:docDefaults>
  <w:style w:type="paragraph" w:default="1" w:styleId="0">
    <w:name w:val="Normal"/>
    <w:qFormat/>
    <w:pPr>
      <w:widowControl w:val="0"/>
      <w:jc w:val="both"/>
    </w:pPr>
    <w:rPr>
      <w:rFonts w:ascii="Calibri" w:eastAsia="宋体" w:cs="黑体" w:hAnsi="Calibri"/>
      <w:kern w:val="2"/>
      <w:sz w:val="21"/>
      <w:szCs w:val="22"/>
      <w:lang w:val="en-US" w:eastAsia="zh-CN" w:bidi="ar-SA"/>
    </w:rPr>
  </w:style>
  <w:style w:type="paragraph" w:styleId="1">
    <w:name w:val="heading 1"/>
    <w:qFormat/>
    <w:basedOn w:val="0"/>
    <w:next w:val="0"/>
    <w:link w:val="1Char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customStyle="1" w:styleId="1Char">
    <w:name w:val="heading 1 Char"/>
    <w:basedOn w:val="10"/>
    <w:link w:val="1"/>
    <w:rPr>
      <w:rFonts w:ascii="Calibri" w:eastAsia="宋体" w:cs="黑体" w:hAnsi="Calibri"/>
      <w:b/>
      <w:bCs/>
      <w:kern w:val="44"/>
      <w:sz w:val="44"/>
      <w:szCs w:val="44"/>
      <w:lang w:val="en-US" w:eastAsia="zh-CN" w:bidi="ar-SA"/>
    </w:rPr>
  </w:style>
  <w:style w:type="paragraph" w:styleId="2">
    <w:name w:val="heading 2"/>
    <w:qFormat/>
    <w:basedOn w:val="0"/>
    <w:next w:val="0"/>
    <w:link w:val="2Char"/>
    <w:pPr>
      <w:keepNext/>
      <w:keepLines/>
      <w:spacing w:before="260" w:after="260" w:line="415" w:lineRule="auto"/>
      <w:outlineLvl w:val="1"/>
    </w:pPr>
    <w:rPr>
      <w:rFonts w:ascii="Times New Roman" w:eastAsia="黑体" w:hAnsi="Times New Roman"/>
      <w:b/>
      <w:bCs/>
      <w:sz w:val="32"/>
      <w:szCs w:val="32"/>
    </w:rPr>
  </w:style>
  <w:style w:type="character" w:customStyle="1" w:styleId="2Char">
    <w:name w:val="heading 2 Char"/>
    <w:basedOn w:val="10"/>
    <w:link w:val="2"/>
    <w:rPr>
      <w:rFonts w:ascii="Times New Roman" w:eastAsia="黑体" w:cs="黑体" w:hAnsi="Times New Roman"/>
      <w:b/>
      <w:bCs/>
      <w:kern w:val="2"/>
      <w:sz w:val="32"/>
      <w:szCs w:val="32"/>
      <w:lang w:val="en-US" w:eastAsia="zh-CN" w:bidi="ar-SA"/>
    </w:rPr>
  </w:style>
  <w:style w:type="paragraph" w:styleId="3">
    <w:name w:val="heading 3"/>
    <w:qFormat/>
    <w:basedOn w:val="0"/>
    <w:next w:val="0"/>
    <w:link w:val="3Char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customStyle="1" w:styleId="3Char">
    <w:name w:val="heading 3 Char"/>
    <w:basedOn w:val="10"/>
    <w:link w:val="3"/>
    <w:rPr>
      <w:rFonts w:ascii="Calibri" w:eastAsia="宋体" w:cs="黑体" w:hAnsi="Calibri"/>
      <w:b/>
      <w:bCs/>
      <w:kern w:val="2"/>
      <w:sz w:val="32"/>
      <w:szCs w:val="32"/>
      <w:lang w:val="en-US" w:eastAsia="zh-CN" w:bidi="ar-SA"/>
    </w:rPr>
  </w:style>
  <w:style w:type="character" w:default="1" w:styleId="10">
    <w:name w:val="Default Paragraph Font"/>
    <w:qFormat/>
  </w:style>
  <w:style w:type="paragraph" w:styleId="15">
    <w:name w:val="footer"/>
    <w:qFormat/>
    <w:basedOn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6">
    <w:name w:val="header"/>
    <w:qFormat/>
    <w:basedOn w:val="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paragraph" w:styleId="17">
    <w:name w:val="Normal (Web)"/>
    <w:qFormat/>
    <w:basedOn w:val="0"/>
    <w:next w:val="16"/>
    <w:pPr>
      <w:widowControl w:val="0"/>
      <w:spacing w:before="0" w:beforeAutospacing="1" w:after="0" w:afterAutospacing="1" w:line="240" w:lineRule="auto"/>
      <w:ind w:left="0" w:right="0"/>
      <w:jc w:val="left"/>
    </w:pPr>
    <w:rPr>
      <w:rFonts w:ascii="Calibri" w:eastAsia="宋体" w:cs="Arial" w:hAnsi="Calibri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customXml" Target="../customXml/item1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1"/>
        </a:gradFill>
      </a:fillStyleLst>
      <a:lnStyleLst>
        <a:ln w="6350" cmpd="sng" cap="flat">
          <a:solidFill>
            <a:schemeClr val="phClr"/>
          </a:solidFill>
          <a:prstDash val="solid"/>
          <a:miter/>
        </a:ln>
        <a:ln w="12700" cmpd="sng" cap="flat">
          <a:solidFill>
            <a:schemeClr val="phClr"/>
          </a:solidFill>
          <a:prstDash val="solid"/>
          <a:miter/>
        </a:ln>
        <a:ln w="19050" cmpd="sng" cap="flat">
          <a:solidFill>
            <a:schemeClr val="phClr"/>
          </a:solidFill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algn="b" rotWithShape="0" blurRad="57150" dist="19050" dir="5400000">
              <a:srgbClr val="000000">
                <a:alpha val="62745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1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ECF991B3-7AE0-4944-88FF-4721A868AAEB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>
  <Template>Normal.eit</Template>
  <TotalTime>3018</TotalTime>
  <Application>Yozo_Office9.0.4819.102ZH</Application>
  <Pages>6</Pages>
  <Words>0</Words>
  <Characters>2383</Characters>
  <Lines>0</Lines>
  <Paragraphs>42</Paragraphs>
  <CharactersWithSpaces>3178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附件3：</dc:title>
  <dc:creator>欣欣大人</dc:creator>
  <cp:lastModifiedBy>Administrator</cp:lastModifiedBy>
  <cp:revision>3</cp:revision>
  <cp:lastPrinted>2026-09-18T07:47:32Z</cp:lastPrinted>
  <dcterms:created xsi:type="dcterms:W3CDTF">2020-02-04T03:46:00Z</dcterms:created>
  <dcterms:modified xsi:type="dcterms:W3CDTF">2026-09-18T07:48:10Z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2052-12.1.0.16388</vt:lpwstr>
  </property>
  <property fmtid="{D5CDD505-2E9C-101B-9397-08002B2CF9AE}" pid="3" name="ICV">
    <vt:lpwstr>96934721B1514D3FBAA28020338CE855_12</vt:lpwstr>
  </property>
</Properties>
</file>