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6A2F6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2A31B93E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262AC36B"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矿区市场监督管理局部门</w:t>
      </w:r>
    </w:p>
    <w:p w14:paraId="5ECF0B71">
      <w:pPr>
        <w:spacing w:line="560" w:lineRule="exact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年度整体支出绩效自评报告</w:t>
      </w:r>
    </w:p>
    <w:p w14:paraId="181DD8ED"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 w14:paraId="72ED7305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贯彻落实</w:t>
      </w:r>
      <w:r>
        <w:rPr>
          <w:rFonts w:ascii="仿宋" w:hAnsi="仿宋" w:eastAsia="仿宋"/>
          <w:sz w:val="32"/>
          <w:szCs w:val="32"/>
        </w:rPr>
        <w:t>区委区政府</w:t>
      </w:r>
      <w:r>
        <w:rPr>
          <w:rFonts w:hint="eastAsia" w:ascii="仿宋" w:hAnsi="仿宋" w:eastAsia="仿宋"/>
          <w:sz w:val="32"/>
          <w:szCs w:val="32"/>
        </w:rPr>
        <w:t>《关于全面落实预算绩效管理的实施意见》（</w:t>
      </w:r>
      <w:r>
        <w:rPr>
          <w:rFonts w:ascii="仿宋" w:hAnsi="仿宋" w:eastAsia="仿宋"/>
          <w:sz w:val="32"/>
          <w:szCs w:val="32"/>
        </w:rPr>
        <w:t>矿</w:t>
      </w:r>
      <w:r>
        <w:rPr>
          <w:rFonts w:hint="eastAsia" w:ascii="仿宋" w:hAnsi="仿宋" w:eastAsia="仿宋"/>
          <w:sz w:val="32"/>
          <w:szCs w:val="32"/>
        </w:rPr>
        <w:t>发﹝2019﹞</w:t>
      </w:r>
      <w:r>
        <w:rPr>
          <w:rFonts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</w:rPr>
        <w:t>号）文件精神，遵循“科学性、规范性、客观性和公正性”的原则，对</w:t>
      </w:r>
      <w:r>
        <w:rPr>
          <w:rFonts w:hint="eastAsia" w:ascii="仿宋" w:hAnsi="仿宋" w:eastAsia="仿宋"/>
          <w:sz w:val="32"/>
          <w:szCs w:val="32"/>
          <w:lang w:eastAsia="zh-CN"/>
        </w:rPr>
        <w:t>矿区市场监管局部门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2025年</w:t>
      </w:r>
      <w:r>
        <w:rPr>
          <w:rFonts w:hint="eastAsia" w:ascii="仿宋" w:hAnsi="仿宋" w:eastAsia="仿宋"/>
          <w:sz w:val="32"/>
          <w:szCs w:val="32"/>
          <w:lang w:eastAsia="zh-CN"/>
        </w:rPr>
        <w:t>整体支出情况</w:t>
      </w:r>
      <w:r>
        <w:rPr>
          <w:rFonts w:hint="eastAsia" w:ascii="仿宋" w:hAnsi="仿宋" w:eastAsia="仿宋"/>
          <w:sz w:val="32"/>
          <w:szCs w:val="32"/>
        </w:rPr>
        <w:t>实施了财政支出绩效自评价，形成本评价报告。</w:t>
      </w:r>
    </w:p>
    <w:p w14:paraId="61ECB428">
      <w:pPr>
        <w:adjustRightInd w:val="0"/>
        <w:snapToGrid w:val="0"/>
        <w:spacing w:line="560" w:lineRule="exac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sz w:val="32"/>
          <w:szCs w:val="32"/>
        </w:rPr>
        <w:t xml:space="preserve">     一、部门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 w14:paraId="1CD27A40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（一）部门概况</w:t>
      </w:r>
    </w:p>
    <w:p w14:paraId="1E8A0EE2"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1．主要职能。</w:t>
      </w:r>
    </w:p>
    <w:p w14:paraId="0F92A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贯彻落实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市场监督管理有关地方性法规、政府规章，组织实施质量强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战略、食品安全战略、标准化战略、知识产权战略，拟订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市场监督管理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规划并组织实施，规范和维护市场秩序，营造诚实守信、公平竞争的市场环境。</w:t>
      </w:r>
    </w:p>
    <w:p w14:paraId="04CF3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shd w:val="clear" w:color="auto" w:fill="auto"/>
        </w:rPr>
        <w:t>负责市场主体信用建设工作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shd w:val="clear" w:color="auto" w:fill="auto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建立市场主体信息公示和共享机制，依法公示和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</w:rPr>
        <w:t>享有关信息，加强信用监管，推动市场主体信用体系建设。</w:t>
      </w:r>
    </w:p>
    <w:p w14:paraId="36922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负责市场监管综合执法工作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市场监管综合执法队伍建设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，推动实行统一的市场监管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组织查处重大违法案件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规范市场监管行政执法行为。</w:t>
      </w:r>
    </w:p>
    <w:p w14:paraId="1294C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负责监督管理市场秩序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依法监督管理市场交易、网络商品交易及有关服务的行为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；依法</w:t>
      </w:r>
      <w:r>
        <w:rPr>
          <w:rFonts w:hint="eastAsia" w:ascii="仿宋_GB2312" w:hAnsi="仿宋_GB2312" w:eastAsia="仿宋_GB2312" w:cs="仿宋_GB2312"/>
          <w:sz w:val="32"/>
          <w:szCs w:val="32"/>
        </w:rPr>
        <w:t>查处价格收费违法违规、不正当竞争、违法直销、传销、侵犯商标专利知识产权和制售假冒伪劣行为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广告业发展，监督管理广告活动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；依法</w:t>
      </w:r>
      <w:r>
        <w:rPr>
          <w:rFonts w:hint="eastAsia" w:ascii="仿宋_GB2312" w:hAnsi="仿宋_GB2312" w:eastAsia="仿宋_GB2312" w:cs="仿宋_GB2312"/>
          <w:sz w:val="32"/>
          <w:szCs w:val="32"/>
        </w:rPr>
        <w:t>查处无照生产经营和相关无证生产经营行为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；负责维护消费者权益；根据上级授权，负责对经营者集中行为进行反垄断审查，负责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垄断协议、滥用市场支配地位和滥用行政权力排除、限制竞争等反垄断执法工作。</w:t>
      </w:r>
    </w:p>
    <w:p w14:paraId="6436F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宏观质量管理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拟订全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质量发展制度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措施并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质量基础设施建设与应用，会同有关部门组织实施重大工程设备质量监理制度，组织重大质量事故调查，组织实施缺陷产品召回制度，监督管理产品防伪工作。</w:t>
      </w:r>
    </w:p>
    <w:p w14:paraId="56CED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产品质量安全监督管理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级产品质量安全风险监控、监督抽查工作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组织实施质量分级制度、质量安全追溯制度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32"/>
          <w:szCs w:val="32"/>
          <w:u w:val="none"/>
        </w:rPr>
        <w:t>负责纤维质量监督工作。</w:t>
      </w:r>
    </w:p>
    <w:p w14:paraId="2F945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特种设备安全监督管理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工作，负责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特种设备安全监察、监督管理工作，监督检查高耗能特种设备节能标准和锅炉环境保护标准的执行情况。</w:t>
      </w:r>
    </w:p>
    <w:p w14:paraId="63317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负责综合协调食品安全监督管理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工作，完善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食品安全地方党政同责和跨部门协调联动机制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负责食品安全应急体系建设，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食品安全事件应急处置和调查处理工作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矿区</w:t>
      </w:r>
      <w:r>
        <w:rPr>
          <w:rFonts w:hint="eastAsia" w:ascii="仿宋_GB2312" w:hAnsi="仿宋_GB2312" w:eastAsia="仿宋_GB2312" w:cs="仿宋_GB2312"/>
          <w:sz w:val="32"/>
          <w:szCs w:val="32"/>
        </w:rPr>
        <w:t>食品安全委员会日常工作。</w:t>
      </w:r>
    </w:p>
    <w:p w14:paraId="77F3C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（九）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负责食品安全监督管理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建立覆盖食品生产、流通、消费全过程的监督检查制度和隐患排查治理机制并组织实施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，防范食品安全风险；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推动建立食品生产经营者落实主体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责</w:t>
      </w:r>
      <w:r>
        <w:rPr>
          <w:rFonts w:hint="eastAsia" w:ascii="仿宋_GB2312" w:hAnsi="仿宋_GB2312" w:eastAsia="仿宋_GB2312" w:cs="仿宋_GB2312"/>
          <w:sz w:val="32"/>
          <w:szCs w:val="32"/>
        </w:rPr>
        <w:t>任的机制，健全食品安全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追溯</w:t>
      </w:r>
      <w:r>
        <w:rPr>
          <w:rFonts w:hint="eastAsia" w:ascii="仿宋_GB2312" w:hAnsi="仿宋_GB2312" w:eastAsia="仿宋_GB2312" w:cs="仿宋_GB2312"/>
          <w:sz w:val="32"/>
          <w:szCs w:val="32"/>
        </w:rPr>
        <w:t>体系。参与食品安全风险监测，组织开展食品安全监督抽检、核查处置和风险预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警</w:t>
      </w:r>
      <w:r>
        <w:rPr>
          <w:rFonts w:hint="eastAsia" w:ascii="仿宋_GB2312" w:hAnsi="仿宋_GB2312" w:eastAsia="仿宋_GB2312" w:cs="仿宋_GB2312"/>
          <w:sz w:val="32"/>
          <w:szCs w:val="32"/>
        </w:rPr>
        <w:t>、风险交流工作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按职责分工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特殊食品监督管理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工作；负责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重大活动食品安全保障。</w:t>
      </w:r>
    </w:p>
    <w:p w14:paraId="140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负责统一管理全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计量工作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推行法定计量单位和国家计量制度，管理计量器具及量值传递和比对工作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规范、监督商品量和市场计量行为。</w:t>
      </w:r>
    </w:p>
    <w:p w14:paraId="4EE89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负责统一管理全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标准化工作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宣传贯彻强制性、推荐性国家标准和行业标准、地方标准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依法协调指导和监督团体标准、企业标准制定工作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</w:p>
    <w:p w14:paraId="4F766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（十二）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负责统一管理全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检验检测工作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推进检验检测机构改革，规范检验检测市场，完善检验检测体系，指导协调检验检测行业发展。</w:t>
      </w:r>
    </w:p>
    <w:p w14:paraId="1498B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负责统一管理、监督和协调全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认证认可工作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实施国家统一的认证认可和合格评定监督管理制度。</w:t>
      </w:r>
    </w:p>
    <w:p w14:paraId="46A3B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负责推进全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知识产权管理工作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拟订加强知识产权强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建设发展规划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并组织实施，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贯彻落实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强化知识产权创造、保护和运用的政策和制度。</w:t>
      </w:r>
    </w:p>
    <w:p w14:paraId="45CCB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（十五）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负责保护知识产权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贯彻落实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保护商标、专利、原产地地理标志、集成电路布图设计等知识产权地方性法规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、政府规章草案；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推动建设知识产权保护体系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负责商标、专利执法工作，负责知识产权争议处理、维权援助和纠纷调处工作。</w:t>
      </w:r>
    </w:p>
    <w:p w14:paraId="753D0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（十六）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负责促进知识产权运用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工作；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贯彻落实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知识产权运用和规范交易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管理办法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，促进知识产权转移转化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规范知识产权无形资产评估工作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知识产权中介服务发展的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监督管理工作。</w:t>
      </w:r>
    </w:p>
    <w:p w14:paraId="514BA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（十七）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负责建立知识产权公共服务体系，建设便企利民、互联互通的全区知识产权信息公共服务平台，推动商标、专利等知识产权信息的传播利用。</w:t>
      </w:r>
    </w:p>
    <w:p w14:paraId="68518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（十八）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承担上级授权的知识产权代办工作任务，负责知识产权的初审注册登记，组织实施原产地地理标志统一认定制度。</w:t>
      </w:r>
    </w:p>
    <w:p w14:paraId="4FB84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（十九）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负责市场监督管理科技和信息化建设、新闻宣传、对外交流与合作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u w:val="none"/>
          <w:lang w:eastAsia="zh-CN"/>
        </w:rPr>
        <w:t>按规定承担技术性贸易措施有关工作；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负责协调涉外知识产权事宜，承担知识产权对外转让审查工作。</w:t>
      </w:r>
    </w:p>
    <w:p w14:paraId="07F36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（二十）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责药品（含中药、民族药，下同）、医疗器械和化妆品安全监督管理工作；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贯彻执行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药品、医疗器械和化妆品法律法规，以及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鼓励药品、医疗器械和化妆品新技术新产品的管理与服务政策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zh-CN" w:eastAsia="zh-CN"/>
        </w:rPr>
        <w:t>拟订监督管理措施并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zh-CN" w:eastAsia="zh-CN"/>
        </w:rPr>
        <w:t>实施，组织起草相关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地方性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zh-CN" w:eastAsia="zh-CN"/>
        </w:rPr>
        <w:t>法规、政府规章草案。</w:t>
      </w:r>
    </w:p>
    <w:p w14:paraId="546B8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（二十一）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负责药品、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医疗器械和化妆品质量管理工作，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依职责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监督实施药品、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医疗器械经营质量管理规范。</w:t>
      </w:r>
    </w:p>
    <w:p w14:paraId="5103A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（二十二）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组织开展药品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、化妆品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不良反应监测、医疗器械不良事件监测、药物滥用监测工作，依法承担药品、医疗器械和化妆品安全应急管理工作。</w:t>
      </w:r>
    </w:p>
    <w:p w14:paraId="25961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（二十三）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负责药品、医疗器械和化妆品监督检查工作，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贯彻落实国家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检查制度，依法查处药品、医</w:t>
      </w:r>
      <w:r>
        <w:rPr>
          <w:rFonts w:hint="eastAsia" w:ascii="仿宋_GB2312" w:hAnsi="仿宋_GB2312" w:eastAsia="仿宋_GB2312" w:cs="仿宋_GB2312"/>
          <w:sz w:val="32"/>
          <w:szCs w:val="32"/>
        </w:rPr>
        <w:t>疗器械和化妆品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经营、使用环节的违法行为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8BE2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（二十四）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组织开展药品、医疗器械和化妆品安全宣传、教育培训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推进诚信体系建设。</w:t>
      </w:r>
    </w:p>
    <w:p w14:paraId="5E735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（二十五）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zh-CN" w:eastAsia="zh-CN"/>
        </w:rPr>
        <w:t>推进全区药品、医疗器械和化妆品安全监管信息化建设，负责贯彻落实药品、医疗器械和化妆品的安全科技发展规划，推动检验检测体系、电子监管追溯体系和信息化建设；完善药品、医疗器械和化妆品安全信息统一公布制度和重大信息直报制度，公布重大安全信息。</w:t>
      </w:r>
    </w:p>
    <w:p w14:paraId="3C9CE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（二十六）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市场监督管理局和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药品监督管理局委托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级实施的管理事项。</w:t>
      </w:r>
    </w:p>
    <w:p w14:paraId="12F66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outlineLvl w:val="9"/>
        <w:rPr>
          <w:rFonts w:ascii="新宋体" w:hAnsi="新宋体" w:eastAsia="新宋体"/>
          <w:sz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（二十七）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政府交办的其他任务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E44542D"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2．机构情况。</w:t>
      </w:r>
    </w:p>
    <w:tbl>
      <w:tblPr>
        <w:tblStyle w:val="11"/>
        <w:tblW w:w="88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2001"/>
        <w:gridCol w:w="2131"/>
        <w:gridCol w:w="2506"/>
      </w:tblGrid>
      <w:tr w14:paraId="739CB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Align w:val="center"/>
          </w:tcPr>
          <w:p w14:paraId="4E9C35C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2001" w:type="dxa"/>
            <w:vAlign w:val="center"/>
          </w:tcPr>
          <w:p w14:paraId="1300FDCB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单位性质</w:t>
            </w:r>
          </w:p>
        </w:tc>
        <w:tc>
          <w:tcPr>
            <w:tcW w:w="2131" w:type="dxa"/>
            <w:vAlign w:val="center"/>
          </w:tcPr>
          <w:p w14:paraId="1BBE67E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单位规格</w:t>
            </w:r>
          </w:p>
        </w:tc>
        <w:tc>
          <w:tcPr>
            <w:tcW w:w="2506" w:type="dxa"/>
            <w:vAlign w:val="center"/>
          </w:tcPr>
          <w:p w14:paraId="56E54F9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经费保障形势</w:t>
            </w:r>
          </w:p>
        </w:tc>
      </w:tr>
      <w:tr w14:paraId="0391C7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217CEE7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石家庄市井陉矿区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市场监督管理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局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68D7B4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行政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3E09689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正科级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F61E8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财政拨款</w:t>
            </w:r>
          </w:p>
        </w:tc>
      </w:tr>
      <w:tr w14:paraId="78610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0B5E8D5"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石家庄市井陉矿区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市场监督综合执法大队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7494D3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事业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A938F0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副科级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092055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财政拨款</w:t>
            </w:r>
          </w:p>
        </w:tc>
      </w:tr>
    </w:tbl>
    <w:p w14:paraId="1C84FE0F"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3．人员情况，包括当年变动情况及原因。</w:t>
      </w:r>
    </w:p>
    <w:p w14:paraId="58802082">
      <w:pPr>
        <w:spacing w:line="560" w:lineRule="exact"/>
        <w:ind w:firstLine="63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年末实有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人。下属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个二级预算单位，包括财政性基本保证单位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编制共计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年末实有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B278923"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val="en-US" w:eastAsia="zh-CN"/>
        </w:rPr>
        <w:t>4、资产情况</w:t>
      </w:r>
      <w:r>
        <w:rPr>
          <w:rFonts w:hint="eastAsia" w:ascii="仿宋_GB2312" w:hAnsi="仿宋" w:eastAsia="仿宋_GB2312"/>
          <w:sz w:val="32"/>
          <w:szCs w:val="32"/>
        </w:rPr>
        <w:t>，包括当年变动情况及原因。</w:t>
      </w:r>
    </w:p>
    <w:p w14:paraId="345D08CF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年年初资产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911.38</w:t>
      </w:r>
      <w:r>
        <w:rPr>
          <w:rFonts w:hint="eastAsia" w:ascii="仿宋" w:hAnsi="仿宋" w:eastAsia="仿宋" w:cs="仿宋"/>
          <w:sz w:val="32"/>
          <w:szCs w:val="32"/>
        </w:rPr>
        <w:t>万元，年末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911.38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。当年无变动。</w:t>
      </w:r>
    </w:p>
    <w:p w14:paraId="576C4E6E"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部门收支预决算情况</w:t>
      </w:r>
    </w:p>
    <w:p w14:paraId="1355798E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年部门年初预算收入</w:t>
      </w:r>
      <w:r>
        <w:rPr>
          <w:rFonts w:ascii="仿宋_GB2312" w:hAnsi="仿宋" w:eastAsia="仿宋_GB2312" w:cs="仿宋_GB2312"/>
          <w:sz w:val="32"/>
          <w:szCs w:val="32"/>
          <w:lang w:val="en-US" w:eastAsia="zh-CN"/>
        </w:rPr>
        <w:t>1000.16</w:t>
      </w:r>
      <w:r>
        <w:rPr>
          <w:rFonts w:hint="eastAsia" w:ascii="仿宋_GB2312" w:hAnsi="仿宋" w:eastAsia="仿宋_GB2312" w:cs="仿宋_GB2312"/>
          <w:sz w:val="32"/>
          <w:szCs w:val="32"/>
        </w:rPr>
        <w:t>万元，202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年部门预算支出</w:t>
      </w:r>
      <w:r>
        <w:rPr>
          <w:rFonts w:ascii="仿宋_GB2312" w:hAnsi="仿宋" w:eastAsia="仿宋_GB2312" w:cs="仿宋_GB2312"/>
          <w:sz w:val="32"/>
          <w:szCs w:val="32"/>
          <w:lang w:val="en-US" w:eastAsia="zh-CN"/>
        </w:rPr>
        <w:t>1000.16</w:t>
      </w:r>
      <w:r>
        <w:rPr>
          <w:rFonts w:hint="eastAsia" w:ascii="仿宋_GB2312" w:hAnsi="仿宋" w:eastAsia="仿宋_GB2312" w:cs="仿宋_GB2312"/>
          <w:sz w:val="32"/>
          <w:szCs w:val="32"/>
        </w:rPr>
        <w:t>万元，其中：基本支出</w:t>
      </w:r>
      <w:r>
        <w:rPr>
          <w:rFonts w:ascii="仿宋_GB2312" w:hAnsi="仿宋" w:eastAsia="仿宋_GB2312" w:cs="仿宋_GB2312"/>
          <w:sz w:val="32"/>
          <w:szCs w:val="32"/>
          <w:lang w:val="en-US" w:eastAsia="zh-CN"/>
        </w:rPr>
        <w:t>859.61</w:t>
      </w:r>
      <w:r>
        <w:rPr>
          <w:rFonts w:hint="eastAsia" w:ascii="仿宋_GB2312" w:hAnsi="仿宋" w:eastAsia="仿宋_GB2312" w:cs="仿宋_GB2312"/>
          <w:sz w:val="32"/>
          <w:szCs w:val="32"/>
        </w:rPr>
        <w:t>万元，项目支出</w:t>
      </w:r>
      <w:r>
        <w:rPr>
          <w:rFonts w:ascii="仿宋_GB2312" w:hAnsi="仿宋" w:eastAsia="仿宋_GB2312" w:cs="仿宋_GB2312"/>
          <w:sz w:val="32"/>
          <w:szCs w:val="32"/>
          <w:lang w:val="en-US" w:eastAsia="zh-CN"/>
        </w:rPr>
        <w:t>140.55</w:t>
      </w:r>
      <w:r>
        <w:rPr>
          <w:rFonts w:hint="eastAsia" w:ascii="仿宋_GB2312" w:hAnsi="仿宋" w:eastAsia="仿宋_GB2312" w:cs="仿宋_GB2312"/>
          <w:sz w:val="32"/>
          <w:szCs w:val="32"/>
        </w:rPr>
        <w:t>万元。202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年实际收入</w:t>
      </w:r>
      <w:r>
        <w:rPr>
          <w:rFonts w:ascii="仿宋_GB2312" w:hAnsi="仿宋" w:eastAsia="仿宋_GB2312" w:cs="仿宋_GB2312"/>
          <w:sz w:val="32"/>
          <w:szCs w:val="32"/>
          <w:lang w:val="en-US" w:eastAsia="zh-CN"/>
        </w:rPr>
        <w:t>993.52</w:t>
      </w:r>
      <w:r>
        <w:rPr>
          <w:rFonts w:hint="eastAsia" w:ascii="仿宋_GB2312" w:hAnsi="仿宋" w:eastAsia="仿宋_GB2312" w:cs="仿宋_GB2312"/>
          <w:sz w:val="32"/>
          <w:szCs w:val="32"/>
        </w:rPr>
        <w:t>万元,实际支出</w:t>
      </w:r>
      <w:r>
        <w:rPr>
          <w:rFonts w:ascii="仿宋_GB2312" w:hAnsi="仿宋" w:eastAsia="仿宋_GB2312" w:cs="仿宋_GB2312"/>
          <w:sz w:val="32"/>
          <w:szCs w:val="32"/>
          <w:lang w:val="en-US" w:eastAsia="zh-CN"/>
        </w:rPr>
        <w:t>993.52</w:t>
      </w:r>
      <w:r>
        <w:rPr>
          <w:rFonts w:hint="eastAsia" w:ascii="仿宋_GB2312" w:hAnsi="仿宋" w:eastAsia="仿宋_GB2312" w:cs="仿宋_GB2312"/>
          <w:sz w:val="32"/>
          <w:szCs w:val="32"/>
        </w:rPr>
        <w:t>万元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其中：基本支出</w:t>
      </w:r>
      <w:r>
        <w:rPr>
          <w:rFonts w:ascii="仿宋_GB2312" w:hAnsi="仿宋" w:eastAsia="仿宋_GB2312" w:cs="仿宋_GB2312"/>
          <w:sz w:val="32"/>
          <w:szCs w:val="32"/>
          <w:lang w:val="en-US" w:eastAsia="zh-CN"/>
        </w:rPr>
        <w:t>923.17</w:t>
      </w:r>
      <w:r>
        <w:rPr>
          <w:rFonts w:hint="eastAsia" w:ascii="仿宋_GB2312" w:hAnsi="仿宋" w:eastAsia="仿宋_GB2312" w:cs="仿宋_GB2312"/>
          <w:sz w:val="32"/>
          <w:szCs w:val="32"/>
        </w:rPr>
        <w:t>万元，项目支出</w:t>
      </w:r>
      <w:r>
        <w:rPr>
          <w:rFonts w:ascii="仿宋_GB2312" w:hAnsi="仿宋" w:eastAsia="仿宋_GB2312" w:cs="仿宋_GB2312"/>
          <w:sz w:val="32"/>
          <w:szCs w:val="32"/>
          <w:lang w:val="en-US" w:eastAsia="zh-CN"/>
        </w:rPr>
        <w:t>70.34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 w14:paraId="4718C8A8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（三）部门整体支出绩效目标、指标</w:t>
      </w:r>
    </w:p>
    <w:p w14:paraId="39C46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一是率先完成主体年报工作。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在全市24个县（市、区）、直属分局中率先完成年报公示工作，获市局发文通报表扬。</w:t>
      </w:r>
      <w:r>
        <w:rPr>
          <w:rFonts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是扎实开展党史学习教育。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局办公楼、基层监管所高标准建设党建活动室、走廊文化阵地建设，每周利用半个小时开展《党史教育周周讲》和业务知识大练兵活动。确立了19项办实事项目，其中帮扶困难群体年报得到了群众赞扬与好评，被省电视台、河北日报、学习强国被省市媒体先后报道。</w:t>
      </w:r>
      <w:r>
        <w:rPr>
          <w:rFonts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是强化执法办案。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以“衣食住行”领域专项整治工作为抓手，查处各类违法违规案件39件，同比增长50%，有力震慑了不法经营行为。</w:t>
      </w:r>
    </w:p>
    <w:tbl>
      <w:tblPr>
        <w:tblStyle w:val="11"/>
        <w:tblpPr w:leftFromText="180" w:rightFromText="180" w:vertAnchor="text" w:horzAnchor="page" w:tblpX="1200" w:tblpY="320"/>
        <w:tblOverlap w:val="never"/>
        <w:tblW w:w="99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1"/>
        <w:gridCol w:w="1535"/>
        <w:gridCol w:w="1371"/>
        <w:gridCol w:w="939"/>
        <w:gridCol w:w="659"/>
        <w:gridCol w:w="939"/>
        <w:gridCol w:w="792"/>
        <w:gridCol w:w="1045"/>
        <w:gridCol w:w="1319"/>
      </w:tblGrid>
      <w:tr w14:paraId="267AF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9970" w:type="dxa"/>
            <w:gridSpan w:val="9"/>
            <w:shd w:val="clear" w:color="auto" w:fill="D3DCE9"/>
            <w:vAlign w:val="center"/>
          </w:tcPr>
          <w:p w14:paraId="1FED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3"/>
                <w:szCs w:val="4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3"/>
                <w:szCs w:val="43"/>
                <w:u w:val="none"/>
                <w:lang w:val="en-US" w:eastAsia="zh-CN"/>
              </w:rPr>
              <w:t>预算项目绩效信息表</w:t>
            </w:r>
          </w:p>
        </w:tc>
      </w:tr>
      <w:tr w14:paraId="62CAA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1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一级指标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5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二级指标</w:t>
            </w:r>
          </w:p>
        </w:tc>
        <w:tc>
          <w:tcPr>
            <w:tcW w:w="1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0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三级指标</w:t>
            </w: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绩效指标描述</w:t>
            </w:r>
          </w:p>
        </w:tc>
        <w:tc>
          <w:tcPr>
            <w:tcW w:w="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9A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评（扣）分标准</w:t>
            </w:r>
          </w:p>
        </w:tc>
        <w:tc>
          <w:tcPr>
            <w:tcW w:w="2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8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指标值</w:t>
            </w:r>
          </w:p>
        </w:tc>
        <w:tc>
          <w:tcPr>
            <w:tcW w:w="13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E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指标值确定依据</w:t>
            </w:r>
          </w:p>
        </w:tc>
      </w:tr>
      <w:tr w14:paraId="2CAF5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1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7DDA"/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7D02"/>
        </w:tc>
        <w:tc>
          <w:tcPr>
            <w:tcW w:w="1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1618"/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234E9"/>
        </w:tc>
        <w:tc>
          <w:tcPr>
            <w:tcW w:w="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2CD4"/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符号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8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值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单位（文字描述）</w:t>
            </w:r>
          </w:p>
        </w:tc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2417"/>
        </w:tc>
      </w:tr>
      <w:tr w14:paraId="635F3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D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产出指标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F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数量指标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39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宣传活动条幅、彩页印刷数量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69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按照上级要求印制相关宣传品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2119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2A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=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C1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100.00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42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百分比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94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实施方案</w:t>
            </w:r>
          </w:p>
        </w:tc>
      </w:tr>
      <w:tr w14:paraId="27B8F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1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BAA7"/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D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质量指标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8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特种设备检查覆盖率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D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全区特种设备检查覆盖率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313E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EC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63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60.00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4B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百分比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4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工作计划</w:t>
            </w:r>
          </w:p>
        </w:tc>
      </w:tr>
      <w:tr w14:paraId="2D625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1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BBDA0"/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5B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时效指标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C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按时参加各类会议、培训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7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按时参加各类会议、培训出勤率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B659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CA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1B0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90.00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F0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百分比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F0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工作计划</w:t>
            </w:r>
          </w:p>
        </w:tc>
      </w:tr>
      <w:tr w14:paraId="7569F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效益指标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7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社会效益指标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B1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市场监管等工作正常推进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4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市场监管等工作完成率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E873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8E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7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95.00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7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百分比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AF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工作计划</w:t>
            </w:r>
          </w:p>
        </w:tc>
      </w:tr>
      <w:tr w14:paraId="0B875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5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满意度指标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11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服务对象满意度指标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FA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监管人员满意度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7F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被监管人员满意度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0FB8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3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B06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85.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00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7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%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56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问卷调查</w:t>
            </w:r>
          </w:p>
        </w:tc>
      </w:tr>
    </w:tbl>
    <w:p w14:paraId="1E570A4A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二、自评工作开展情况</w:t>
      </w:r>
    </w:p>
    <w:p w14:paraId="7B95E713">
      <w:pPr>
        <w:spacing w:line="560" w:lineRule="exact"/>
        <w:rPr>
          <w:rFonts w:ascii="楷体" w:hAnsi="楷体" w:eastAsia="楷体" w:cs="楷体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（一）自评的组织工作</w:t>
      </w:r>
    </w:p>
    <w:p w14:paraId="09A0F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为进一步提高我局绩效预算管理工作，根据《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中共井陉矿区委、井陉矿区人民政府关于全面落实预算绩效管理的实施意见</w:t>
      </w:r>
      <w:r>
        <w:rPr>
          <w:rFonts w:hint="eastAsia" w:ascii="仿宋" w:hAnsi="仿宋" w:eastAsia="仿宋" w:cs="仿宋"/>
          <w:sz w:val="32"/>
          <w:szCs w:val="32"/>
        </w:rPr>
        <w:t>》（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矿发</w:t>
      </w:r>
      <w:r>
        <w:rPr>
          <w:rFonts w:hint="eastAsia" w:ascii="仿宋" w:hAnsi="仿宋" w:eastAsia="仿宋" w:cs="仿宋"/>
          <w:sz w:val="32"/>
          <w:szCs w:val="32"/>
        </w:rPr>
        <w:t>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2019</w:t>
      </w:r>
      <w:r>
        <w:rPr>
          <w:rFonts w:hint="eastAsia" w:ascii="仿宋" w:hAnsi="仿宋" w:eastAsia="仿宋" w:cs="仿宋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号）要求，成立绩效评价工作组，对我局所有的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资金</w:t>
      </w:r>
      <w:r>
        <w:rPr>
          <w:rFonts w:hint="eastAsia" w:ascii="仿宋" w:hAnsi="仿宋" w:eastAsia="仿宋" w:cs="仿宋"/>
          <w:sz w:val="32"/>
          <w:szCs w:val="32"/>
        </w:rPr>
        <w:t>项目，开展20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部门整体</w:t>
      </w:r>
      <w:r>
        <w:rPr>
          <w:rFonts w:hint="eastAsia" w:ascii="仿宋" w:hAnsi="仿宋" w:eastAsia="仿宋" w:cs="仿宋"/>
          <w:sz w:val="32"/>
          <w:szCs w:val="32"/>
        </w:rPr>
        <w:t>绩效自评工作。</w:t>
      </w:r>
    </w:p>
    <w:p w14:paraId="0200C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绩效评价工作组根据工作方案，明确任务分工，确定评价程序及时间安排。根据20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年初设定的绩效目标完成情况和各绩效指标完成情况进行核实分析，填报《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区级</w:t>
      </w:r>
      <w:r>
        <w:rPr>
          <w:rFonts w:hint="eastAsia" w:ascii="仿宋" w:hAnsi="仿宋" w:eastAsia="仿宋" w:cs="仿宋"/>
          <w:sz w:val="32"/>
          <w:szCs w:val="32"/>
        </w:rPr>
        <w:t>项目绩效自评表》，并撰写绩效自评报告。</w:t>
      </w:r>
    </w:p>
    <w:p w14:paraId="456356C5"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矿区市场监督管理</w:t>
      </w:r>
      <w:r>
        <w:rPr>
          <w:rFonts w:hint="eastAsia" w:ascii="仿宋" w:hAnsi="仿宋" w:eastAsia="仿宋" w:cs="仿宋"/>
          <w:sz w:val="32"/>
          <w:szCs w:val="32"/>
        </w:rPr>
        <w:t>局20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年初</w:t>
      </w:r>
      <w:r>
        <w:rPr>
          <w:rFonts w:hint="eastAsia" w:ascii="仿宋" w:hAnsi="仿宋" w:eastAsia="仿宋" w:cs="仿宋"/>
          <w:sz w:val="32"/>
          <w:szCs w:val="32"/>
        </w:rPr>
        <w:t>预算共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1000.16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人员预算</w:t>
      </w:r>
      <w:r>
        <w:rPr>
          <w:rFonts w:ascii="仿宋" w:hAnsi="仿宋" w:eastAsia="仿宋" w:cs="仿宋"/>
          <w:color w:val="auto"/>
          <w:sz w:val="32"/>
          <w:szCs w:val="32"/>
          <w:lang w:val="en-US" w:eastAsia="zh-CN"/>
        </w:rPr>
        <w:t>801.46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万元，日常公用经费预算58.</w:t>
      </w:r>
      <w:r>
        <w:rPr>
          <w:rFonts w:ascii="仿宋" w:hAnsi="仿宋" w:eastAsia="仿宋" w:cs="仿宋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万元，项目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（十个）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预算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涉及资金具体为：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2025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年市场局预算项目共计7个，包括2025年市级市场监管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专项补助36万元、食品安全监管经费57.6万元、质量安全监管经费40万元、劳务派遣经费34.56万元、药品事务经费1万元、信息化建设经费12万元、市场主体管理经费18万元等。</w:t>
      </w:r>
    </w:p>
    <w:p w14:paraId="3951E9D8">
      <w:pPr>
        <w:numPr>
          <w:ilvl w:val="0"/>
          <w:numId w:val="2"/>
        </w:numPr>
        <w:spacing w:line="560" w:lineRule="exact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自评的方法和过程</w:t>
      </w:r>
    </w:p>
    <w:p w14:paraId="02741E24">
      <w:pPr>
        <w:pStyle w:val="2"/>
        <w:ind w:left="0" w:leftChars="0" w:firstLine="0" w:firstLineChars="0"/>
      </w:pP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eastAsia="zh-CN"/>
        </w:rPr>
        <w:t>本次绩效评价证据收集方法包括了：研究、分析项目预算股室提供的相关文件；整理汇总项目预算股室提供的项目资料、工作总结和合同；根据预算股室提供的基础数据表逐项进行核实；根据项目服务对象填写的问卷调查结果汇总满意度情况。项目在前期的调研基础上，完成了项目绩效评价工作方案，设计了指标体系、评价标准、问卷调查方案等，明确了评价的目的、方法，评价原则。项目严格按照工作方案，通过调研、相关文件的解读、数据采集、文件调查、数据分析、指标评分和撰写的环节，顺利完成了本次绩效评价工作。</w:t>
      </w:r>
    </w:p>
    <w:p w14:paraId="44C4A78D">
      <w:pPr>
        <w:spacing w:line="560" w:lineRule="exac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三、部门整体支出绩效目标实现情况及指标分析</w:t>
      </w:r>
    </w:p>
    <w:p w14:paraId="41EEFFD5">
      <w:pPr>
        <w:numPr>
          <w:ilvl w:val="0"/>
          <w:numId w:val="3"/>
        </w:numPr>
        <w:spacing w:line="560" w:lineRule="exact"/>
        <w:ind w:left="0"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总体绩效目标实现情况</w:t>
      </w:r>
    </w:p>
    <w:p w14:paraId="0C3D5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C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绩效目标是贯穿预算绩效管理始终的一条主线，是预算资金安排、事中绩效跟踪和事后绩效评价的重要依据。根据相关文件要求，我局所有年初项目均设定了绩效目标，涉及产出指标和效果指标，但存在绩效指标不够全面、可评性不高、具体指标缺乏量化等问题。主要原因是对绩效目标的认识不够，制定多样化和细化的评价指标和标准需要在实践中不断完善。</w:t>
      </w:r>
    </w:p>
    <w:p w14:paraId="3D98E437">
      <w:pPr>
        <w:spacing w:line="560" w:lineRule="exact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（二）分项绩效目标实现情况及指标分析</w:t>
      </w:r>
    </w:p>
    <w:p w14:paraId="1D236B07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质量安全监管经费</w:t>
      </w:r>
    </w:p>
    <w:p w14:paraId="7962F999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1.资金支出进度</w:t>
      </w:r>
    </w:p>
    <w:p w14:paraId="53063336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该项目预算为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调整预算数40万元，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万元，总体支出进度为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</w:t>
      </w:r>
    </w:p>
    <w:p w14:paraId="03A0DED4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2.产出指标和效果指标完成情况</w:t>
      </w:r>
    </w:p>
    <w:p w14:paraId="2635891D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加强产品质量、特设监管，严守安全底线。特种设备监管。对全区74家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特种设备使用单位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的4182台（辆、套）特种设备开展监管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，发现问题隐患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89处，下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达《特种设备安全监察指令书》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份，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已全部整改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，整改率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％。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全区3家获证企业开展巡查企业巡查率达100%，开展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区级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抽检21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个批次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配合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省局、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市局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抽检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13个批次。对全区49家企业（医疗机构、加油站）的780余台（条）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在用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强检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计量器具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进行了免费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检定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。指导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辖区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家企业完成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了河北省定量包装商品生产企业计量保证能力自我声明（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“C”标志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培育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全区36家单位获的“诚信计量承诺单位”称号。协助贾庄镇林果协会办理团体标准注册申请。帮助农业农村局制定市级农业地方标准。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鼓励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获得“双采”证书。</w:t>
      </w:r>
    </w:p>
    <w:p w14:paraId="469CB8ED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绩效指标为4个，评价等级为优。</w:t>
      </w:r>
    </w:p>
    <w:p w14:paraId="6EFC6B08">
      <w:pPr>
        <w:adjustRightInd w:val="0"/>
        <w:snapToGrid w:val="0"/>
        <w:spacing w:line="560" w:lineRule="exact"/>
        <w:ind w:firstLine="640" w:firstLineChars="200"/>
        <w:rPr>
          <w:color w:val="auto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劳务派遣经费</w:t>
      </w:r>
    </w:p>
    <w:p w14:paraId="2FF4A7D2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1.资金支出进度</w:t>
      </w:r>
    </w:p>
    <w:p w14:paraId="0E92D7F6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该项目预算为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34.56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调整预算数19.96万元，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19.96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万元，总体支出进度为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</w:t>
      </w:r>
    </w:p>
    <w:p w14:paraId="7C444E35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2.产出指标和效果指标完成情况</w:t>
      </w:r>
    </w:p>
    <w:p w14:paraId="4ECFE276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由于劳务派遣工作人员的增加，弥补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市场监管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工作人员严重不足的现状，保障了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市场监管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工作圆满完成。</w:t>
      </w:r>
    </w:p>
    <w:p w14:paraId="37CD1DEF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绩效指标为4个，评价等级为优。</w:t>
      </w:r>
    </w:p>
    <w:p w14:paraId="54E73F65">
      <w:pPr>
        <w:adjustRightInd w:val="0"/>
        <w:snapToGrid w:val="0"/>
        <w:spacing w:line="560" w:lineRule="exact"/>
        <w:ind w:firstLine="640" w:firstLineChars="200"/>
        <w:rPr>
          <w:rFonts w:hint="eastAsia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市场主体管理经费</w:t>
      </w:r>
    </w:p>
    <w:p w14:paraId="5BFB2C81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1.资金支出进度</w:t>
      </w:r>
    </w:p>
    <w:p w14:paraId="100C7FFF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该项目预算为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调整预算数5万元，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万元，总体支出进度为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</w:t>
      </w:r>
    </w:p>
    <w:p w14:paraId="4E00D82B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2.产出指标和效果指标完成情况</w:t>
      </w:r>
    </w:p>
    <w:p w14:paraId="54D7BF4E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优化营商环境，助力企业发展。一是开展包容审慎监管。严格落实省市《包容审慎监管的指导意见》和《市场主体轻微违法违规经营行为免罚清单》，建立市场轻微违法违规经营行为容错机制，为“三新经济”市场主体留足空间，充分释放活力和社会创造力。二是推进“双随机，一公开”监管。在保障涉及民生基本安全的基础上，进一步扩大“双随机一公开”覆盖面，合理规划抽查工作的领域、范围和频次，减轻企业负担，全年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双随机抽查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次，抽查各类市场主体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273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家，发现问题主体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家，抽查结果均向社会公示。</w:t>
      </w:r>
    </w:p>
    <w:p w14:paraId="693580AD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绩效指标为4个，评价等级为优。</w:t>
      </w:r>
    </w:p>
    <w:p w14:paraId="25C1D420">
      <w:pPr>
        <w:adjustRightInd w:val="0"/>
        <w:snapToGrid w:val="0"/>
        <w:spacing w:line="560" w:lineRule="exact"/>
        <w:ind w:firstLine="640" w:firstLineChars="200"/>
        <w:rPr>
          <w:rFonts w:hint="eastAsia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食品安全监管经费</w:t>
      </w:r>
    </w:p>
    <w:p w14:paraId="0C96B843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1.资金支出进度</w:t>
      </w:r>
    </w:p>
    <w:p w14:paraId="7E7E054F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该项目预算为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57.6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调整预算数57.6万元，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万元，总体支出进度为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</w:t>
      </w:r>
    </w:p>
    <w:p w14:paraId="721650CF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2.产出指标和效果指标完成情况</w:t>
      </w:r>
    </w:p>
    <w:p w14:paraId="77609B3F">
      <w:pPr>
        <w:adjustRightInd w:val="0"/>
        <w:snapToGrid w:val="0"/>
        <w:spacing w:line="560" w:lineRule="exact"/>
        <w:ind w:firstLine="62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/>
        </w:rPr>
        <w:t>筑牢食品药品安全防线。食品安全方面，强化党政同责，作为全市迎检工作的叁区两县之一，我们发扬不怕</w:t>
      </w:r>
      <w:r>
        <w:rPr>
          <w:rFonts w:ascii="仿宋_GB2312" w:hAnsi="宋体" w:eastAsia="仿宋_GB2312" w:cs="仿宋_GB2312"/>
          <w:color w:val="auto"/>
          <w:kern w:val="0"/>
          <w:sz w:val="31"/>
          <w:szCs w:val="31"/>
          <w:lang w:val="en-US" w:eastAsia="zh-CN"/>
        </w:rPr>
        <w:t>疲劳、连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/>
        </w:rPr>
        <w:t>续作战、敢打必胜的工作作风，经过三个月的不懈努力，圆满</w:t>
      </w:r>
      <w:r>
        <w:rPr>
          <w:rFonts w:ascii="仿宋_GB2312" w:hAnsi="宋体" w:eastAsia="仿宋_GB2312" w:cs="仿宋_GB2312"/>
          <w:color w:val="auto"/>
          <w:kern w:val="0"/>
          <w:sz w:val="31"/>
          <w:szCs w:val="31"/>
          <w:lang w:val="en-US" w:eastAsia="zh-CN"/>
        </w:rPr>
        <w:t>完成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/>
        </w:rPr>
        <w:t>马宇骏市长交办</w:t>
      </w:r>
      <w:r>
        <w:rPr>
          <w:rFonts w:ascii="仿宋_GB2312" w:hAnsi="宋体" w:eastAsia="仿宋_GB2312" w:cs="仿宋_GB2312"/>
          <w:color w:val="auto"/>
          <w:kern w:val="0"/>
          <w:sz w:val="31"/>
          <w:szCs w:val="31"/>
          <w:lang w:val="en-US" w:eastAsia="zh-CN"/>
        </w:rPr>
        <w:t>“只能成功，不能失败”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/>
        </w:rPr>
        <w:t>的</w:t>
      </w:r>
      <w:r>
        <w:rPr>
          <w:rFonts w:ascii="仿宋_GB2312" w:hAnsi="宋体" w:eastAsia="仿宋_GB2312" w:cs="仿宋_GB2312"/>
          <w:color w:val="auto"/>
          <w:kern w:val="0"/>
          <w:sz w:val="31"/>
          <w:szCs w:val="31"/>
          <w:lang w:val="en-US" w:eastAsia="zh-CN"/>
        </w:rPr>
        <w:t>国家食品安全示范城市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/>
        </w:rPr>
        <w:t>复审迎查任务。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落实四个最严要求，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每季度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风险会商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应急演练，抽检各环节食品553批次，开展餐饮示范街--康盛街创建，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学校食堂创建成为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市级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标准食堂。</w:t>
      </w:r>
    </w:p>
    <w:p w14:paraId="53B07701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绩效指标为4个，评价等级为优。</w:t>
      </w:r>
    </w:p>
    <w:p w14:paraId="43355A3C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信息化建设经费</w:t>
      </w:r>
    </w:p>
    <w:p w14:paraId="77D63254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1.资金支出进度</w:t>
      </w:r>
    </w:p>
    <w:p w14:paraId="299B93AF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该项目预算为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调整预算数4.3万元，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万元，总体支出进度为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</w:t>
      </w:r>
    </w:p>
    <w:p w14:paraId="57D8D295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2.产出指标和效果指标完成情况</w:t>
      </w:r>
    </w:p>
    <w:p w14:paraId="1096CFF9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紧紧围绕疫情期间重要商品价格监管、涉企收费专项治理、民生价费秩序持续稳定等工作重点，不断提高价格监管效能，持续推进降低企业成本。加大校外培训、食品、药品、新闻媒体发布等重点环节监督检查力度，规范广告市场。</w:t>
      </w:r>
    </w:p>
    <w:p w14:paraId="2685AD46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绩效指标为4个，评价等级为优。</w:t>
      </w:r>
    </w:p>
    <w:p w14:paraId="364EF098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药品事务经费</w:t>
      </w:r>
    </w:p>
    <w:p w14:paraId="412F78D7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1.资金支出进度</w:t>
      </w:r>
    </w:p>
    <w:p w14:paraId="41384ABC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该项目预算为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万元，总体支出进度为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</w:t>
      </w:r>
    </w:p>
    <w:p w14:paraId="23D567B1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2.产出指标和效果指标完成情况</w:t>
      </w:r>
    </w:p>
    <w:p w14:paraId="6A3CB816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完成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抽检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药品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化妆品34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批次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全区28家药品经营企业全部纳入药品零售企业追溯系统。</w:t>
      </w:r>
    </w:p>
    <w:p w14:paraId="68E7CA9C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绩效指标为4个，评价等级为优。</w:t>
      </w:r>
    </w:p>
    <w:p w14:paraId="3E5905DE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七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提前下达2025年市场监管专项补助经费</w:t>
      </w:r>
    </w:p>
    <w:p w14:paraId="1226F60E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1.资金支出进度</w:t>
      </w:r>
    </w:p>
    <w:p w14:paraId="1DFFEADB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该项目预算为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，调整预算数为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12.16万，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12.16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万元，总体支出进度为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</w:t>
      </w:r>
    </w:p>
    <w:p w14:paraId="6232430F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2.产出指标和效果指标完成情况</w:t>
      </w:r>
    </w:p>
    <w:p w14:paraId="74CC65FE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加大市场监管力度，规范市场经济秩序。一是积极查处不正当竞争违法行为，开展打击传销和“无传销社区”创建工作，推进公平竞争审查工作。二是积极完善投诉受理工作流程处置流程，今年以来共受理12315平台及下线来访投诉共计受理131件，已办结129件，办结率98%，有效维护了消费者合法权益。三是紧紧围绕疫情期间重要商品价格监管、涉企收费专项治理、民生价费秩序持续稳定等工作重点，不断提高价格监管效能，持续推进降低企业成本。</w:t>
      </w:r>
    </w:p>
    <w:p w14:paraId="0CC63915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绩效指标为4个，评价等级为优。</w:t>
      </w:r>
    </w:p>
    <w:p w14:paraId="0661C3FD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 w14:paraId="6AD118A3">
      <w:pPr>
        <w:widowControl w:val="0"/>
        <w:wordWrap/>
        <w:spacing w:line="560" w:lineRule="exact"/>
        <w:ind w:left="0" w:right="0" w:firstLine="640" w:firstLineChars="200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</w:t>
      </w:r>
      <w:r>
        <w:rPr>
          <w:rFonts w:hint="eastAsia" w:ascii="仿宋" w:hAnsi="仿宋" w:eastAsia="仿宋"/>
          <w:sz w:val="32"/>
          <w:szCs w:val="32"/>
          <w:lang w:eastAsia="zh-CN"/>
        </w:rPr>
        <w:t>部门职责定位和各项工作履职情况进行综合评价</w:t>
      </w:r>
      <w:r>
        <w:rPr>
          <w:rFonts w:hint="eastAsia" w:ascii="仿宋" w:hAnsi="仿宋" w:eastAsia="仿宋"/>
          <w:sz w:val="32"/>
          <w:szCs w:val="32"/>
        </w:rPr>
        <w:t>，给出总得分，满分100分，得出综合绩效评价等级。</w:t>
      </w:r>
      <w:r>
        <w:rPr>
          <w:rFonts w:hint="eastAsia" w:ascii="仿宋" w:hAnsi="仿宋" w:eastAsia="仿宋"/>
          <w:sz w:val="32"/>
          <w:szCs w:val="32"/>
          <w:lang w:eastAsia="zh-CN"/>
        </w:rPr>
        <w:t>部门整体支出</w:t>
      </w:r>
      <w:r>
        <w:rPr>
          <w:rFonts w:hint="eastAsia" w:ascii="仿宋" w:hAnsi="仿宋" w:eastAsia="仿宋"/>
          <w:sz w:val="32"/>
          <w:szCs w:val="32"/>
        </w:rPr>
        <w:t>综合绩效评价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分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98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分为优秀。</w:t>
      </w:r>
    </w:p>
    <w:p w14:paraId="12256D05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 w14:paraId="620CAE76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（一）存在的主要问题</w:t>
      </w:r>
    </w:p>
    <w:p w14:paraId="7A3F165B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</w:rPr>
        <w:t>绩效评价在目标设定上过于简单，对于绩效考核来讲，目标就是方向，如果在绩效考核目标设定上出现问题、或者是设计不合理势必要影响到绩效考核的全局。当前绩效考核在目标设定上不能实现多元化的目标，考核结果仅仅是停留在作为薪金或晋升的依据，还不能成为考量</w:t>
      </w:r>
      <w:r>
        <w:rPr>
          <w:rFonts w:hint="eastAsia" w:ascii="仿宋" w:hAnsi="仿宋" w:eastAsia="仿宋"/>
          <w:b w:val="0"/>
          <w:bCs w:val="0"/>
          <w:sz w:val="32"/>
          <w:szCs w:val="32"/>
          <w:lang w:eastAsia="zh-CN"/>
        </w:rPr>
        <w:t>职工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发展的标杆。绩效评价在指标设定上存在偏离的现象。在当前绩效考核指标设定上，德能勤绩这种传统的固化思维模式依旧存在，不能紧紧围绕工作重点、偏离实际的现象依旧凸显。</w:t>
      </w:r>
    </w:p>
    <w:p w14:paraId="16DD1C4F">
      <w:pPr>
        <w:spacing w:line="560" w:lineRule="exact"/>
        <w:ind w:firstLine="640" w:firstLineChars="200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（二）针对问题提出具体的改进措施或建议</w:t>
      </w:r>
    </w:p>
    <w:p w14:paraId="5B98D68D">
      <w:pPr>
        <w:adjustRightInd w:val="0"/>
        <w:snapToGrid w:val="0"/>
        <w:spacing w:line="560" w:lineRule="exact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</w:rPr>
        <w:t>针对绩效指标设定中存在的问题，从实际出发，在202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年项目绩效目标填报中增强指标的可评价性和可量化性，合理如实的反映资金使用的绩效成果，审核</w:t>
      </w:r>
      <w:r>
        <w:rPr>
          <w:rFonts w:ascii="仿宋" w:hAnsi="仿宋" w:eastAsia="仿宋" w:cs="仿宋"/>
          <w:sz w:val="32"/>
          <w:szCs w:val="32"/>
        </w:rPr>
        <w:t>实现绩效目标所需资金的合理性以及填报的规范性、完整性</w:t>
      </w:r>
      <w:r>
        <w:rPr>
          <w:rFonts w:hint="eastAsia" w:ascii="仿宋" w:hAnsi="仿宋" w:eastAsia="仿宋" w:cs="仿宋"/>
          <w:sz w:val="32"/>
          <w:szCs w:val="32"/>
        </w:rPr>
        <w:t>，提高财政支出产生的社会效益和经济效益，重点考虑项目的外界因素对年度任务的影响。</w:t>
      </w:r>
    </w:p>
    <w:p w14:paraId="09BE76B6"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在以后的工作中，</w:t>
      </w:r>
      <w:r>
        <w:rPr>
          <w:rFonts w:ascii="仿宋" w:hAnsi="仿宋" w:eastAsia="仿宋" w:cs="仿宋"/>
          <w:sz w:val="32"/>
          <w:szCs w:val="32"/>
        </w:rPr>
        <w:t>要根据年度工作计划制定具体、可衡量、可实现的绩效目标，明确支出的必要性、可行性和有效性，并围绕绩效目标编制清晰、量化、便于考核的绩效指标。</w:t>
      </w:r>
      <w:r>
        <w:rPr>
          <w:rFonts w:hint="eastAsia" w:ascii="仿宋" w:hAnsi="仿宋" w:eastAsia="仿宋" w:cs="仿宋"/>
          <w:sz w:val="32"/>
          <w:szCs w:val="32"/>
        </w:rPr>
        <w:t>要重视绩效评价工作，切实发挥绩效评价结果应用的作用，通过绩效评价应用实践，积累连续的数据库，优化对比分析，总结实践中的经验和教训，强化财政资金管理水平、提高财政资金使用效益，在更高层次上实现财政资源配置的公平性和合理性。</w:t>
      </w:r>
    </w:p>
    <w:p w14:paraId="7474EA7C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六、评价工作组人员名单及签字（姓名、工作单位、职务、职称）</w:t>
      </w:r>
    </w:p>
    <w:p w14:paraId="431ADEED"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hint="eastAsia" w:ascii="宋体" w:hAnsi="宋体" w:eastAsia="宋体" w:cs="宋体"/>
          <w:sz w:val="44"/>
          <w:szCs w:val="44"/>
          <w:lang w:eastAsia="zh-CN"/>
        </w:rPr>
      </w:pPr>
    </w:p>
    <w:p w14:paraId="7156A7BC"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评价工作组人员名单</w:t>
      </w:r>
    </w:p>
    <w:tbl>
      <w:tblPr>
        <w:tblStyle w:val="11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172"/>
        <w:gridCol w:w="2145"/>
        <w:gridCol w:w="2497"/>
        <w:gridCol w:w="2098"/>
      </w:tblGrid>
      <w:tr w14:paraId="20919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1188B06B">
            <w:pPr>
              <w:pStyle w:val="8"/>
              <w:ind w:left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序</w:t>
            </w:r>
            <w:r>
              <w:rPr>
                <w:rFonts w:hint="eastAsia"/>
                <w:vertAlign w:val="baseline"/>
                <w:lang w:eastAsia="zh-CN"/>
              </w:rPr>
              <w:t>号</w:t>
            </w:r>
          </w:p>
        </w:tc>
        <w:tc>
          <w:tcPr>
            <w:tcW w:w="1172" w:type="dxa"/>
          </w:tcPr>
          <w:p w14:paraId="764596E8">
            <w:pPr>
              <w:pStyle w:val="8"/>
              <w:ind w:left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2145" w:type="dxa"/>
          </w:tcPr>
          <w:p w14:paraId="1EBEB0E8">
            <w:pPr>
              <w:pStyle w:val="8"/>
              <w:ind w:left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vertAlign w:val="baseline"/>
                <w:lang w:eastAsia="zh-CN"/>
              </w:rPr>
              <w:t>工作单位</w:t>
            </w:r>
          </w:p>
        </w:tc>
        <w:tc>
          <w:tcPr>
            <w:tcW w:w="2497" w:type="dxa"/>
          </w:tcPr>
          <w:p w14:paraId="022FC55B">
            <w:pPr>
              <w:pStyle w:val="8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eastAsia="zh-CN"/>
              </w:rPr>
              <w:t>职务</w:t>
            </w:r>
          </w:p>
        </w:tc>
        <w:tc>
          <w:tcPr>
            <w:tcW w:w="2098" w:type="dxa"/>
          </w:tcPr>
          <w:p w14:paraId="29D2F721">
            <w:pPr>
              <w:pStyle w:val="8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签名</w:t>
            </w:r>
          </w:p>
        </w:tc>
      </w:tr>
      <w:tr w14:paraId="17695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525A35">
            <w:pPr>
              <w:pStyle w:val="8"/>
              <w:ind w:left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1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B293786">
            <w:pPr>
              <w:pStyle w:val="8"/>
              <w:ind w:left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李海生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42BDF3">
            <w:pPr>
              <w:pStyle w:val="8"/>
              <w:ind w:left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区市场监管局</w:t>
            </w:r>
          </w:p>
        </w:tc>
        <w:tc>
          <w:tcPr>
            <w:tcW w:w="24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0FBDCED">
            <w:pPr>
              <w:pStyle w:val="8"/>
              <w:ind w:left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局长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CD37BA1">
            <w:pPr>
              <w:pStyle w:val="8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F2A6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DCBF8D">
            <w:pPr>
              <w:pStyle w:val="8"/>
              <w:ind w:left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2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9BAAE7E">
            <w:pPr>
              <w:pStyle w:val="8"/>
              <w:ind w:left="0" w:firstLine="0" w:firstLineChars="0"/>
              <w:jc w:val="both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闫超维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975A2D">
            <w:pPr>
              <w:pStyle w:val="8"/>
              <w:ind w:left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区市场监管局</w:t>
            </w:r>
          </w:p>
        </w:tc>
        <w:tc>
          <w:tcPr>
            <w:tcW w:w="24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BC7EACB">
            <w:pPr>
              <w:pStyle w:val="8"/>
              <w:ind w:left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副局长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5049864">
            <w:pPr>
              <w:pStyle w:val="8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45E21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01F207">
            <w:pPr>
              <w:pStyle w:val="8"/>
              <w:ind w:left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3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82DE90F">
            <w:pPr>
              <w:pStyle w:val="8"/>
              <w:ind w:left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vertAlign w:val="baseline"/>
                <w:lang w:eastAsia="zh-CN"/>
              </w:rPr>
              <w:t>姚子乾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95717A">
            <w:pPr>
              <w:pStyle w:val="8"/>
              <w:ind w:left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区市场监管局</w:t>
            </w:r>
          </w:p>
        </w:tc>
        <w:tc>
          <w:tcPr>
            <w:tcW w:w="24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80CE9CD">
            <w:pPr>
              <w:pStyle w:val="8"/>
              <w:ind w:left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办公室负责人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3F88FE9">
            <w:pPr>
              <w:pStyle w:val="8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</w:tbl>
    <w:p w14:paraId="44C3E1C2">
      <w:pPr>
        <w:pStyle w:val="8"/>
        <w:rPr>
          <w:rFonts w:hint="eastAsia"/>
        </w:rPr>
      </w:pPr>
    </w:p>
    <w:p w14:paraId="61B085B2">
      <w:pPr>
        <w:spacing w:line="560" w:lineRule="exact"/>
        <w:rPr>
          <w:rFonts w:ascii="仿宋" w:hAnsi="仿宋" w:eastAsia="仿宋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roma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91099">
    <w:pPr>
      <w:pStyle w:val="4"/>
    </w:pPr>
    <w: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50" cy="16256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492" cy="16282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4A6DC8B2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 Arrow 3073" o:spid="_x0000_s1026" o:spt="1" style="position:absolute;left:0pt;margin-top:0pt;height:12.8pt;width:16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1qUiZ0QAAAAMBAAAPAAAAAAAAAAEAIAAAACIAAABkcnMvZG93bnJldi54bWxQSwEC&#10;FAAUAAAACACHTuJAh+iDI/sBAAD4AwAADgAAAAAAAAABACAAAAAgAQAAZHJzL2Uyb0RvYy54bWxQ&#10;SwUGAAAAAAYABgBZAQAAj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4A6DC8B2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16AA81"/>
    <w:multiLevelType w:val="singleLevel"/>
    <w:tmpl w:val="0516AA81"/>
    <w:lvl w:ilvl="0" w:tentative="0">
      <w:start w:val="2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1">
    <w:nsid w:val="5E68489B"/>
    <w:multiLevelType w:val="singleLevel"/>
    <w:tmpl w:val="5E68489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ascii="楷体" w:hAnsi="楷体" w:eastAsia="楷体"/>
      </w:rPr>
    </w:lvl>
  </w:abstractNum>
  <w:abstractNum w:abstractNumId="2">
    <w:nsid w:val="6669A7B8"/>
    <w:multiLevelType w:val="singleLevel"/>
    <w:tmpl w:val="6669A7B8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xMzVhZTBlNDUyZWUxNDVhMjNkN2E1NjFlOTE5NDcifQ=="/>
  </w:docVars>
  <w:rsids>
    <w:rsidRoot w:val="00000000"/>
    <w:rsid w:val="0B6B0D98"/>
    <w:rsid w:val="2C3F0EDD"/>
    <w:rsid w:val="391617C8"/>
    <w:rsid w:val="53010AD4"/>
    <w:rsid w:val="5CE274B7"/>
    <w:rsid w:val="65300F74"/>
    <w:rsid w:val="7BF44F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7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200" w:firstLineChars="200"/>
    </w:pPr>
  </w:style>
  <w:style w:type="paragraph" w:styleId="3">
    <w:name w:val="Body Text Indent"/>
    <w:basedOn w:val="1"/>
    <w:next w:val="1"/>
    <w:qFormat/>
    <w:uiPriority w:val="0"/>
    <w:pPr>
      <w:spacing w:after="120"/>
      <w:ind w:left="20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Indent"/>
    <w:basedOn w:val="1"/>
    <w:next w:val="9"/>
    <w:uiPriority w:val="0"/>
    <w:pPr>
      <w:ind w:firstLine="200" w:firstLineChars="200"/>
    </w:pPr>
    <w:rPr>
      <w:rFonts w:eastAsia="仿宋_GB2312"/>
      <w:sz w:val="30"/>
    </w:rPr>
  </w:style>
  <w:style w:type="paragraph" w:styleId="9">
    <w:name w:val="Subtitle"/>
    <w:basedOn w:val="1"/>
    <w:qFormat/>
    <w:uiPriority w:val="0"/>
    <w:pPr>
      <w:spacing w:line="700" w:lineRule="exact"/>
      <w:jc w:val="center"/>
      <w:outlineLvl w:val="1"/>
    </w:pPr>
    <w:rPr>
      <w:rFonts w:ascii="Arial" w:hAnsi="Arial" w:eastAsia="方正小标宋简体" w:cs="Arial"/>
      <w:b/>
      <w:bCs/>
      <w:kern w:val="28"/>
      <w:sz w:val="44"/>
      <w:szCs w:val="44"/>
    </w:rPr>
  </w:style>
  <w:style w:type="paragraph" w:styleId="10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D4C7BB-A523-4D9D-894D-9DF76CD21A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13</Pages>
  <Words>2619</Words>
  <Characters>2699</Characters>
  <Lines>0</Lines>
  <Paragraphs>29</Paragraphs>
  <TotalTime>43</TotalTime>
  <ScaleCrop>false</ScaleCrop>
  <LinksUpToDate>false</LinksUpToDate>
  <CharactersWithSpaces>2704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2020-02-04T03:46:00Z</dcterms:created>
  <dc:creator>欣欣大人</dc:creator>
  <cp:lastModifiedBy>日月</cp:lastModifiedBy>
  <cp:lastPrinted>2024-03-06T07:40:00Z</cp:lastPrinted>
  <dcterms:modified xsi:type="dcterms:W3CDTF">2026-09-16T03:26:25Z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96934721B1514D3FBAA28020338CE855_12</vt:lpwstr>
  </property>
  <property fmtid="{D5CDD505-2E9C-101B-9397-08002B2CF9AE}" pid="4" name="KSOTemplateDocerSaveRecord">
    <vt:lpwstr>eyJoZGlkIjoiY2EwN2JlMDllNjFlM2YzMmQ5NzY0NzMzZjU5ZGYzMTkiLCJ1c2VySWQiOiI0MjI2ODczOTUifQ==</vt:lpwstr>
  </property>
</Properties>
</file>