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customXml/itemProps1.xml" ContentType="application/vnd.openxmlformats-officedocument.customXmlPropertie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body>
    <w:p>
      <w:pPr>
        <w:adjustRightInd w:val="0"/>
        <w:snapToGrid w:val="0"/>
        <w:spacing w:line="560" w:lineRule="exact"/>
        <w:rPr>
          <w:rFonts w:ascii="黑体" w:eastAsia="黑体" w:cs="黑体" w:hAnsi="黑体" w:hint="eastAsia"/>
          <w:sz w:val="32"/>
          <w:szCs w:val="32"/>
        </w:rPr>
      </w:pPr>
      <w:r>
        <w:rPr>
          <w:rFonts w:ascii="黑体" w:eastAsia="黑体" w:cs="黑体" w:hAnsi="黑体" w:hint="eastAsia"/>
          <w:sz w:val="32"/>
          <w:szCs w:val="32"/>
        </w:rPr>
        <w:t>附件4</w:t>
      </w:r>
    </w:p>
    <w:p>
      <w:pPr>
        <w:spacing w:line="560" w:lineRule="exact"/>
        <w:jc w:val="center"/>
        <w:rPr>
          <w:rFonts w:ascii="宋体" w:cs="宋体" w:hAnsi="宋体"/>
          <w:b/>
          <w:bCs/>
          <w:sz w:val="44"/>
          <w:szCs w:val="44"/>
        </w:rPr>
      </w:pPr>
    </w:p>
    <w:p>
      <w:pPr>
        <w:spacing w:line="560" w:lineRule="exact"/>
        <w:jc w:val="center"/>
        <w:rPr>
          <w:rFonts w:ascii="宋体" w:cs="宋体" w:hAnsi="宋体" w:hint="eastAsia"/>
          <w:b/>
          <w:bCs/>
          <w:sz w:val="44"/>
          <w:szCs w:val="44"/>
          <w:lang w:eastAsia="zh-CN"/>
        </w:rPr>
      </w:pPr>
      <w:r>
        <w:rPr>
          <w:rFonts w:ascii="宋体" w:cs="宋体" w:hAnsi="宋体" w:hint="eastAsia"/>
          <w:b/>
          <w:bCs/>
          <w:sz w:val="44"/>
          <w:szCs w:val="44"/>
          <w:lang w:eastAsia="zh-CN"/>
        </w:rPr>
        <w:t>中共井陉矿区委统战部</w:t>
      </w:r>
    </w:p>
    <w:p>
      <w:pPr>
        <w:spacing w:line="560" w:lineRule="exact"/>
        <w:jc w:val="center"/>
        <w:rPr>
          <w:rFonts w:ascii="宋体" w:cs="宋体" w:hAnsi="宋体"/>
          <w:b/>
          <w:bCs/>
          <w:sz w:val="44"/>
          <w:szCs w:val="44"/>
        </w:rPr>
      </w:pPr>
      <w:r>
        <w:rPr>
          <w:rFonts w:ascii="宋体" w:cs="宋体" w:hAnsi="宋体" w:hint="eastAsia"/>
          <w:b/>
          <w:bCs/>
          <w:sz w:val="44"/>
          <w:szCs w:val="44"/>
        </w:rPr>
        <w:t>202</w:t>
      </w:r>
      <w:r>
        <w:rPr>
          <w:rFonts w:ascii="宋体" w:cs="宋体" w:hAnsi="宋体"/>
          <w:b/>
          <w:bCs/>
          <w:sz w:val="44"/>
          <w:szCs w:val="44"/>
        </w:rPr>
        <w:t>5</w:t>
      </w:r>
      <w:r>
        <w:rPr>
          <w:rFonts w:ascii="宋体" w:cs="宋体" w:hAnsi="宋体" w:hint="eastAsia"/>
          <w:b/>
          <w:bCs/>
          <w:sz w:val="44"/>
          <w:szCs w:val="44"/>
        </w:rPr>
        <w:t>年度整体支出绩效自评报告</w:t>
      </w:r>
    </w:p>
    <w:p>
      <w:pPr>
        <w:spacing w:line="560" w:lineRule="exact"/>
        <w:jc w:val="center"/>
        <w:rPr>
          <w:rFonts w:ascii="华文楷体" w:eastAsia="华文楷体"/>
          <w:sz w:val="32"/>
          <w:szCs w:val="32"/>
        </w:rPr>
      </w:pPr>
    </w:p>
    <w:p>
      <w:pPr>
        <w:adjustRightInd w:val="0"/>
        <w:snapToGrid w:val="0"/>
        <w:spacing w:line="560" w:lineRule="exact"/>
        <w:ind w:firstLineChars="200" w:firstLine="640"/>
        <w:rPr>
          <w:rFonts w:ascii="仿宋" w:eastAsia="仿宋" w:hAnsi="仿宋"/>
          <w:sz w:val="32"/>
          <w:szCs w:val="32"/>
        </w:rPr>
      </w:pPr>
      <w:r>
        <w:rPr>
          <w:rFonts w:ascii="仿宋_GB2312" w:eastAsia="仿宋_GB2312" w:cs="仿宋_GB2312" w:hAnsi="仿宋" w:hint="eastAsia"/>
          <w:sz w:val="32"/>
          <w:szCs w:val="32"/>
        </w:rPr>
        <w:t>贯彻落实区委区政府《关于全面落实预算绩效管理的实施意见》（矿发</w:t>
      </w:r>
      <w:r>
        <w:rPr>
          <w:rFonts w:ascii="仿宋_GB2312" w:eastAsia="仿宋" w:cs="仿宋_GB2312" w:hAnsi="仿宋" w:hint="eastAsia"/>
          <w:sz w:val="32"/>
          <w:szCs w:val="32"/>
        </w:rPr>
        <w:t>﹝</w:t>
      </w:r>
      <w:r>
        <w:rPr>
          <w:rFonts w:ascii="仿宋_GB2312" w:eastAsia="仿宋_GB2312" w:cs="仿宋_GB2312" w:hAnsi="仿宋" w:hint="eastAsia"/>
          <w:sz w:val="32"/>
          <w:szCs w:val="32"/>
        </w:rPr>
        <w:t>2019</w:t>
      </w:r>
      <w:r>
        <w:rPr>
          <w:rFonts w:ascii="仿宋_GB2312" w:eastAsia="仿宋" w:cs="仿宋_GB2312" w:hAnsi="仿宋" w:hint="eastAsia"/>
          <w:sz w:val="32"/>
          <w:szCs w:val="32"/>
        </w:rPr>
        <w:t>﹞</w:t>
      </w:r>
      <w:r>
        <w:rPr>
          <w:rFonts w:ascii="仿宋_GB2312" w:eastAsia="仿宋_GB2312" w:cs="仿宋_GB2312" w:hAnsi="仿宋" w:hint="eastAsia"/>
          <w:sz w:val="32"/>
          <w:szCs w:val="32"/>
        </w:rPr>
        <w:t>7号）文件精神，遵循“科学性、规范性、客观性和公正性”的原则，对</w:t>
      </w:r>
      <w:r>
        <w:rPr>
          <w:rFonts w:ascii="仿宋_GB2312" w:eastAsia="仿宋_GB2312" w:cs="仿宋_GB2312" w:hAnsi="仿宋" w:hint="eastAsia"/>
          <w:sz w:val="32"/>
          <w:szCs w:val="32"/>
          <w:lang w:eastAsia="zh-CN"/>
        </w:rPr>
        <w:t>统战部</w:t>
      </w:r>
      <w:r>
        <w:rPr>
          <w:rFonts w:ascii="仿宋_GB2312" w:eastAsia="仿宋_GB2312" w:cs="仿宋_GB2312" w:hAnsi="仿宋" w:hint="eastAsia"/>
          <w:sz w:val="32"/>
          <w:szCs w:val="32"/>
        </w:rPr>
        <w:t>2025年整体支出情况实施了财政支出绩效自评价，形成本评价报告。</w:t>
      </w:r>
    </w:p>
    <w:p>
      <w:pPr>
        <w:adjustRightInd w:val="0"/>
        <w:snapToGrid w:val="0"/>
        <w:spacing w:line="560" w:lineRule="exact"/>
        <w:rPr>
          <w:rFonts w:ascii="黑体" w:eastAsia="黑体" w:hAnsi="黑体"/>
          <w:b/>
          <w:bCs/>
          <w:sz w:val="32"/>
          <w:szCs w:val="36"/>
        </w:rPr>
      </w:pPr>
      <w:r>
        <w:rPr>
          <w:rFonts w:ascii="黑体" w:eastAsia="黑体" w:hAnsi="黑体" w:hint="eastAsia"/>
          <w:sz w:val="32"/>
          <w:szCs w:val="32"/>
        </w:rPr>
        <w:t xml:space="preserve">     一、部门</w:t>
      </w:r>
      <w:r>
        <w:rPr>
          <w:rFonts w:ascii="黑体" w:eastAsia="黑体" w:hAnsi="黑体" w:hint="eastAsia"/>
          <w:sz w:val="32"/>
          <w:szCs w:val="36"/>
        </w:rPr>
        <w:t>基本情况</w:t>
      </w:r>
    </w:p>
    <w:p>
      <w:pPr>
        <w:adjustRightInd w:val="0"/>
        <w:snapToGrid w:val="0"/>
        <w:spacing w:line="560" w:lineRule="exact"/>
        <w:ind w:firstLineChars="200" w:firstLine="640"/>
        <w:rPr>
          <w:rFonts w:ascii="楷体" w:eastAsia="楷体" w:cs="楷体_GB2312" w:hAnsi="楷体"/>
          <w:bCs/>
          <w:sz w:val="32"/>
          <w:szCs w:val="32"/>
        </w:rPr>
      </w:pPr>
      <w:r>
        <w:rPr>
          <w:rFonts w:ascii="楷体" w:eastAsia="楷体" w:cs="楷体_GB2312" w:hAnsi="楷体" w:hint="eastAsia"/>
          <w:bCs/>
          <w:sz w:val="32"/>
          <w:szCs w:val="32"/>
        </w:rPr>
        <w:t>（一）部门概况</w:t>
      </w:r>
    </w:p>
    <w:p>
      <w:pPr>
        <w:adjustRightInd w:val="0"/>
        <w:snapToGrid w:val="0"/>
        <w:spacing w:line="560" w:lineRule="exact"/>
        <w:ind w:firstLineChars="200" w:firstLine="640"/>
        <w:rPr>
          <w:rFonts w:ascii="仿宋_GB2312" w:eastAsia="仿宋_GB2312" w:cs="仿宋_GB2312" w:hAnsi="仿宋" w:hint="eastAsia"/>
          <w:sz w:val="32"/>
          <w:szCs w:val="32"/>
          <w:lang w:eastAsia="zh-CN"/>
        </w:rPr>
      </w:pPr>
      <w:r>
        <w:rPr>
          <w:rFonts w:ascii="仿宋_GB2312" w:eastAsia="仿宋_GB2312" w:cs="仿宋_GB2312" w:hAnsi="仿宋" w:hint="eastAsia"/>
          <w:sz w:val="32"/>
          <w:szCs w:val="32"/>
          <w:lang w:eastAsia="zh-CN"/>
        </w:rPr>
        <w:t>中共石家庄市井陉矿区委统战部的主要职责是贯彻落实加强党对统一战线工作集中统一领导的要求，开展统一战线理论研究，负责发现、培养党外代表人士，负责党外代表人士的政治安排，贯彻落实党的宣传工作方针，负责联系各民主党派，通报情况、反馈意见，统一领导民族宗教工作，负责联系培养无党派代表人士，参与制定、推动落实鼓励支持引导非公有制经济发展的政策措施，统一领导全区海外统战工作，统一管理全区侨务工作，负责全区涉台工作，指导乡镇（街道）党委（党工委）统一战线工作，完成区委交办的其他任务。</w:t>
      </w:r>
    </w:p>
    <w:p>
      <w:pPr>
        <w:pStyle w:val="19"/>
        <w:keepNext w:val="0"/>
        <w:keepLines w:val="0"/>
        <w:widowControl/>
        <w:suppressLineNumbers w:val="0"/>
        <w:spacing w:before="100" w:beforeAutospacing="0" w:after="75" w:afterAutospacing="0" w:line="540" w:lineRule="exact"/>
        <w:ind w:left="0" w:right="0" w:firstLineChars="200" w:firstLine="640"/>
        <w:jc w:val="left"/>
        <w:rPr>
          <w:rFonts w:ascii="仿宋" w:eastAsia="仿宋" w:hAnsi="仿宋"/>
          <w:sz w:val="32"/>
          <w:szCs w:val="32"/>
        </w:rPr>
      </w:pPr>
      <w:r>
        <w:rPr>
          <w:rFonts w:ascii="仿宋_GB2312" w:eastAsia="仿宋_GB2312" w:cs="Times New Roman" w:hAnsi="Times New Roman" w:hint="eastAsia"/>
          <w:i w:val="0"/>
          <w:iCs w:val="0"/>
          <w:caps w:val="0"/>
          <w:smallCaps w:val="0"/>
          <w:color w:val="000000"/>
          <w:spacing w:val="0"/>
          <w:kern w:val="0"/>
          <w:sz w:val="32"/>
          <w:szCs w:val="32"/>
        </w:rPr>
        <w:t>截至202</w:t>
      </w:r>
      <w:r>
        <w:rPr>
          <w:rFonts w:ascii="仿宋_GB2312" w:eastAsia="仿宋_GB2312" w:cs="Times New Roman" w:hAnsi="Times New Roman" w:hint="eastAsia"/>
          <w:i w:val="0"/>
          <w:iCs w:val="0"/>
          <w:caps w:val="0"/>
          <w:smallCaps w:val="0"/>
          <w:color w:val="000000"/>
          <w:spacing w:val="0"/>
          <w:kern w:val="0"/>
          <w:sz w:val="32"/>
          <w:szCs w:val="32"/>
          <w:lang w:val="en-US" w:eastAsia="zh-CN"/>
        </w:rPr>
        <w:t>5</w:t>
      </w:r>
      <w:r>
        <w:rPr>
          <w:rFonts w:ascii="仿宋_GB2312" w:eastAsia="仿宋_GB2312" w:cs="Times New Roman" w:hAnsi="Times New Roman" w:hint="eastAsia"/>
          <w:i w:val="0"/>
          <w:iCs w:val="0"/>
          <w:caps w:val="0"/>
          <w:smallCaps w:val="0"/>
          <w:color w:val="000000"/>
          <w:spacing w:val="0"/>
          <w:kern w:val="0"/>
          <w:sz w:val="32"/>
          <w:szCs w:val="32"/>
        </w:rPr>
        <w:t>年12月31日，</w:t>
      </w:r>
      <w:r>
        <w:rPr>
          <w:rFonts w:ascii="仿宋_GB2312" w:eastAsia="仿宋_GB2312" w:cs="Times New Roman" w:hAnsi="Times New Roman" w:hint="eastAsia"/>
          <w:i w:val="0"/>
          <w:iCs w:val="0"/>
          <w:caps w:val="0"/>
          <w:smallCaps w:val="0"/>
          <w:color w:val="000000"/>
          <w:spacing w:val="0"/>
          <w:kern w:val="0"/>
          <w:sz w:val="32"/>
          <w:szCs w:val="32"/>
          <w:lang w:eastAsia="zh-CN"/>
        </w:rPr>
        <w:t>我部门独立编制机构</w:t>
      </w:r>
      <w:r>
        <w:rPr>
          <w:rFonts w:ascii="仿宋_GB2312" w:eastAsia="仿宋_GB2312" w:cs="Times New Roman" w:hAnsi="Times New Roman" w:hint="eastAsia"/>
          <w:i w:val="0"/>
          <w:iCs w:val="0"/>
          <w:caps w:val="0"/>
          <w:smallCaps w:val="0"/>
          <w:color w:val="000000"/>
          <w:spacing w:val="0"/>
          <w:kern w:val="0"/>
          <w:sz w:val="32"/>
          <w:szCs w:val="32"/>
          <w:lang w:val="en-US" w:eastAsia="zh-CN"/>
        </w:rPr>
        <w:t>2个，中共石家庄市井陉矿区委统战部、矿区统战事务中心，行政编制6个，事业编制3个，</w:t>
      </w:r>
      <w:r>
        <w:rPr>
          <w:rFonts w:ascii="仿宋_GB2312" w:eastAsia="仿宋_GB2312" w:cs="Times New Roman" w:hAnsi="Times New Roman" w:hint="eastAsia"/>
          <w:i w:val="0"/>
          <w:iCs w:val="0"/>
          <w:caps w:val="0"/>
          <w:smallCaps w:val="0"/>
          <w:color w:val="000000"/>
          <w:spacing w:val="0"/>
          <w:kern w:val="0"/>
          <w:sz w:val="32"/>
          <w:szCs w:val="32"/>
        </w:rPr>
        <w:t>编制人数9人，年末实有人数7人</w:t>
      </w:r>
      <w:r>
        <w:rPr>
          <w:rFonts w:ascii="仿宋_GB2312" w:eastAsia="仿宋_GB2312" w:cs="Times New Roman" w:hAnsi="Times New Roman" w:hint="eastAsia"/>
          <w:i w:val="0"/>
          <w:iCs w:val="0"/>
          <w:caps w:val="0"/>
          <w:smallCaps w:val="0"/>
          <w:color w:val="000000"/>
          <w:spacing w:val="0"/>
          <w:kern w:val="0"/>
          <w:sz w:val="32"/>
          <w:szCs w:val="32"/>
          <w:lang w:eastAsia="zh-CN"/>
        </w:rPr>
        <w:t>（行政编</w:t>
      </w:r>
      <w:r>
        <w:rPr>
          <w:rFonts w:ascii="仿宋_GB2312" w:eastAsia="仿宋_GB2312" w:cs="Times New Roman" w:hAnsi="Times New Roman" w:hint="eastAsia"/>
          <w:i w:val="0"/>
          <w:iCs w:val="0"/>
          <w:caps w:val="0"/>
          <w:smallCaps w:val="0"/>
          <w:color w:val="000000"/>
          <w:spacing w:val="0"/>
          <w:kern w:val="0"/>
          <w:sz w:val="32"/>
          <w:szCs w:val="32"/>
          <w:lang w:val="en-US" w:eastAsia="zh-CN"/>
        </w:rPr>
        <w:t>5人，事业编2人</w:t>
      </w:r>
      <w:r>
        <w:rPr>
          <w:rFonts w:ascii="仿宋_GB2312" w:eastAsia="仿宋_GB2312" w:cs="Times New Roman" w:hAnsi="Times New Roman" w:hint="eastAsia"/>
          <w:i w:val="0"/>
          <w:iCs w:val="0"/>
          <w:caps w:val="0"/>
          <w:smallCaps w:val="0"/>
          <w:color w:val="000000"/>
          <w:spacing w:val="0"/>
          <w:kern w:val="0"/>
          <w:sz w:val="32"/>
          <w:szCs w:val="32"/>
          <w:lang w:eastAsia="zh-CN"/>
        </w:rPr>
        <w:t>）</w:t>
      </w:r>
      <w:r>
        <w:rPr>
          <w:rFonts w:ascii="仿宋_GB2312" w:eastAsia="仿宋_GB2312" w:cs="Times New Roman" w:hAnsi="Times New Roman" w:hint="eastAsia"/>
          <w:i w:val="0"/>
          <w:iCs w:val="0"/>
          <w:caps w:val="0"/>
          <w:smallCaps w:val="0"/>
          <w:color w:val="000000"/>
          <w:spacing w:val="0"/>
          <w:kern w:val="0"/>
          <w:sz w:val="32"/>
          <w:szCs w:val="32"/>
        </w:rPr>
        <w:t>，较上年度</w:t>
      </w:r>
      <w:r>
        <w:rPr>
          <w:rFonts w:ascii="仿宋_GB2312" w:eastAsia="仿宋_GB2312" w:cs="Times New Roman" w:hAnsi="Times New Roman" w:hint="eastAsia"/>
          <w:i w:val="0"/>
          <w:iCs w:val="0"/>
          <w:caps w:val="0"/>
          <w:smallCaps w:val="0"/>
          <w:color w:val="000000"/>
          <w:spacing w:val="0"/>
          <w:kern w:val="0"/>
          <w:sz w:val="32"/>
          <w:szCs w:val="32"/>
          <w:lang w:eastAsia="zh-CN"/>
        </w:rPr>
        <w:t>无变化</w:t>
      </w:r>
      <w:r>
        <w:rPr>
          <w:rFonts w:ascii="仿宋_GB2312" w:eastAsia="仿宋_GB2312" w:cs="Times New Roman" w:hAnsi="Times New Roman" w:hint="eastAsia"/>
          <w:i w:val="0"/>
          <w:iCs w:val="0"/>
          <w:caps w:val="0"/>
          <w:smallCaps w:val="0"/>
          <w:color w:val="000000"/>
          <w:spacing w:val="0"/>
          <w:kern w:val="0"/>
          <w:sz w:val="32"/>
          <w:szCs w:val="32"/>
        </w:rPr>
        <w:t>。</w:t>
      </w:r>
      <w:r>
        <w:rPr>
          <w:rFonts w:ascii="仿宋_GB2312" w:eastAsia="仿宋_GB2312" w:cs="Times New Roman" w:hAnsi="Times New Roman" w:hint="eastAsia"/>
          <w:i w:val="0"/>
          <w:iCs w:val="0"/>
          <w:caps w:val="0"/>
          <w:smallCaps w:val="0"/>
          <w:color w:val="000000"/>
          <w:spacing w:val="0"/>
          <w:sz w:val="32"/>
          <w:szCs w:val="32"/>
          <w:lang w:bidi="ar-SA"/>
        </w:rPr>
        <w:t>截至202</w:t>
      </w:r>
      <w:r>
        <w:rPr>
          <w:rFonts w:ascii="仿宋_GB2312" w:eastAsia="仿宋_GB2312" w:cs="Times New Roman" w:hAnsi="Times New Roman" w:hint="eastAsia"/>
          <w:i w:val="0"/>
          <w:iCs w:val="0"/>
          <w:caps w:val="0"/>
          <w:smallCaps w:val="0"/>
          <w:color w:val="000000"/>
          <w:spacing w:val="0"/>
          <w:sz w:val="32"/>
          <w:szCs w:val="32"/>
          <w:lang w:val="en-US" w:eastAsia="zh-CN" w:bidi="ar-SA"/>
        </w:rPr>
        <w:t>5</w:t>
      </w:r>
      <w:r>
        <w:rPr>
          <w:rFonts w:ascii="仿宋_GB2312" w:eastAsia="仿宋_GB2312" w:cs="Times New Roman" w:hAnsi="Times New Roman" w:hint="eastAsia"/>
          <w:i w:val="0"/>
          <w:iCs w:val="0"/>
          <w:caps w:val="0"/>
          <w:smallCaps w:val="0"/>
          <w:color w:val="000000"/>
          <w:spacing w:val="0"/>
          <w:sz w:val="32"/>
          <w:szCs w:val="32"/>
          <w:lang w:bidi="ar-SA"/>
        </w:rPr>
        <w:t>年12月31日，资产总额（账面净值，下同）</w:t>
      </w:r>
      <w:r>
        <w:rPr>
          <w:rFonts w:ascii="仿宋_GB2312" w:eastAsia="仿宋_GB2312" w:cs="Times New Roman" w:hAnsi="Times New Roman" w:hint="eastAsia"/>
          <w:i w:val="0"/>
          <w:iCs w:val="0"/>
          <w:caps w:val="0"/>
          <w:smallCaps w:val="0"/>
          <w:color w:val="000000"/>
          <w:spacing w:val="0"/>
          <w:sz w:val="32"/>
          <w:szCs w:val="32"/>
          <w:lang w:val="en-US" w:eastAsia="zh-CN" w:bidi="ar-SA"/>
        </w:rPr>
        <w:t>2.70</w:t>
      </w:r>
      <w:r>
        <w:rPr>
          <w:rFonts w:ascii="仿宋_GB2312" w:eastAsia="仿宋_GB2312" w:cs="Times New Roman" w:hAnsi="Times New Roman" w:hint="eastAsia"/>
          <w:i w:val="0"/>
          <w:iCs w:val="0"/>
          <w:caps w:val="0"/>
          <w:smallCaps w:val="0"/>
          <w:color w:val="000000"/>
          <w:spacing w:val="0"/>
          <w:sz w:val="32"/>
          <w:szCs w:val="32"/>
          <w:lang w:bidi="ar-SA"/>
        </w:rPr>
        <w:t>万元，较上年减少</w:t>
      </w:r>
      <w:r>
        <w:rPr>
          <w:rFonts w:ascii="仿宋_GB2312" w:eastAsia="仿宋_GB2312" w:cs="Times New Roman" w:hAnsi="Times New Roman" w:hint="eastAsia"/>
          <w:i w:val="0"/>
          <w:iCs w:val="0"/>
          <w:caps w:val="0"/>
          <w:smallCaps w:val="0"/>
          <w:color w:val="000000"/>
          <w:spacing w:val="0"/>
          <w:sz w:val="32"/>
          <w:szCs w:val="32"/>
          <w:lang w:val="en-US" w:eastAsia="zh-CN" w:bidi="ar-SA"/>
        </w:rPr>
        <w:t>20.35</w:t>
      </w:r>
      <w:r>
        <w:rPr>
          <w:rFonts w:ascii="仿宋_GB2312" w:eastAsia="仿宋_GB2312" w:cs="Times New Roman" w:hAnsi="Times New Roman" w:hint="eastAsia"/>
          <w:i w:val="0"/>
          <w:iCs w:val="0"/>
          <w:caps w:val="0"/>
          <w:smallCaps w:val="0"/>
          <w:color w:val="000000"/>
          <w:spacing w:val="0"/>
          <w:sz w:val="32"/>
          <w:szCs w:val="32"/>
          <w:lang w:bidi="ar-SA"/>
        </w:rPr>
        <w:t>%。负债总额0万元,较上年</w:t>
      </w:r>
      <w:r>
        <w:rPr>
          <w:rFonts w:ascii="仿宋_GB2312" w:eastAsia="仿宋_GB2312" w:cs="Times New Roman" w:hAnsi="Times New Roman" w:hint="eastAsia"/>
          <w:i w:val="0"/>
          <w:iCs w:val="0"/>
          <w:caps w:val="0"/>
          <w:smallCaps w:val="0"/>
          <w:color w:val="000000"/>
          <w:spacing w:val="0"/>
          <w:sz w:val="32"/>
          <w:szCs w:val="32"/>
          <w:lang w:eastAsia="zh-CN" w:bidi="ar-SA"/>
        </w:rPr>
        <w:t>保持不变</w:t>
      </w:r>
      <w:r>
        <w:rPr>
          <w:rFonts w:ascii="仿宋_GB2312" w:eastAsia="仿宋_GB2312" w:cs="Times New Roman" w:hAnsi="Times New Roman" w:hint="eastAsia"/>
          <w:i w:val="0"/>
          <w:iCs w:val="0"/>
          <w:caps w:val="0"/>
          <w:smallCaps w:val="0"/>
          <w:color w:val="000000"/>
          <w:spacing w:val="0"/>
          <w:sz w:val="32"/>
          <w:szCs w:val="32"/>
          <w:lang w:bidi="ar-SA"/>
        </w:rPr>
        <w:t>。净资产</w:t>
      </w:r>
      <w:r>
        <w:rPr>
          <w:rFonts w:ascii="仿宋_GB2312" w:eastAsia="仿宋_GB2312" w:cs="Times New Roman" w:hAnsi="Times New Roman" w:hint="eastAsia"/>
          <w:i w:val="0"/>
          <w:iCs w:val="0"/>
          <w:caps w:val="0"/>
          <w:smallCaps w:val="0"/>
          <w:color w:val="000000"/>
          <w:spacing w:val="0"/>
          <w:sz w:val="32"/>
          <w:szCs w:val="32"/>
          <w:lang w:val="en-US" w:eastAsia="zh-CN" w:bidi="ar-SA"/>
        </w:rPr>
        <w:t>2.70</w:t>
      </w:r>
      <w:r>
        <w:rPr>
          <w:rFonts w:ascii="仿宋_GB2312" w:eastAsia="仿宋_GB2312" w:cs="Times New Roman" w:hAnsi="Times New Roman" w:hint="eastAsia"/>
          <w:i w:val="0"/>
          <w:iCs w:val="0"/>
          <w:caps w:val="0"/>
          <w:smallCaps w:val="0"/>
          <w:color w:val="000000"/>
          <w:spacing w:val="0"/>
          <w:sz w:val="32"/>
          <w:szCs w:val="32"/>
          <w:lang w:bidi="ar-SA"/>
        </w:rPr>
        <w:t>万元 ,较上年减少</w:t>
      </w:r>
      <w:r>
        <w:rPr>
          <w:rFonts w:ascii="仿宋_GB2312" w:eastAsia="仿宋_GB2312" w:cs="Times New Roman" w:hAnsi="Times New Roman" w:hint="eastAsia"/>
          <w:i w:val="0"/>
          <w:iCs w:val="0"/>
          <w:caps w:val="0"/>
          <w:smallCaps w:val="0"/>
          <w:color w:val="000000"/>
          <w:spacing w:val="0"/>
          <w:sz w:val="32"/>
          <w:szCs w:val="32"/>
          <w:lang w:val="en-US" w:eastAsia="zh-CN" w:bidi="ar-SA"/>
        </w:rPr>
        <w:t>20.35</w:t>
      </w:r>
      <w:r>
        <w:rPr>
          <w:rFonts w:ascii="仿宋_GB2312" w:eastAsia="仿宋_GB2312" w:cs="Times New Roman" w:hAnsi="Times New Roman" w:hint="eastAsia"/>
          <w:i w:val="0"/>
          <w:iCs w:val="0"/>
          <w:caps w:val="0"/>
          <w:smallCaps w:val="0"/>
          <w:color w:val="000000"/>
          <w:spacing w:val="0"/>
          <w:sz w:val="32"/>
          <w:szCs w:val="32"/>
          <w:lang w:bidi="ar-SA"/>
        </w:rPr>
        <w:t>%。</w:t>
      </w:r>
    </w:p>
    <w:p>
      <w:pPr>
        <w:adjustRightInd w:val="0"/>
        <w:snapToGrid w:val="0"/>
        <w:spacing w:line="560" w:lineRule="exact"/>
        <w:ind w:firstLineChars="200" w:firstLine="640"/>
        <w:rPr>
          <w:rFonts w:ascii="楷体" w:eastAsia="楷体" w:cs="楷体_GB2312" w:hAnsi="楷体"/>
          <w:bCs/>
          <w:sz w:val="32"/>
          <w:szCs w:val="32"/>
        </w:rPr>
      </w:pPr>
      <w:r>
        <w:rPr>
          <w:rFonts w:ascii="楷体" w:eastAsia="楷体" w:cs="楷体_GB2312" w:hAnsi="楷体" w:hint="eastAsia"/>
          <w:bCs/>
          <w:sz w:val="32"/>
          <w:szCs w:val="32"/>
        </w:rPr>
        <w:t>（二）部门收支预决算情况</w:t>
      </w:r>
    </w:p>
    <w:p>
      <w:pPr>
        <w:adjustRightInd w:val="0"/>
        <w:snapToGrid w:val="0"/>
        <w:spacing w:line="560" w:lineRule="exact"/>
        <w:ind w:firstLineChars="200" w:firstLine="640"/>
        <w:rPr>
          <w:rFonts w:ascii="楷体" w:eastAsia="楷体" w:cs="楷体_GB2312" w:hAnsi="楷体" w:hint="eastAsia"/>
          <w:bCs/>
          <w:sz w:val="32"/>
          <w:szCs w:val="32"/>
        </w:rPr>
      </w:pPr>
      <w:r>
        <w:rPr>
          <w:rFonts w:ascii="仿宋_GB2312" w:eastAsia="仿宋_GB2312" w:cs="仿宋_GB2312" w:hint="eastAsia"/>
          <w:sz w:val="32"/>
          <w:szCs w:val="32"/>
          <w:shd w:val="clear" w:color="auto" w:fill="auto"/>
          <w:lang w:bidi="ar-SA"/>
        </w:rPr>
        <w:t>20</w:t>
      </w:r>
      <w:r>
        <w:rPr>
          <w:rFonts w:ascii="仿宋_GB2312" w:eastAsia="仿宋_GB2312" w:cs="仿宋_GB2312" w:hint="eastAsia"/>
          <w:sz w:val="32"/>
          <w:szCs w:val="32"/>
          <w:shd w:val="clear" w:color="auto" w:fill="auto"/>
          <w:lang w:val="en-US" w:eastAsia="zh-CN" w:bidi="ar-SA"/>
        </w:rPr>
        <w:t>25</w:t>
      </w:r>
      <w:r>
        <w:rPr>
          <w:rFonts w:ascii="仿宋_GB2312" w:eastAsia="仿宋_GB2312" w:cs="仿宋_GB2312" w:hint="eastAsia"/>
          <w:sz w:val="32"/>
          <w:szCs w:val="32"/>
          <w:shd w:val="clear" w:color="auto" w:fill="auto"/>
          <w:lang w:bidi="ar-SA"/>
        </w:rPr>
        <w:t>年度</w:t>
      </w:r>
      <w:r>
        <w:rPr>
          <w:rFonts w:ascii="仿宋_GB2312" w:eastAsia="仿宋_GB2312" w:cs="仿宋_GB2312" w:hint="eastAsia"/>
          <w:sz w:val="32"/>
          <w:szCs w:val="32"/>
          <w:shd w:val="clear" w:color="auto" w:fill="auto"/>
          <w:lang w:eastAsia="zh-CN" w:bidi="ar-SA"/>
        </w:rPr>
        <w:t>预算</w:t>
      </w:r>
      <w:r>
        <w:rPr>
          <w:rFonts w:ascii="仿宋_GB2312" w:eastAsia="仿宋_GB2312" w:cs="仿宋_GB2312" w:hint="eastAsia"/>
          <w:sz w:val="32"/>
          <w:szCs w:val="32"/>
          <w:shd w:val="clear" w:color="auto" w:fill="auto"/>
          <w:lang w:bidi="ar-SA"/>
        </w:rPr>
        <w:t>收入</w:t>
      </w:r>
      <w:r>
        <w:rPr>
          <w:rFonts w:ascii="仿宋_GB2312" w:eastAsia="仿宋_GB2312" w:cs="仿宋_GB2312" w:hint="eastAsia"/>
          <w:sz w:val="32"/>
          <w:szCs w:val="32"/>
          <w:shd w:val="clear" w:color="auto" w:fill="auto"/>
          <w:lang w:val="en-US" w:eastAsia="zh-CN" w:bidi="ar-SA"/>
        </w:rPr>
        <w:t>145.56万元</w:t>
      </w:r>
      <w:r>
        <w:rPr>
          <w:rFonts w:ascii="仿宋_GB2312" w:eastAsia="仿宋_GB2312" w:cs="仿宋_GB2312" w:hint="eastAsia"/>
          <w:sz w:val="32"/>
          <w:szCs w:val="32"/>
          <w:shd w:val="clear" w:color="auto" w:fill="auto"/>
          <w:lang w:bidi="ar-SA"/>
        </w:rPr>
        <w:t>，</w:t>
      </w:r>
      <w:r>
        <w:rPr>
          <w:rFonts w:ascii="仿宋_GB2312" w:eastAsia="仿宋_GB2312" w:cs="仿宋_GB2312" w:hint="eastAsia"/>
          <w:color w:val="auto"/>
          <w:kern w:val="0"/>
          <w:sz w:val="32"/>
          <w:szCs w:val="32"/>
        </w:rPr>
        <w:t>20</w:t>
      </w:r>
      <w:r>
        <w:rPr>
          <w:rFonts w:ascii="仿宋_GB2312" w:eastAsia="仿宋_GB2312" w:cs="仿宋_GB2312" w:hint="eastAsia"/>
          <w:color w:val="auto"/>
          <w:kern w:val="0"/>
          <w:sz w:val="32"/>
          <w:szCs w:val="32"/>
          <w:lang w:val="en-US" w:eastAsia="zh-CN"/>
        </w:rPr>
        <w:t>25</w:t>
      </w:r>
      <w:r>
        <w:rPr>
          <w:rFonts w:ascii="仿宋_GB2312" w:eastAsia="仿宋_GB2312" w:cs="仿宋_GB2312" w:hint="eastAsia"/>
          <w:color w:val="auto"/>
          <w:kern w:val="0"/>
          <w:sz w:val="32"/>
          <w:szCs w:val="32"/>
        </w:rPr>
        <w:t>年实际总收入</w:t>
      </w:r>
      <w:r>
        <w:rPr>
          <w:rFonts w:ascii="仿宋_GB2312" w:eastAsia="仿宋_GB2312" w:cs="仿宋_GB2312" w:hint="eastAsia"/>
          <w:color w:val="auto"/>
          <w:sz w:val="32"/>
          <w:szCs w:val="32"/>
          <w:shd w:val="clear" w:color="auto" w:fill="auto"/>
          <w:lang w:val="en-US" w:eastAsia="zh-CN" w:bidi="ar-SA"/>
        </w:rPr>
        <w:t>146.56</w:t>
      </w:r>
      <w:r>
        <w:rPr>
          <w:rFonts w:ascii="仿宋_GB2312" w:eastAsia="仿宋_GB2312" w:cs="仿宋_GB2312" w:hint="eastAsia"/>
          <w:color w:val="auto"/>
          <w:kern w:val="0"/>
          <w:sz w:val="32"/>
          <w:szCs w:val="32"/>
        </w:rPr>
        <w:t>万元</w:t>
      </w:r>
      <w:r>
        <w:rPr>
          <w:rFonts w:ascii="仿宋_GB2312" w:eastAsia="仿宋_GB2312" w:cs="仿宋_GB2312" w:hint="eastAsia"/>
          <w:color w:val="auto"/>
          <w:kern w:val="0"/>
          <w:sz w:val="32"/>
          <w:szCs w:val="32"/>
          <w:lang w:eastAsia="zh-CN"/>
        </w:rPr>
        <w:t>（一般财政预算收入</w:t>
      </w:r>
      <w:r>
        <w:rPr>
          <w:rFonts w:ascii="仿宋_GB2312" w:eastAsia="仿宋_GB2312" w:cs="仿宋_GB2312" w:hint="eastAsia"/>
          <w:color w:val="auto"/>
          <w:kern w:val="0"/>
          <w:sz w:val="32"/>
          <w:szCs w:val="32"/>
          <w:lang w:val="en-US" w:eastAsia="zh-CN"/>
        </w:rPr>
        <w:t>142.56万元，政府性基金收入3万元，市级专款1万元</w:t>
      </w:r>
      <w:r>
        <w:rPr>
          <w:rFonts w:ascii="仿宋_GB2312" w:eastAsia="仿宋_GB2312" w:cs="仿宋_GB2312" w:hint="eastAsia"/>
          <w:color w:val="auto"/>
          <w:kern w:val="0"/>
          <w:sz w:val="32"/>
          <w:szCs w:val="32"/>
          <w:lang w:eastAsia="zh-CN"/>
        </w:rPr>
        <w:t>）</w:t>
      </w:r>
      <w:r>
        <w:rPr>
          <w:rFonts w:ascii="仿宋_GB2312" w:eastAsia="仿宋_GB2312" w:cs="仿宋_GB2312"/>
          <w:color w:val="auto"/>
          <w:kern w:val="0"/>
          <w:sz w:val="32"/>
          <w:szCs w:val="32"/>
        </w:rPr>
        <w:t>。总支出146.56万元，</w:t>
      </w:r>
      <w:r>
        <w:rPr>
          <w:rFonts w:ascii="仿宋_GB2312" w:eastAsia="仿宋_GB2312" w:cs="仿宋_GB2312" w:hint="eastAsia"/>
          <w:color w:val="auto"/>
          <w:kern w:val="0"/>
          <w:sz w:val="32"/>
          <w:szCs w:val="32"/>
        </w:rPr>
        <w:t>基本支出</w:t>
      </w:r>
      <w:r>
        <w:rPr>
          <w:rFonts w:ascii="仿宋_GB2312" w:eastAsia="仿宋_GB2312" w:cs="仿宋_GB2312" w:hint="eastAsia"/>
          <w:color w:val="auto"/>
          <w:sz w:val="32"/>
          <w:szCs w:val="32"/>
          <w:lang w:val="en-US" w:eastAsia="zh-CN" w:bidi="ar-SA"/>
        </w:rPr>
        <w:t>135.82</w:t>
      </w:r>
      <w:r>
        <w:rPr>
          <w:rFonts w:ascii="仿宋_GB2312" w:eastAsia="仿宋_GB2312" w:cs="仿宋_GB2312" w:hint="eastAsia"/>
          <w:color w:val="auto"/>
          <w:kern w:val="0"/>
          <w:sz w:val="32"/>
          <w:szCs w:val="32"/>
        </w:rPr>
        <w:t>万元</w:t>
      </w:r>
      <w:r>
        <w:rPr>
          <w:rFonts w:ascii="仿宋_GB2312" w:eastAsia="仿宋_GB2312" w:cs="仿宋_GB2312" w:hint="eastAsia"/>
          <w:color w:val="auto"/>
          <w:kern w:val="0"/>
          <w:sz w:val="32"/>
          <w:szCs w:val="32"/>
          <w:lang w:eastAsia="zh-CN"/>
        </w:rPr>
        <w:t>，</w:t>
      </w:r>
      <w:r>
        <w:rPr>
          <w:rFonts w:ascii="仿宋_GB2312" w:eastAsia="仿宋_GB2312" w:cs="仿宋_GB2312" w:hint="eastAsia"/>
          <w:color w:val="auto"/>
          <w:kern w:val="0"/>
          <w:sz w:val="32"/>
          <w:szCs w:val="32"/>
        </w:rPr>
        <w:t>占总支出</w:t>
      </w:r>
      <w:r>
        <w:rPr>
          <w:rFonts w:ascii="仿宋_GB2312" w:eastAsia="仿宋_GB2312" w:cs="仿宋_GB2312" w:hint="eastAsia"/>
          <w:color w:val="auto"/>
          <w:kern w:val="0"/>
          <w:sz w:val="32"/>
          <w:szCs w:val="32"/>
          <w:lang w:val="en-US" w:eastAsia="zh-CN"/>
        </w:rPr>
        <w:t>92.67</w:t>
      </w:r>
      <w:r>
        <w:rPr>
          <w:rFonts w:ascii="仿宋_GB2312" w:eastAsia="仿宋_GB2312" w:cs="仿宋_GB2312" w:hint="eastAsia"/>
          <w:color w:val="auto"/>
          <w:kern w:val="0"/>
          <w:sz w:val="32"/>
          <w:szCs w:val="32"/>
        </w:rPr>
        <w:t>%；项目支出</w:t>
      </w:r>
      <w:r>
        <w:rPr>
          <w:rFonts w:ascii="仿宋_GB2312" w:eastAsia="仿宋_GB2312" w:cs="仿宋_GB2312" w:hint="eastAsia"/>
          <w:color w:val="auto"/>
          <w:sz w:val="32"/>
          <w:szCs w:val="32"/>
          <w:lang w:val="en-US" w:eastAsia="zh-CN" w:bidi="ar-SA"/>
        </w:rPr>
        <w:t>10.74</w:t>
      </w:r>
      <w:r>
        <w:rPr>
          <w:rFonts w:ascii="仿宋_GB2312" w:eastAsia="仿宋_GB2312" w:cs="仿宋_GB2312" w:hint="eastAsia"/>
          <w:color w:val="auto"/>
          <w:kern w:val="0"/>
          <w:sz w:val="32"/>
          <w:szCs w:val="32"/>
        </w:rPr>
        <w:t>万元</w:t>
      </w:r>
      <w:r>
        <w:rPr>
          <w:rFonts w:ascii="仿宋_GB2312" w:eastAsia="仿宋_GB2312" w:cs="仿宋_GB2312" w:hint="eastAsia"/>
          <w:color w:val="auto"/>
          <w:kern w:val="0"/>
          <w:sz w:val="32"/>
          <w:szCs w:val="32"/>
          <w:lang w:eastAsia="zh-CN"/>
        </w:rPr>
        <w:t>，</w:t>
      </w:r>
      <w:r>
        <w:rPr>
          <w:rFonts w:ascii="仿宋_GB2312" w:eastAsia="仿宋_GB2312" w:cs="仿宋_GB2312" w:hint="eastAsia"/>
          <w:color w:val="auto"/>
          <w:kern w:val="0"/>
          <w:sz w:val="32"/>
          <w:szCs w:val="32"/>
        </w:rPr>
        <w:t>占总收入</w:t>
      </w:r>
      <w:r>
        <w:rPr>
          <w:rFonts w:ascii="仿宋_GB2312" w:eastAsia="仿宋_GB2312" w:cs="仿宋_GB2312" w:hint="eastAsia"/>
          <w:color w:val="auto"/>
          <w:kern w:val="0"/>
          <w:sz w:val="32"/>
          <w:szCs w:val="32"/>
          <w:lang w:val="en-US" w:eastAsia="zh-CN"/>
        </w:rPr>
        <w:t>7.33</w:t>
      </w:r>
      <w:r>
        <w:rPr>
          <w:rFonts w:ascii="仿宋_GB2312" w:eastAsia="仿宋_GB2312" w:cs="仿宋_GB2312" w:hint="eastAsia"/>
          <w:color w:val="auto"/>
          <w:kern w:val="0"/>
          <w:sz w:val="32"/>
          <w:szCs w:val="32"/>
        </w:rPr>
        <w:t>%。</w:t>
      </w:r>
    </w:p>
    <w:p>
      <w:pPr>
        <w:adjustRightInd w:val="0"/>
        <w:snapToGrid w:val="0"/>
        <w:spacing w:line="560" w:lineRule="exact"/>
        <w:ind w:firstLineChars="200" w:firstLine="640"/>
        <w:rPr>
          <w:rFonts w:ascii="楷体" w:eastAsia="楷体" w:cs="楷体_GB2312" w:hAnsi="楷体"/>
          <w:bCs/>
          <w:color w:val="000000"/>
          <w:sz w:val="32"/>
          <w:szCs w:val="32"/>
          <w14:textFill>
            <w14:solidFill>
              <w14:srgbClr w14:val="000000"/>
            </w14:solidFill>
          </w14:textFill>
        </w:rPr>
      </w:pPr>
      <w:r>
        <w:rPr>
          <w:rFonts w:ascii="楷体" w:eastAsia="楷体" w:cs="楷体_GB2312" w:hAnsi="楷体" w:hint="eastAsia"/>
          <w:bCs/>
          <w:color w:val="000000"/>
          <w:sz w:val="32"/>
          <w:szCs w:val="32"/>
          <w14:textFill>
            <w14:solidFill>
              <w14:srgbClr w14:val="000000"/>
            </w14:solidFill>
          </w14:textFill>
        </w:rPr>
        <w:t>（三）部门整体支出绩效目标、指标</w:t>
      </w:r>
    </w:p>
    <w:p>
      <w:pPr>
        <w:adjustRightInd w:val="0"/>
        <w:snapToGrid w:val="0"/>
        <w:spacing w:line="560" w:lineRule="exact"/>
        <w:ind w:firstLineChars="200" w:firstLine="640"/>
        <w:rPr>
          <w:rFonts w:ascii="仿宋" w:eastAsia="仿宋" w:hAnsi="仿宋"/>
          <w:color w:val="FF0000"/>
          <w:sz w:val="32"/>
          <w:szCs w:val="32"/>
        </w:rPr>
      </w:pPr>
      <w:r>
        <w:rPr>
          <w:rFonts w:ascii="仿宋_GB2312" w:eastAsia="仿宋_GB2312" w:cs="仿宋_GB2312" w:hAnsi="仿宋" w:hint="eastAsia"/>
          <w:color w:val="000000"/>
          <w:sz w:val="32"/>
          <w:szCs w:val="32"/>
          <w14:textFill>
            <w14:solidFill>
              <w14:srgbClr w14:val="000000"/>
            </w14:solidFill>
          </w14:textFill>
          <w:lang w:eastAsia="zh-CN"/>
        </w:rPr>
        <w:t>按照要求，我部严格项目资金使用程序</w:t>
      </w:r>
      <w:r>
        <w:rPr>
          <w:rFonts w:ascii="仿宋_GB2312" w:eastAsia="仿宋_GB2312" w:cs="仿宋_GB2312" w:hAnsi="仿宋" w:hint="eastAsia"/>
          <w:sz w:val="32"/>
          <w:szCs w:val="32"/>
          <w:lang w:eastAsia="zh-CN"/>
        </w:rPr>
        <w:t>，做到财尽其用，</w:t>
      </w:r>
      <w:r>
        <w:rPr>
          <w:rFonts w:ascii="仿宋_GB2312" w:eastAsia="仿宋_GB2312" w:cs="仿宋_GB2312" w:hAnsi="仿宋" w:hint="eastAsia"/>
          <w:sz w:val="32"/>
          <w:szCs w:val="32"/>
          <w:lang w:val="en-US" w:eastAsia="zh-CN"/>
        </w:rPr>
        <w:t>截</w:t>
      </w:r>
      <w:r>
        <w:rPr>
          <w:rFonts w:ascii="仿宋_GB2312" w:eastAsia="仿宋_GB2312" w:cs="仿宋_GB2312" w:hAnsi="仿宋"/>
          <w:sz w:val="32"/>
          <w:szCs w:val="32"/>
          <w:lang w:val="en-US" w:eastAsia="zh-CN"/>
        </w:rPr>
        <w:t>至</w:t>
      </w:r>
      <w:r>
        <w:rPr>
          <w:rFonts w:ascii="仿宋_GB2312" w:eastAsia="仿宋_GB2312" w:cs="仿宋_GB2312" w:hAnsi="仿宋" w:hint="eastAsia"/>
          <w:sz w:val="32"/>
          <w:szCs w:val="32"/>
          <w:lang w:val="en-US" w:eastAsia="zh-CN"/>
        </w:rPr>
        <w:t>2025年12月底，云视频网费</w:t>
      </w:r>
      <w:r>
        <w:rPr>
          <w:rFonts w:ascii="仿宋_GB2312" w:eastAsia="仿宋_GB2312" w:cs="仿宋_GB2312" w:hAnsi="仿宋" w:hint="eastAsia"/>
          <w:sz w:val="32"/>
          <w:szCs w:val="32"/>
          <w:lang w:eastAsia="zh-CN"/>
        </w:rPr>
        <w:t>使用</w:t>
      </w:r>
      <w:r>
        <w:rPr>
          <w:rFonts w:ascii="仿宋_GB2312" w:eastAsia="仿宋_GB2312" w:cs="仿宋_GB2312" w:hAnsi="仿宋" w:hint="eastAsia"/>
          <w:sz w:val="32"/>
          <w:szCs w:val="32"/>
          <w:lang w:val="en-US" w:eastAsia="zh-CN"/>
        </w:rPr>
        <w:t>1.272万元，</w:t>
      </w:r>
      <w:r>
        <w:rPr>
          <w:rFonts w:ascii="仿宋_GB2312" w:eastAsia="仿宋_GB2312" w:cs="仿宋_GB2312" w:hAnsi="仿宋" w:hint="eastAsia"/>
          <w:sz w:val="32"/>
          <w:szCs w:val="32"/>
        </w:rPr>
        <w:t>预算执行率</w:t>
      </w:r>
      <w:r>
        <w:rPr>
          <w:rFonts w:ascii="仿宋_GB2312" w:eastAsia="仿宋_GB2312" w:cs="仿宋_GB2312" w:hAnsi="仿宋" w:hint="eastAsia"/>
          <w:sz w:val="32"/>
          <w:szCs w:val="32"/>
          <w:lang w:val="en-US" w:eastAsia="zh-CN"/>
        </w:rPr>
        <w:t>100</w:t>
      </w:r>
      <w:r>
        <w:rPr>
          <w:rFonts w:ascii="仿宋_GB2312" w:eastAsia="仿宋_GB2312" w:cs="仿宋_GB2312" w:hAnsi="仿宋" w:hint="eastAsia"/>
          <w:sz w:val="32"/>
          <w:szCs w:val="32"/>
        </w:rPr>
        <w:t>%</w:t>
      </w:r>
      <w:r>
        <w:rPr>
          <w:rFonts w:ascii="仿宋_GB2312" w:eastAsia="仿宋_GB2312" w:cs="仿宋_GB2312" w:hAnsi="仿宋" w:hint="eastAsia"/>
          <w:sz w:val="32"/>
          <w:szCs w:val="32"/>
          <w:lang w:eastAsia="zh-CN"/>
        </w:rPr>
        <w:t>，目标总体完成率</w:t>
      </w:r>
      <w:r>
        <w:rPr>
          <w:rFonts w:ascii="仿宋_GB2312" w:eastAsia="仿宋_GB2312" w:cs="仿宋_GB2312" w:hAnsi="仿宋" w:hint="eastAsia"/>
          <w:sz w:val="32"/>
          <w:szCs w:val="32"/>
          <w:lang w:val="en-US" w:eastAsia="zh-CN"/>
        </w:rPr>
        <w:t>100%</w:t>
      </w:r>
      <w:r>
        <w:rPr>
          <w:rFonts w:ascii="仿宋_GB2312" w:eastAsia="仿宋_GB2312" w:cs="仿宋_GB2312" w:hAnsi="仿宋" w:hint="eastAsia"/>
          <w:sz w:val="32"/>
          <w:szCs w:val="32"/>
          <w:lang w:eastAsia="zh-CN"/>
        </w:rPr>
        <w:t>；台办、侨联、统战工作经费使用</w:t>
      </w:r>
      <w:r>
        <w:rPr>
          <w:rFonts w:ascii="仿宋_GB2312" w:eastAsia="仿宋_GB2312" w:cs="仿宋_GB2312" w:hAnsi="仿宋" w:hint="eastAsia"/>
          <w:sz w:val="32"/>
          <w:szCs w:val="32"/>
          <w:lang w:val="en-US" w:eastAsia="zh-CN"/>
        </w:rPr>
        <w:t>4万元</w:t>
      </w:r>
      <w:r>
        <w:rPr>
          <w:rFonts w:ascii="仿宋_GB2312" w:eastAsia="仿宋_GB2312" w:cs="仿宋_GB2312" w:hAnsi="仿宋" w:hint="eastAsia"/>
          <w:sz w:val="32"/>
          <w:szCs w:val="32"/>
          <w:lang w:eastAsia="zh-CN"/>
        </w:rPr>
        <w:t>，</w:t>
      </w:r>
      <w:r>
        <w:rPr>
          <w:rFonts w:ascii="仿宋_GB2312" w:eastAsia="仿宋_GB2312" w:cs="仿宋_GB2312" w:hAnsi="仿宋" w:hint="eastAsia"/>
          <w:sz w:val="32"/>
          <w:szCs w:val="32"/>
        </w:rPr>
        <w:t>预算执行率</w:t>
      </w:r>
      <w:r>
        <w:rPr>
          <w:rFonts w:ascii="仿宋_GB2312" w:eastAsia="仿宋_GB2312" w:cs="仿宋_GB2312" w:hAnsi="仿宋" w:hint="eastAsia"/>
          <w:sz w:val="32"/>
          <w:szCs w:val="32"/>
          <w:lang w:val="en-US" w:eastAsia="zh-CN"/>
        </w:rPr>
        <w:t>100</w:t>
      </w:r>
      <w:r>
        <w:rPr>
          <w:rFonts w:ascii="仿宋_GB2312" w:eastAsia="仿宋_GB2312" w:cs="仿宋_GB2312" w:hAnsi="仿宋" w:hint="eastAsia"/>
          <w:sz w:val="32"/>
          <w:szCs w:val="32"/>
        </w:rPr>
        <w:t>%</w:t>
      </w:r>
      <w:r>
        <w:rPr>
          <w:rFonts w:ascii="仿宋_GB2312" w:eastAsia="仿宋_GB2312" w:cs="仿宋_GB2312" w:hAnsi="仿宋" w:hint="eastAsia"/>
          <w:sz w:val="32"/>
          <w:szCs w:val="32"/>
          <w:lang w:val="en-US" w:eastAsia="zh-CN"/>
        </w:rPr>
        <w:t>；区级民族宗教事务管理资金</w:t>
      </w:r>
      <w:r>
        <w:rPr>
          <w:rFonts w:ascii="仿宋_GB2312" w:eastAsia="仿宋_GB2312" w:cs="仿宋_GB2312" w:hAnsi="仿宋" w:hint="eastAsia"/>
          <w:sz w:val="32"/>
          <w:szCs w:val="32"/>
          <w:lang w:eastAsia="zh-CN"/>
        </w:rPr>
        <w:t>使用</w:t>
      </w:r>
      <w:r>
        <w:rPr>
          <w:rFonts w:ascii="仿宋_GB2312" w:eastAsia="仿宋_GB2312" w:cs="仿宋_GB2312" w:hAnsi="仿宋" w:hint="eastAsia"/>
          <w:sz w:val="32"/>
          <w:szCs w:val="32"/>
          <w:lang w:val="en-US" w:eastAsia="zh-CN"/>
        </w:rPr>
        <w:t>1.98万元</w:t>
      </w:r>
      <w:bookmarkStart w:id="0" w:name="_GoBack"/>
      <w:bookmarkEnd w:id="0"/>
      <w:r>
        <w:rPr>
          <w:rFonts w:ascii="仿宋_GB2312" w:eastAsia="仿宋_GB2312" w:cs="仿宋_GB2312" w:hAnsi="仿宋" w:hint="eastAsia"/>
          <w:sz w:val="32"/>
          <w:szCs w:val="32"/>
          <w:lang w:val="en-US" w:eastAsia="zh-CN"/>
        </w:rPr>
        <w:t>，</w:t>
      </w:r>
      <w:r>
        <w:rPr>
          <w:rFonts w:ascii="仿宋_GB2312" w:eastAsia="仿宋_GB2312" w:cs="仿宋_GB2312" w:hAnsi="仿宋" w:hint="eastAsia"/>
          <w:sz w:val="32"/>
          <w:szCs w:val="32"/>
        </w:rPr>
        <w:t>预算执行率</w:t>
      </w:r>
      <w:r>
        <w:rPr>
          <w:rFonts w:ascii="仿宋_GB2312" w:eastAsia="仿宋_GB2312" w:cs="仿宋_GB2312" w:hAnsi="仿宋" w:hint="eastAsia"/>
          <w:sz w:val="32"/>
          <w:szCs w:val="32"/>
          <w:lang w:val="en-US" w:eastAsia="zh-CN"/>
        </w:rPr>
        <w:t>100</w:t>
      </w:r>
      <w:r>
        <w:rPr>
          <w:rFonts w:ascii="仿宋_GB2312" w:eastAsia="仿宋_GB2312" w:cs="仿宋_GB2312" w:hAnsi="仿宋" w:hint="eastAsia"/>
          <w:sz w:val="32"/>
          <w:szCs w:val="32"/>
        </w:rPr>
        <w:t>%</w:t>
      </w:r>
      <w:r>
        <w:rPr>
          <w:rFonts w:ascii="仿宋_GB2312" w:eastAsia="仿宋_GB2312" w:cs="仿宋_GB2312" w:hAnsi="仿宋" w:hint="eastAsia"/>
          <w:sz w:val="32"/>
          <w:szCs w:val="32"/>
          <w:lang w:eastAsia="zh-CN"/>
        </w:rPr>
        <w:t>，目标总体完成率</w:t>
      </w:r>
      <w:r>
        <w:rPr>
          <w:rFonts w:ascii="仿宋_GB2312" w:eastAsia="仿宋_GB2312" w:cs="仿宋_GB2312" w:hAnsi="仿宋" w:hint="eastAsia"/>
          <w:sz w:val="32"/>
          <w:szCs w:val="32"/>
          <w:lang w:val="en-US" w:eastAsia="zh-CN"/>
        </w:rPr>
        <w:t>100%。</w:t>
      </w:r>
      <w:r>
        <w:rPr>
          <w:rFonts w:ascii="仿宋_GB2312" w:eastAsia="仿宋_GB2312" w:cs="仿宋_GB2312" w:hAnsi="仿宋" w:hint="eastAsia"/>
          <w:sz w:val="32"/>
          <w:szCs w:val="32"/>
          <w:lang w:eastAsia="zh-CN"/>
        </w:rPr>
        <w:t>各项工作圆满完成</w:t>
      </w:r>
      <w:r>
        <w:rPr>
          <w:rFonts w:ascii="仿宋" w:eastAsia="仿宋" w:cs="仿宋" w:hAnsi="仿宋" w:hint="eastAsia"/>
          <w:sz w:val="32"/>
          <w:szCs w:val="32"/>
          <w:lang w:eastAsia="zh-CN"/>
        </w:rPr>
        <w:t>。</w:t>
      </w:r>
    </w:p>
    <w:p>
      <w:pPr>
        <w:adjustRightInd w:val="0"/>
        <w:snapToGrid w:val="0"/>
        <w:spacing w:line="560" w:lineRule="exact"/>
        <w:ind w:firstLineChars="200" w:firstLine="640"/>
        <w:rPr>
          <w:rFonts w:ascii="黑体" w:eastAsia="黑体" w:hAnsi="黑体"/>
          <w:sz w:val="32"/>
          <w:szCs w:val="32"/>
        </w:rPr>
      </w:pPr>
      <w:r>
        <w:rPr>
          <w:rFonts w:ascii="黑体" w:eastAsia="黑体" w:hAnsi="黑体" w:hint="eastAsia"/>
          <w:sz w:val="32"/>
          <w:szCs w:val="32"/>
        </w:rPr>
        <w:t>二、自评工作开展情况</w:t>
      </w:r>
    </w:p>
    <w:p>
      <w:pPr>
        <w:spacing w:line="560" w:lineRule="exact"/>
        <w:rPr>
          <w:rFonts w:ascii="楷体" w:eastAsia="楷体" w:cs="楷体_GB2312" w:hAnsi="楷体"/>
          <w:sz w:val="32"/>
          <w:szCs w:val="32"/>
        </w:rPr>
      </w:pPr>
      <w:r>
        <w:rPr>
          <w:rFonts w:ascii="仿宋" w:eastAsia="仿宋" w:cs="楷体_GB2312" w:hAnsi="仿宋" w:hint="eastAsia"/>
          <w:b/>
          <w:bCs/>
          <w:sz w:val="32"/>
          <w:szCs w:val="32"/>
        </w:rPr>
        <w:t xml:space="preserve">    </w:t>
      </w:r>
      <w:r>
        <w:rPr>
          <w:rFonts w:ascii="楷体" w:eastAsia="楷体" w:cs="楷体_GB2312" w:hAnsi="楷体" w:hint="eastAsia"/>
          <w:bCs/>
          <w:sz w:val="32"/>
          <w:szCs w:val="32"/>
        </w:rPr>
        <w:t>（一）自评的组织工作</w:t>
      </w:r>
    </w:p>
    <w:p>
      <w:pPr>
        <w:spacing w:line="560" w:lineRule="exact"/>
        <w:rPr>
          <w:rFonts w:ascii="仿宋" w:eastAsia="仿宋" w:hAnsi="仿宋"/>
          <w:sz w:val="32"/>
          <w:szCs w:val="32"/>
        </w:rPr>
      </w:pPr>
      <w:r>
        <w:rPr>
          <w:rFonts w:ascii="仿宋" w:eastAsia="仿宋" w:hAnsi="仿宋" w:hint="eastAsia"/>
          <w:sz w:val="32"/>
          <w:szCs w:val="32"/>
        </w:rPr>
        <w:t xml:space="preserve">     </w:t>
      </w:r>
      <w:r>
        <w:rPr>
          <w:rFonts w:ascii="仿宋_GB2312" w:eastAsia="仿宋_GB2312" w:cs="仿宋_GB2312" w:hAnsi="仿宋" w:hint="eastAsia"/>
          <w:sz w:val="32"/>
          <w:szCs w:val="32"/>
          <w:lang w:eastAsia="zh-CN"/>
        </w:rPr>
        <w:t>区委统战部高度重视此项绩效自评工作，成立了绩效评价小组，组长由区委统战部常务副部长李莉芳担任，成员包括各股室负责人、财务主管负责人，按照通知要求，评价组事先制定了自评工作方案，明确评价内容、评价程序及时间安排，并组织召开专题会议，要求各股室提前准备相关资料，积极配合做好自评工作。</w:t>
      </w:r>
    </w:p>
    <w:p>
      <w:pPr>
        <w:numPr>
          <w:ilvl w:val="0"/>
          <w:numId w:val="1"/>
        </w:numPr>
        <w:spacing w:line="560" w:lineRule="exact"/>
        <w:rPr>
          <w:rFonts w:ascii="楷体" w:eastAsia="楷体" w:cs="楷体_GB2312" w:hAnsi="楷体"/>
          <w:bCs/>
          <w:sz w:val="32"/>
          <w:szCs w:val="32"/>
        </w:rPr>
      </w:pPr>
      <w:r>
        <w:rPr>
          <w:rFonts w:ascii="楷体" w:eastAsia="楷体" w:cs="楷体_GB2312" w:hAnsi="楷体" w:hint="eastAsia"/>
          <w:bCs/>
          <w:sz w:val="32"/>
          <w:szCs w:val="32"/>
        </w:rPr>
        <w:t>自评的方法和过程</w:t>
      </w:r>
    </w:p>
    <w:p>
      <w:pPr>
        <w:spacing w:line="560" w:lineRule="exact"/>
        <w:rPr>
          <w:rFonts w:ascii="黑体" w:eastAsia="黑体" w:hAnsi="黑体" w:hint="eastAsia"/>
          <w:sz w:val="32"/>
          <w:szCs w:val="32"/>
        </w:rPr>
      </w:pPr>
      <w:r>
        <w:rPr>
          <w:rFonts w:ascii="黑体" w:eastAsia="黑体" w:hAnsi="黑体" w:hint="eastAsia"/>
          <w:sz w:val="32"/>
          <w:szCs w:val="32"/>
        </w:rPr>
        <w:t xml:space="preserve">    </w:t>
      </w:r>
      <w:r>
        <w:rPr>
          <w:rFonts w:ascii="仿宋_GB2312" w:eastAsia="仿宋_GB2312" w:cs="仿宋_GB2312" w:hAnsi="仿宋" w:hint="eastAsia"/>
          <w:sz w:val="32"/>
          <w:szCs w:val="32"/>
          <w:lang w:eastAsia="zh-CN"/>
        </w:rPr>
        <w:t>评价以202</w:t>
      </w:r>
      <w:r>
        <w:rPr>
          <w:rFonts w:ascii="仿宋_GB2312" w:eastAsia="仿宋_GB2312" w:cs="仿宋_GB2312" w:hAnsi="仿宋" w:hint="eastAsia"/>
          <w:sz w:val="32"/>
          <w:szCs w:val="32"/>
          <w:lang w:val="en-US" w:eastAsia="zh-CN"/>
        </w:rPr>
        <w:t>5</w:t>
      </w:r>
      <w:r>
        <w:rPr>
          <w:rFonts w:ascii="仿宋_GB2312" w:eastAsia="仿宋_GB2312" w:cs="仿宋_GB2312" w:hAnsi="仿宋" w:hint="eastAsia"/>
          <w:sz w:val="32"/>
          <w:szCs w:val="32"/>
          <w:lang w:eastAsia="zh-CN"/>
        </w:rPr>
        <w:t>年初预算确定的项目绩效目标和绩效指标为依据，通过对相关账目进行核实，对比各绩效指标完成情况，进一步分析和总结，对</w:t>
      </w:r>
      <w:r>
        <w:rPr>
          <w:rFonts w:ascii="仿宋_GB2312" w:eastAsia="仿宋_GB2312" w:cs="仿宋_GB2312" w:hAnsi="仿宋" w:hint="eastAsia"/>
          <w:sz w:val="32"/>
          <w:szCs w:val="32"/>
          <w:lang w:val="en-US" w:eastAsia="zh-CN"/>
        </w:rPr>
        <w:t>4</w:t>
      </w:r>
      <w:r>
        <w:rPr>
          <w:rFonts w:ascii="仿宋_GB2312" w:eastAsia="仿宋_GB2312" w:cs="仿宋_GB2312" w:hAnsi="仿宋" w:hint="eastAsia"/>
          <w:sz w:val="32"/>
          <w:szCs w:val="32"/>
          <w:lang w:eastAsia="zh-CN"/>
        </w:rPr>
        <w:t>个项目进行了自评价，并完成《</w:t>
      </w:r>
      <w:r>
        <w:rPr>
          <w:rFonts w:ascii="仿宋_GB2312" w:eastAsia="仿宋_GB2312" w:cs="仿宋_GB2312" w:hAnsi="仿宋" w:hint="eastAsia"/>
          <w:sz w:val="32"/>
          <w:szCs w:val="32"/>
          <w:lang w:val="en-US" w:eastAsia="zh-CN"/>
        </w:rPr>
        <w:t>2025年度区级</w:t>
      </w:r>
      <w:r>
        <w:rPr>
          <w:rFonts w:ascii="仿宋_GB2312" w:eastAsia="仿宋_GB2312" w:cs="仿宋_GB2312" w:hAnsi="仿宋" w:hint="eastAsia"/>
          <w:sz w:val="32"/>
          <w:szCs w:val="32"/>
          <w:lang w:eastAsia="zh-CN"/>
        </w:rPr>
        <w:t>项目绩效自评表》，且对活动经费项目进行了重点评价，出具</w:t>
      </w:r>
      <w:r>
        <w:rPr>
          <w:rFonts w:ascii="仿宋_GB2312" w:eastAsia="仿宋_GB2312" w:cs="仿宋_GB2312" w:hAnsi="仿宋"/>
          <w:sz w:val="32"/>
          <w:szCs w:val="32"/>
          <w:lang w:eastAsia="zh-CN"/>
        </w:rPr>
        <w:t>了</w:t>
      </w:r>
      <w:r>
        <w:rPr>
          <w:rFonts w:ascii="仿宋_GB2312" w:eastAsia="仿宋_GB2312" w:cs="仿宋_GB2312" w:hAnsi="仿宋" w:hint="eastAsia"/>
          <w:sz w:val="32"/>
          <w:szCs w:val="32"/>
          <w:lang w:eastAsia="zh-CN"/>
        </w:rPr>
        <w:t>专项资金绩效评价报告</w:t>
      </w:r>
      <w:r>
        <w:rPr>
          <w:rFonts w:ascii="仿宋" w:eastAsia="仿宋" w:hAnsi="仿宋" w:hint="eastAsia"/>
          <w:sz w:val="32"/>
          <w:szCs w:val="32"/>
          <w:lang w:eastAsia="zh-CN"/>
        </w:rPr>
        <w:t>。</w:t>
      </w:r>
    </w:p>
    <w:p>
      <w:pPr>
        <w:spacing w:line="560" w:lineRule="exact"/>
        <w:ind w:firstLineChars="200" w:firstLine="640"/>
        <w:rPr>
          <w:rFonts w:ascii="黑体" w:eastAsia="黑体" w:hAnsi="黑体"/>
          <w:b/>
          <w:bCs/>
          <w:sz w:val="32"/>
          <w:szCs w:val="32"/>
        </w:rPr>
      </w:pPr>
      <w:r>
        <w:rPr>
          <w:rFonts w:ascii="黑体" w:eastAsia="黑体" w:hAnsi="黑体" w:hint="eastAsia"/>
          <w:sz w:val="32"/>
          <w:szCs w:val="32"/>
        </w:rPr>
        <w:t>三、部门整体支出绩效目标实现情况及指标分析</w:t>
      </w:r>
    </w:p>
    <w:p>
      <w:pPr>
        <w:numPr>
          <w:ilvl w:val="0"/>
          <w:numId w:val="2"/>
        </w:numPr>
        <w:spacing w:line="560" w:lineRule="exact"/>
        <w:ind w:left="0" w:firstLineChars="200" w:firstLine="640"/>
        <w:rPr>
          <w:rFonts w:ascii="楷体" w:eastAsia="楷体" w:cs="楷体_GB2312" w:hAnsi="楷体"/>
          <w:bCs/>
          <w:sz w:val="32"/>
          <w:szCs w:val="32"/>
        </w:rPr>
      </w:pPr>
      <w:r>
        <w:rPr>
          <w:rFonts w:ascii="楷体" w:eastAsia="楷体" w:cs="楷体_GB2312" w:hAnsi="楷体" w:hint="eastAsia"/>
          <w:bCs/>
          <w:sz w:val="32"/>
          <w:szCs w:val="32"/>
        </w:rPr>
        <w:t>总体绩效目标实现情况</w:t>
      </w:r>
    </w:p>
    <w:p>
      <w:pPr>
        <w:spacing w:line="560" w:lineRule="exact"/>
        <w:ind w:firstLineChars="250" w:firstLine="800"/>
        <w:rPr>
          <w:rFonts w:ascii="仿宋_GB2312" w:eastAsia="仿宋_GB2312" w:cs="仿宋_GB2312" w:hAnsi="仿宋" w:hint="eastAsia"/>
          <w:sz w:val="32"/>
          <w:szCs w:val="32"/>
        </w:rPr>
      </w:pPr>
      <w:r>
        <w:rPr>
          <w:rFonts w:ascii="仿宋_GB2312" w:eastAsia="仿宋_GB2312" w:cs="仿宋_GB2312" w:hAnsi="仿宋" w:hint="eastAsia"/>
          <w:sz w:val="32"/>
          <w:szCs w:val="32"/>
          <w:lang w:eastAsia="zh-CN"/>
        </w:rPr>
        <w:t>按照深化绩效预算管理的要求，202</w:t>
      </w:r>
      <w:r>
        <w:rPr>
          <w:rFonts w:ascii="仿宋_GB2312" w:eastAsia="仿宋_GB2312" w:cs="仿宋_GB2312" w:hAnsi="仿宋" w:hint="eastAsia"/>
          <w:sz w:val="32"/>
          <w:szCs w:val="32"/>
          <w:lang w:val="en-US" w:eastAsia="zh-CN"/>
        </w:rPr>
        <w:t>5</w:t>
      </w:r>
      <w:r>
        <w:rPr>
          <w:rFonts w:ascii="仿宋_GB2312" w:eastAsia="仿宋_GB2312" w:cs="仿宋_GB2312" w:hAnsi="仿宋" w:hint="eastAsia"/>
          <w:sz w:val="32"/>
          <w:szCs w:val="32"/>
          <w:lang w:eastAsia="zh-CN"/>
        </w:rPr>
        <w:t>年继续优化“部门职责-工作活动-预算项目”的绩效预算管理结构，分三个层次分别制定了绩效目标和指标，力争可审核、可监控、可评价，将绩效管理融入项目管理全过程，为提高资金使用效果，规范预算管理打下良好基础。经过努力，我部年初预算中所列的绩效目标全部实现。</w:t>
      </w:r>
    </w:p>
    <w:p>
      <w:pPr>
        <w:spacing w:line="560" w:lineRule="exact"/>
        <w:rPr>
          <w:rFonts w:ascii="楷体" w:eastAsia="楷体" w:hAnsi="楷体"/>
          <w:bCs/>
          <w:sz w:val="32"/>
          <w:szCs w:val="32"/>
        </w:rPr>
      </w:pPr>
      <w:r>
        <w:rPr>
          <w:rFonts w:ascii="仿宋" w:eastAsia="仿宋" w:cs="楷体_GB2312" w:hAnsi="仿宋" w:hint="eastAsia"/>
          <w:b/>
          <w:bCs/>
          <w:sz w:val="32"/>
          <w:szCs w:val="32"/>
        </w:rPr>
        <w:t xml:space="preserve">    </w:t>
      </w:r>
      <w:r>
        <w:rPr>
          <w:rFonts w:ascii="楷体" w:eastAsia="楷体" w:cs="楷体_GB2312" w:hAnsi="楷体" w:hint="eastAsia"/>
          <w:bCs/>
          <w:sz w:val="32"/>
          <w:szCs w:val="32"/>
        </w:rPr>
        <w:t>（二）分项绩效目标实现情况及指标分析</w:t>
      </w:r>
    </w:p>
    <w:p>
      <w:pPr>
        <w:spacing w:line="560" w:lineRule="exact"/>
        <w:ind w:firstLineChars="250" w:firstLine="800"/>
        <w:rPr>
          <w:rFonts w:ascii="仿宋_GB2312" w:eastAsia="仿宋_GB2312" w:cs="仿宋_GB2312" w:hAnsi="仿宋" w:hint="eastAsia"/>
          <w:sz w:val="32"/>
          <w:szCs w:val="32"/>
        </w:rPr>
      </w:pPr>
      <w:r>
        <w:rPr>
          <w:rFonts w:ascii="仿宋_GB2312" w:eastAsia="仿宋_GB2312" w:cs="仿宋_GB2312" w:hAnsi="仿宋" w:hint="eastAsia"/>
          <w:sz w:val="32"/>
          <w:szCs w:val="32"/>
          <w:lang w:eastAsia="zh-CN"/>
        </w:rPr>
        <w:t>我部的分期绩效目标均完成，在产出指标中预期指标值全部达到，整体预算执行率</w:t>
      </w:r>
      <w:r>
        <w:rPr>
          <w:rFonts w:ascii="仿宋_GB2312" w:eastAsia="仿宋_GB2312" w:cs="仿宋_GB2312" w:hAnsi="仿宋" w:hint="eastAsia"/>
          <w:sz w:val="32"/>
          <w:szCs w:val="32"/>
          <w:lang w:val="en-US" w:eastAsia="zh-CN"/>
        </w:rPr>
        <w:t>100%，效益指标良好，经过全体努力，2025年度，圆满完成各项任务。</w:t>
      </w:r>
    </w:p>
    <w:p>
      <w:pPr>
        <w:spacing w:line="560" w:lineRule="exact"/>
        <w:ind w:firstLineChars="200" w:firstLine="640"/>
        <w:rPr>
          <w:rFonts w:ascii="黑体" w:eastAsia="黑体" w:hAnsi="黑体"/>
          <w:sz w:val="32"/>
          <w:szCs w:val="32"/>
        </w:rPr>
      </w:pPr>
      <w:r>
        <w:rPr>
          <w:rFonts w:ascii="黑体" w:eastAsia="黑体" w:hAnsi="黑体" w:hint="eastAsia"/>
          <w:sz w:val="32"/>
          <w:szCs w:val="32"/>
        </w:rPr>
        <w:t>四、评价结论和评价等级</w:t>
      </w:r>
    </w:p>
    <w:p>
      <w:pPr>
        <w:spacing w:line="560" w:lineRule="exact"/>
        <w:ind w:firstLineChars="200" w:firstLine="640"/>
        <w:rPr>
          <w:rFonts w:ascii="仿宋_GB2312" w:eastAsia="仿宋_GB2312" w:cs="仿宋_GB2312" w:hAnsi="仿宋" w:hint="eastAsia"/>
          <w:sz w:val="32"/>
          <w:szCs w:val="32"/>
        </w:rPr>
      </w:pPr>
      <w:r>
        <w:rPr>
          <w:rFonts w:ascii="仿宋_GB2312" w:eastAsia="仿宋_GB2312" w:cs="仿宋_GB2312" w:hAnsi="仿宋" w:hint="eastAsia"/>
          <w:sz w:val="32"/>
          <w:szCs w:val="32"/>
        </w:rPr>
        <w:t>根据部门职责定位和各项工作履职情况进行综合评价，给出总得分，满分100分，得出综合绩效评价等级。部门整体支出综合绩效评价分为4个等级：得分≥85分为优秀；75≤得分＜85分为良好；60≤得分＜75分为一般；得分＜60分为较差。</w:t>
      </w:r>
    </w:p>
    <w:p>
      <w:pPr>
        <w:spacing w:line="560" w:lineRule="exact"/>
        <w:ind w:firstLineChars="200" w:firstLine="640"/>
        <w:rPr>
          <w:rFonts w:ascii="黑体" w:eastAsia="黑体" w:hAnsi="黑体"/>
          <w:sz w:val="32"/>
          <w:szCs w:val="32"/>
        </w:rPr>
      </w:pPr>
      <w:r>
        <w:rPr>
          <w:rFonts w:ascii="黑体" w:eastAsia="黑体" w:hAnsi="黑体" w:hint="eastAsia"/>
          <w:sz w:val="32"/>
          <w:szCs w:val="32"/>
        </w:rPr>
        <w:t>五、存在的问题及改进措施</w:t>
      </w:r>
    </w:p>
    <w:p>
      <w:pPr>
        <w:spacing w:line="560" w:lineRule="exact"/>
        <w:ind w:firstLineChars="200" w:firstLine="640"/>
        <w:rPr>
          <w:rFonts w:ascii="楷体" w:eastAsia="楷体" w:hAnsi="楷体"/>
          <w:bCs/>
          <w:sz w:val="32"/>
          <w:szCs w:val="32"/>
        </w:rPr>
      </w:pPr>
      <w:r>
        <w:rPr>
          <w:rFonts w:ascii="楷体" w:eastAsia="楷体" w:hAnsi="楷体" w:hint="eastAsia"/>
          <w:bCs/>
          <w:sz w:val="32"/>
          <w:szCs w:val="32"/>
        </w:rPr>
        <w:t>（一）存在的主要问题</w:t>
      </w:r>
    </w:p>
    <w:p>
      <w:pPr>
        <w:pStyle w:val="20"/>
        <w:keepNext w:val="0"/>
        <w:keepLines w:val="0"/>
        <w:pageBreakBefore w:val="0"/>
        <w:widowControl w:val="0"/>
        <w:kinsoku/>
        <w:wordWrap/>
        <w:overflowPunct/>
        <w:topLinePunct w:val="0"/>
        <w:autoSpaceDE/>
        <w:autoSpaceDN/>
        <w:bidi w:val="0"/>
        <w:spacing w:line="600" w:lineRule="exact"/>
        <w:ind w:left="0" w:firstLineChars="200" w:firstLine="640"/>
        <w:textAlignment w:val="auto"/>
        <w:rPr>
          <w:rFonts w:hint="eastAsia"/>
          <w:b w:val="0"/>
          <w:bCs w:val="0"/>
          <w:color w:val="000000"/>
          <w:lang w:eastAsia="zh-CN"/>
        </w:rPr>
      </w:pPr>
      <w:r>
        <w:rPr>
          <w:rFonts w:ascii="仿宋_GB2312" w:cs="仿宋_GB2312" w:hint="eastAsia"/>
          <w:b w:val="0"/>
          <w:bCs w:val="0"/>
          <w:color w:val="000000"/>
          <w:szCs w:val="32"/>
          <w:lang w:eastAsia="zh-CN"/>
        </w:rPr>
        <w:t>一是年初预算编制精度不足，2025年我部整体支出中，</w:t>
      </w:r>
      <w:r>
        <w:rPr>
          <w:rFonts w:ascii="仿宋_GB2312" w:cs="仿宋_GB2312" w:hAnsi="仿宋_GB2312" w:hint="eastAsia"/>
          <w:color w:val="000000"/>
          <w:szCs w:val="32"/>
          <w:lang w:eastAsia="zh-CN"/>
        </w:rPr>
        <w:t>统战宗教工作年初预算对工作量及临时性任务预估偏粗，导致预算刚性有余、弹性不足</w:t>
      </w:r>
      <w:r>
        <w:rPr>
          <w:rFonts w:ascii="仿宋_GB2312" w:eastAsia="仿宋_GB2312" w:cs="仿宋_GB2312" w:hAnsi="仿宋_GB2312"/>
          <w:color w:val="000000"/>
          <w:sz w:val="28"/>
          <w:szCs w:val="28"/>
          <w:lang w:eastAsia="zh-CN"/>
        </w:rPr>
        <w:t>。</w:t>
      </w:r>
    </w:p>
    <w:p>
      <w:pPr>
        <w:spacing w:line="560" w:lineRule="exact"/>
        <w:ind w:firstLineChars="200" w:firstLine="640"/>
        <w:rPr>
          <w:rFonts w:ascii="楷体" w:eastAsia="楷体" w:hAnsi="楷体"/>
          <w:bCs/>
          <w:color w:val="000000"/>
          <w:sz w:val="32"/>
          <w:szCs w:val="32"/>
        </w:rPr>
      </w:pPr>
      <w:r>
        <w:rPr>
          <w:rFonts w:ascii="楷体" w:eastAsia="楷体" w:hAnsi="楷体" w:hint="eastAsia"/>
          <w:bCs/>
          <w:color w:val="000000"/>
          <w:sz w:val="32"/>
          <w:szCs w:val="32"/>
        </w:rPr>
        <w:t>（二）针对问题提出具体的改进措施或建议</w:t>
      </w:r>
    </w:p>
    <w:p>
      <w:pPr>
        <w:adjustRightInd w:val="0"/>
        <w:snapToGrid w:val="0"/>
        <w:spacing w:line="560" w:lineRule="exact"/>
        <w:ind w:firstLineChars="200" w:firstLine="640"/>
        <w:rPr>
          <w:rFonts w:ascii="宋体" w:eastAsia="仿宋_GB2312" w:cs="Times New Roman" w:hAnsi="宋体" w:hint="eastAsia"/>
          <w:color w:val="FF0000"/>
          <w:sz w:val="32"/>
        </w:rPr>
      </w:pPr>
      <w:r>
        <w:rPr>
          <w:rFonts w:ascii="宋体" w:eastAsia="仿宋_GB2312" w:cs="Times New Roman" w:hAnsi="宋体" w:hint="eastAsia"/>
          <w:b w:val="0"/>
          <w:bCs w:val="0"/>
          <w:color w:val="000000"/>
          <w:kern w:val="2"/>
          <w:sz w:val="32"/>
          <w:szCs w:val="22"/>
          <w:lang w:val="en-US" w:eastAsia="zh-CN" w:bidi="ar-SA"/>
        </w:rPr>
        <w:t xml:space="preserve"> </w:t>
      </w:r>
      <w:bookmarkStart w:id="1" w:name="_Toc42012752"/>
      <w:r>
        <w:rPr>
          <w:rFonts w:ascii="宋体" w:eastAsia="仿宋_GB2312" w:cs="Times New Roman" w:hAnsi="宋体" w:hint="eastAsia"/>
          <w:b w:val="0"/>
          <w:bCs w:val="0"/>
          <w:color w:val="000000"/>
          <w:kern w:val="2"/>
          <w:sz w:val="32"/>
          <w:szCs w:val="22"/>
          <w:lang w:val="en-US" w:eastAsia="zh-CN" w:bidi="ar-SA"/>
        </w:rPr>
        <w:t>一是</w:t>
      </w:r>
      <w:bookmarkEnd w:id="1"/>
      <w:r>
        <w:rPr>
          <w:rFonts w:ascii="宋体" w:eastAsia="仿宋_GB2312" w:cs="Times New Roman" w:hAnsi="宋体" w:hint="eastAsia"/>
          <w:b w:val="0"/>
          <w:bCs w:val="0"/>
          <w:color w:val="000000"/>
          <w:kern w:val="2"/>
          <w:sz w:val="32"/>
          <w:szCs w:val="22"/>
          <w:lang w:val="en-US" w:eastAsia="zh-CN" w:bidi="ar-SA"/>
        </w:rPr>
        <w:t>对统战宗教专项、突发涉稳走访等不可预见支出，按当年专项总盘预留5%—8%机动额度，严格按《井陉矿区本级预算调剂管理办法》履行追加审批。</w:t>
      </w:r>
      <w:r>
        <w:rPr>
          <w:rFonts w:ascii="宋体" w:eastAsia="仿宋_GB2312" w:cs="Times New Roman" w:hAnsi="宋体"/>
          <w:b w:val="0"/>
          <w:bCs w:val="0"/>
          <w:color w:val="000000"/>
          <w:kern w:val="2"/>
          <w:sz w:val="32"/>
          <w:szCs w:val="22"/>
          <w:lang w:val="en-US" w:eastAsia="zh-CN" w:bidi="ar-SA"/>
        </w:rPr>
        <w:t>二是</w:t>
      </w:r>
      <w:r>
        <w:rPr>
          <w:rFonts w:ascii="宋体" w:eastAsia="仿宋_GB2312" w:cs="Times New Roman" w:hAnsi="宋体" w:hint="eastAsia"/>
          <w:b w:val="0"/>
          <w:bCs w:val="0"/>
          <w:color w:val="000000"/>
          <w:kern w:val="2"/>
          <w:sz w:val="32"/>
          <w:szCs w:val="22"/>
          <w:lang w:val="en-US" w:eastAsia="zh-CN" w:bidi="ar-SA"/>
        </w:rPr>
        <w:t>实行“季度执行预警”：每季度末支出进度偏离时序超过15%的科目，由财务书面提示分管领导，下季度优先调度。</w:t>
      </w:r>
    </w:p>
    <w:p>
      <w:pPr>
        <w:adjustRightInd w:val="0"/>
        <w:snapToGrid w:val="0"/>
        <w:spacing w:line="560" w:lineRule="exact"/>
        <w:ind w:firstLineChars="200" w:firstLine="640"/>
        <w:rPr>
          <w:rFonts w:ascii="黑体" w:eastAsia="黑体" w:hAnsi="黑体"/>
          <w:sz w:val="32"/>
          <w:szCs w:val="32"/>
        </w:rPr>
      </w:pPr>
      <w:r>
        <w:rPr>
          <w:rFonts w:ascii="黑体" w:eastAsia="黑体" w:hAnsi="黑体" w:hint="eastAsia"/>
          <w:sz w:val="32"/>
          <w:szCs w:val="32"/>
        </w:rPr>
        <w:t>六、评价工作组人员名单及签字（姓名、工作单位、职务、职称）</w:t>
      </w:r>
    </w:p>
    <w:tbl>
      <w:tblPr>
        <w:jc w:val="left"/>
        <w:tblInd w:w="394" w:type="dxa"/>
        <w:tblW w:w="83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Look w:val="0600" w:firstRow="0" w:lastRow="0" w:firstColumn="0" w:lastColumn="0" w:noHBand="1" w:noVBand="1"/>
      </w:tblPr>
      <w:tblGrid>
        <w:gridCol w:w="1418"/>
        <w:gridCol w:w="1812"/>
        <w:gridCol w:w="3040"/>
        <w:gridCol w:w="2100"/>
      </w:tblGrid>
      <w:tr>
        <w:trPr>
          <w:trHeight w:hRule="exact" w:val="680"/>
        </w:trPr>
        <w:tc>
          <w:tcPr>
            <w:tcW w:w="1418" w:type="dxa"/>
          </w:tcPr>
          <w:p>
            <w:pPr>
              <w:keepNext w:val="0"/>
              <w:keepLines w:val="0"/>
              <w:pageBreakBefore w:val="0"/>
              <w:widowControl w:val="0"/>
              <w:kinsoku/>
              <w:wordWrap/>
              <w:overflowPunct/>
              <w:topLinePunct w:val="0"/>
              <w:autoSpaceDE/>
              <w:autoSpaceDN/>
              <w:bidi w:val="0"/>
              <w:spacing w:line="520" w:lineRule="exact"/>
              <w:ind w:right="0"/>
              <w:jc w:val="center"/>
              <w:textAlignment w:val="auto"/>
              <w:outlineLvl w:val="9"/>
              <w:rPr>
                <w:rFonts w:ascii="仿宋_GB2312" w:eastAsia="仿宋_GB2312" w:cs="仿宋_GB2312" w:hAnsi="仿宋_GB2312" w:hint="eastAsia"/>
                <w:b w:val="0"/>
                <w:bCs w:val="0"/>
                <w:color w:val="auto"/>
                <w:sz w:val="32"/>
                <w:szCs w:val="32"/>
                <w:vertAlign w:val="baseline"/>
                <w:lang w:eastAsia="zh-CN"/>
              </w:rPr>
            </w:pPr>
            <w:r>
              <w:rPr>
                <w:rFonts w:ascii="仿宋_GB2312" w:eastAsia="仿宋_GB2312" w:cs="仿宋_GB2312" w:hAnsi="仿宋_GB2312" w:hint="eastAsia"/>
                <w:b w:val="0"/>
                <w:bCs w:val="0"/>
                <w:color w:val="auto"/>
                <w:sz w:val="32"/>
                <w:szCs w:val="32"/>
                <w:vertAlign w:val="baseline"/>
                <w:lang w:eastAsia="zh-CN"/>
              </w:rPr>
              <w:t>姓</w:t>
            </w:r>
            <w:r>
              <w:rPr>
                <w:rFonts w:ascii="仿宋_GB2312" w:eastAsia="仿宋_GB2312" w:cs="仿宋_GB2312" w:hAnsi="仿宋_GB2312" w:hint="eastAsia"/>
                <w:b w:val="0"/>
                <w:bCs w:val="0"/>
                <w:color w:val="auto"/>
                <w:sz w:val="32"/>
                <w:szCs w:val="32"/>
                <w:vertAlign w:val="baseline"/>
                <w:lang w:val="en-US" w:eastAsia="zh-CN"/>
              </w:rPr>
              <w:t xml:space="preserve">  </w:t>
            </w:r>
            <w:r>
              <w:rPr>
                <w:rFonts w:ascii="仿宋_GB2312" w:eastAsia="仿宋_GB2312" w:cs="仿宋_GB2312" w:hAnsi="仿宋_GB2312" w:hint="eastAsia"/>
                <w:b w:val="0"/>
                <w:bCs w:val="0"/>
                <w:color w:val="auto"/>
                <w:sz w:val="32"/>
                <w:szCs w:val="32"/>
                <w:vertAlign w:val="baseline"/>
                <w:lang w:eastAsia="zh-CN"/>
              </w:rPr>
              <w:t>名</w:t>
            </w:r>
          </w:p>
        </w:tc>
        <w:tc>
          <w:tcPr>
            <w:tcW w:w="1812" w:type="dxa"/>
          </w:tcPr>
          <w:p>
            <w:pPr>
              <w:keepNext w:val="0"/>
              <w:keepLines w:val="0"/>
              <w:pageBreakBefore w:val="0"/>
              <w:widowControl w:val="0"/>
              <w:kinsoku/>
              <w:wordWrap/>
              <w:overflowPunct/>
              <w:topLinePunct w:val="0"/>
              <w:autoSpaceDE/>
              <w:autoSpaceDN/>
              <w:bidi w:val="0"/>
              <w:spacing w:line="520" w:lineRule="exact"/>
              <w:ind w:right="0"/>
              <w:jc w:val="center"/>
              <w:textAlignment w:val="auto"/>
              <w:outlineLvl w:val="9"/>
              <w:rPr>
                <w:rFonts w:ascii="仿宋_GB2312" w:eastAsia="仿宋_GB2312" w:cs="仿宋_GB2312" w:hAnsi="仿宋_GB2312" w:hint="eastAsia"/>
                <w:b w:val="0"/>
                <w:bCs w:val="0"/>
                <w:color w:val="auto"/>
                <w:sz w:val="32"/>
                <w:szCs w:val="32"/>
                <w:vertAlign w:val="baseline"/>
                <w:lang w:eastAsia="zh-CN"/>
              </w:rPr>
            </w:pPr>
            <w:r>
              <w:rPr>
                <w:rFonts w:ascii="仿宋_GB2312" w:eastAsia="仿宋_GB2312" w:cs="仿宋_GB2312" w:hAnsi="仿宋_GB2312" w:hint="eastAsia"/>
                <w:b w:val="0"/>
                <w:bCs w:val="0"/>
                <w:color w:val="auto"/>
                <w:sz w:val="32"/>
                <w:szCs w:val="32"/>
                <w:vertAlign w:val="baseline"/>
                <w:lang w:eastAsia="zh-CN"/>
              </w:rPr>
              <w:t>工作单位</w:t>
            </w:r>
          </w:p>
        </w:tc>
        <w:tc>
          <w:tcPr>
            <w:tcW w:w="3040" w:type="dxa"/>
          </w:tcPr>
          <w:p>
            <w:pPr>
              <w:keepNext w:val="0"/>
              <w:keepLines w:val="0"/>
              <w:pageBreakBefore w:val="0"/>
              <w:widowControl w:val="0"/>
              <w:kinsoku/>
              <w:wordWrap/>
              <w:overflowPunct/>
              <w:topLinePunct w:val="0"/>
              <w:autoSpaceDE/>
              <w:autoSpaceDN/>
              <w:bidi w:val="0"/>
              <w:spacing w:line="520" w:lineRule="exact"/>
              <w:ind w:right="0"/>
              <w:jc w:val="center"/>
              <w:textAlignment w:val="auto"/>
              <w:outlineLvl w:val="9"/>
              <w:rPr>
                <w:rFonts w:ascii="仿宋_GB2312" w:eastAsia="仿宋_GB2312" w:cs="仿宋_GB2312" w:hAnsi="仿宋_GB2312" w:hint="eastAsia"/>
                <w:b w:val="0"/>
                <w:bCs w:val="0"/>
                <w:color w:val="auto"/>
                <w:kern w:val="2"/>
                <w:sz w:val="32"/>
                <w:szCs w:val="32"/>
                <w:vertAlign w:val="baseline"/>
                <w:lang w:val="en-US" w:eastAsia="zh-CN" w:bidi="ar-SA"/>
              </w:rPr>
            </w:pPr>
            <w:r>
              <w:rPr>
                <w:rFonts w:ascii="仿宋_GB2312" w:eastAsia="仿宋_GB2312" w:cs="仿宋_GB2312" w:hAnsi="仿宋_GB2312" w:hint="eastAsia"/>
                <w:b w:val="0"/>
                <w:bCs w:val="0"/>
                <w:color w:val="auto"/>
                <w:sz w:val="32"/>
                <w:szCs w:val="32"/>
                <w:vertAlign w:val="baseline"/>
                <w:lang w:eastAsia="zh-CN"/>
              </w:rPr>
              <w:t>职务</w:t>
            </w:r>
          </w:p>
        </w:tc>
        <w:tc>
          <w:tcPr>
            <w:tcW w:w="2100" w:type="dxa"/>
          </w:tcPr>
          <w:p>
            <w:pPr>
              <w:keepNext w:val="0"/>
              <w:keepLines w:val="0"/>
              <w:pageBreakBefore w:val="0"/>
              <w:widowControl w:val="0"/>
              <w:kinsoku/>
              <w:wordWrap/>
              <w:overflowPunct/>
              <w:topLinePunct w:val="0"/>
              <w:autoSpaceDE/>
              <w:autoSpaceDN/>
              <w:bidi w:val="0"/>
              <w:spacing w:line="520" w:lineRule="exact"/>
              <w:ind w:right="0"/>
              <w:jc w:val="center"/>
              <w:textAlignment w:val="auto"/>
              <w:outlineLvl w:val="9"/>
              <w:rPr>
                <w:rFonts w:ascii="宋体" w:eastAsia="宋体" w:cs="宋体" w:hAnsi="宋体" w:hint="eastAsia"/>
                <w:b/>
                <w:bCs/>
                <w:color w:val="auto"/>
                <w:kern w:val="2"/>
                <w:sz w:val="44"/>
                <w:szCs w:val="44"/>
                <w:vertAlign w:val="baseline"/>
                <w:lang w:val="en-US" w:eastAsia="zh-CN" w:bidi="ar-SA"/>
              </w:rPr>
            </w:pPr>
            <w:r>
              <w:rPr>
                <w:rFonts w:ascii="仿宋_GB2312" w:eastAsia="仿宋_GB2312" w:cs="仿宋_GB2312" w:hAnsi="仿宋_GB2312" w:hint="eastAsia"/>
                <w:b w:val="0"/>
                <w:bCs w:val="0"/>
                <w:color w:val="auto"/>
                <w:sz w:val="32"/>
                <w:szCs w:val="32"/>
                <w:vertAlign w:val="baseline"/>
                <w:lang w:eastAsia="zh-CN"/>
              </w:rPr>
              <w:t>签字</w:t>
            </w:r>
          </w:p>
        </w:tc>
      </w:tr>
      <w:tr>
        <w:trPr>
          <w:trHeight w:hRule="exact" w:val="680"/>
        </w:trPr>
        <w:tc>
          <w:tcPr>
            <w:tcW w:w="1418" w:type="dxa"/>
            <w:vAlign w:val="center"/>
          </w:tcPr>
          <w:p>
            <w:pPr>
              <w:keepNext w:val="0"/>
              <w:keepLines w:val="0"/>
              <w:pageBreakBefore w:val="0"/>
              <w:widowControl w:val="0"/>
              <w:kinsoku/>
              <w:wordWrap/>
              <w:overflowPunct/>
              <w:topLinePunct w:val="0"/>
              <w:autoSpaceDE/>
              <w:autoSpaceDN/>
              <w:bidi w:val="0"/>
              <w:spacing w:line="520" w:lineRule="exact"/>
              <w:ind w:right="0"/>
              <w:jc w:val="center"/>
              <w:textAlignment w:val="auto"/>
              <w:outlineLvl w:val="9"/>
              <w:rPr>
                <w:rFonts w:ascii="仿宋_GB2312" w:eastAsia="仿宋_GB2312" w:cs="仿宋_GB2312" w:hAnsi="仿宋_GB2312" w:hint="eastAsia"/>
                <w:b w:val="0"/>
                <w:bCs w:val="0"/>
                <w:color w:val="auto"/>
                <w:sz w:val="32"/>
                <w:szCs w:val="32"/>
                <w:vertAlign w:val="baseline"/>
                <w:lang w:eastAsia="zh-CN"/>
              </w:rPr>
            </w:pPr>
            <w:r>
              <w:rPr>
                <w:rFonts w:ascii="仿宋_GB2312" w:eastAsia="仿宋_GB2312" w:cs="仿宋_GB2312" w:hAnsi="仿宋_GB2312" w:hint="eastAsia"/>
                <w:b w:val="0"/>
                <w:bCs w:val="0"/>
                <w:color w:val="auto"/>
                <w:sz w:val="32"/>
                <w:szCs w:val="32"/>
                <w:vertAlign w:val="baseline"/>
                <w:lang w:eastAsia="zh-CN"/>
              </w:rPr>
              <w:t>李莉芳</w:t>
            </w:r>
          </w:p>
        </w:tc>
        <w:tc>
          <w:tcPr>
            <w:tcW w:w="1812" w:type="dxa"/>
            <w:tcBorders>
              <w:left w:val="single" w:sz="4" w:space="0" w:color="auto"/>
            </w:tcBorders>
            <w:vAlign w:val="center"/>
          </w:tcPr>
          <w:p>
            <w:pPr>
              <w:keepNext w:val="0"/>
              <w:keepLines w:val="0"/>
              <w:pageBreakBefore w:val="0"/>
              <w:widowControl w:val="0"/>
              <w:kinsoku/>
              <w:wordWrap/>
              <w:overflowPunct/>
              <w:topLinePunct w:val="0"/>
              <w:autoSpaceDE/>
              <w:autoSpaceDN/>
              <w:bidi w:val="0"/>
              <w:spacing w:line="520" w:lineRule="exact"/>
              <w:ind w:right="0"/>
              <w:jc w:val="center"/>
              <w:textAlignment w:val="auto"/>
              <w:outlineLvl w:val="9"/>
              <w:rPr>
                <w:rFonts w:ascii="仿宋_GB2312" w:eastAsia="仿宋_GB2312" w:cs="仿宋_GB2312" w:hAnsi="仿宋_GB2312" w:hint="eastAsia"/>
                <w:b w:val="0"/>
                <w:bCs w:val="0"/>
                <w:color w:val="auto"/>
                <w:sz w:val="32"/>
                <w:szCs w:val="32"/>
                <w:vertAlign w:val="baseline"/>
                <w:lang w:eastAsia="zh-CN"/>
              </w:rPr>
            </w:pPr>
            <w:r>
              <w:rPr>
                <w:rFonts w:ascii="仿宋_GB2312" w:eastAsia="仿宋_GB2312" w:cs="仿宋_GB2312" w:hAnsi="仿宋_GB2312" w:hint="eastAsia"/>
                <w:b w:val="0"/>
                <w:bCs w:val="0"/>
                <w:color w:val="auto"/>
                <w:sz w:val="32"/>
                <w:szCs w:val="32"/>
                <w:vertAlign w:val="baseline"/>
                <w:lang w:eastAsia="zh-CN"/>
              </w:rPr>
              <w:t>统战部</w:t>
            </w:r>
          </w:p>
        </w:tc>
        <w:tc>
          <w:tcPr>
            <w:tcW w:w="3040" w:type="dxa"/>
            <w:tcBorders>
              <w:left w:val="single" w:sz="4" w:space="0" w:color="auto"/>
            </w:tcBorders>
            <w:vAlign w:val="center"/>
          </w:tcPr>
          <w:p>
            <w:pPr>
              <w:keepNext w:val="0"/>
              <w:keepLines w:val="0"/>
              <w:pageBreakBefore w:val="0"/>
              <w:widowControl w:val="0"/>
              <w:kinsoku/>
              <w:wordWrap/>
              <w:overflowPunct/>
              <w:topLinePunct w:val="0"/>
              <w:autoSpaceDE/>
              <w:autoSpaceDN/>
              <w:bidi w:val="0"/>
              <w:spacing w:line="520" w:lineRule="exact"/>
              <w:ind w:right="0"/>
              <w:jc w:val="center"/>
              <w:textAlignment w:val="auto"/>
              <w:outlineLvl w:val="9"/>
              <w:rPr>
                <w:rFonts w:ascii="仿宋_GB2312" w:eastAsia="仿宋_GB2312" w:cs="仿宋_GB2312" w:hAnsi="仿宋_GB2312" w:hint="eastAsia"/>
                <w:b w:val="0"/>
                <w:bCs w:val="0"/>
                <w:color w:val="auto"/>
                <w:sz w:val="32"/>
                <w:szCs w:val="32"/>
                <w:vertAlign w:val="baseline"/>
                <w:lang w:eastAsia="zh-CN"/>
              </w:rPr>
            </w:pPr>
            <w:r>
              <w:rPr>
                <w:rFonts w:ascii="仿宋_GB2312" w:eastAsia="仿宋_GB2312" w:cs="仿宋_GB2312" w:hAnsi="仿宋_GB2312" w:hint="eastAsia"/>
                <w:b w:val="0"/>
                <w:bCs w:val="0"/>
                <w:color w:val="auto"/>
                <w:sz w:val="32"/>
                <w:szCs w:val="32"/>
                <w:vertAlign w:val="baseline"/>
                <w:lang w:eastAsia="zh-CN"/>
              </w:rPr>
              <w:t>常务副部长</w:t>
            </w:r>
          </w:p>
        </w:tc>
        <w:tc>
          <w:tcPr>
            <w:tcW w:w="2100" w:type="dxa"/>
            <w:tcBorders>
              <w:left w:val="single" w:sz="4" w:space="0" w:color="auto"/>
            </w:tcBorders>
          </w:tcPr>
          <w:p>
            <w:pPr>
              <w:keepNext w:val="0"/>
              <w:keepLines w:val="0"/>
              <w:pageBreakBefore w:val="0"/>
              <w:widowControl w:val="0"/>
              <w:kinsoku/>
              <w:wordWrap/>
              <w:overflowPunct/>
              <w:topLinePunct w:val="0"/>
              <w:autoSpaceDE/>
              <w:autoSpaceDN/>
              <w:bidi w:val="0"/>
              <w:spacing w:line="520" w:lineRule="exact"/>
              <w:ind w:right="0"/>
              <w:jc w:val="center"/>
              <w:textAlignment w:val="auto"/>
              <w:outlineLvl w:val="9"/>
              <w:rPr>
                <w:rFonts w:ascii="仿宋_GB2312" w:eastAsia="仿宋_GB2312" w:cs="仿宋_GB2312" w:hAnsi="仿宋_GB2312" w:hint="eastAsia"/>
                <w:b w:val="0"/>
                <w:bCs w:val="0"/>
                <w:color w:val="auto"/>
                <w:sz w:val="32"/>
                <w:szCs w:val="32"/>
                <w:vertAlign w:val="baseline"/>
                <w:lang w:eastAsia="zh-CN"/>
              </w:rPr>
            </w:pPr>
          </w:p>
        </w:tc>
      </w:tr>
      <w:tr>
        <w:trPr>
          <w:trHeight w:hRule="exact" w:val="680"/>
        </w:trPr>
        <w:tc>
          <w:tcPr>
            <w:tcW w:w="1418" w:type="dxa"/>
            <w:vAlign w:val="center"/>
          </w:tcPr>
          <w:p>
            <w:pPr>
              <w:keepNext w:val="0"/>
              <w:keepLines w:val="0"/>
              <w:pageBreakBefore w:val="0"/>
              <w:widowControl w:val="0"/>
              <w:kinsoku/>
              <w:wordWrap/>
              <w:overflowPunct/>
              <w:topLinePunct w:val="0"/>
              <w:autoSpaceDE/>
              <w:autoSpaceDN/>
              <w:bidi w:val="0"/>
              <w:spacing w:line="520" w:lineRule="exact"/>
              <w:ind w:right="0"/>
              <w:jc w:val="center"/>
              <w:textAlignment w:val="auto"/>
              <w:outlineLvl w:val="9"/>
              <w:rPr>
                <w:rFonts w:ascii="仿宋_GB2312" w:eastAsia="仿宋_GB2312" w:cs="仿宋_GB2312" w:hAnsi="仿宋_GB2312" w:hint="eastAsia"/>
                <w:b w:val="0"/>
                <w:bCs w:val="0"/>
                <w:color w:val="auto"/>
                <w:kern w:val="2"/>
                <w:sz w:val="32"/>
                <w:szCs w:val="32"/>
                <w:vertAlign w:val="baseline"/>
                <w:lang w:val="en-US" w:eastAsia="zh-CN" w:bidi="ar-SA"/>
              </w:rPr>
            </w:pPr>
            <w:r>
              <w:rPr>
                <w:rFonts w:ascii="仿宋_GB2312" w:eastAsia="仿宋_GB2312" w:cs="仿宋_GB2312" w:hAnsi="仿宋_GB2312" w:hint="eastAsia"/>
                <w:b w:val="0"/>
                <w:bCs w:val="0"/>
                <w:color w:val="auto"/>
                <w:sz w:val="32"/>
                <w:szCs w:val="32"/>
                <w:vertAlign w:val="baseline"/>
                <w:lang w:eastAsia="zh-CN"/>
              </w:rPr>
              <w:t>封</w:t>
            </w:r>
            <w:r>
              <w:rPr>
                <w:rFonts w:ascii="仿宋_GB2312" w:eastAsia="仿宋_GB2312" w:cs="仿宋_GB2312" w:hAnsi="仿宋_GB2312" w:hint="eastAsia"/>
                <w:b w:val="0"/>
                <w:bCs w:val="0"/>
                <w:color w:val="auto"/>
                <w:sz w:val="32"/>
                <w:szCs w:val="32"/>
                <w:vertAlign w:val="baseline"/>
                <w:lang w:val="en-US" w:eastAsia="zh-CN"/>
              </w:rPr>
              <w:t xml:space="preserve">  </w:t>
            </w:r>
            <w:r>
              <w:rPr>
                <w:rFonts w:ascii="仿宋_GB2312" w:eastAsia="仿宋_GB2312" w:cs="仿宋_GB2312" w:hAnsi="仿宋_GB2312" w:hint="eastAsia"/>
                <w:b w:val="0"/>
                <w:bCs w:val="0"/>
                <w:color w:val="auto"/>
                <w:sz w:val="32"/>
                <w:szCs w:val="32"/>
                <w:vertAlign w:val="baseline"/>
                <w:lang w:eastAsia="zh-CN"/>
              </w:rPr>
              <w:t>杰</w:t>
            </w:r>
          </w:p>
        </w:tc>
        <w:tc>
          <w:tcPr>
            <w:tcW w:w="1812" w:type="dxa"/>
            <w:tcBorders>
              <w:left w:val="single" w:sz="4" w:space="0" w:color="auto"/>
            </w:tcBorders>
            <w:vAlign w:val="center"/>
          </w:tcPr>
          <w:p>
            <w:pPr>
              <w:keepNext w:val="0"/>
              <w:keepLines w:val="0"/>
              <w:pageBreakBefore w:val="0"/>
              <w:widowControl w:val="0"/>
              <w:kinsoku/>
              <w:wordWrap/>
              <w:overflowPunct/>
              <w:topLinePunct w:val="0"/>
              <w:autoSpaceDE/>
              <w:autoSpaceDN/>
              <w:bidi w:val="0"/>
              <w:spacing w:line="520" w:lineRule="exact"/>
              <w:ind w:right="0"/>
              <w:jc w:val="center"/>
              <w:textAlignment w:val="auto"/>
              <w:outlineLvl w:val="9"/>
              <w:rPr>
                <w:rFonts w:ascii="仿宋_GB2312" w:eastAsia="仿宋_GB2312" w:cs="仿宋_GB2312" w:hAnsi="仿宋_GB2312" w:hint="eastAsia"/>
                <w:b w:val="0"/>
                <w:bCs w:val="0"/>
                <w:color w:val="auto"/>
                <w:kern w:val="2"/>
                <w:sz w:val="32"/>
                <w:szCs w:val="32"/>
                <w:vertAlign w:val="baseline"/>
                <w:lang w:val="en-US" w:eastAsia="zh-CN" w:bidi="ar-SA"/>
              </w:rPr>
            </w:pPr>
            <w:r>
              <w:rPr>
                <w:rFonts w:ascii="仿宋_GB2312" w:eastAsia="仿宋_GB2312" w:cs="仿宋_GB2312" w:hAnsi="仿宋_GB2312" w:hint="eastAsia"/>
                <w:b w:val="0"/>
                <w:bCs w:val="0"/>
                <w:color w:val="auto"/>
                <w:sz w:val="32"/>
                <w:szCs w:val="32"/>
                <w:vertAlign w:val="baseline"/>
                <w:lang w:eastAsia="zh-CN"/>
              </w:rPr>
              <w:t>统战部</w:t>
            </w:r>
          </w:p>
        </w:tc>
        <w:tc>
          <w:tcPr>
            <w:tcW w:w="3040" w:type="dxa"/>
            <w:tcBorders>
              <w:left w:val="single" w:sz="4" w:space="0" w:color="auto"/>
            </w:tcBorders>
            <w:vAlign w:val="center"/>
          </w:tcPr>
          <w:p>
            <w:pPr>
              <w:keepNext w:val="0"/>
              <w:keepLines w:val="0"/>
              <w:pageBreakBefore w:val="0"/>
              <w:widowControl w:val="0"/>
              <w:kinsoku/>
              <w:wordWrap/>
              <w:overflowPunct/>
              <w:topLinePunct w:val="0"/>
              <w:autoSpaceDE/>
              <w:autoSpaceDN/>
              <w:bidi w:val="0"/>
              <w:spacing w:line="520" w:lineRule="exact"/>
              <w:ind w:right="0"/>
              <w:jc w:val="center"/>
              <w:textAlignment w:val="auto"/>
              <w:outlineLvl w:val="9"/>
              <w:rPr>
                <w:rFonts w:ascii="仿宋_GB2312" w:eastAsia="仿宋_GB2312" w:cs="仿宋_GB2312" w:hAnsi="仿宋_GB2312" w:hint="eastAsia"/>
                <w:b w:val="0"/>
                <w:bCs w:val="0"/>
                <w:color w:val="auto"/>
                <w:kern w:val="2"/>
                <w:sz w:val="32"/>
                <w:szCs w:val="32"/>
                <w:vertAlign w:val="baseline"/>
                <w:lang w:val="en-US" w:eastAsia="zh-CN" w:bidi="ar-SA"/>
              </w:rPr>
            </w:pPr>
            <w:r>
              <w:rPr>
                <w:rFonts w:ascii="仿宋_GB2312" w:eastAsia="仿宋_GB2312" w:cs="仿宋_GB2312" w:hAnsi="仿宋_GB2312" w:hint="eastAsia"/>
                <w:b w:val="0"/>
                <w:bCs w:val="0"/>
                <w:color w:val="auto"/>
                <w:sz w:val="32"/>
                <w:szCs w:val="32"/>
                <w:vertAlign w:val="baseline"/>
                <w:lang w:eastAsia="zh-CN"/>
              </w:rPr>
              <w:t>副部长</w:t>
            </w:r>
          </w:p>
        </w:tc>
        <w:tc>
          <w:tcPr>
            <w:tcW w:w="2100" w:type="dxa"/>
            <w:tcBorders>
              <w:left w:val="single" w:sz="4" w:space="0" w:color="auto"/>
            </w:tcBorders>
          </w:tcPr>
          <w:p>
            <w:pPr>
              <w:keepNext w:val="0"/>
              <w:keepLines w:val="0"/>
              <w:pageBreakBefore w:val="0"/>
              <w:widowControl w:val="0"/>
              <w:kinsoku/>
              <w:wordWrap/>
              <w:overflowPunct/>
              <w:topLinePunct w:val="0"/>
              <w:autoSpaceDE/>
              <w:autoSpaceDN/>
              <w:bidi w:val="0"/>
              <w:spacing w:line="520" w:lineRule="exact"/>
              <w:ind w:right="0"/>
              <w:jc w:val="center"/>
              <w:textAlignment w:val="auto"/>
              <w:outlineLvl w:val="9"/>
              <w:rPr>
                <w:rFonts w:ascii="仿宋_GB2312" w:eastAsia="仿宋_GB2312" w:cs="仿宋_GB2312" w:hAnsi="仿宋_GB2312" w:hint="eastAsia"/>
                <w:b w:val="0"/>
                <w:bCs w:val="0"/>
                <w:color w:val="auto"/>
                <w:sz w:val="32"/>
                <w:szCs w:val="32"/>
                <w:vertAlign w:val="baseline"/>
                <w:lang w:eastAsia="zh-CN"/>
              </w:rPr>
            </w:pPr>
          </w:p>
        </w:tc>
      </w:tr>
      <w:tr>
        <w:trPr>
          <w:trHeight w:hRule="exact" w:val="680"/>
        </w:trPr>
        <w:tc>
          <w:tcPr>
            <w:tcW w:w="1418" w:type="dxa"/>
            <w:vAlign w:val="center"/>
          </w:tcPr>
          <w:p>
            <w:pPr>
              <w:keepNext w:val="0"/>
              <w:keepLines w:val="0"/>
              <w:pageBreakBefore w:val="0"/>
              <w:widowControl w:val="0"/>
              <w:kinsoku/>
              <w:wordWrap/>
              <w:overflowPunct/>
              <w:topLinePunct w:val="0"/>
              <w:autoSpaceDE/>
              <w:autoSpaceDN/>
              <w:bidi w:val="0"/>
              <w:spacing w:line="520" w:lineRule="exact"/>
              <w:ind w:right="0"/>
              <w:jc w:val="center"/>
              <w:textAlignment w:val="auto"/>
              <w:outlineLvl w:val="9"/>
              <w:rPr>
                <w:rFonts w:ascii="仿宋_GB2312" w:eastAsia="仿宋_GB2312" w:cs="仿宋_GB2312" w:hAnsi="仿宋_GB2312" w:hint="eastAsia"/>
                <w:b w:val="0"/>
                <w:bCs w:val="0"/>
                <w:color w:val="auto"/>
                <w:sz w:val="32"/>
                <w:szCs w:val="32"/>
                <w:vertAlign w:val="baseline"/>
                <w:lang w:eastAsia="zh-CN"/>
              </w:rPr>
            </w:pPr>
            <w:r>
              <w:rPr>
                <w:rFonts w:ascii="仿宋_GB2312" w:eastAsia="仿宋_GB2312" w:cs="仿宋_GB2312" w:hAnsi="仿宋_GB2312" w:hint="eastAsia"/>
                <w:b w:val="0"/>
                <w:bCs w:val="0"/>
                <w:color w:val="auto"/>
                <w:sz w:val="32"/>
                <w:szCs w:val="32"/>
                <w:vertAlign w:val="baseline"/>
                <w:lang w:eastAsia="zh-CN"/>
              </w:rPr>
              <w:t>姚</w:t>
            </w:r>
            <w:r>
              <w:rPr>
                <w:rFonts w:ascii="仿宋_GB2312" w:eastAsia="仿宋_GB2312" w:cs="仿宋_GB2312" w:hAnsi="仿宋_GB2312" w:hint="eastAsia"/>
                <w:b w:val="0"/>
                <w:bCs w:val="0"/>
                <w:color w:val="auto"/>
                <w:sz w:val="32"/>
                <w:szCs w:val="32"/>
                <w:vertAlign w:val="baseline"/>
                <w:lang w:val="en-US" w:eastAsia="zh-CN"/>
              </w:rPr>
              <w:t xml:space="preserve">  </w:t>
            </w:r>
            <w:r>
              <w:rPr>
                <w:rFonts w:ascii="仿宋_GB2312" w:eastAsia="仿宋_GB2312" w:cs="仿宋_GB2312" w:hAnsi="仿宋_GB2312" w:hint="eastAsia"/>
                <w:b w:val="0"/>
                <w:bCs w:val="0"/>
                <w:color w:val="auto"/>
                <w:sz w:val="32"/>
                <w:szCs w:val="32"/>
                <w:vertAlign w:val="baseline"/>
                <w:lang w:eastAsia="zh-CN"/>
              </w:rPr>
              <w:t>远</w:t>
            </w:r>
          </w:p>
        </w:tc>
        <w:tc>
          <w:tcPr>
            <w:tcW w:w="1812" w:type="dxa"/>
            <w:tcBorders>
              <w:left w:val="single" w:sz="4" w:space="0" w:color="auto"/>
            </w:tcBorders>
            <w:vAlign w:val="center"/>
          </w:tcPr>
          <w:p>
            <w:pPr>
              <w:keepNext w:val="0"/>
              <w:keepLines w:val="0"/>
              <w:pageBreakBefore w:val="0"/>
              <w:widowControl w:val="0"/>
              <w:kinsoku/>
              <w:wordWrap/>
              <w:overflowPunct/>
              <w:topLinePunct w:val="0"/>
              <w:autoSpaceDE/>
              <w:autoSpaceDN/>
              <w:bidi w:val="0"/>
              <w:spacing w:line="520" w:lineRule="exact"/>
              <w:ind w:right="0"/>
              <w:jc w:val="center"/>
              <w:textAlignment w:val="auto"/>
              <w:outlineLvl w:val="9"/>
              <w:rPr>
                <w:rFonts w:ascii="仿宋_GB2312" w:eastAsia="仿宋_GB2312" w:cs="仿宋_GB2312" w:hAnsi="仿宋_GB2312" w:hint="eastAsia"/>
                <w:b w:val="0"/>
                <w:bCs w:val="0"/>
                <w:color w:val="auto"/>
                <w:sz w:val="32"/>
                <w:szCs w:val="32"/>
                <w:vertAlign w:val="baseline"/>
                <w:lang w:eastAsia="zh-CN"/>
              </w:rPr>
            </w:pPr>
            <w:r>
              <w:rPr>
                <w:rFonts w:ascii="仿宋_GB2312" w:eastAsia="仿宋_GB2312" w:cs="仿宋_GB2312" w:hAnsi="仿宋_GB2312" w:hint="eastAsia"/>
                <w:b w:val="0"/>
                <w:bCs w:val="0"/>
                <w:color w:val="auto"/>
                <w:sz w:val="32"/>
                <w:szCs w:val="32"/>
                <w:vertAlign w:val="baseline"/>
                <w:lang w:eastAsia="zh-CN"/>
              </w:rPr>
              <w:t>统战部</w:t>
            </w:r>
          </w:p>
        </w:tc>
        <w:tc>
          <w:tcPr>
            <w:tcW w:w="3040" w:type="dxa"/>
            <w:tcBorders>
              <w:left w:val="single" w:sz="4" w:space="0" w:color="auto"/>
            </w:tcBorders>
            <w:vAlign w:val="center"/>
          </w:tcPr>
          <w:p>
            <w:pPr>
              <w:keepNext w:val="0"/>
              <w:keepLines w:val="0"/>
              <w:pageBreakBefore w:val="0"/>
              <w:widowControl w:val="0"/>
              <w:kinsoku/>
              <w:wordWrap/>
              <w:overflowPunct/>
              <w:topLinePunct w:val="0"/>
              <w:autoSpaceDE/>
              <w:autoSpaceDN/>
              <w:bidi w:val="0"/>
              <w:spacing w:line="520" w:lineRule="exact"/>
              <w:ind w:right="0"/>
              <w:jc w:val="center"/>
              <w:textAlignment w:val="auto"/>
              <w:outlineLvl w:val="9"/>
              <w:rPr>
                <w:rFonts w:ascii="仿宋_GB2312" w:eastAsia="仿宋_GB2312" w:cs="仿宋_GB2312" w:hAnsi="仿宋_GB2312" w:hint="eastAsia"/>
                <w:b w:val="0"/>
                <w:bCs w:val="0"/>
                <w:color w:val="auto"/>
                <w:sz w:val="32"/>
                <w:szCs w:val="32"/>
                <w:vertAlign w:val="baseline"/>
                <w:lang w:eastAsia="zh-CN"/>
              </w:rPr>
            </w:pPr>
            <w:r>
              <w:rPr>
                <w:rFonts w:ascii="仿宋_GB2312" w:eastAsia="仿宋_GB2312" w:cs="仿宋_GB2312" w:hAnsi="仿宋_GB2312" w:hint="eastAsia"/>
                <w:b w:val="0"/>
                <w:bCs w:val="0"/>
                <w:color w:val="auto"/>
                <w:sz w:val="32"/>
                <w:szCs w:val="32"/>
                <w:vertAlign w:val="baseline"/>
                <w:lang w:eastAsia="zh-CN"/>
              </w:rPr>
              <w:t>副部长</w:t>
            </w:r>
          </w:p>
        </w:tc>
        <w:tc>
          <w:tcPr>
            <w:tcW w:w="2100" w:type="dxa"/>
            <w:tcBorders>
              <w:left w:val="single" w:sz="4" w:space="0" w:color="auto"/>
            </w:tcBorders>
          </w:tcPr>
          <w:p>
            <w:pPr>
              <w:keepNext w:val="0"/>
              <w:keepLines w:val="0"/>
              <w:pageBreakBefore w:val="0"/>
              <w:widowControl w:val="0"/>
              <w:kinsoku/>
              <w:wordWrap/>
              <w:overflowPunct/>
              <w:topLinePunct w:val="0"/>
              <w:autoSpaceDE/>
              <w:autoSpaceDN/>
              <w:bidi w:val="0"/>
              <w:spacing w:line="520" w:lineRule="exact"/>
              <w:ind w:right="0"/>
              <w:jc w:val="center"/>
              <w:textAlignment w:val="auto"/>
              <w:outlineLvl w:val="9"/>
              <w:rPr>
                <w:rFonts w:ascii="宋体" w:eastAsia="宋体" w:cs="宋体" w:hAnsi="宋体" w:hint="eastAsia"/>
                <w:b/>
                <w:bCs/>
                <w:color w:val="auto"/>
                <w:kern w:val="2"/>
                <w:sz w:val="44"/>
                <w:szCs w:val="44"/>
                <w:vertAlign w:val="baseline"/>
                <w:lang w:val="en-US" w:eastAsia="zh-CN" w:bidi="ar-SA"/>
              </w:rPr>
            </w:pPr>
          </w:p>
        </w:tc>
      </w:tr>
      <w:tr>
        <w:trPr>
          <w:trHeight w:hRule="exact" w:val="680"/>
        </w:trPr>
        <w:tc>
          <w:tcPr>
            <w:tcW w:w="1418" w:type="dxa"/>
            <w:vAlign w:val="center"/>
          </w:tcPr>
          <w:p>
            <w:pPr>
              <w:keepNext w:val="0"/>
              <w:keepLines w:val="0"/>
              <w:pageBreakBefore w:val="0"/>
              <w:widowControl w:val="0"/>
              <w:kinsoku/>
              <w:wordWrap/>
              <w:overflowPunct/>
              <w:topLinePunct w:val="0"/>
              <w:autoSpaceDE/>
              <w:autoSpaceDN/>
              <w:bidi w:val="0"/>
              <w:spacing w:line="520" w:lineRule="exact"/>
              <w:ind w:right="0"/>
              <w:jc w:val="center"/>
              <w:textAlignment w:val="auto"/>
              <w:outlineLvl w:val="9"/>
              <w:rPr>
                <w:rFonts w:ascii="仿宋_GB2312" w:eastAsia="仿宋_GB2312" w:cs="仿宋_GB2312" w:hAnsi="仿宋_GB2312" w:hint="eastAsia"/>
                <w:b w:val="0"/>
                <w:bCs w:val="0"/>
                <w:color w:val="auto"/>
                <w:kern w:val="2"/>
                <w:sz w:val="32"/>
                <w:szCs w:val="32"/>
                <w:vertAlign w:val="baseline"/>
                <w:lang w:val="en-US" w:eastAsia="zh-CN" w:bidi="ar-SA"/>
              </w:rPr>
            </w:pPr>
            <w:r>
              <w:rPr>
                <w:rFonts w:ascii="仿宋_GB2312" w:eastAsia="仿宋_GB2312" w:cs="仿宋_GB2312" w:hAnsi="仿宋_GB2312" w:hint="eastAsia"/>
                <w:b w:val="0"/>
                <w:bCs w:val="0"/>
                <w:color w:val="auto"/>
                <w:sz w:val="32"/>
                <w:szCs w:val="32"/>
                <w:vertAlign w:val="baseline"/>
                <w:lang w:eastAsia="zh-CN"/>
              </w:rPr>
              <w:t>雷</w:t>
            </w:r>
            <w:r>
              <w:rPr>
                <w:rFonts w:ascii="仿宋_GB2312" w:eastAsia="仿宋_GB2312" w:cs="仿宋_GB2312" w:hAnsi="仿宋_GB2312" w:hint="eastAsia"/>
                <w:b w:val="0"/>
                <w:bCs w:val="0"/>
                <w:color w:val="auto"/>
                <w:sz w:val="32"/>
                <w:szCs w:val="32"/>
                <w:vertAlign w:val="baseline"/>
                <w:lang w:val="en-US" w:eastAsia="zh-CN"/>
              </w:rPr>
              <w:t xml:space="preserve">  </w:t>
            </w:r>
            <w:r>
              <w:rPr>
                <w:rFonts w:ascii="仿宋_GB2312" w:eastAsia="仿宋_GB2312" w:cs="仿宋_GB2312" w:hAnsi="仿宋_GB2312" w:hint="eastAsia"/>
                <w:b w:val="0"/>
                <w:bCs w:val="0"/>
                <w:color w:val="auto"/>
                <w:sz w:val="32"/>
                <w:szCs w:val="32"/>
                <w:vertAlign w:val="baseline"/>
                <w:lang w:eastAsia="zh-CN"/>
              </w:rPr>
              <w:t>彤</w:t>
            </w:r>
          </w:p>
        </w:tc>
        <w:tc>
          <w:tcPr>
            <w:tcW w:w="1812" w:type="dxa"/>
            <w:tcBorders>
              <w:left w:val="single" w:sz="4" w:space="0" w:color="auto"/>
            </w:tcBorders>
            <w:vAlign w:val="center"/>
          </w:tcPr>
          <w:p>
            <w:pPr>
              <w:keepNext w:val="0"/>
              <w:keepLines w:val="0"/>
              <w:pageBreakBefore w:val="0"/>
              <w:widowControl w:val="0"/>
              <w:kinsoku/>
              <w:wordWrap/>
              <w:overflowPunct/>
              <w:topLinePunct w:val="0"/>
              <w:autoSpaceDE/>
              <w:autoSpaceDN/>
              <w:bidi w:val="0"/>
              <w:spacing w:line="520" w:lineRule="exact"/>
              <w:ind w:right="0"/>
              <w:jc w:val="center"/>
              <w:textAlignment w:val="auto"/>
              <w:outlineLvl w:val="9"/>
              <w:rPr>
                <w:rFonts w:ascii="仿宋_GB2312" w:eastAsia="仿宋_GB2312" w:cs="仿宋_GB2312" w:hAnsi="仿宋_GB2312" w:hint="eastAsia"/>
                <w:b w:val="0"/>
                <w:bCs w:val="0"/>
                <w:color w:val="auto"/>
                <w:kern w:val="2"/>
                <w:sz w:val="32"/>
                <w:szCs w:val="32"/>
                <w:vertAlign w:val="baseline"/>
                <w:lang w:val="en-US" w:eastAsia="zh-CN" w:bidi="ar-SA"/>
              </w:rPr>
            </w:pPr>
            <w:r>
              <w:rPr>
                <w:rFonts w:ascii="仿宋_GB2312" w:eastAsia="仿宋_GB2312" w:cs="仿宋_GB2312" w:hAnsi="仿宋_GB2312" w:hint="eastAsia"/>
                <w:b w:val="0"/>
                <w:bCs w:val="0"/>
                <w:color w:val="auto"/>
                <w:sz w:val="32"/>
                <w:szCs w:val="32"/>
                <w:vertAlign w:val="baseline"/>
                <w:lang w:eastAsia="zh-CN"/>
              </w:rPr>
              <w:t>统战部</w:t>
            </w:r>
          </w:p>
        </w:tc>
        <w:tc>
          <w:tcPr>
            <w:tcW w:w="3040" w:type="dxa"/>
            <w:tcBorders>
              <w:left w:val="single" w:sz="4" w:space="0" w:color="auto"/>
            </w:tcBorders>
            <w:vAlign w:val="center"/>
          </w:tcPr>
          <w:p>
            <w:pPr>
              <w:keepNext w:val="0"/>
              <w:keepLines w:val="0"/>
              <w:pageBreakBefore w:val="0"/>
              <w:widowControl w:val="0"/>
              <w:kinsoku/>
              <w:wordWrap/>
              <w:overflowPunct/>
              <w:topLinePunct w:val="0"/>
              <w:autoSpaceDE/>
              <w:autoSpaceDN/>
              <w:bidi w:val="0"/>
              <w:spacing w:line="520" w:lineRule="exact"/>
              <w:ind w:right="0"/>
              <w:jc w:val="center"/>
              <w:textAlignment w:val="auto"/>
              <w:outlineLvl w:val="9"/>
              <w:rPr>
                <w:rFonts w:ascii="仿宋_GB2312" w:eastAsia="仿宋_GB2312" w:cs="仿宋_GB2312" w:hAnsi="仿宋_GB2312" w:hint="eastAsia"/>
                <w:b w:val="0"/>
                <w:bCs w:val="0"/>
                <w:color w:val="auto"/>
                <w:kern w:val="2"/>
                <w:sz w:val="32"/>
                <w:szCs w:val="32"/>
                <w:vertAlign w:val="baseline"/>
                <w:lang w:val="en-US" w:eastAsia="zh-CN" w:bidi="ar-SA"/>
              </w:rPr>
            </w:pPr>
            <w:r>
              <w:rPr>
                <w:rFonts w:ascii="仿宋_GB2312" w:eastAsia="仿宋_GB2312" w:cs="仿宋_GB2312" w:hAnsi="仿宋_GB2312" w:hint="eastAsia"/>
                <w:b w:val="0"/>
                <w:bCs w:val="0"/>
                <w:color w:val="auto"/>
                <w:sz w:val="32"/>
                <w:szCs w:val="32"/>
                <w:vertAlign w:val="baseline"/>
                <w:lang w:eastAsia="zh-CN"/>
              </w:rPr>
              <w:t>港澳台海外统战股股长</w:t>
            </w:r>
          </w:p>
        </w:tc>
        <w:tc>
          <w:tcPr>
            <w:tcW w:w="2100" w:type="dxa"/>
            <w:tcBorders>
              <w:left w:val="single" w:sz="4" w:space="0" w:color="auto"/>
            </w:tcBorders>
          </w:tcPr>
          <w:p>
            <w:pPr>
              <w:keepNext w:val="0"/>
              <w:keepLines w:val="0"/>
              <w:pageBreakBefore w:val="0"/>
              <w:widowControl w:val="0"/>
              <w:kinsoku/>
              <w:wordWrap/>
              <w:overflowPunct/>
              <w:topLinePunct w:val="0"/>
              <w:autoSpaceDE/>
              <w:autoSpaceDN/>
              <w:bidi w:val="0"/>
              <w:spacing w:line="520" w:lineRule="exact"/>
              <w:ind w:right="0"/>
              <w:jc w:val="center"/>
              <w:textAlignment w:val="auto"/>
              <w:outlineLvl w:val="9"/>
              <w:rPr>
                <w:rFonts w:ascii="宋体" w:eastAsia="宋体" w:cs="宋体" w:hAnsi="宋体" w:hint="eastAsia"/>
                <w:b/>
                <w:bCs/>
                <w:color w:val="auto"/>
                <w:kern w:val="2"/>
                <w:sz w:val="44"/>
                <w:szCs w:val="44"/>
                <w:vertAlign w:val="baseline"/>
                <w:lang w:val="en-US" w:eastAsia="zh-CN" w:bidi="ar-SA"/>
              </w:rPr>
            </w:pPr>
          </w:p>
        </w:tc>
      </w:tr>
      <w:tr>
        <w:trPr>
          <w:trHeight w:hRule="exact" w:val="820"/>
        </w:trPr>
        <w:tc>
          <w:tcPr>
            <w:tcW w:w="1418" w:type="dxa"/>
            <w:vAlign w:val="center"/>
          </w:tcPr>
          <w:p>
            <w:pPr>
              <w:keepNext w:val="0"/>
              <w:keepLines w:val="0"/>
              <w:pageBreakBefore w:val="0"/>
              <w:widowControl w:val="0"/>
              <w:kinsoku/>
              <w:wordWrap/>
              <w:overflowPunct/>
              <w:topLinePunct w:val="0"/>
              <w:autoSpaceDE/>
              <w:autoSpaceDN/>
              <w:bidi w:val="0"/>
              <w:spacing w:line="520" w:lineRule="exact"/>
              <w:ind w:right="0"/>
              <w:jc w:val="center"/>
              <w:textAlignment w:val="auto"/>
              <w:outlineLvl w:val="9"/>
              <w:rPr>
                <w:rFonts w:ascii="仿宋_GB2312" w:eastAsia="仿宋_GB2312" w:cs="仿宋_GB2312" w:hAnsi="仿宋_GB2312" w:hint="eastAsia"/>
                <w:b w:val="0"/>
                <w:bCs w:val="0"/>
                <w:color w:val="auto"/>
                <w:sz w:val="32"/>
                <w:szCs w:val="32"/>
                <w:vertAlign w:val="baseline"/>
                <w:lang w:eastAsia="zh-CN"/>
              </w:rPr>
            </w:pPr>
            <w:bookmarkStart w:id="2" w:name="OLE_LINK1"/>
            <w:r>
              <w:rPr>
                <w:rFonts w:ascii="仿宋_GB2312" w:eastAsia="仿宋_GB2312" w:cs="仿宋_GB2312" w:hAnsi="仿宋_GB2312" w:hint="eastAsia"/>
                <w:b w:val="0"/>
                <w:bCs w:val="0"/>
                <w:color w:val="auto"/>
                <w:sz w:val="32"/>
                <w:szCs w:val="32"/>
                <w:vertAlign w:val="baseline"/>
                <w:lang w:eastAsia="zh-CN"/>
              </w:rPr>
              <w:t>王</w:t>
            </w:r>
            <w:r>
              <w:rPr>
                <w:rFonts w:ascii="仿宋_GB2312" w:eastAsia="仿宋_GB2312" w:cs="仿宋_GB2312" w:hAnsi="仿宋_GB2312" w:hint="eastAsia"/>
                <w:b w:val="0"/>
                <w:bCs w:val="0"/>
                <w:color w:val="auto"/>
                <w:sz w:val="32"/>
                <w:szCs w:val="32"/>
                <w:vertAlign w:val="baseline"/>
                <w:lang w:val="en-US" w:eastAsia="zh-CN"/>
              </w:rPr>
              <w:t xml:space="preserve">  </w:t>
            </w:r>
            <w:r>
              <w:rPr>
                <w:rFonts w:ascii="仿宋_GB2312" w:eastAsia="仿宋_GB2312" w:cs="仿宋_GB2312" w:hAnsi="仿宋_GB2312" w:hint="eastAsia"/>
                <w:b w:val="0"/>
                <w:bCs w:val="0"/>
                <w:color w:val="auto"/>
                <w:sz w:val="32"/>
                <w:szCs w:val="32"/>
                <w:vertAlign w:val="baseline"/>
                <w:lang w:eastAsia="zh-CN"/>
              </w:rPr>
              <w:t>琪</w:t>
            </w:r>
          </w:p>
        </w:tc>
        <w:tc>
          <w:tcPr>
            <w:tcW w:w="1812" w:type="dxa"/>
            <w:tcBorders>
              <w:left w:val="single" w:sz="4" w:space="0" w:color="auto"/>
            </w:tcBorders>
            <w:vAlign w:val="center"/>
          </w:tcPr>
          <w:p>
            <w:pPr>
              <w:keepNext w:val="0"/>
              <w:keepLines w:val="0"/>
              <w:pageBreakBefore w:val="0"/>
              <w:widowControl w:val="0"/>
              <w:kinsoku/>
              <w:wordWrap/>
              <w:overflowPunct/>
              <w:topLinePunct w:val="0"/>
              <w:autoSpaceDE/>
              <w:autoSpaceDN/>
              <w:bidi w:val="0"/>
              <w:spacing w:line="520" w:lineRule="exact"/>
              <w:ind w:right="0"/>
              <w:jc w:val="center"/>
              <w:textAlignment w:val="auto"/>
              <w:outlineLvl w:val="9"/>
              <w:rPr>
                <w:rFonts w:ascii="仿宋_GB2312" w:eastAsia="仿宋_GB2312" w:cs="仿宋_GB2312" w:hAnsi="仿宋_GB2312" w:hint="eastAsia"/>
                <w:b w:val="0"/>
                <w:bCs w:val="0"/>
                <w:color w:val="auto"/>
                <w:kern w:val="2"/>
                <w:sz w:val="32"/>
                <w:szCs w:val="32"/>
                <w:vertAlign w:val="baseline"/>
                <w:lang w:val="en-US" w:eastAsia="zh-CN" w:bidi="ar-SA"/>
              </w:rPr>
            </w:pPr>
            <w:r>
              <w:rPr>
                <w:rFonts w:ascii="仿宋_GB2312" w:eastAsia="仿宋_GB2312" w:cs="仿宋_GB2312" w:hAnsi="仿宋_GB2312" w:hint="eastAsia"/>
                <w:b w:val="0"/>
                <w:bCs w:val="0"/>
                <w:color w:val="auto"/>
                <w:sz w:val="32"/>
                <w:szCs w:val="32"/>
                <w:vertAlign w:val="baseline"/>
                <w:lang w:eastAsia="zh-CN"/>
              </w:rPr>
              <w:t>统战部</w:t>
            </w:r>
          </w:p>
        </w:tc>
        <w:tc>
          <w:tcPr>
            <w:tcW w:w="3040" w:type="dxa"/>
            <w:tcBorders>
              <w:left w:val="single" w:sz="4" w:space="0" w:color="auto"/>
            </w:tcBorders>
            <w:vAlign w:val="center"/>
          </w:tcPr>
          <w:p>
            <w:pPr>
              <w:keepNext w:val="0"/>
              <w:keepLines w:val="0"/>
              <w:pageBreakBefore w:val="0"/>
              <w:widowControl w:val="0"/>
              <w:kinsoku/>
              <w:wordWrap/>
              <w:overflowPunct/>
              <w:topLinePunct w:val="0"/>
              <w:autoSpaceDE/>
              <w:autoSpaceDN/>
              <w:bidi w:val="0"/>
              <w:spacing w:line="520" w:lineRule="exact"/>
              <w:ind w:right="0"/>
              <w:jc w:val="center"/>
              <w:textAlignment w:val="auto"/>
              <w:outlineLvl w:val="9"/>
              <w:rPr>
                <w:rFonts w:ascii="仿宋_GB2312" w:eastAsia="仿宋_GB2312" w:cs="仿宋_GB2312" w:hAnsi="仿宋_GB2312" w:hint="eastAsia"/>
                <w:b w:val="0"/>
                <w:bCs w:val="0"/>
                <w:color w:val="auto"/>
                <w:sz w:val="32"/>
                <w:szCs w:val="32"/>
                <w:vertAlign w:val="baseline"/>
                <w:lang w:eastAsia="zh-CN"/>
              </w:rPr>
            </w:pPr>
            <w:r>
              <w:rPr>
                <w:rFonts w:ascii="仿宋_GB2312" w:eastAsia="仿宋_GB2312" w:cs="仿宋_GB2312" w:hAnsi="仿宋_GB2312" w:hint="eastAsia"/>
                <w:b w:val="0"/>
                <w:bCs w:val="0"/>
                <w:color w:val="auto"/>
                <w:sz w:val="32"/>
                <w:szCs w:val="32"/>
                <w:vertAlign w:val="baseline"/>
                <w:lang w:eastAsia="zh-CN"/>
              </w:rPr>
              <w:t>民族宗教股股长</w:t>
            </w:r>
          </w:p>
        </w:tc>
        <w:tc>
          <w:tcPr>
            <w:tcW w:w="2100" w:type="dxa"/>
            <w:tcBorders>
              <w:left w:val="single" w:sz="4" w:space="0" w:color="auto"/>
            </w:tcBorders>
          </w:tcPr>
          <w:p>
            <w:pPr>
              <w:keepNext w:val="0"/>
              <w:keepLines w:val="0"/>
              <w:pageBreakBefore w:val="0"/>
              <w:widowControl w:val="0"/>
              <w:kinsoku/>
              <w:wordWrap/>
              <w:overflowPunct/>
              <w:topLinePunct w:val="0"/>
              <w:autoSpaceDE/>
              <w:autoSpaceDN/>
              <w:bidi w:val="0"/>
              <w:spacing w:line="520" w:lineRule="exact"/>
              <w:ind w:right="0"/>
              <w:jc w:val="center"/>
              <w:textAlignment w:val="auto"/>
              <w:outlineLvl w:val="9"/>
              <w:rPr>
                <w:rFonts w:ascii="仿宋_GB2312" w:eastAsia="仿宋_GB2312" w:cs="仿宋_GB2312" w:hAnsi="仿宋_GB2312" w:hint="eastAsia"/>
                <w:b w:val="0"/>
                <w:bCs w:val="0"/>
                <w:color w:val="auto"/>
                <w:sz w:val="32"/>
                <w:szCs w:val="32"/>
                <w:vertAlign w:val="baseline"/>
                <w:lang w:eastAsia="zh-CN"/>
              </w:rPr>
            </w:pPr>
            <w:bookmarkEnd w:id="2"/>
          </w:p>
        </w:tc>
      </w:tr>
      <w:tr>
        <w:trPr>
          <w:trHeight w:hRule="exact" w:val="740"/>
        </w:trPr>
        <w:tc>
          <w:tcPr>
            <w:tcW w:w="1418" w:type="dxa"/>
            <w:vAlign w:val="center"/>
          </w:tcPr>
          <w:p>
            <w:pPr>
              <w:keepNext w:val="0"/>
              <w:keepLines w:val="0"/>
              <w:pageBreakBefore w:val="0"/>
              <w:widowControl w:val="0"/>
              <w:kinsoku/>
              <w:wordWrap/>
              <w:overflowPunct/>
              <w:topLinePunct w:val="0"/>
              <w:autoSpaceDE/>
              <w:autoSpaceDN/>
              <w:bidi w:val="0"/>
              <w:spacing w:line="520" w:lineRule="exact"/>
              <w:ind w:right="0"/>
              <w:jc w:val="center"/>
              <w:textAlignment w:val="auto"/>
              <w:outlineLvl w:val="9"/>
              <w:rPr>
                <w:rFonts w:ascii="仿宋_GB2312" w:eastAsia="仿宋_GB2312" w:cs="仿宋_GB2312" w:hAnsi="仿宋_GB2312" w:hint="eastAsia"/>
                <w:b w:val="0"/>
                <w:bCs w:val="0"/>
                <w:color w:val="auto"/>
                <w:sz w:val="32"/>
                <w:szCs w:val="32"/>
                <w:vertAlign w:val="baseline"/>
                <w:lang w:val="en-US" w:eastAsia="zh-CN"/>
              </w:rPr>
            </w:pPr>
            <w:r>
              <w:rPr>
                <w:rFonts w:ascii="仿宋_GB2312" w:eastAsia="仿宋_GB2312" w:cs="仿宋_GB2312" w:hAnsi="仿宋_GB2312" w:hint="eastAsia"/>
                <w:b w:val="0"/>
                <w:bCs w:val="0"/>
                <w:color w:val="auto"/>
                <w:sz w:val="32"/>
                <w:szCs w:val="32"/>
                <w:vertAlign w:val="baseline"/>
                <w:lang w:eastAsia="zh-CN"/>
              </w:rPr>
              <w:t>高彦花</w:t>
            </w:r>
          </w:p>
        </w:tc>
        <w:tc>
          <w:tcPr>
            <w:tcW w:w="1812" w:type="dxa"/>
            <w:tcBorders>
              <w:left w:val="single" w:sz="4" w:space="0" w:color="auto"/>
            </w:tcBorders>
            <w:vAlign w:val="center"/>
          </w:tcPr>
          <w:p>
            <w:pPr>
              <w:keepNext w:val="0"/>
              <w:keepLines w:val="0"/>
              <w:pageBreakBefore w:val="0"/>
              <w:widowControl w:val="0"/>
              <w:kinsoku/>
              <w:wordWrap/>
              <w:overflowPunct/>
              <w:topLinePunct w:val="0"/>
              <w:autoSpaceDE/>
              <w:autoSpaceDN/>
              <w:bidi w:val="0"/>
              <w:spacing w:line="520" w:lineRule="exact"/>
              <w:ind w:right="0"/>
              <w:jc w:val="center"/>
              <w:textAlignment w:val="auto"/>
              <w:outlineLvl w:val="9"/>
              <w:rPr>
                <w:rFonts w:ascii="仿宋_GB2312" w:eastAsia="仿宋_GB2312" w:cs="仿宋_GB2312" w:hAnsi="仿宋_GB2312" w:hint="eastAsia"/>
                <w:b w:val="0"/>
                <w:bCs w:val="0"/>
                <w:color w:val="auto"/>
                <w:kern w:val="2"/>
                <w:sz w:val="32"/>
                <w:szCs w:val="32"/>
                <w:vertAlign w:val="baseline"/>
                <w:lang w:val="en-US" w:eastAsia="zh-CN" w:bidi="ar-SA"/>
              </w:rPr>
            </w:pPr>
            <w:r>
              <w:rPr>
                <w:rFonts w:ascii="仿宋_GB2312" w:eastAsia="仿宋_GB2312" w:cs="仿宋_GB2312" w:hAnsi="仿宋_GB2312" w:hint="eastAsia"/>
                <w:b w:val="0"/>
                <w:bCs w:val="0"/>
                <w:color w:val="auto"/>
                <w:sz w:val="32"/>
                <w:szCs w:val="32"/>
                <w:vertAlign w:val="baseline"/>
                <w:lang w:eastAsia="zh-CN"/>
              </w:rPr>
              <w:t>统战部</w:t>
            </w:r>
          </w:p>
        </w:tc>
        <w:tc>
          <w:tcPr>
            <w:tcW w:w="3040" w:type="dxa"/>
            <w:tcBorders>
              <w:left w:val="single" w:sz="4" w:space="0" w:color="auto"/>
            </w:tcBorders>
            <w:vAlign w:val="center"/>
          </w:tcPr>
          <w:p>
            <w:pPr>
              <w:keepNext w:val="0"/>
              <w:keepLines w:val="0"/>
              <w:pageBreakBefore w:val="0"/>
              <w:widowControl w:val="0"/>
              <w:kinsoku/>
              <w:wordWrap/>
              <w:overflowPunct/>
              <w:topLinePunct w:val="0"/>
              <w:autoSpaceDE/>
              <w:autoSpaceDN/>
              <w:bidi w:val="0"/>
              <w:spacing w:line="520" w:lineRule="exact"/>
              <w:ind w:right="0"/>
              <w:jc w:val="center"/>
              <w:textAlignment w:val="auto"/>
              <w:outlineLvl w:val="9"/>
              <w:rPr>
                <w:rFonts w:ascii="仿宋_GB2312" w:eastAsia="仿宋_GB2312" w:cs="仿宋_GB2312" w:hAnsi="仿宋_GB2312" w:hint="eastAsia"/>
                <w:b w:val="0"/>
                <w:bCs w:val="0"/>
                <w:color w:val="auto"/>
                <w:sz w:val="32"/>
                <w:szCs w:val="32"/>
                <w:vertAlign w:val="baseline"/>
                <w:lang w:eastAsia="zh-CN"/>
              </w:rPr>
            </w:pPr>
            <w:r>
              <w:rPr>
                <w:rFonts w:ascii="仿宋_GB2312" w:eastAsia="仿宋_GB2312" w:cs="仿宋_GB2312" w:hAnsi="仿宋_GB2312" w:hint="eastAsia"/>
                <w:b w:val="0"/>
                <w:bCs w:val="0"/>
                <w:color w:val="auto"/>
                <w:sz w:val="32"/>
                <w:szCs w:val="32"/>
                <w:vertAlign w:val="baseline"/>
                <w:lang w:eastAsia="zh-CN"/>
              </w:rPr>
              <w:t>办公室主任</w:t>
            </w:r>
          </w:p>
        </w:tc>
        <w:tc>
          <w:tcPr>
            <w:tcW w:w="2100" w:type="dxa"/>
            <w:tcBorders>
              <w:left w:val="single" w:sz="4" w:space="0" w:color="auto"/>
            </w:tcBorders>
          </w:tcPr>
          <w:p>
            <w:pPr>
              <w:keepNext w:val="0"/>
              <w:keepLines w:val="0"/>
              <w:pageBreakBefore w:val="0"/>
              <w:widowControl w:val="0"/>
              <w:kinsoku/>
              <w:wordWrap/>
              <w:overflowPunct/>
              <w:topLinePunct w:val="0"/>
              <w:autoSpaceDE/>
              <w:autoSpaceDN/>
              <w:bidi w:val="0"/>
              <w:spacing w:line="520" w:lineRule="exact"/>
              <w:ind w:right="0"/>
              <w:jc w:val="center"/>
              <w:textAlignment w:val="auto"/>
              <w:outlineLvl w:val="9"/>
              <w:rPr>
                <w:rFonts w:ascii="仿宋_GB2312" w:eastAsia="仿宋_GB2312" w:cs="仿宋_GB2312" w:hAnsi="仿宋_GB2312" w:hint="eastAsia"/>
                <w:b w:val="0"/>
                <w:bCs w:val="0"/>
                <w:color w:val="auto"/>
                <w:sz w:val="32"/>
                <w:szCs w:val="32"/>
                <w:vertAlign w:val="baseline"/>
                <w:lang w:eastAsia="zh-CN"/>
              </w:rPr>
            </w:pPr>
          </w:p>
        </w:tc>
      </w:tr>
    </w:tbl>
    <w:p>
      <w:pPr>
        <w:spacing w:line="560" w:lineRule="exact"/>
        <w:rPr>
          <w:rFonts w:ascii="仿宋" w:eastAsia="仿宋" w:hAnsi="仿宋"/>
        </w:rPr>
      </w:pPr>
    </w:p>
    <w:sectPr>
      <w:footerReference w:type="default" r:id="rId2"/>
      <w:pgSz w:w="11906" w:h="16838"/>
      <w:pgMar w:top="1440" w:right="1474" w:bottom="1440" w:left="1587" w:header="851" w:footer="992" w:gutter="0"/>
      <w:pgNumType w:fmt="numberInDash"/>
      <w:cols w:num="1" w:space="720"/>
      <w:docGrid w:type="lines" w:linePitch="312" w:charSpace="0"/>
    </w:sectPr>
  </w:body>
</w:document>
</file>

<file path=word/fontTable.xml><?xml version="1.0" encoding="utf-8"?>
<w:fonts xmlns:w="http://schemas.openxmlformats.org/wordprocessingml/2006/main" xmlns:r="http://schemas.openxmlformats.org/officeDocument/2006/relationships">
  <w:font w:name="黑体">
    <w:panose1 w:val="02010609060101010101"/>
    <w:charset w:val="86"/>
    <w:family w:val="auto"/>
    <w:pitch w:val="variable"/>
    <w:sig w:usb0="800002BF" w:usb1="38CF7CFA" w:usb2="00000016" w:usb3="00000000" w:csb0="00040001" w:csb1="00000000"/>
  </w:font>
  <w:font w:name="宋体">
    <w:panose1 w:val="02010600030101010101"/>
    <w:charset w:val="7A"/>
    <w:family w:val="auto"/>
    <w:pitch w:val="variable"/>
    <w:sig w:usb0="00000003" w:usb1="288F0000" w:usb2="00000006" w:usb3="00000000" w:csb0="00040001" w:csb1="00000000"/>
  </w:font>
  <w:font w:name="华文楷体">
    <w:panose1 w:val="02010600040101010101"/>
    <w:charset w:val="86"/>
    <w:family w:val="auto"/>
    <w:pitch w:val="variable"/>
    <w:sig w:usb0="00000287" w:usb1="080F0000" w:usb2="00000000" w:usb3="00000000" w:csb0="0004009F" w:csb1="DFD70000"/>
  </w:font>
  <w:font w:name="仿宋_GB2312">
    <w:panose1 w:val="02010609030101010101"/>
    <w:charset w:val="86"/>
    <w:family w:val="modern"/>
    <w:pitch w:val="variable"/>
    <w:sig w:usb0="00000001" w:usb1="080E0000" w:usb2="00000000" w:usb3="00000000" w:csb0="00040000" w:csb1="00000000"/>
  </w:font>
  <w:font w:name="仿宋">
    <w:panose1 w:val="02010609060101010101"/>
    <w:charset w:val="86"/>
    <w:family w:val="modern"/>
    <w:pitch w:val="variable"/>
    <w:sig w:usb0="800002BF" w:usb1="38CF7CFA" w:usb2="00000016" w:usb3="00000000" w:csb0="00040001" w:csb1="00000000"/>
  </w:font>
  <w:font w:name="楷体">
    <w:panose1 w:val="02010609060101010101"/>
    <w:charset w:val="86"/>
    <w:family w:val="modern"/>
    <w:pitch w:val="variable"/>
    <w:sig w:usb0="800002BF" w:usb1="38CF7CFA" w:usb2="00000016" w:usb3="00000000" w:csb0="00040001" w:csb1="00000000"/>
  </w:font>
  <w:font w:name="楷体_GB2312">
    <w:panose1 w:val="02010609030101010101"/>
    <w:charset w:val="86"/>
    <w:family w:val="auto"/>
    <w:pitch w:val="variable"/>
    <w:sig w:usb0="00000001" w:usb1="080E0000" w:usb2="00000000" w:usb3="00000000" w:csb0="00040000" w:csb1="00000000"/>
  </w:font>
  <w:font w:name="Times New Roman">
    <w:panose1 w:val="02020603050405020304"/>
    <w:charset w:val="86"/>
    <w:family w:val="auto"/>
    <w:pitch w:val="variable"/>
    <w:sig w:usb0="E0002AFF" w:usb1="C0007841" w:usb2="00000009" w:usb3="00000000" w:csb0="400001FF" w:csb1="FFFF0000"/>
  </w:font>
  <w:font w:name="Arial">
    <w:panose1 w:val="020B0604020202020204"/>
    <w:charset w:val="01"/>
    <w:family w:val="swiss"/>
    <w:pitch w:val="variable"/>
    <w:sig w:usb0="E0002AFF" w:usb1="C0007843" w:usb2="00000009" w:usb3="00000000" w:csb0="400001FF" w:csb1="FFFF0000"/>
  </w:font>
  <w:font w:name="Calibri">
    <w:panose1 w:val="020F0502020204030204"/>
    <w:charset w:val="00"/>
    <w:family w:val="swiss"/>
    <w:pitch w:val="variable"/>
    <w:sig w:usb0="E00002FF" w:usb1="4000ACFF" w:usb2="00000001" w:usb3="00000000" w:csb0="2000019F" w:csb1="00000000"/>
  </w:font>
  <w:font w:name="方正小标宋简体">
    <w:panose1 w:val="03000509000000000000"/>
    <w:charset w:val="86"/>
    <w:family w:val="script"/>
    <w:pitch w:val="variable"/>
    <w:sig w:usb0="00000001" w:usb1="080E0000" w:usb2="00000000" w:usb3="00000000" w:csb0="00040000"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17"/>
      <w:tabs>
        <w:tab w:val="center" w:pos="4153"/>
        <w:tab w:val="right" w:pos="8306"/>
      </w:tabs>
    </w:pPr>
    <w:r>
      <mc:AlternateContent>
        <mc:Choice Requires="wps">
          <w:drawing>
            <wp:anchor distT="0" distB="0" distL="90805" distR="90805" simplePos="0" relativeHeight="12" behindDoc="0" locked="0" layoutInCell="1" hidden="0" allowOverlap="1">
              <wp:simplePos x="0" y="0"/>
              <wp:positionH relativeFrom="margin">
                <wp:align>center</wp:align>
              </wp:positionH>
              <wp:positionV relativeFrom="paragraph">
                <wp:posOffset>0</wp:posOffset>
              </wp:positionV>
              <wp:extent cx="209550" cy="162560"/>
              <wp:effectExtent l="0" t="0" r="0" b="0"/>
              <wp:wrapNone/>
              <wp:docPr id="1" name="Quad Arrow 3073"/>
              <wp:cNvGraphicFramePr>
                <a:graphicFrameLocks noChangeAspect="0"/>
              </wp:cNvGraphicFramePr>
              <a:graphic>
                <a:graphicData uri="http://schemas.microsoft.com/office/word/2010/wordprocessingShape">
                  <wps:wsp>
                    <wps:cNvSpPr/>
                    <wps:spPr>
                      <a:xfrm rot="0">
                        <a:off x="0" y="0"/>
                        <a:ext cx="209550" cy="162560"/>
                      </a:xfrm>
                      <a:prstGeom prst="rect"/>
                      <a:noFill/>
                      <a:ln w="9525" cmpd="sng" cap="flat">
                        <a:noFill/>
                        <a:prstDash val="solid"/>
                        <a:miter/>
                      </a:ln>
                    </wps:spPr>
                    <wps:txbx id="1">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- 1 -</w:t>
                          </w:r>
                          <w:r>
                            <w:rPr>
                              <w:rFonts w:hint="eastAsia"/>
                              <w:sz w:val="18"/>
                            </w:rPr>
                            <w:fldChar w:fldCharType="end"/>
                          </w:r>
                        </w:p>
                      </w:txbxContent>
                    </wps:txbx>
                    <wps:bodyPr vert="horz" wrap="none" lIns="0" tIns="0" rIns="0" bIns="0" anchor="t" anchorCtr="0" upright="1">
                      <a:spAutoFit/>
                    </wps:bodyPr>
                  </wps:wsp>
                </a:graphicData>
              </a:graphic>
            </wp:anchor>
          </w:drawing>
        </mc:Choice>
        <mc:Fallback>
          <w:pict>
            <v:rect type="#_x0000_t1" id="Quad Arrow 3073" o:spid="_x0000_s2" filled="f" stroked="f" style="position:absolute;margin-left:0.0pt;margin-top:0.0pt;width:16.5pt;height:12.8pt;z-index:12;mso-position-horizontal:center;mso-position-horizontal-relative:margin;mso-position-vertical:absolute;mso-wrap-distance-left:7.15pt;mso-wrap-distance-right:7.15pt;mso-wrap-style:none;">
              <v:stroke/>
              <v:textbox id="848" inset="0mm,0mm,0mm,0mm" o:insetmode="custom" style="layout-flow:horizontal;v-text-anchor:top;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- 1 -</w:t>
                    </w:r>
                    <w:r>
                      <w:rPr>
                        <w:rFonts w:hint="eastAsia"/>
                        <w:sz w:val="18"/>
                      </w:rPr>
                      <w:fldChar w:fldCharType="end"/>
                    </w:r>
                  </w:p>
                </w:txbxContent>
              </v:textbox>
            </v:rect>
          </w:pict>
        </mc:Fallback>
      </mc:AlternateContent>
    </w:r>
  </w:p>
</w:ftr>
</file>

<file path=word/numbering.xml><?xml version="1.0" encoding="utf-8"?>
<w:numbering xmlns:w="http://schemas.openxmlformats.org/wordprocessingml/2006/main" xmlns:o="urn:schemas-microsoft-com:office:office" xmlns:r="http://schemas.openxmlformats.org/officeDocument/2006/relationships" xmlns:m="http://schemas.openxmlformats.org/officeDocument/2006/math" xmlns:v="urn:schemas-microsoft-com:vml" xmlns:mc="http://schemas.openxmlformats.org/markup-compatibility/2006" xmlns:w14="http://schemas.microsoft.com/office/word/2010/wordml">
  <w:abstractNum w:abstractNumId="0">
    <w:nsid w:val="0516AA81"/>
    <w:multiLevelType w:val="singleLevel"/>
    <w:tmpl w:val="0516AA81"/>
    <w:lvl w:ilvl="0">
      <w:start w:val="2"/>
      <w:numFmt w:val="chineseCounting"/>
      <w:lvlRestart w:val="0"/>
      <w:suff w:val="nothing"/>
      <w:lvlText w:val="（%1）"/>
      <w:lvlJc w:val="left"/>
      <w:pPr>
        <w:ind w:left="642" w:hanging="0"/>
      </w:pPr>
      <w:rPr>
        <w:rFonts w:hint="eastAsia"/>
      </w:rPr>
    </w:lvl>
  </w:abstractNum>
  <w:abstractNum w:abstractNumId="1">
    <w:nsid w:val="5E68489B"/>
    <w:multiLevelType w:val="singleLevel"/>
    <w:tmpl w:val="5E68489B"/>
    <w:lvl w:ilvl="0">
      <w:start w:val="1"/>
      <w:numFmt w:val="chineseCounting"/>
      <w:lvlRestart w:val="0"/>
      <w:suff w:val="nothing"/>
      <w:lvlText w:val="（%1）"/>
      <w:lvlJc w:val="left"/>
      <w:pPr>
        <w:ind w:left="0" w:hanging="0"/>
      </w:pPr>
      <w:rPr>
        <w:rFonts w:ascii="楷体" w:hAnsi="楷体" w:eastAsia="楷体"/>
      </w:rPr>
    </w:lvl>
  </w:abstractNum>
  <w:num w:numId="1">
    <w:abstractNumId w:val="0"/>
  </w:num>
  <w:num w:numId="2">
    <w:abstractNumId w:val="1"/>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00"/>
  <w:bordersDoNotSurroundHeader/>
  <w:bordersDoNotSurroundFooter/>
  <w:documentProtection w:edit="readOnly"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doNotUseIndentAsNumberingTabStop/>
    <w:useAltKinsokuLineBreakRules/>
    <w:doNotSuppressIndentation/>
    <w:splitPgBreakAndParaMark/>
    <w:compatSetting w:name="compatibilityMode" w:uri="http://schemas.microsoft.com/office/word" w:val="11"/>
  </w:compat>
  <w:docVars>
    <w:docVar w:name="commondata" w:val="eyJoZGlkIjoiYzgxMzVhZTBlNDUyZWUxNDVhMjNkN2E1NjFlOTE5NDcifQ=="/>
  </w:docVars>
  <m:mathPr>
    <m:mathFont m:val="Cambria Math"/>
    <m:brkBin m:val="before"/>
    <m:brkBinSub m:val="--"/>
    <m:smallFrac/>
    <m:dispDef/>
    <m:lMargin m:val="0"/>
    <m:rMargin m:val="0"/>
    <m:defJc m:val="centerGroup"/>
    <m:wrapIndent m:val="1440"/>
    <m:intLim m:val="subSup"/>
    <m:naryLim m:val="undOvr"/>
  </m:mathPr>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Arial"/>
        <w:lang w:val="en-US" w:eastAsia="zh-CN" w:bidi="ar-SA"/>
      </w:rPr>
    </w:rPrDefault>
    <w:pPrDefault/>
  </w:docDefaults>
  <w:style w:type="paragraph" w:default="1" w:styleId="0">
    <w:name w:val="Normal"/>
    <w:qFormat/>
    <w:next w:val="15"/>
    <w:pPr>
      <w:widowControl w:val="0"/>
      <w:jc w:val="both"/>
    </w:pPr>
    <w:rPr>
      <w:rFonts w:ascii="Calibri" w:eastAsia="宋体" w:cs="黑体" w:hAnsi="Calibri"/>
      <w:kern w:val="2"/>
      <w:sz w:val="21"/>
      <w:szCs w:val="22"/>
      <w:lang w:val="en-US" w:eastAsia="zh-CN" w:bidi="ar-SA"/>
    </w:rPr>
  </w:style>
  <w:style w:type="paragraph" w:styleId="1">
    <w:name w:val="heading 1"/>
    <w:qFormat/>
    <w:basedOn w:val="0"/>
    <w:next w:val="0"/>
    <w:link w:val="1Char"/>
    <w:pPr>
      <w:keepNext/>
      <w:keepLines/>
      <w:spacing w:before="340" w:after="330" w:line="578" w:lineRule="auto"/>
      <w:outlineLvl w:val="0"/>
    </w:pPr>
    <w:rPr>
      <w:b/>
      <w:bCs/>
      <w:kern w:val="44"/>
      <w:sz w:val="44"/>
      <w:szCs w:val="44"/>
    </w:rPr>
  </w:style>
  <w:style w:type="character" w:customStyle="1" w:styleId="1Char">
    <w:name w:val="heading 1 Char"/>
    <w:basedOn w:val="10"/>
    <w:link w:val="1"/>
    <w:rPr>
      <w:rFonts w:ascii="Calibri" w:eastAsia="宋体" w:cs="黑体" w:hAnsi="Calibri"/>
      <w:b/>
      <w:bCs/>
      <w:kern w:val="44"/>
      <w:sz w:val="44"/>
      <w:szCs w:val="44"/>
      <w:lang w:val="en-US" w:eastAsia="zh-CN" w:bidi="ar-SA"/>
    </w:rPr>
  </w:style>
  <w:style w:type="paragraph" w:styleId="2">
    <w:name w:val="heading 2"/>
    <w:qFormat/>
    <w:basedOn w:val="0"/>
    <w:next w:val="0"/>
    <w:link w:val="2Char"/>
    <w:pPr>
      <w:keepNext/>
      <w:keepLines/>
      <w:spacing w:before="260" w:after="260" w:line="415" w:lineRule="auto"/>
      <w:outlineLvl w:val="1"/>
    </w:pPr>
    <w:rPr>
      <w:rFonts w:ascii="Times New Roman" w:eastAsia="黑体" w:hAnsi="Times New Roman"/>
      <w:b/>
      <w:bCs/>
      <w:sz w:val="32"/>
      <w:szCs w:val="32"/>
    </w:rPr>
  </w:style>
  <w:style w:type="character" w:customStyle="1" w:styleId="2Char">
    <w:name w:val="heading 2 Char"/>
    <w:basedOn w:val="10"/>
    <w:link w:val="2"/>
    <w:rPr>
      <w:rFonts w:ascii="Times New Roman" w:eastAsia="黑体" w:cs="黑体" w:hAnsi="Times New Roman"/>
      <w:b/>
      <w:bCs/>
      <w:kern w:val="2"/>
      <w:sz w:val="32"/>
      <w:szCs w:val="32"/>
      <w:lang w:val="en-US" w:eastAsia="zh-CN" w:bidi="ar-SA"/>
    </w:rPr>
  </w:style>
  <w:style w:type="paragraph" w:styleId="3">
    <w:name w:val="heading 3"/>
    <w:qFormat/>
    <w:basedOn w:val="0"/>
    <w:next w:val="0"/>
    <w:link w:val="3Char"/>
    <w:pPr>
      <w:keepNext/>
      <w:keepLines/>
      <w:spacing w:before="260" w:after="260" w:line="415" w:lineRule="auto"/>
      <w:outlineLvl w:val="2"/>
    </w:pPr>
    <w:rPr>
      <w:b/>
      <w:bCs/>
      <w:sz w:val="32"/>
      <w:szCs w:val="32"/>
    </w:rPr>
  </w:style>
  <w:style w:type="character" w:customStyle="1" w:styleId="3Char">
    <w:name w:val="heading 3 Char"/>
    <w:basedOn w:val="10"/>
    <w:link w:val="3"/>
    <w:rPr>
      <w:rFonts w:ascii="Calibri" w:eastAsia="宋体" w:cs="黑体" w:hAnsi="Calibri"/>
      <w:b/>
      <w:bCs/>
      <w:kern w:val="2"/>
      <w:sz w:val="32"/>
      <w:szCs w:val="32"/>
      <w:lang w:val="en-US" w:eastAsia="zh-CN" w:bidi="ar-SA"/>
    </w:rPr>
  </w:style>
  <w:style w:type="character" w:default="1" w:styleId="10">
    <w:name w:val="Default Paragraph Font"/>
    <w:qFormat/>
  </w:style>
  <w:style w:type="paragraph" w:styleId="15">
    <w:name w:val="Normal Indent"/>
    <w:qFormat/>
    <w:basedOn w:val="0"/>
    <w:next w:val="16"/>
    <w:pPr>
      <w:ind w:firstLineChars="200" w:firstLine="200"/>
    </w:pPr>
    <w:rPr>
      <w:rFonts w:eastAsia="仿宋_GB2312"/>
      <w:sz w:val="30"/>
    </w:rPr>
  </w:style>
  <w:style w:type="paragraph" w:styleId="16">
    <w:name w:val="Subtitle"/>
    <w:qFormat/>
    <w:basedOn w:val="0"/>
    <w:pPr>
      <w:spacing w:line="700" w:lineRule="exact"/>
      <w:jc w:val="center"/>
      <w:outlineLvl w:val="1"/>
    </w:pPr>
    <w:rPr>
      <w:rFonts w:ascii="Arial" w:eastAsia="方正小标宋简体" w:cs="Arial" w:hAnsi="Arial"/>
      <w:b/>
      <w:bCs/>
      <w:kern w:val="28"/>
      <w:sz w:val="44"/>
      <w:szCs w:val="44"/>
    </w:rPr>
  </w:style>
  <w:style w:type="paragraph" w:styleId="17">
    <w:name w:val="footer"/>
    <w:qFormat/>
    <w:basedOn w:val="0"/>
    <w:pPr>
      <w:tabs>
        <w:tab w:val="center" w:pos="4153"/>
        <w:tab w:val="right" w:pos="8306"/>
      </w:tabs>
      <w:snapToGrid w:val="0"/>
      <w:jc w:val="left"/>
    </w:pPr>
    <w:rPr>
      <w:sz w:val="18"/>
    </w:rPr>
  </w:style>
  <w:style w:type="paragraph" w:styleId="18">
    <w:name w:val="header"/>
    <w:qFormat/>
    <w:basedOn w:val="0"/>
    <w:pPr>
      <w:pBdr>
        <w:top w:val="none" w:sz="0" w:space="0" w:color="auto"/>
        <w:left w:val="none" w:sz="0" w:space="0" w:color="auto"/>
        <w:bottom w:val="none" w:sz="0" w:space="0" w:color="auto"/>
        <w:right w:val="none" w:sz="0" w:space="0" w:color="auto"/>
      </w:pBdr>
      <w:tabs>
        <w:tab w:val="center" w:pos="4153"/>
        <w:tab w:val="right" w:pos="8306"/>
      </w:tabs>
      <w:snapToGrid w:val="0"/>
    </w:pPr>
    <w:rPr>
      <w:rFonts w:ascii="Times New Roman" w:hAnsi="Times New Roman"/>
      <w:sz w:val="18"/>
    </w:rPr>
  </w:style>
  <w:style w:type="paragraph" w:styleId="19">
    <w:name w:val="Normal (Web)"/>
    <w:qFormat/>
    <w:basedOn w:val="0"/>
    <w:pPr>
      <w:spacing w:before="0" w:beforeAutospacing="1" w:after="0" w:afterAutospacing="1"/>
      <w:ind w:left="0" w:right="0"/>
      <w:jc w:val="left"/>
    </w:pPr>
    <w:rPr>
      <w:kern w:val="0"/>
      <w:sz w:val="24"/>
      <w:lang w:val="en-US" w:eastAsia="zh-CN"/>
    </w:rPr>
  </w:style>
  <w:style w:type="paragraph" w:customStyle="1" w:styleId="20">
    <w:name w:val="无间隔1"/>
    <w:qFormat/>
    <w:pPr>
      <w:widowControl w:val="0"/>
      <w:jc w:val="both"/>
    </w:pPr>
    <w:rPr>
      <w:rFonts w:ascii="宋体" w:eastAsia="仿宋_GB2312" w:cs="Times New Roman" w:hAnsi="宋体"/>
      <w:kern w:val="2"/>
      <w:sz w:val="32"/>
      <w:szCs w:val="22"/>
      <w:lang w:val="en-US" w:eastAsia="zh-CN"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oter" Target="footer1.xml"/><Relationship Id="rId3" Type="http://schemas.openxmlformats.org/officeDocument/2006/relationships/styles" Target="styles.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customXml" Target="../customXml/item1.xml"/><Relationship Id="rId7" Type="http://schemas.openxmlformats.org/officeDocument/2006/relationships/theme" Target="theme/theme1.xml"/></Relationships>
</file>

<file path=word/theme/theme1.xml><?xml version="1.0" encoding="utf-8"?>
<a:theme xmlns:a="http://schemas.openxmlformats.org/drawingml/2006/main" name="Offic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
        <a:ea typeface=""/>
        <a:cs typeface=""/>
      </a:majorFont>
      <a:minorFont>
        <a:latin typeface=""/>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1"/>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1"/>
        </a:gradFill>
      </a:fillStyleLst>
      <a:lnStyleLst>
        <a:ln w="6350" cmpd="sng" cap="flat">
          <a:solidFill>
            <a:schemeClr val="phClr"/>
          </a:solidFill>
          <a:prstDash val="solid"/>
          <a:miter/>
        </a:ln>
        <a:ln w="12700" cmpd="sng" cap="flat">
          <a:solidFill>
            <a:schemeClr val="phClr"/>
          </a:solidFill>
          <a:prstDash val="solid"/>
          <a:miter/>
        </a:ln>
        <a:ln w="19050" cmpd="sng" cap="flat">
          <a:solidFill>
            <a:schemeClr val="phClr"/>
          </a:solidFill>
          <a:prstDash val="solid"/>
          <a:miter/>
        </a:ln>
      </a:lnStyleLst>
      <a:effectStyleLst>
        <a:effectStyle>
          <a:effectLst/>
        </a:effectStyle>
        <a:effectStyle>
          <a:effectLst/>
        </a:effectStyle>
        <a:effectStyle>
          <a:effectLst>
            <a:outerShdw sx="100000" sy="100000" algn="b" rotWithShape="0" blurRad="57150" dist="19050" dir="5400000">
              <a:srgbClr val="000000">
                <a:alpha val="62745"/>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1"/>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ustomData xmlns="http://www.yozosoft.com.cn/officeDocument/2016/customData">
  <customProps>
    <docPr revisions="3 0 5 0 0 0 1 0 0 0 3000 0 1 1 1 1"/>
    <sectPr/>
  </customProps>
</customData>
</file>

<file path=customXml/itemProps1.xml><?xml version="1.0" encoding="utf-8"?>
<ds:datastoreItem xmlns:ds="http://schemas.openxmlformats.org/officeDocument/2006/customXml" ds:itemID="{FDCA16A8-E705-4475-A04B-F8D65385A9FC}">
  <ds:schemaRefs>
    <ds:schemaRef ds:uri="http://www.yozosoft.com.cn/officeDocument/2016/customData"/>
  </ds:schemaRefs>
</ds:datastoreItem>
</file>

<file path=docProps/app.xml><?xml version="1.0" encoding="utf-8"?>
<Properties xmlns="http://schemas.openxmlformats.org/officeDocument/2006/extended-properties">
  <Template>Normal.eit</Template>
  <TotalTime>28</TotalTime>
  <Application>WPS_Yozo_Office9.0.4819.102ZH</Application>
  <Pages>4</Pages>
  <Words>0</Words>
  <Characters>1500</Characters>
  <Lines>0</Lines>
  <Paragraphs>34</Paragraphs>
  <CharactersWithSpaces>2000</CharactersWithSpaces>
</Properties>
</file>

<file path=docProps/core.xml><?xml version="1.0" encoding="utf-8"?>
<cp:coreProperties xmlns:cp="http://schemas.openxmlformats.org/package/2006/metadata/core-properties" xmlns:dc="http://purl.org/dc/elements/1.1/" xmlns:dcterms="http://purl.org/dc/terms/" xmlns:xsi="http://www.w3.org/2001/XMLSchema-instance">
  <dc:title>附件3：</dc:title>
  <dc:creator>欣欣大人</dc:creator>
  <cp:lastModifiedBy>Administrator</cp:lastModifiedBy>
  <cp:revision>3</cp:revision>
  <cp:lastPrinted>2026-09-17T07:45:27Z</cp:lastPrinted>
  <dcterms:created xsi:type="dcterms:W3CDTF">2020-02-04T03:46:00Z</dcterms:created>
  <dcterms:modified xsi:type="dcterms:W3CDTF">2026-09-17T07:45:33Z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2052-12.1.0.23542</vt:lpwstr>
  </property>
  <property fmtid="{D5CDD505-2E9C-101B-9397-08002B2CF9AE}" pid="3" name="ICV">
    <vt:lpwstr>96934721B1514D3FBAA28020338CE855_12</vt:lpwstr>
  </property>
  <property fmtid="{D5CDD505-2E9C-101B-9397-08002B2CF9AE}" pid="4" name="KSOTemplateDocerSaveRecord">
    <vt:lpwstr>eyJoZGlkIjoiMTc4ZTUxNjE3NWRjODJlODQ5MjNlOTdiNThjMGIwZjAiLCJ1c2VySWQiOiI4MTQ2MDI5MDgifQ==</vt:lpwstr>
  </property>
</Properties>
</file>