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CF7E3">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eastAsia" w:ascii="黑体" w:hAnsi="黑体" w:eastAsia="黑体" w:cs="黑体"/>
          <w:sz w:val="32"/>
          <w:szCs w:val="32"/>
        </w:rPr>
      </w:pPr>
      <w:r>
        <w:rPr>
          <w:rFonts w:hint="eastAsia" w:ascii="黑体" w:hAnsi="黑体" w:eastAsia="黑体" w:cs="黑体"/>
          <w:sz w:val="32"/>
          <w:szCs w:val="32"/>
        </w:rPr>
        <w:t>附件4</w:t>
      </w:r>
    </w:p>
    <w:p w14:paraId="0FC1FAB3">
      <w:pPr>
        <w:keepNext w:val="0"/>
        <w:keepLines w:val="0"/>
        <w:pageBreakBefore w:val="0"/>
        <w:widowControl w:val="0"/>
        <w:kinsoku/>
        <w:wordWrap/>
        <w:overflowPunct/>
        <w:topLinePunct w:val="0"/>
        <w:autoSpaceDE/>
        <w:autoSpaceDN/>
        <w:bidi w:val="0"/>
        <w:spacing w:line="600" w:lineRule="exact"/>
        <w:jc w:val="both"/>
        <w:textAlignment w:val="auto"/>
        <w:rPr>
          <w:rFonts w:ascii="宋体" w:hAnsi="宋体" w:cs="宋体"/>
          <w:b/>
          <w:bCs/>
          <w:sz w:val="44"/>
          <w:szCs w:val="44"/>
        </w:rPr>
      </w:pPr>
    </w:p>
    <w:p w14:paraId="568BF72E">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cs="宋体"/>
          <w:b/>
          <w:bCs/>
          <w:sz w:val="44"/>
          <w:szCs w:val="44"/>
        </w:rPr>
      </w:pPr>
      <w:r>
        <w:rPr>
          <w:rFonts w:hint="eastAsia" w:ascii="宋体" w:hAnsi="宋体" w:cs="宋体"/>
          <w:b/>
          <w:bCs/>
          <w:sz w:val="44"/>
          <w:szCs w:val="44"/>
          <w:lang w:eastAsia="zh-CN"/>
        </w:rPr>
        <w:t>井陉矿区委组织部</w:t>
      </w:r>
      <w:r>
        <w:rPr>
          <w:rFonts w:hint="eastAsia" w:ascii="宋体" w:hAnsi="宋体" w:cs="宋体"/>
          <w:b/>
          <w:bCs/>
          <w:sz w:val="44"/>
          <w:szCs w:val="44"/>
        </w:rPr>
        <w:t>部门</w:t>
      </w:r>
    </w:p>
    <w:p w14:paraId="5EB98B86">
      <w:pPr>
        <w:keepNext w:val="0"/>
        <w:keepLines w:val="0"/>
        <w:pageBreakBefore w:val="0"/>
        <w:widowControl w:val="0"/>
        <w:kinsoku/>
        <w:wordWrap/>
        <w:overflowPunct/>
        <w:topLinePunct w:val="0"/>
        <w:autoSpaceDE/>
        <w:autoSpaceDN/>
        <w:bidi w:val="0"/>
        <w:spacing w:line="600" w:lineRule="exact"/>
        <w:jc w:val="center"/>
        <w:textAlignment w:val="auto"/>
        <w:rPr>
          <w:rFonts w:ascii="宋体" w:hAnsi="宋体" w:cs="宋体"/>
          <w:b/>
          <w:bCs/>
          <w:sz w:val="44"/>
          <w:szCs w:val="44"/>
        </w:rPr>
      </w:pPr>
      <w:r>
        <w:rPr>
          <w:rFonts w:hint="eastAsia" w:ascii="宋体" w:hAnsi="宋体" w:cs="宋体"/>
          <w:b/>
          <w:bCs/>
          <w:sz w:val="44"/>
          <w:szCs w:val="44"/>
        </w:rPr>
        <w:t>202</w:t>
      </w:r>
      <w:r>
        <w:rPr>
          <w:rFonts w:hint="eastAsia" w:ascii="宋体" w:hAnsi="宋体" w:cs="宋体"/>
          <w:b/>
          <w:bCs/>
          <w:sz w:val="44"/>
          <w:szCs w:val="44"/>
          <w:lang w:val="en-US" w:eastAsia="zh-CN"/>
        </w:rPr>
        <w:t>5</w:t>
      </w:r>
      <w:r>
        <w:rPr>
          <w:rFonts w:hint="eastAsia" w:ascii="宋体" w:hAnsi="宋体" w:cs="宋体"/>
          <w:b/>
          <w:bCs/>
          <w:sz w:val="44"/>
          <w:szCs w:val="44"/>
        </w:rPr>
        <w:t>年度整体支出绩效自评报告</w:t>
      </w:r>
    </w:p>
    <w:p w14:paraId="0607015F">
      <w:pPr>
        <w:keepNext w:val="0"/>
        <w:keepLines w:val="0"/>
        <w:pageBreakBefore w:val="0"/>
        <w:widowControl w:val="0"/>
        <w:kinsoku/>
        <w:wordWrap/>
        <w:overflowPunct/>
        <w:topLinePunct w:val="0"/>
        <w:autoSpaceDE/>
        <w:autoSpaceDN/>
        <w:bidi w:val="0"/>
        <w:spacing w:line="600" w:lineRule="exact"/>
        <w:jc w:val="both"/>
        <w:textAlignment w:val="auto"/>
        <w:rPr>
          <w:rFonts w:ascii="华文楷体" w:eastAsia="华文楷体"/>
          <w:sz w:val="32"/>
          <w:szCs w:val="32"/>
        </w:rPr>
      </w:pPr>
    </w:p>
    <w:p w14:paraId="35FA2BB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ascii="仿宋" w:hAnsi="仿宋" w:eastAsia="仿宋"/>
          <w:sz w:val="32"/>
          <w:szCs w:val="32"/>
        </w:rPr>
      </w:pPr>
      <w:r>
        <w:rPr>
          <w:rFonts w:hint="eastAsia" w:ascii="仿宋" w:hAnsi="仿宋" w:eastAsia="仿宋"/>
          <w:sz w:val="32"/>
          <w:szCs w:val="32"/>
          <w:lang w:val="en-US" w:eastAsia="zh-CN"/>
        </w:rPr>
        <w:t>根据</w:t>
      </w:r>
      <w:r>
        <w:rPr>
          <w:rFonts w:ascii="仿宋" w:hAnsi="仿宋" w:eastAsia="仿宋"/>
          <w:sz w:val="32"/>
          <w:szCs w:val="32"/>
        </w:rPr>
        <w:t>区委区政府</w:t>
      </w:r>
      <w:r>
        <w:rPr>
          <w:rFonts w:hint="eastAsia" w:ascii="仿宋" w:hAnsi="仿宋" w:eastAsia="仿宋"/>
          <w:sz w:val="32"/>
          <w:szCs w:val="32"/>
        </w:rPr>
        <w:t>《关于全面落实预算绩效管理的实施意见》（</w:t>
      </w:r>
      <w:r>
        <w:rPr>
          <w:rFonts w:ascii="仿宋" w:hAnsi="仿宋" w:eastAsia="仿宋"/>
          <w:sz w:val="32"/>
          <w:szCs w:val="32"/>
        </w:rPr>
        <w:t>矿</w:t>
      </w:r>
      <w:r>
        <w:rPr>
          <w:rFonts w:hint="eastAsia" w:ascii="仿宋" w:hAnsi="仿宋" w:eastAsia="仿宋"/>
          <w:sz w:val="32"/>
          <w:szCs w:val="32"/>
        </w:rPr>
        <w:t>发﹝2019﹞</w:t>
      </w:r>
      <w:r>
        <w:rPr>
          <w:rFonts w:ascii="仿宋" w:hAnsi="仿宋" w:eastAsia="仿宋"/>
          <w:sz w:val="32"/>
          <w:szCs w:val="32"/>
        </w:rPr>
        <w:t>7</w:t>
      </w:r>
      <w:r>
        <w:rPr>
          <w:rFonts w:hint="eastAsia" w:ascii="仿宋" w:hAnsi="仿宋" w:eastAsia="仿宋"/>
          <w:sz w:val="32"/>
          <w:szCs w:val="32"/>
        </w:rPr>
        <w:t>号）文件精神，遵循“科学性、规范性、客观性和公正性”的原则，对</w:t>
      </w:r>
      <w:r>
        <w:rPr>
          <w:rFonts w:hint="eastAsia" w:ascii="仿宋" w:hAnsi="仿宋" w:eastAsia="仿宋"/>
          <w:sz w:val="32"/>
          <w:szCs w:val="32"/>
          <w:lang w:eastAsia="zh-CN"/>
        </w:rPr>
        <w:t>区委组织部部门</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年整体支出情况实施了财政支出绩效自评价，形成本评价报告。</w:t>
      </w:r>
    </w:p>
    <w:p w14:paraId="2EE1B108">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6B9A8AA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ascii="楷体" w:hAnsi="楷体" w:eastAsia="楷体" w:cs="楷体_GB2312"/>
          <w:bCs/>
          <w:sz w:val="32"/>
          <w:szCs w:val="32"/>
        </w:rPr>
      </w:pPr>
      <w:r>
        <w:rPr>
          <w:rFonts w:hint="eastAsia" w:ascii="楷体" w:hAnsi="楷体" w:eastAsia="楷体" w:cs="楷体_GB2312"/>
          <w:bCs/>
          <w:sz w:val="32"/>
          <w:szCs w:val="32"/>
        </w:rPr>
        <w:t>（一）部门概况</w:t>
      </w:r>
    </w:p>
    <w:p w14:paraId="241C5B0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val="en-US" w:eastAsia="zh-CN" w:bidi="ar-SA"/>
        </w:rPr>
        <w:t>1.承担区委党的建设（基层组织建设）和干部</w:t>
      </w:r>
      <w:bookmarkStart w:id="0" w:name="_GoBack"/>
      <w:bookmarkEnd w:id="0"/>
      <w:r>
        <w:rPr>
          <w:rFonts w:hint="eastAsia" w:ascii="仿宋_GB2312" w:eastAsia="仿宋_GB2312" w:cs="DengXian-Regular"/>
          <w:sz w:val="32"/>
          <w:szCs w:val="32"/>
          <w:highlight w:val="none"/>
          <w:lang w:val="en-US" w:eastAsia="zh-CN" w:bidi="ar-SA"/>
        </w:rPr>
        <w:t>考核工作领导小组办公室工作职责。围绕党的重大理论和实践问题调查研究，提出加强全区党的建设的建议；负责党的建设制度改革的宏观指导，研究党的组织工作、干部工作、人才工作的贯彻落实，制定或参与制定全区性重要政策和制度。</w:t>
      </w:r>
    </w:p>
    <w:p w14:paraId="02DD886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val="en-US" w:eastAsia="zh-CN" w:bidi="ar-SA"/>
        </w:rPr>
        <w:t>2.负责党员队伍建设、组织员队伍建设以及党员发展、教育、管理工作，负责党的组织制度、党内生活制度建设；组织协调全区党代表大会、人民代表大会的选举工作，负责全区党代表大会代表的日常管理和服务工作；负责党组织建设特别是党的基层组织建设的调查研究，负责谋划指导和组织推动全区抓党建促转型工作。</w:t>
      </w:r>
    </w:p>
    <w:p w14:paraId="2BD69D7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val="en-US" w:eastAsia="zh-CN" w:bidi="ar-SA"/>
        </w:rPr>
        <w:t>3.负责各级领导班子和干部队伍建设的宏观管理。研究提出领导班子和领导干部队伍建设规划以及干部管理体制的建议，指导领导班子思想作风建设；负责提出各乡镇（街道）和区直各部门以及其他列入区委管理的领导班子调整、配备的建议；负责区委管理干部的考察、综合分析研判，办理职务任免、工资、待遇、退休审批手续；综合管理优秀年轻干部队伍，统筹选育管用工作，组织协调女干部、少数民族干部和党外干部培养选拔工作；负责对口支援西藏、新疆干部人才的选派管理及有关工作；负责团职以下符合任职条件的军队转业干部安置工作；负责全区干部档案工作的宏观指导和区管干部档案管理；负责省派选调生的培养、使用和管理；承办有关干部的调配、交流安置事宜。</w:t>
      </w:r>
    </w:p>
    <w:p w14:paraId="39FE0D9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val="en-US" w:eastAsia="zh-CN" w:bidi="ar-SA"/>
        </w:rPr>
        <w:t>4.负责全区干部教育、培训工作；拟订干部教育培训工作规划，组织实施区委管理干部和一定层次其他干部的培训；负责组织系统干部监督工作，组织开展选人用人和执行干部监督制度规定情况的监督检查，处理反映选人用人问题及领导干部相关问题的举报；负责全区干部考核工作，组织实施对区委管理领导班子和领导干部的考核工作，负责全区机关目标绩效管理，组织实施区级机关职能绩效目标考核。</w:t>
      </w:r>
    </w:p>
    <w:p w14:paraId="05D4342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val="en-US" w:eastAsia="zh-CN" w:bidi="ar-SA"/>
        </w:rPr>
        <w:t>5.负责公务员、参照公务员法管理事业单位工作人员录用调配、考核奖惩、培训和工资福利等工作；研究拟订公务员管理办法并组织实施；指导全区公务员、参照公务员法管理事业单位工作人员队伍建设。</w:t>
      </w:r>
    </w:p>
    <w:p w14:paraId="5D9076C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val="en-US" w:eastAsia="zh-CN" w:bidi="ar-SA"/>
        </w:rPr>
        <w:t>6.负责全区人才工作和人才队伍建设的牵头抓总、统筹协调、推进落实；负责做好省管优秀专家、市管拔尖人才等重点人才推荐申报、联系服务工作；负责区管拔尖人才的选拔管理；承担区委人才工作领导小组办公室日常工作。</w:t>
      </w:r>
    </w:p>
    <w:p w14:paraId="6A8EADC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val="en-US" w:eastAsia="zh-CN" w:bidi="ar-SA"/>
        </w:rPr>
        <w:t>7.负责组织系统新闻宣传、信息化建设和党史工作、组织史征编工作。</w:t>
      </w:r>
    </w:p>
    <w:p w14:paraId="71F9E8A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val="en-US" w:eastAsia="zh-CN" w:bidi="ar-SA"/>
        </w:rPr>
        <w:t>8.负责全区组织工作的检查督促，及时向区委反映重要情况并提出建议。</w:t>
      </w:r>
    </w:p>
    <w:p w14:paraId="5DE2FA4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val="en-US" w:eastAsia="zh-CN" w:bidi="ar-SA"/>
        </w:rPr>
        <w:t>9.统一管理区委机构编制委员会办公室，归口管理区委老干部局。</w:t>
      </w:r>
    </w:p>
    <w:p w14:paraId="542969D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val="en-US" w:eastAsia="zh-CN" w:bidi="ar-SA"/>
        </w:rPr>
        <w:t>10.完成区委交办的其他任务。</w:t>
      </w:r>
    </w:p>
    <w:p w14:paraId="7BD7F88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val="en-US" w:eastAsia="zh-CN" w:bidi="ar-SA"/>
        </w:rPr>
        <w:t>截至2025年12月31日，我部本级年末实有人数26人，较上年度增长1人。</w:t>
      </w:r>
    </w:p>
    <w:p w14:paraId="172D11A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val="en-US" w:eastAsia="zh-CN" w:bidi="ar-SA"/>
        </w:rPr>
        <w:t>我部资产总额</w:t>
      </w:r>
      <w:r>
        <w:rPr>
          <w:rFonts w:hint="eastAsia" w:ascii="仿宋_GB2312" w:eastAsia="仿宋_GB2312" w:cs="DengXian-Regular"/>
          <w:sz w:val="32"/>
          <w:szCs w:val="32"/>
        </w:rPr>
        <w:t>151.85</w:t>
      </w:r>
      <w:r>
        <w:rPr>
          <w:rFonts w:hint="eastAsia" w:ascii="仿宋_GB2312" w:eastAsia="仿宋_GB2312" w:cs="DengXian-Regular"/>
          <w:sz w:val="32"/>
          <w:szCs w:val="32"/>
          <w:highlight w:val="none"/>
          <w:lang w:val="en-US" w:eastAsia="zh-CN" w:bidi="ar-SA"/>
        </w:rPr>
        <w:t>万元，较上年增加</w:t>
      </w:r>
      <w:r>
        <w:rPr>
          <w:rFonts w:hint="eastAsia" w:ascii="仿宋_GB2312" w:eastAsia="仿宋_GB2312" w:cs="DengXian-Regular"/>
          <w:sz w:val="32"/>
          <w:szCs w:val="32"/>
        </w:rPr>
        <w:t>69</w:t>
      </w:r>
      <w:r>
        <w:rPr>
          <w:rFonts w:hint="eastAsia" w:ascii="仿宋_GB2312" w:eastAsia="仿宋_GB2312" w:cs="DengXian-Regular"/>
          <w:sz w:val="32"/>
          <w:szCs w:val="32"/>
          <w:highlight w:val="none"/>
          <w:lang w:val="en-US" w:eastAsia="zh-CN" w:bidi="ar-SA"/>
        </w:rPr>
        <w:t>.15%。负债总额0.00万元,较上年减少0%。净资产151.85万元 ,较上年增加</w:t>
      </w:r>
      <w:r>
        <w:rPr>
          <w:rFonts w:hint="eastAsia" w:ascii="仿宋_GB2312" w:eastAsia="仿宋_GB2312" w:cs="DengXian-Regular"/>
          <w:sz w:val="32"/>
          <w:szCs w:val="32"/>
        </w:rPr>
        <w:t>69</w:t>
      </w:r>
      <w:r>
        <w:rPr>
          <w:rFonts w:hint="eastAsia" w:ascii="仿宋_GB2312" w:eastAsia="仿宋_GB2312" w:cs="DengXian-Regular"/>
          <w:sz w:val="32"/>
          <w:szCs w:val="32"/>
          <w:highlight w:val="none"/>
          <w:lang w:val="en-US" w:eastAsia="zh-CN" w:bidi="ar-SA"/>
        </w:rPr>
        <w:t>.15%。</w:t>
      </w:r>
    </w:p>
    <w:p w14:paraId="70F5833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jc w:val="both"/>
        <w:textAlignment w:val="auto"/>
        <w:rPr>
          <w:rFonts w:hint="eastAsia" w:ascii="楷体" w:hAnsi="楷体" w:eastAsia="楷体" w:cs="楷体_GB2312"/>
          <w:bCs/>
          <w:sz w:val="32"/>
          <w:szCs w:val="32"/>
        </w:rPr>
      </w:pPr>
      <w:r>
        <w:rPr>
          <w:rFonts w:hint="eastAsia" w:ascii="楷体" w:hAnsi="楷体" w:eastAsia="楷体" w:cs="楷体_GB2312"/>
          <w:bCs/>
          <w:sz w:val="32"/>
          <w:szCs w:val="32"/>
          <w:lang w:eastAsia="zh-CN"/>
        </w:rPr>
        <w:t>（二）</w:t>
      </w:r>
      <w:r>
        <w:rPr>
          <w:rFonts w:hint="eastAsia" w:ascii="楷体" w:hAnsi="楷体" w:eastAsia="楷体" w:cs="楷体_GB2312"/>
          <w:bCs/>
          <w:sz w:val="32"/>
          <w:szCs w:val="32"/>
        </w:rPr>
        <w:t>部门收支预决算情况</w:t>
      </w:r>
    </w:p>
    <w:p w14:paraId="4EA370C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val="en-US" w:eastAsia="zh-CN" w:bidi="ar-SA"/>
        </w:rPr>
        <w:t>2025年</w:t>
      </w:r>
      <w:r>
        <w:rPr>
          <w:rFonts w:hint="eastAsia" w:ascii="仿宋_GB2312" w:eastAsia="仿宋_GB2312" w:cs="DengXian-Regular"/>
          <w:sz w:val="32"/>
          <w:szCs w:val="32"/>
          <w:highlight w:val="none"/>
          <w:lang w:bidi="ar-SA"/>
        </w:rPr>
        <w:t>一般公共预算财政拨款</w:t>
      </w:r>
      <w:r>
        <w:rPr>
          <w:rFonts w:hint="eastAsia" w:ascii="仿宋_GB2312" w:eastAsia="仿宋_GB2312" w:cs="DengXian-Regular"/>
          <w:sz w:val="32"/>
          <w:szCs w:val="32"/>
          <w:highlight w:val="none"/>
          <w:lang w:val="en-US" w:eastAsia="zh-CN" w:bidi="ar-SA"/>
        </w:rPr>
        <w:t>收入</w:t>
      </w:r>
      <w:r>
        <w:rPr>
          <w:rFonts w:hint="eastAsia" w:ascii="仿宋_GB2312" w:eastAsia="仿宋_GB2312" w:cs="DengXian-Regular"/>
          <w:sz w:val="32"/>
          <w:szCs w:val="32"/>
        </w:rPr>
        <w:t>797.26</w:t>
      </w:r>
      <w:r>
        <w:rPr>
          <w:rFonts w:hint="eastAsia" w:ascii="仿宋_GB2312" w:eastAsia="仿宋_GB2312" w:cs="DengXian-Regular"/>
          <w:sz w:val="32"/>
          <w:szCs w:val="32"/>
          <w:highlight w:val="none"/>
          <w:lang w:val="en-US" w:eastAsia="zh-CN" w:bidi="ar-SA"/>
        </w:rPr>
        <w:t>万元，支出</w:t>
      </w:r>
      <w:r>
        <w:rPr>
          <w:rFonts w:hint="eastAsia" w:ascii="仿宋_GB2312" w:eastAsia="仿宋_GB2312" w:cs="DengXian-Regular"/>
          <w:sz w:val="32"/>
          <w:szCs w:val="32"/>
        </w:rPr>
        <w:t>797.26万元</w:t>
      </w:r>
      <w:r>
        <w:rPr>
          <w:rFonts w:hint="eastAsia" w:ascii="仿宋_GB2312" w:eastAsia="仿宋_GB2312" w:cs="DengXian-Regular"/>
          <w:sz w:val="32"/>
          <w:szCs w:val="32"/>
          <w:highlight w:val="none"/>
          <w:lang w:val="en-US" w:eastAsia="zh-CN" w:bidi="ar-SA"/>
        </w:rPr>
        <w:t>。</w:t>
      </w:r>
    </w:p>
    <w:p w14:paraId="5D9634C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38A11330">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仿宋_GB2312" w:eastAsia="仿宋_GB2312" w:cs="DengXian-Regular"/>
          <w:sz w:val="32"/>
          <w:szCs w:val="32"/>
        </w:rPr>
      </w:pPr>
      <w:r>
        <w:rPr>
          <w:rFonts w:hint="eastAsia" w:ascii="仿宋_GB2312" w:eastAsia="仿宋_GB2312" w:cs="DengXian-Regular"/>
          <w:sz w:val="32"/>
          <w:szCs w:val="32"/>
        </w:rPr>
        <w:t>2025年决算情况财政拨款收入797.26万元，其中基本支出383.32</w:t>
      </w:r>
      <w:r>
        <w:rPr>
          <w:rFonts w:hint="eastAsia" w:ascii="仿宋_GB2312" w:eastAsia="仿宋_GB2312" w:cs="DengXian-Regular"/>
          <w:sz w:val="32"/>
          <w:szCs w:val="32"/>
        </w:rPr>
        <w:t>万元，占48.08%，其中人员经费支出</w:t>
      </w:r>
      <w:r>
        <w:rPr>
          <w:rFonts w:hint="eastAsia" w:ascii="仿宋_GB2312" w:eastAsia="仿宋_GB2312" w:cs="DengXian-Regular"/>
          <w:sz w:val="32"/>
          <w:szCs w:val="32"/>
          <w:lang w:val="en-US" w:eastAsia="zh-CN"/>
        </w:rPr>
        <w:t>367.06</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46.04</w:t>
      </w:r>
      <w:r>
        <w:rPr>
          <w:rFonts w:hint="eastAsia" w:ascii="仿宋_GB2312" w:eastAsia="仿宋_GB2312" w:cs="DengXian-Regular"/>
          <w:sz w:val="32"/>
          <w:szCs w:val="32"/>
        </w:rPr>
        <w:t>%，</w:t>
      </w:r>
      <w:r>
        <w:rPr>
          <w:rFonts w:hint="eastAsia" w:ascii="仿宋_GB2312" w:eastAsia="仿宋_GB2312" w:cs="DengXian-Regular"/>
          <w:sz w:val="32"/>
          <w:szCs w:val="32"/>
        </w:rPr>
        <w:t>日常公用经费16.26万元，占2.04</w:t>
      </w:r>
      <w:r>
        <w:rPr>
          <w:rFonts w:hint="eastAsia" w:ascii="仿宋_GB2312" w:eastAsia="仿宋_GB2312" w:cs="DengXian-Regular"/>
          <w:sz w:val="32"/>
          <w:szCs w:val="32"/>
        </w:rPr>
        <w:t>%；项目支出41</w:t>
      </w:r>
      <w:r>
        <w:rPr>
          <w:rFonts w:hint="eastAsia" w:ascii="仿宋_GB2312" w:eastAsia="仿宋_GB2312" w:cs="DengXian-Regular"/>
          <w:sz w:val="32"/>
          <w:szCs w:val="32"/>
          <w:lang w:val="en-US" w:eastAsia="zh-CN"/>
        </w:rPr>
        <w:t>3.94</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51.92</w:t>
      </w:r>
      <w:r>
        <w:rPr>
          <w:rFonts w:hint="eastAsia" w:ascii="仿宋_GB2312" w:eastAsia="仿宋_GB2312" w:cs="DengXian-Regular"/>
          <w:sz w:val="32"/>
          <w:szCs w:val="32"/>
        </w:rPr>
        <w:t>%</w:t>
      </w:r>
      <w:r>
        <w:rPr>
          <w:rFonts w:hint="eastAsia" w:ascii="仿宋_GB2312" w:eastAsia="仿宋_GB2312" w:cs="DengXian-Regular"/>
          <w:sz w:val="32"/>
          <w:szCs w:val="32"/>
          <w:lang w:eastAsia="zh-CN"/>
        </w:rPr>
        <w:t>。</w:t>
      </w:r>
      <w:r>
        <w:rPr>
          <w:rFonts w:hint="eastAsia" w:ascii="仿宋_GB2312" w:eastAsia="仿宋_GB2312" w:cs="DengXian-Regular"/>
          <w:sz w:val="32"/>
          <w:szCs w:val="32"/>
        </w:rPr>
        <w:t>2025年年底决算情况财政拨款支出797.26万元，其中基本支出383.32万</w:t>
      </w:r>
      <w:r>
        <w:rPr>
          <w:rFonts w:hint="eastAsia" w:ascii="仿宋_GB2312" w:eastAsia="仿宋_GB2312" w:cs="DengXian-Regular"/>
          <w:sz w:val="32"/>
          <w:szCs w:val="32"/>
        </w:rPr>
        <w:t>元，占48.08%，其中人员经费支出</w:t>
      </w:r>
      <w:r>
        <w:rPr>
          <w:rFonts w:hint="eastAsia" w:ascii="仿宋_GB2312" w:eastAsia="仿宋_GB2312" w:cs="DengXian-Regular"/>
          <w:sz w:val="32"/>
          <w:szCs w:val="32"/>
          <w:lang w:val="en-US" w:eastAsia="zh-CN"/>
        </w:rPr>
        <w:t>367.06</w:t>
      </w:r>
      <w:r>
        <w:rPr>
          <w:rFonts w:hint="eastAsia" w:ascii="仿宋_GB2312" w:eastAsia="仿宋_GB2312" w:cs="DengXian-Regular"/>
          <w:sz w:val="32"/>
          <w:szCs w:val="32"/>
        </w:rPr>
        <w:t>万元，占44.38</w:t>
      </w:r>
      <w:r>
        <w:rPr>
          <w:rFonts w:hint="eastAsia" w:ascii="仿宋_GB2312" w:eastAsia="仿宋_GB2312" w:cs="DengXian-Regular"/>
          <w:sz w:val="32"/>
          <w:szCs w:val="32"/>
        </w:rPr>
        <w:t>%，日常公用经费16.26万元，占2.04</w:t>
      </w:r>
      <w:r>
        <w:rPr>
          <w:rFonts w:hint="eastAsia" w:ascii="仿宋_GB2312" w:eastAsia="仿宋_GB2312" w:cs="DengXian-Regular"/>
          <w:sz w:val="32"/>
          <w:szCs w:val="32"/>
        </w:rPr>
        <w:t>%；项目支出41</w:t>
      </w:r>
      <w:r>
        <w:rPr>
          <w:rFonts w:hint="eastAsia" w:ascii="仿宋_GB2312" w:eastAsia="仿宋_GB2312" w:cs="DengXian-Regular"/>
          <w:sz w:val="32"/>
          <w:szCs w:val="32"/>
          <w:lang w:val="en-US" w:eastAsia="zh-CN"/>
        </w:rPr>
        <w:t>3.94</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51.92</w:t>
      </w:r>
      <w:r>
        <w:rPr>
          <w:rFonts w:hint="eastAsia" w:ascii="仿宋_GB2312" w:eastAsia="仿宋_GB2312" w:cs="DengXian-Regular"/>
          <w:sz w:val="32"/>
          <w:szCs w:val="32"/>
        </w:rPr>
        <w:t>%。</w:t>
      </w:r>
    </w:p>
    <w:p w14:paraId="61E13E9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黑体" w:hAnsi="黑体" w:eastAsia="黑体" w:cs="黑体"/>
          <w:sz w:val="32"/>
          <w:szCs w:val="32"/>
          <w:highlight w:val="none"/>
          <w:lang w:bidi="ar-SA"/>
        </w:rPr>
      </w:pPr>
      <w:r>
        <w:rPr>
          <w:rFonts w:hint="eastAsia" w:ascii="黑体" w:hAnsi="黑体" w:eastAsia="黑体" w:cs="黑体"/>
          <w:sz w:val="32"/>
          <w:szCs w:val="32"/>
          <w:highlight w:val="none"/>
          <w:lang w:bidi="ar-SA"/>
        </w:rPr>
        <w:t>二、自评工作开展情况</w:t>
      </w:r>
    </w:p>
    <w:p w14:paraId="114448F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楷体" w:hAnsi="楷体" w:eastAsia="楷体" w:cs="楷体_GB2312"/>
          <w:bCs/>
          <w:sz w:val="32"/>
          <w:szCs w:val="32"/>
        </w:rPr>
      </w:pPr>
      <w:r>
        <w:rPr>
          <w:rFonts w:hint="eastAsia" w:ascii="楷体" w:hAnsi="楷体" w:eastAsia="楷体" w:cs="楷体_GB2312"/>
          <w:bCs/>
          <w:sz w:val="32"/>
          <w:szCs w:val="32"/>
        </w:rPr>
        <w:t>（一）自评组织工作开展情况</w:t>
      </w:r>
    </w:p>
    <w:p w14:paraId="2D7D2DB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bidi="ar-SA"/>
        </w:rPr>
        <w:t>我部高度重视年度整体支出绩效自评工作</w:t>
      </w:r>
      <w:r>
        <w:rPr>
          <w:rFonts w:hint="eastAsia" w:ascii="仿宋_GB2312" w:eastAsia="仿宋_GB2312" w:cs="DengXian-Regular"/>
          <w:sz w:val="32"/>
          <w:szCs w:val="32"/>
          <w:highlight w:val="none"/>
          <w:lang w:eastAsia="zh-CN" w:bidi="ar-SA"/>
        </w:rPr>
        <w:t>。</w:t>
      </w:r>
      <w:r>
        <w:rPr>
          <w:rFonts w:hint="eastAsia" w:ascii="仿宋_GB2312" w:eastAsia="仿宋_GB2312" w:cs="DengXian-Regular"/>
          <w:sz w:val="32"/>
          <w:szCs w:val="32"/>
          <w:highlight w:val="none"/>
          <w:lang w:bidi="ar-SA"/>
        </w:rPr>
        <w:t>成立由单位</w:t>
      </w:r>
      <w:r>
        <w:rPr>
          <w:rFonts w:hint="eastAsia" w:ascii="仿宋_GB2312" w:eastAsia="仿宋_GB2312" w:cs="DengXian-Regular"/>
          <w:sz w:val="32"/>
          <w:szCs w:val="32"/>
          <w:highlight w:val="none"/>
          <w:lang w:val="en-US" w:eastAsia="zh-CN" w:bidi="ar-SA"/>
        </w:rPr>
        <w:t>主持工作的</w:t>
      </w:r>
      <w:r>
        <w:rPr>
          <w:rFonts w:hint="eastAsia" w:ascii="仿宋_GB2312" w:eastAsia="仿宋_GB2312" w:cs="DengXian-Regular"/>
          <w:sz w:val="32"/>
          <w:szCs w:val="32"/>
          <w:highlight w:val="none"/>
          <w:lang w:bidi="ar-SA"/>
        </w:rPr>
        <w:t>高照同志任组长、各</w:t>
      </w:r>
      <w:r>
        <w:rPr>
          <w:rFonts w:hint="eastAsia" w:ascii="仿宋_GB2312" w:eastAsia="仿宋_GB2312" w:cs="DengXian-Regular"/>
          <w:sz w:val="32"/>
          <w:szCs w:val="32"/>
          <w:highlight w:val="none"/>
          <w:lang w:val="en-US" w:eastAsia="zh-CN" w:bidi="ar-SA"/>
        </w:rPr>
        <w:t>部务会</w:t>
      </w:r>
      <w:r>
        <w:rPr>
          <w:rFonts w:hint="eastAsia" w:ascii="仿宋_GB2312" w:eastAsia="仿宋_GB2312" w:cs="DengXian-Regular"/>
          <w:sz w:val="32"/>
          <w:szCs w:val="32"/>
          <w:highlight w:val="none"/>
          <w:lang w:bidi="ar-SA"/>
        </w:rPr>
        <w:t>成员</w:t>
      </w:r>
      <w:r>
        <w:rPr>
          <w:rFonts w:hint="eastAsia" w:ascii="仿宋_GB2312" w:eastAsia="仿宋_GB2312" w:cs="DengXian-Regular"/>
          <w:sz w:val="32"/>
          <w:szCs w:val="32"/>
          <w:highlight w:val="none"/>
          <w:lang w:val="en-US" w:eastAsia="zh-CN" w:bidi="ar-SA"/>
        </w:rPr>
        <w:t>及办公室负责人为成员</w:t>
      </w:r>
      <w:r>
        <w:rPr>
          <w:rFonts w:hint="eastAsia" w:ascii="仿宋_GB2312" w:eastAsia="仿宋_GB2312" w:cs="DengXian-Regular"/>
          <w:sz w:val="32"/>
          <w:szCs w:val="32"/>
          <w:highlight w:val="none"/>
          <w:lang w:bidi="ar-SA"/>
        </w:rPr>
        <w:t>的绩效自评工作小组。严格对照财政部门绩效评价工作通知要求，明确自评内容、工作流程、评分标准及时间节点，层层压实工作责任。本次自评以202</w:t>
      </w:r>
      <w:r>
        <w:rPr>
          <w:rFonts w:hint="eastAsia" w:ascii="仿宋_GB2312" w:eastAsia="仿宋_GB2312" w:cs="DengXian-Regular"/>
          <w:sz w:val="32"/>
          <w:szCs w:val="32"/>
          <w:highlight w:val="none"/>
          <w:lang w:val="en-US" w:eastAsia="zh-CN" w:bidi="ar-SA"/>
        </w:rPr>
        <w:t>5</w:t>
      </w:r>
      <w:r>
        <w:rPr>
          <w:rFonts w:hint="eastAsia" w:ascii="仿宋_GB2312" w:eastAsia="仿宋_GB2312" w:cs="DengXian-Regular"/>
          <w:sz w:val="32"/>
          <w:szCs w:val="32"/>
          <w:highlight w:val="none"/>
          <w:lang w:bidi="ar-SA"/>
        </w:rPr>
        <w:t>年度年初批复预算及既定绩效目标、绩效指标为依据，通过账务核查、资料审核、指标比对、逐项核验、综合研判等方式，全面梳理年度工作完成情况，系统分析项目实施成效，规范完成全部项目自评及《部门专项项目绩效自评表》填报工作，确保自评结果客观、真实、准确</w:t>
      </w:r>
      <w:r>
        <w:rPr>
          <w:rFonts w:hint="eastAsia" w:ascii="仿宋_GB2312" w:eastAsia="仿宋_GB2312" w:cs="DengXian-Regular"/>
          <w:sz w:val="32"/>
          <w:szCs w:val="32"/>
          <w:highlight w:val="none"/>
          <w:lang w:eastAsia="zh-CN" w:bidi="ar-SA"/>
        </w:rPr>
        <w:t>。</w:t>
      </w:r>
    </w:p>
    <w:p w14:paraId="18F65CA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楷体" w:hAnsi="楷体" w:eastAsia="楷体" w:cs="楷体_GB2312"/>
          <w:bCs/>
          <w:sz w:val="32"/>
          <w:szCs w:val="32"/>
        </w:rPr>
      </w:pPr>
      <w:r>
        <w:rPr>
          <w:rFonts w:hint="eastAsia" w:ascii="楷体" w:hAnsi="楷体" w:eastAsia="楷体" w:cs="楷体_GB2312"/>
          <w:bCs/>
          <w:sz w:val="32"/>
          <w:szCs w:val="32"/>
        </w:rPr>
        <w:t>（二）自评方法与实施过程</w:t>
      </w:r>
    </w:p>
    <w:p w14:paraId="1D38B3C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bidi="ar-SA"/>
        </w:rPr>
        <w:t>本次整体绩效自评坚持实事求是、全面覆盖、客观公正的原则，围绕全年</w:t>
      </w:r>
      <w:r>
        <w:rPr>
          <w:rFonts w:hint="eastAsia" w:ascii="仿宋_GB2312" w:eastAsia="仿宋_GB2312" w:cs="DengXian-Regular"/>
          <w:sz w:val="32"/>
          <w:szCs w:val="32"/>
          <w:highlight w:val="none"/>
          <w:lang w:val="en-US" w:eastAsia="zh-CN" w:bidi="ar-SA"/>
        </w:rPr>
        <w:t>8</w:t>
      </w:r>
      <w:r>
        <w:rPr>
          <w:rFonts w:hint="eastAsia" w:ascii="仿宋_GB2312" w:eastAsia="仿宋_GB2312" w:cs="DengXian-Regular"/>
          <w:sz w:val="32"/>
          <w:szCs w:val="32"/>
          <w:highlight w:val="none"/>
          <w:lang w:bidi="ar-SA"/>
        </w:rPr>
        <w:t>个预算项目开展全覆盖评价。严格依据年初预算绩效目标，逐项核对项目实施进度、资金拨付使用、台账资料归档及绩效指标完成情况，全面总结项目实施成效、查找薄弱环节，高质量完成《区级部门预算项目绩效自评表》填报及整体绩效自评工作。</w:t>
      </w:r>
    </w:p>
    <w:p w14:paraId="1355915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黑体" w:hAnsi="黑体" w:eastAsia="黑体" w:cs="黑体"/>
          <w:sz w:val="32"/>
          <w:szCs w:val="32"/>
          <w:highlight w:val="none"/>
          <w:lang w:bidi="ar-SA"/>
        </w:rPr>
      </w:pPr>
      <w:r>
        <w:rPr>
          <w:rFonts w:hint="eastAsia" w:ascii="黑体" w:hAnsi="黑体" w:eastAsia="黑体" w:cs="黑体"/>
          <w:sz w:val="32"/>
          <w:szCs w:val="32"/>
          <w:highlight w:val="none"/>
          <w:lang w:bidi="ar-SA"/>
        </w:rPr>
        <w:t>三、部门整体支出绩效目标实现情况及指标分析</w:t>
      </w:r>
    </w:p>
    <w:p w14:paraId="24DFC98B">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eastAsia" w:ascii="楷体" w:hAnsi="楷体" w:eastAsia="楷体" w:cs="楷体_GB2312"/>
          <w:bCs/>
          <w:sz w:val="32"/>
          <w:szCs w:val="32"/>
        </w:rPr>
      </w:pPr>
      <w:r>
        <w:rPr>
          <w:rFonts w:hint="eastAsia" w:ascii="楷体" w:hAnsi="楷体" w:eastAsia="楷体" w:cs="楷体_GB2312"/>
          <w:bCs/>
          <w:sz w:val="32"/>
          <w:szCs w:val="32"/>
        </w:rPr>
        <w:t>（一）总体绩效目标实现情况</w:t>
      </w:r>
    </w:p>
    <w:p w14:paraId="185E4BC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bidi="ar-SA"/>
        </w:rPr>
        <w:t>202</w:t>
      </w:r>
      <w:r>
        <w:rPr>
          <w:rFonts w:hint="eastAsia" w:ascii="仿宋_GB2312" w:eastAsia="仿宋_GB2312" w:cs="DengXian-Regular"/>
          <w:sz w:val="32"/>
          <w:szCs w:val="32"/>
          <w:highlight w:val="none"/>
          <w:lang w:val="en-US" w:eastAsia="zh-CN" w:bidi="ar-SA"/>
        </w:rPr>
        <w:t>5</w:t>
      </w:r>
      <w:r>
        <w:rPr>
          <w:rFonts w:hint="eastAsia" w:ascii="仿宋_GB2312" w:eastAsia="仿宋_GB2312" w:cs="DengXian-Regular"/>
          <w:sz w:val="32"/>
          <w:szCs w:val="32"/>
          <w:highlight w:val="none"/>
          <w:lang w:bidi="ar-SA"/>
        </w:rPr>
        <w:t>年度我部共</w:t>
      </w:r>
      <w:r>
        <w:rPr>
          <w:rFonts w:hint="eastAsia" w:ascii="仿宋_GB2312" w:eastAsia="仿宋_GB2312" w:cs="DengXian-Regular"/>
          <w:sz w:val="32"/>
          <w:szCs w:val="32"/>
          <w:highlight w:val="none"/>
          <w:lang w:val="en-US" w:eastAsia="zh-CN" w:bidi="ar-SA"/>
        </w:rPr>
        <w:t>涉及8个财政</w:t>
      </w:r>
      <w:r>
        <w:rPr>
          <w:rFonts w:hint="eastAsia" w:ascii="仿宋_GB2312" w:eastAsia="仿宋_GB2312" w:cs="DengXian-Regular"/>
          <w:sz w:val="32"/>
          <w:szCs w:val="32"/>
          <w:highlight w:val="none"/>
          <w:lang w:bidi="ar-SA"/>
        </w:rPr>
        <w:t>预算项目，涵盖党建、干部、人才、考核保障等重点领域。全年预算资金使用规范、执行进度良好，各项重点工作稳步落地、有序推进。部门整体履职到位、工作成效扎实，全面完成年度既定工作任务，总体绩效目标全部实现，财政资金保障效能充分发挥。</w:t>
      </w:r>
    </w:p>
    <w:p w14:paraId="58020B94">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eastAsia" w:ascii="楷体" w:hAnsi="楷体" w:eastAsia="楷体" w:cs="楷体_GB2312"/>
          <w:bCs/>
          <w:sz w:val="32"/>
          <w:szCs w:val="32"/>
        </w:rPr>
      </w:pPr>
      <w:r>
        <w:rPr>
          <w:rFonts w:hint="eastAsia" w:ascii="楷体" w:hAnsi="楷体" w:eastAsia="楷体" w:cs="楷体_GB2312"/>
          <w:bCs/>
          <w:sz w:val="32"/>
          <w:szCs w:val="32"/>
        </w:rPr>
        <w:t>（二）分项绩效目标实现情况及指标分析</w:t>
      </w:r>
    </w:p>
    <w:p w14:paraId="48C9881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bidi="ar-SA"/>
        </w:rPr>
        <w:t>1.预算执行情况</w:t>
      </w:r>
    </w:p>
    <w:p w14:paraId="467548E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bidi="ar-SA"/>
        </w:rPr>
        <w:t>202</w:t>
      </w:r>
      <w:r>
        <w:rPr>
          <w:rFonts w:hint="eastAsia" w:ascii="仿宋_GB2312" w:eastAsia="仿宋_GB2312" w:cs="DengXian-Regular"/>
          <w:sz w:val="32"/>
          <w:szCs w:val="32"/>
          <w:highlight w:val="none"/>
          <w:lang w:val="en-US" w:eastAsia="zh-CN" w:bidi="ar-SA"/>
        </w:rPr>
        <w:t>5</w:t>
      </w:r>
      <w:r>
        <w:rPr>
          <w:rFonts w:hint="eastAsia" w:ascii="仿宋_GB2312" w:eastAsia="仿宋_GB2312" w:cs="DengXian-Regular"/>
          <w:sz w:val="32"/>
          <w:szCs w:val="32"/>
          <w:highlight w:val="none"/>
          <w:lang w:bidi="ar-SA"/>
        </w:rPr>
        <w:t>年度调整后部门预算总额3</w:t>
      </w:r>
      <w:r>
        <w:rPr>
          <w:rFonts w:hint="eastAsia" w:ascii="仿宋_GB2312" w:eastAsia="仿宋_GB2312" w:cs="DengXian-Regular"/>
          <w:sz w:val="32"/>
          <w:szCs w:val="32"/>
          <w:highlight w:val="none"/>
          <w:lang w:val="en-US" w:eastAsia="zh-CN" w:bidi="ar-SA"/>
        </w:rPr>
        <w:t>59.31</w:t>
      </w:r>
      <w:r>
        <w:rPr>
          <w:rFonts w:hint="eastAsia" w:ascii="仿宋_GB2312" w:eastAsia="仿宋_GB2312" w:cs="DengXian-Regular"/>
          <w:sz w:val="32"/>
          <w:szCs w:val="32"/>
          <w:highlight w:val="none"/>
          <w:lang w:bidi="ar-SA"/>
        </w:rPr>
        <w:t>万元，全部为财政拨付资金。本年度实际到位资金3</w:t>
      </w:r>
      <w:r>
        <w:rPr>
          <w:rFonts w:hint="eastAsia" w:ascii="仿宋_GB2312" w:eastAsia="仿宋_GB2312" w:cs="DengXian-Regular"/>
          <w:sz w:val="32"/>
          <w:szCs w:val="32"/>
          <w:highlight w:val="none"/>
          <w:lang w:val="en-US" w:eastAsia="zh-CN" w:bidi="ar-SA"/>
        </w:rPr>
        <w:t>57.41</w:t>
      </w:r>
      <w:r>
        <w:rPr>
          <w:rFonts w:hint="eastAsia" w:ascii="仿宋_GB2312" w:eastAsia="仿宋_GB2312" w:cs="DengXian-Regular"/>
          <w:sz w:val="32"/>
          <w:szCs w:val="32"/>
          <w:highlight w:val="none"/>
          <w:lang w:bidi="ar-SA"/>
        </w:rPr>
        <w:t>万元，实际执行支出3</w:t>
      </w:r>
      <w:r>
        <w:rPr>
          <w:rFonts w:hint="eastAsia" w:ascii="仿宋_GB2312" w:eastAsia="仿宋_GB2312" w:cs="DengXian-Regular"/>
          <w:sz w:val="32"/>
          <w:szCs w:val="32"/>
          <w:highlight w:val="none"/>
          <w:lang w:val="en-US" w:eastAsia="zh-CN" w:bidi="ar-SA"/>
        </w:rPr>
        <w:t>57.41</w:t>
      </w:r>
      <w:r>
        <w:rPr>
          <w:rFonts w:hint="eastAsia" w:ascii="仿宋_GB2312" w:eastAsia="仿宋_GB2312" w:cs="DengXian-Regular"/>
          <w:sz w:val="32"/>
          <w:szCs w:val="32"/>
          <w:highlight w:val="none"/>
          <w:lang w:bidi="ar-SA"/>
        </w:rPr>
        <w:t>万元，年度预算执行率99.</w:t>
      </w:r>
      <w:r>
        <w:rPr>
          <w:rFonts w:hint="eastAsia" w:ascii="仿宋_GB2312" w:eastAsia="仿宋_GB2312" w:cs="DengXian-Regular"/>
          <w:sz w:val="32"/>
          <w:szCs w:val="32"/>
          <w:highlight w:val="none"/>
          <w:lang w:val="en-US" w:eastAsia="zh-CN" w:bidi="ar-SA"/>
        </w:rPr>
        <w:t>47</w:t>
      </w:r>
      <w:r>
        <w:rPr>
          <w:rFonts w:hint="eastAsia" w:ascii="仿宋_GB2312" w:eastAsia="仿宋_GB2312" w:cs="DengXian-Regular"/>
          <w:sz w:val="32"/>
          <w:szCs w:val="32"/>
          <w:highlight w:val="none"/>
          <w:lang w:bidi="ar-SA"/>
        </w:rPr>
        <w:t>%。资金拨付及时、支出合规、管理规范，无截留、挤占、挪用财政资金情况。</w:t>
      </w:r>
    </w:p>
    <w:p w14:paraId="4BB7D94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bidi="ar-SA"/>
        </w:rPr>
        <w:t>2.项目产出情况</w:t>
      </w:r>
    </w:p>
    <w:p w14:paraId="4096B71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bidi="ar-SA"/>
        </w:rPr>
        <w:t>围绕年度工作任务，从数量、质量、时效等产出指标逐项落实。全年党建建设、干部管理、人才服务、考核保障等各项工作按期推进、保质完成，工作落实到位、时效保障有力，项目产出总体成效良好。</w:t>
      </w:r>
    </w:p>
    <w:p w14:paraId="4F2671F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bidi="ar-SA"/>
        </w:rPr>
        <w:t>3.项目效益情况</w:t>
      </w:r>
    </w:p>
    <w:p w14:paraId="527F89E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bidi="ar-SA"/>
        </w:rPr>
        <w:t>重点围绕社会效益开展评价。通过规范开展基层党建、干部队伍建设、人才引育保障等工作，有效夯实基层治理基础、优化干部队伍结构、完善人才发展环境，有力保障全区组织工作高质量发展，社会效益突出、长效效益显著。</w:t>
      </w:r>
    </w:p>
    <w:p w14:paraId="58FA4A1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bidi="ar-SA"/>
        </w:rPr>
        <w:t>4.服务对象满意度情况</w:t>
      </w:r>
    </w:p>
    <w:p w14:paraId="3F87FBB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bidi="ar-SA"/>
        </w:rPr>
        <w:t>各项政策落实规范、服务保障到位，干部、人才及基层党组织服务体验良好，服务对象整体满意度较高，达到年度绩效预期。</w:t>
      </w:r>
    </w:p>
    <w:p w14:paraId="4FC0B43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黑体" w:hAnsi="黑体" w:eastAsia="黑体" w:cs="黑体"/>
          <w:sz w:val="32"/>
          <w:szCs w:val="32"/>
          <w:highlight w:val="none"/>
          <w:lang w:bidi="ar-SA"/>
        </w:rPr>
      </w:pPr>
      <w:r>
        <w:rPr>
          <w:rFonts w:hint="eastAsia" w:ascii="黑体" w:hAnsi="黑体" w:eastAsia="黑体" w:cs="黑体"/>
          <w:sz w:val="32"/>
          <w:szCs w:val="32"/>
          <w:highlight w:val="none"/>
          <w:lang w:bidi="ar-SA"/>
        </w:rPr>
        <w:t>四、评价结论和评价等级</w:t>
      </w:r>
    </w:p>
    <w:p w14:paraId="01DCCAA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bidi="ar-SA"/>
        </w:rPr>
        <w:t>结合部门年度履职情况、项目实施成效、预算执行质量和综合绩效指标完成情况开展综合考评，整体支出绩效自评总分≥95分。项目管理规范、资金使用高效、工作成效显著、目标完成度高，部门整体支出绩效评价等级为优秀。</w:t>
      </w:r>
    </w:p>
    <w:p w14:paraId="2329047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黑体" w:hAnsi="黑体" w:eastAsia="黑体" w:cs="黑体"/>
          <w:sz w:val="32"/>
          <w:szCs w:val="32"/>
          <w:highlight w:val="none"/>
          <w:lang w:bidi="ar-SA"/>
        </w:rPr>
      </w:pPr>
      <w:r>
        <w:rPr>
          <w:rFonts w:hint="eastAsia" w:ascii="黑体" w:hAnsi="黑体" w:eastAsia="黑体" w:cs="黑体"/>
          <w:sz w:val="32"/>
          <w:szCs w:val="32"/>
          <w:highlight w:val="none"/>
          <w:lang w:bidi="ar-SA"/>
        </w:rPr>
        <w:t>五、存在的问题及改进措施</w:t>
      </w:r>
    </w:p>
    <w:p w14:paraId="135B7910">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eastAsia" w:ascii="楷体" w:hAnsi="楷体" w:eastAsia="楷体" w:cs="楷体_GB2312"/>
          <w:bCs/>
          <w:sz w:val="32"/>
          <w:szCs w:val="32"/>
        </w:rPr>
      </w:pPr>
      <w:r>
        <w:rPr>
          <w:rFonts w:hint="eastAsia" w:ascii="楷体" w:hAnsi="楷体" w:eastAsia="楷体" w:cs="楷体_GB2312"/>
          <w:bCs/>
          <w:sz w:val="32"/>
          <w:szCs w:val="32"/>
        </w:rPr>
        <w:t>（一）存在主要问题</w:t>
      </w:r>
    </w:p>
    <w:p w14:paraId="1C10686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bidi="ar-SA"/>
        </w:rPr>
      </w:pPr>
      <w:r>
        <w:rPr>
          <w:rFonts w:hint="eastAsia" w:ascii="仿宋_GB2312" w:eastAsia="仿宋_GB2312" w:cs="DengXian-Regular"/>
          <w:sz w:val="32"/>
          <w:szCs w:val="32"/>
          <w:highlight w:val="none"/>
          <w:lang w:bidi="ar-SA"/>
        </w:rPr>
        <w:t>年度预算编制精细化水平仍需提升。部分项目前期需求摸排不够全面、测算精度不足，导致年初部分项目预算额度匹配度不够，年度中存在少量预算追加调整情况。</w:t>
      </w:r>
    </w:p>
    <w:p w14:paraId="744716E5">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eastAsia" w:ascii="楷体" w:hAnsi="楷体" w:eastAsia="楷体" w:cs="楷体_GB2312"/>
          <w:bCs/>
          <w:sz w:val="32"/>
          <w:szCs w:val="32"/>
        </w:rPr>
      </w:pPr>
      <w:r>
        <w:rPr>
          <w:rFonts w:hint="eastAsia" w:ascii="楷体" w:hAnsi="楷体" w:eastAsia="楷体" w:cs="楷体_GB2312"/>
          <w:bCs/>
          <w:sz w:val="32"/>
          <w:szCs w:val="32"/>
        </w:rPr>
        <w:t>（二）改进措施</w:t>
      </w:r>
    </w:p>
    <w:p w14:paraId="5B7B19E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eastAsia="仿宋_GB2312" w:cs="DengXian-Regular"/>
          <w:sz w:val="32"/>
          <w:szCs w:val="32"/>
          <w:highlight w:val="none"/>
          <w:lang w:val="en-US" w:eastAsia="zh-CN" w:bidi="ar-SA"/>
        </w:rPr>
      </w:pPr>
      <w:r>
        <w:rPr>
          <w:rFonts w:hint="eastAsia" w:ascii="仿宋_GB2312" w:eastAsia="仿宋_GB2312" w:cs="DengXian-Regular"/>
          <w:sz w:val="32"/>
          <w:szCs w:val="32"/>
          <w:highlight w:val="none"/>
          <w:lang w:bidi="ar-SA"/>
        </w:rPr>
        <w:t>下一步，我部将持续提升预算绩效管理质效。一是强化预算编制精准度，提前摸排全年工作任务，细化项目需求测算，提高年初预算编制科学性、精准性。二是强化全过程绩效管理，建立预算编制、执行、监督、复盘闭环机制，做到预算与工作任务精准匹配。三是提升资金使用效益，进一步规范资金使用流程</w:t>
      </w:r>
      <w:r>
        <w:rPr>
          <w:rFonts w:hint="eastAsia" w:ascii="仿宋_GB2312" w:eastAsia="仿宋_GB2312" w:cs="DengXian-Regular"/>
          <w:sz w:val="32"/>
          <w:szCs w:val="32"/>
          <w:highlight w:val="none"/>
          <w:lang w:eastAsia="zh-CN" w:bidi="ar-SA"/>
        </w:rPr>
        <w:t>。</w:t>
      </w:r>
    </w:p>
    <w:p w14:paraId="25621940">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40" w:firstLineChars="200"/>
        <w:jc w:val="both"/>
        <w:textAlignment w:val="auto"/>
        <w:rPr>
          <w:rFonts w:hint="eastAsia" w:ascii="黑体" w:hAnsi="黑体" w:eastAsia="黑体"/>
          <w:sz w:val="32"/>
          <w:szCs w:val="32"/>
        </w:rPr>
      </w:pPr>
      <w:r>
        <w:rPr>
          <w:rFonts w:hint="eastAsia" w:ascii="黑体" w:hAnsi="黑体" w:eastAsia="黑体"/>
          <w:sz w:val="32"/>
          <w:szCs w:val="32"/>
        </w:rPr>
        <w:t>评价工作组人员名单及签字（姓名、工作单位、职务、职称）</w:t>
      </w:r>
    </w:p>
    <w:p w14:paraId="091BE9B3">
      <w:pPr>
        <w:keepNext w:val="0"/>
        <w:keepLines w:val="0"/>
        <w:pageBreakBefore w:val="0"/>
        <w:widowControl w:val="0"/>
        <w:numPr>
          <w:numId w:val="0"/>
        </w:numPr>
        <w:kinsoku/>
        <w:wordWrap/>
        <w:overflowPunct/>
        <w:topLinePunct w:val="0"/>
        <w:autoSpaceDE/>
        <w:autoSpaceDN/>
        <w:bidi w:val="0"/>
        <w:adjustRightInd w:val="0"/>
        <w:snapToGrid w:val="0"/>
        <w:spacing w:line="600" w:lineRule="exact"/>
        <w:jc w:val="both"/>
        <w:textAlignment w:val="auto"/>
        <w:rPr>
          <w:rFonts w:hint="eastAsia" w:ascii="黑体" w:hAnsi="黑体" w:eastAsia="黑体"/>
          <w:sz w:val="32"/>
          <w:szCs w:val="32"/>
        </w:rPr>
      </w:pPr>
    </w:p>
    <w:p w14:paraId="0A8AC1F4">
      <w:pPr>
        <w:keepNext w:val="0"/>
        <w:keepLines w:val="0"/>
        <w:pageBreakBefore w:val="0"/>
        <w:widowControl w:val="0"/>
        <w:numPr>
          <w:numId w:val="0"/>
        </w:numPr>
        <w:kinsoku/>
        <w:wordWrap/>
        <w:overflowPunct/>
        <w:topLinePunct w:val="0"/>
        <w:autoSpaceDE/>
        <w:autoSpaceDN/>
        <w:bidi w:val="0"/>
        <w:adjustRightInd w:val="0"/>
        <w:snapToGrid w:val="0"/>
        <w:spacing w:line="600" w:lineRule="exact"/>
        <w:jc w:val="both"/>
        <w:textAlignment w:val="auto"/>
        <w:rPr>
          <w:rFonts w:hint="eastAsia" w:ascii="黑体" w:hAnsi="黑体" w:eastAsia="黑体"/>
          <w:sz w:val="32"/>
          <w:szCs w:val="32"/>
        </w:rPr>
      </w:pPr>
    </w:p>
    <w:p w14:paraId="5DFD3DD4">
      <w:pPr>
        <w:keepNext w:val="0"/>
        <w:keepLines w:val="0"/>
        <w:pageBreakBefore w:val="0"/>
        <w:widowControl w:val="0"/>
        <w:numPr>
          <w:numId w:val="0"/>
        </w:numPr>
        <w:kinsoku/>
        <w:wordWrap/>
        <w:overflowPunct/>
        <w:topLinePunct w:val="0"/>
        <w:autoSpaceDE/>
        <w:autoSpaceDN/>
        <w:bidi w:val="0"/>
        <w:adjustRightInd w:val="0"/>
        <w:snapToGrid w:val="0"/>
        <w:spacing w:line="600" w:lineRule="exact"/>
        <w:jc w:val="both"/>
        <w:textAlignment w:val="auto"/>
        <w:rPr>
          <w:rFonts w:hint="eastAsia" w:ascii="黑体" w:hAnsi="黑体" w:eastAsia="黑体"/>
          <w:sz w:val="32"/>
          <w:szCs w:val="32"/>
        </w:rPr>
      </w:pPr>
    </w:p>
    <w:p w14:paraId="02F84EA4">
      <w:pPr>
        <w:keepNext w:val="0"/>
        <w:keepLines w:val="0"/>
        <w:pageBreakBefore w:val="0"/>
        <w:widowControl w:val="0"/>
        <w:numPr>
          <w:numId w:val="0"/>
        </w:numPr>
        <w:kinsoku/>
        <w:wordWrap/>
        <w:overflowPunct/>
        <w:topLinePunct w:val="0"/>
        <w:autoSpaceDE/>
        <w:autoSpaceDN/>
        <w:bidi w:val="0"/>
        <w:adjustRightInd w:val="0"/>
        <w:snapToGrid w:val="0"/>
        <w:spacing w:line="600" w:lineRule="exact"/>
        <w:jc w:val="both"/>
        <w:textAlignment w:val="auto"/>
        <w:rPr>
          <w:rFonts w:hint="eastAsia" w:ascii="黑体" w:hAnsi="黑体" w:eastAsia="黑体"/>
          <w:sz w:val="32"/>
          <w:szCs w:val="32"/>
        </w:rPr>
      </w:pPr>
    </w:p>
    <w:p w14:paraId="50B8934D">
      <w:pPr>
        <w:keepNext w:val="0"/>
        <w:keepLines w:val="0"/>
        <w:pageBreakBefore w:val="0"/>
        <w:widowControl w:val="0"/>
        <w:numPr>
          <w:numId w:val="0"/>
        </w:numPr>
        <w:kinsoku/>
        <w:wordWrap/>
        <w:overflowPunct/>
        <w:topLinePunct w:val="0"/>
        <w:autoSpaceDE/>
        <w:autoSpaceDN/>
        <w:bidi w:val="0"/>
        <w:adjustRightInd w:val="0"/>
        <w:snapToGrid w:val="0"/>
        <w:spacing w:line="600" w:lineRule="exact"/>
        <w:jc w:val="both"/>
        <w:textAlignment w:val="auto"/>
        <w:rPr>
          <w:rFonts w:hint="eastAsia" w:ascii="黑体" w:hAnsi="黑体" w:eastAsia="黑体"/>
          <w:sz w:val="32"/>
          <w:szCs w:val="32"/>
        </w:rPr>
      </w:pPr>
    </w:p>
    <w:tbl>
      <w:tblPr>
        <w:tblStyle w:val="9"/>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2"/>
        <w:gridCol w:w="5820"/>
        <w:gridCol w:w="2066"/>
      </w:tblGrid>
      <w:tr w14:paraId="1FC5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2" w:type="dxa"/>
          </w:tcPr>
          <w:p w14:paraId="6BBDDEC5">
            <w:pPr>
              <w:keepNext w:val="0"/>
              <w:keepLines w:val="0"/>
              <w:pageBreakBefore w:val="0"/>
              <w:widowControl w:val="0"/>
              <w:kinsoku/>
              <w:wordWrap/>
              <w:overflowPunct/>
              <w:topLinePunct w:val="0"/>
              <w:autoSpaceDE/>
              <w:autoSpaceDN/>
              <w:bidi w:val="0"/>
              <w:spacing w:line="600" w:lineRule="exact"/>
              <w:ind w:right="0"/>
              <w:jc w:val="both"/>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姓</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名</w:t>
            </w:r>
          </w:p>
        </w:tc>
        <w:tc>
          <w:tcPr>
            <w:tcW w:w="5820" w:type="dxa"/>
          </w:tcPr>
          <w:p w14:paraId="58E06CBF">
            <w:pPr>
              <w:keepNext w:val="0"/>
              <w:keepLines w:val="0"/>
              <w:pageBreakBefore w:val="0"/>
              <w:widowControl w:val="0"/>
              <w:kinsoku/>
              <w:wordWrap/>
              <w:overflowPunct/>
              <w:topLinePunct w:val="0"/>
              <w:autoSpaceDE/>
              <w:autoSpaceDN/>
              <w:bidi w:val="0"/>
              <w:spacing w:line="600" w:lineRule="exact"/>
              <w:ind w:right="0"/>
              <w:jc w:val="center"/>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单位及职务</w:t>
            </w:r>
          </w:p>
        </w:tc>
        <w:tc>
          <w:tcPr>
            <w:tcW w:w="2066" w:type="dxa"/>
          </w:tcPr>
          <w:p w14:paraId="2E5BE387">
            <w:pPr>
              <w:keepNext w:val="0"/>
              <w:keepLines w:val="0"/>
              <w:pageBreakBefore w:val="0"/>
              <w:widowControl w:val="0"/>
              <w:kinsoku/>
              <w:wordWrap/>
              <w:overflowPunct/>
              <w:topLinePunct w:val="0"/>
              <w:autoSpaceDE/>
              <w:autoSpaceDN/>
              <w:bidi w:val="0"/>
              <w:spacing w:line="600" w:lineRule="exact"/>
              <w:ind w:right="0"/>
              <w:jc w:val="center"/>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签  字</w:t>
            </w:r>
          </w:p>
        </w:tc>
      </w:tr>
      <w:tr w14:paraId="04969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1402" w:type="dxa"/>
            <w:vAlign w:val="center"/>
          </w:tcPr>
          <w:p w14:paraId="3C1006AD">
            <w:pPr>
              <w:keepNext w:val="0"/>
              <w:keepLines w:val="0"/>
              <w:pageBreakBefore w:val="0"/>
              <w:widowControl w:val="0"/>
              <w:kinsoku/>
              <w:wordWrap/>
              <w:overflowPunct/>
              <w:topLinePunct w:val="0"/>
              <w:autoSpaceDE/>
              <w:autoSpaceDN/>
              <w:bidi w:val="0"/>
              <w:adjustRightInd w:val="0"/>
              <w:snapToGrid w:val="0"/>
              <w:spacing w:line="600" w:lineRule="exact"/>
              <w:ind w:right="0"/>
              <w:jc w:val="both"/>
              <w:textAlignment w:val="auto"/>
              <w:outlineLvl w:val="9"/>
              <w:rPr>
                <w:rFonts w:hint="eastAsia" w:ascii="仿宋" w:hAnsi="仿宋" w:eastAsia="仿宋" w:cs="黑体"/>
                <w:b w:val="0"/>
                <w:bCs w:val="0"/>
                <w:color w:val="auto"/>
                <w:kern w:val="2"/>
                <w:sz w:val="32"/>
                <w:szCs w:val="32"/>
                <w:lang w:val="en-US" w:eastAsia="zh-CN" w:bidi="ar-SA"/>
              </w:rPr>
            </w:pPr>
            <w:r>
              <w:rPr>
                <w:rFonts w:hint="eastAsia" w:ascii="仿宋" w:hAnsi="仿宋" w:eastAsia="仿宋" w:cs="黑体"/>
                <w:b w:val="0"/>
                <w:bCs w:val="0"/>
                <w:color w:val="auto"/>
                <w:kern w:val="2"/>
                <w:sz w:val="32"/>
                <w:szCs w:val="32"/>
                <w:lang w:val="en-US" w:eastAsia="zh-CN" w:bidi="ar-SA"/>
              </w:rPr>
              <w:t>高  照</w:t>
            </w:r>
          </w:p>
        </w:tc>
        <w:tc>
          <w:tcPr>
            <w:tcW w:w="5820" w:type="dxa"/>
            <w:vAlign w:val="center"/>
          </w:tcPr>
          <w:p w14:paraId="4A115C8A">
            <w:pPr>
              <w:keepNext w:val="0"/>
              <w:keepLines w:val="0"/>
              <w:pageBreakBefore w:val="0"/>
              <w:widowControl w:val="0"/>
              <w:kinsoku/>
              <w:wordWrap/>
              <w:overflowPunct/>
              <w:topLinePunct w:val="0"/>
              <w:autoSpaceDE/>
              <w:autoSpaceDN/>
              <w:bidi w:val="0"/>
              <w:adjustRightInd w:val="0"/>
              <w:snapToGrid w:val="0"/>
              <w:spacing w:line="600" w:lineRule="exact"/>
              <w:ind w:right="0"/>
              <w:jc w:val="both"/>
              <w:textAlignment w:val="auto"/>
              <w:outlineLvl w:val="9"/>
              <w:rPr>
                <w:rFonts w:hint="eastAsia" w:ascii="仿宋" w:hAnsi="仿宋" w:eastAsia="仿宋" w:cs="黑体"/>
                <w:b w:val="0"/>
                <w:bCs w:val="0"/>
                <w:color w:val="auto"/>
                <w:kern w:val="2"/>
                <w:sz w:val="32"/>
                <w:szCs w:val="32"/>
                <w:lang w:val="en-US" w:eastAsia="zh-CN" w:bidi="ar-SA"/>
              </w:rPr>
            </w:pPr>
            <w:r>
              <w:rPr>
                <w:rFonts w:hint="eastAsia" w:ascii="仿宋" w:hAnsi="仿宋" w:eastAsia="仿宋" w:cs="黑体"/>
                <w:b w:val="0"/>
                <w:bCs w:val="0"/>
                <w:color w:val="auto"/>
                <w:kern w:val="2"/>
                <w:sz w:val="32"/>
                <w:szCs w:val="32"/>
                <w:lang w:val="en-US" w:eastAsia="zh-CN" w:bidi="ar-SA"/>
              </w:rPr>
              <w:t>区委组织部副部长</w:t>
            </w:r>
          </w:p>
        </w:tc>
        <w:tc>
          <w:tcPr>
            <w:tcW w:w="2066" w:type="dxa"/>
            <w:vAlign w:val="top"/>
          </w:tcPr>
          <w:p w14:paraId="29C46B5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outlineLvl w:val="9"/>
              <w:rPr>
                <w:rFonts w:hint="eastAsia" w:ascii="仿宋" w:hAnsi="仿宋" w:eastAsia="仿宋" w:cs="黑体"/>
                <w:b w:val="0"/>
                <w:bCs w:val="0"/>
                <w:color w:val="auto"/>
                <w:kern w:val="2"/>
                <w:sz w:val="32"/>
                <w:szCs w:val="32"/>
                <w:lang w:val="en-US" w:eastAsia="zh-CN" w:bidi="ar-SA"/>
              </w:rPr>
            </w:pPr>
          </w:p>
        </w:tc>
      </w:tr>
      <w:tr w14:paraId="2A514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1402" w:type="dxa"/>
            <w:vAlign w:val="center"/>
          </w:tcPr>
          <w:p w14:paraId="53682979">
            <w:pPr>
              <w:keepNext w:val="0"/>
              <w:keepLines w:val="0"/>
              <w:pageBreakBefore w:val="0"/>
              <w:widowControl w:val="0"/>
              <w:kinsoku/>
              <w:wordWrap/>
              <w:overflowPunct/>
              <w:topLinePunct w:val="0"/>
              <w:autoSpaceDE/>
              <w:autoSpaceDN/>
              <w:bidi w:val="0"/>
              <w:adjustRightInd w:val="0"/>
              <w:snapToGrid w:val="0"/>
              <w:spacing w:line="600" w:lineRule="exact"/>
              <w:ind w:right="0"/>
              <w:jc w:val="both"/>
              <w:textAlignment w:val="auto"/>
              <w:outlineLvl w:val="9"/>
              <w:rPr>
                <w:rFonts w:hint="eastAsia" w:ascii="仿宋" w:hAnsi="仿宋" w:eastAsia="仿宋" w:cs="黑体"/>
                <w:b w:val="0"/>
                <w:bCs w:val="0"/>
                <w:color w:val="auto"/>
                <w:kern w:val="2"/>
                <w:sz w:val="32"/>
                <w:szCs w:val="32"/>
                <w:lang w:val="en-US" w:eastAsia="zh-CN" w:bidi="ar-SA"/>
              </w:rPr>
            </w:pPr>
            <w:r>
              <w:rPr>
                <w:rFonts w:hint="eastAsia" w:ascii="仿宋" w:hAnsi="仿宋" w:eastAsia="仿宋" w:cs="黑体"/>
                <w:b w:val="0"/>
                <w:bCs w:val="0"/>
                <w:color w:val="auto"/>
                <w:kern w:val="2"/>
                <w:sz w:val="32"/>
                <w:szCs w:val="32"/>
                <w:lang w:val="en-US" w:eastAsia="zh-CN" w:bidi="ar-SA"/>
              </w:rPr>
              <w:t>孙  斌</w:t>
            </w:r>
          </w:p>
        </w:tc>
        <w:tc>
          <w:tcPr>
            <w:tcW w:w="5820" w:type="dxa"/>
            <w:vAlign w:val="center"/>
          </w:tcPr>
          <w:p w14:paraId="1ABA39D3">
            <w:pPr>
              <w:keepNext w:val="0"/>
              <w:keepLines w:val="0"/>
              <w:pageBreakBefore w:val="0"/>
              <w:widowControl w:val="0"/>
              <w:kinsoku/>
              <w:wordWrap/>
              <w:overflowPunct/>
              <w:topLinePunct w:val="0"/>
              <w:autoSpaceDE/>
              <w:autoSpaceDN/>
              <w:bidi w:val="0"/>
              <w:adjustRightInd w:val="0"/>
              <w:snapToGrid w:val="0"/>
              <w:spacing w:line="600" w:lineRule="exact"/>
              <w:ind w:right="0"/>
              <w:jc w:val="both"/>
              <w:textAlignment w:val="auto"/>
              <w:outlineLvl w:val="9"/>
              <w:rPr>
                <w:rFonts w:hint="eastAsia" w:ascii="仿宋" w:hAnsi="仿宋" w:eastAsia="仿宋" w:cs="黑体"/>
                <w:b w:val="0"/>
                <w:bCs w:val="0"/>
                <w:color w:val="auto"/>
                <w:kern w:val="2"/>
                <w:sz w:val="32"/>
                <w:szCs w:val="32"/>
                <w:lang w:val="en-US" w:eastAsia="zh-CN" w:bidi="ar-SA"/>
              </w:rPr>
            </w:pPr>
            <w:r>
              <w:rPr>
                <w:rFonts w:hint="eastAsia" w:ascii="仿宋" w:hAnsi="仿宋" w:eastAsia="仿宋" w:cs="黑体"/>
                <w:b w:val="0"/>
                <w:bCs w:val="0"/>
                <w:color w:val="auto"/>
                <w:kern w:val="2"/>
                <w:sz w:val="32"/>
                <w:szCs w:val="32"/>
                <w:lang w:val="en-US" w:eastAsia="zh-CN" w:bidi="ar-SA"/>
              </w:rPr>
              <w:t>区委组织部副部长</w:t>
            </w:r>
          </w:p>
        </w:tc>
        <w:tc>
          <w:tcPr>
            <w:tcW w:w="2066" w:type="dxa"/>
            <w:vAlign w:val="top"/>
          </w:tcPr>
          <w:p w14:paraId="113A2DC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outlineLvl w:val="9"/>
              <w:rPr>
                <w:rFonts w:hint="eastAsia" w:ascii="仿宋" w:hAnsi="仿宋" w:eastAsia="仿宋" w:cs="黑体"/>
                <w:b w:val="0"/>
                <w:bCs w:val="0"/>
                <w:color w:val="auto"/>
                <w:kern w:val="2"/>
                <w:sz w:val="32"/>
                <w:szCs w:val="32"/>
                <w:lang w:val="en-US" w:eastAsia="zh-CN" w:bidi="ar-SA"/>
              </w:rPr>
            </w:pPr>
          </w:p>
        </w:tc>
      </w:tr>
      <w:tr w14:paraId="5D39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1402" w:type="dxa"/>
            <w:vAlign w:val="center"/>
          </w:tcPr>
          <w:p w14:paraId="57641DDB">
            <w:pPr>
              <w:keepNext w:val="0"/>
              <w:keepLines w:val="0"/>
              <w:pageBreakBefore w:val="0"/>
              <w:widowControl w:val="0"/>
              <w:kinsoku/>
              <w:wordWrap/>
              <w:overflowPunct/>
              <w:topLinePunct w:val="0"/>
              <w:autoSpaceDE/>
              <w:autoSpaceDN/>
              <w:bidi w:val="0"/>
              <w:adjustRightInd w:val="0"/>
              <w:snapToGrid w:val="0"/>
              <w:spacing w:line="600" w:lineRule="exact"/>
              <w:ind w:right="0"/>
              <w:jc w:val="both"/>
              <w:textAlignment w:val="auto"/>
              <w:outlineLvl w:val="9"/>
              <w:rPr>
                <w:rFonts w:hint="default" w:ascii="仿宋" w:hAnsi="仿宋" w:eastAsia="仿宋" w:cs="黑体"/>
                <w:b w:val="0"/>
                <w:bCs w:val="0"/>
                <w:color w:val="auto"/>
                <w:kern w:val="2"/>
                <w:sz w:val="32"/>
                <w:szCs w:val="32"/>
                <w:lang w:val="en-US" w:eastAsia="zh-CN" w:bidi="ar-SA"/>
              </w:rPr>
            </w:pPr>
            <w:r>
              <w:rPr>
                <w:rFonts w:hint="eastAsia" w:ascii="仿宋" w:hAnsi="仿宋" w:eastAsia="仿宋" w:cs="黑体"/>
                <w:b w:val="0"/>
                <w:bCs w:val="0"/>
                <w:color w:val="auto"/>
                <w:kern w:val="2"/>
                <w:sz w:val="32"/>
                <w:szCs w:val="32"/>
                <w:lang w:val="en-US" w:eastAsia="zh-CN" w:bidi="ar-SA"/>
              </w:rPr>
              <w:t>乔东新</w:t>
            </w:r>
          </w:p>
        </w:tc>
        <w:tc>
          <w:tcPr>
            <w:tcW w:w="5820" w:type="dxa"/>
            <w:shd w:val="clear" w:color="auto" w:fill="auto"/>
            <w:vAlign w:val="center"/>
          </w:tcPr>
          <w:p w14:paraId="355412DF">
            <w:pPr>
              <w:keepNext w:val="0"/>
              <w:keepLines w:val="0"/>
              <w:pageBreakBefore w:val="0"/>
              <w:widowControl w:val="0"/>
              <w:kinsoku/>
              <w:wordWrap/>
              <w:overflowPunct/>
              <w:topLinePunct w:val="0"/>
              <w:autoSpaceDE/>
              <w:autoSpaceDN/>
              <w:bidi w:val="0"/>
              <w:adjustRightInd w:val="0"/>
              <w:snapToGrid w:val="0"/>
              <w:spacing w:line="600" w:lineRule="exact"/>
              <w:ind w:right="0"/>
              <w:jc w:val="both"/>
              <w:textAlignment w:val="auto"/>
              <w:outlineLvl w:val="9"/>
              <w:rPr>
                <w:rFonts w:hint="eastAsia" w:ascii="仿宋" w:hAnsi="仿宋" w:eastAsia="仿宋" w:cs="黑体"/>
                <w:b w:val="0"/>
                <w:bCs w:val="0"/>
                <w:color w:val="auto"/>
                <w:kern w:val="2"/>
                <w:sz w:val="32"/>
                <w:szCs w:val="32"/>
                <w:lang w:val="en-US" w:eastAsia="zh-CN" w:bidi="ar-SA"/>
              </w:rPr>
            </w:pPr>
            <w:r>
              <w:rPr>
                <w:rFonts w:hint="eastAsia" w:ascii="仿宋" w:hAnsi="仿宋" w:eastAsia="仿宋" w:cs="黑体"/>
                <w:b w:val="0"/>
                <w:bCs w:val="0"/>
                <w:color w:val="auto"/>
                <w:kern w:val="2"/>
                <w:sz w:val="32"/>
                <w:szCs w:val="32"/>
                <w:lang w:val="en-US" w:eastAsia="zh-CN" w:bidi="ar-SA"/>
              </w:rPr>
              <w:t>区委组织部副部长</w:t>
            </w:r>
          </w:p>
        </w:tc>
        <w:tc>
          <w:tcPr>
            <w:tcW w:w="2066" w:type="dxa"/>
            <w:vAlign w:val="top"/>
          </w:tcPr>
          <w:p w14:paraId="5E5EBF7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outlineLvl w:val="9"/>
              <w:rPr>
                <w:rFonts w:hint="eastAsia" w:ascii="仿宋" w:hAnsi="仿宋" w:eastAsia="仿宋" w:cs="黑体"/>
                <w:b w:val="0"/>
                <w:bCs w:val="0"/>
                <w:color w:val="auto"/>
                <w:kern w:val="2"/>
                <w:sz w:val="32"/>
                <w:szCs w:val="32"/>
                <w:lang w:val="en-US" w:eastAsia="zh-CN" w:bidi="ar-SA"/>
              </w:rPr>
            </w:pPr>
          </w:p>
        </w:tc>
      </w:tr>
      <w:tr w14:paraId="5AB7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402" w:type="dxa"/>
            <w:shd w:val="clear" w:color="auto" w:fill="auto"/>
            <w:vAlign w:val="center"/>
          </w:tcPr>
          <w:p w14:paraId="4DA5C035">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both"/>
              <w:textAlignment w:val="auto"/>
              <w:outlineLvl w:val="9"/>
              <w:rPr>
                <w:rFonts w:hint="eastAsia" w:ascii="仿宋" w:hAnsi="仿宋" w:eastAsia="仿宋" w:cs="黑体"/>
                <w:b w:val="0"/>
                <w:bCs w:val="0"/>
                <w:color w:val="auto"/>
                <w:kern w:val="2"/>
                <w:sz w:val="32"/>
                <w:szCs w:val="32"/>
                <w:lang w:val="en-US" w:eastAsia="zh-CN" w:bidi="ar-SA"/>
              </w:rPr>
            </w:pPr>
            <w:r>
              <w:rPr>
                <w:rFonts w:hint="eastAsia" w:ascii="仿宋" w:hAnsi="仿宋" w:eastAsia="仿宋" w:cs="黑体"/>
                <w:b w:val="0"/>
                <w:bCs w:val="0"/>
                <w:color w:val="auto"/>
                <w:kern w:val="2"/>
                <w:sz w:val="32"/>
                <w:szCs w:val="32"/>
                <w:lang w:val="en-US" w:eastAsia="zh-CN" w:bidi="ar-SA"/>
              </w:rPr>
              <w:t>冯天慧</w:t>
            </w:r>
          </w:p>
        </w:tc>
        <w:tc>
          <w:tcPr>
            <w:tcW w:w="5820" w:type="dxa"/>
            <w:shd w:val="clear" w:color="auto" w:fill="auto"/>
            <w:vAlign w:val="center"/>
          </w:tcPr>
          <w:p w14:paraId="1665F7B3">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both"/>
              <w:textAlignment w:val="auto"/>
              <w:outlineLvl w:val="9"/>
              <w:rPr>
                <w:rFonts w:hint="default" w:ascii="仿宋" w:hAnsi="仿宋" w:eastAsia="仿宋" w:cs="黑体"/>
                <w:b w:val="0"/>
                <w:bCs w:val="0"/>
                <w:color w:val="auto"/>
                <w:kern w:val="2"/>
                <w:sz w:val="32"/>
                <w:szCs w:val="32"/>
                <w:lang w:val="en-US" w:eastAsia="zh-CN" w:bidi="ar-SA"/>
              </w:rPr>
            </w:pPr>
            <w:r>
              <w:rPr>
                <w:rFonts w:hint="eastAsia" w:ascii="仿宋" w:hAnsi="仿宋" w:eastAsia="仿宋" w:cs="黑体"/>
                <w:b w:val="0"/>
                <w:bCs w:val="0"/>
                <w:color w:val="auto"/>
                <w:kern w:val="2"/>
                <w:sz w:val="32"/>
                <w:szCs w:val="32"/>
                <w:lang w:val="en-US" w:eastAsia="zh-CN" w:bidi="ar-SA"/>
              </w:rPr>
              <w:t>区委组织部务委员</w:t>
            </w:r>
          </w:p>
        </w:tc>
        <w:tc>
          <w:tcPr>
            <w:tcW w:w="2066" w:type="dxa"/>
            <w:vAlign w:val="top"/>
          </w:tcPr>
          <w:p w14:paraId="5462486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outlineLvl w:val="9"/>
              <w:rPr>
                <w:rFonts w:hint="eastAsia" w:ascii="仿宋" w:hAnsi="仿宋" w:eastAsia="仿宋" w:cs="黑体"/>
                <w:b w:val="0"/>
                <w:bCs w:val="0"/>
                <w:color w:val="auto"/>
                <w:kern w:val="2"/>
                <w:sz w:val="32"/>
                <w:szCs w:val="32"/>
                <w:lang w:val="en-US" w:eastAsia="zh-CN" w:bidi="ar-SA"/>
              </w:rPr>
            </w:pPr>
          </w:p>
        </w:tc>
      </w:tr>
      <w:tr w14:paraId="0A831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402" w:type="dxa"/>
            <w:shd w:val="clear" w:color="auto" w:fill="auto"/>
            <w:vAlign w:val="center"/>
          </w:tcPr>
          <w:p w14:paraId="79AAE4A3">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both"/>
              <w:textAlignment w:val="auto"/>
              <w:outlineLvl w:val="9"/>
              <w:rPr>
                <w:rFonts w:hint="eastAsia" w:ascii="仿宋" w:hAnsi="仿宋" w:eastAsia="仿宋" w:cs="黑体"/>
                <w:b w:val="0"/>
                <w:bCs w:val="0"/>
                <w:color w:val="auto"/>
                <w:kern w:val="2"/>
                <w:sz w:val="32"/>
                <w:szCs w:val="32"/>
                <w:lang w:val="en-US" w:eastAsia="zh-CN" w:bidi="ar-SA"/>
              </w:rPr>
            </w:pPr>
            <w:r>
              <w:rPr>
                <w:rFonts w:hint="eastAsia" w:ascii="仿宋" w:hAnsi="仿宋" w:eastAsia="仿宋" w:cs="黑体"/>
                <w:b w:val="0"/>
                <w:bCs w:val="0"/>
                <w:color w:val="auto"/>
                <w:kern w:val="2"/>
                <w:sz w:val="32"/>
                <w:szCs w:val="32"/>
                <w:lang w:val="en-US" w:eastAsia="zh-CN" w:bidi="ar-SA"/>
              </w:rPr>
              <w:t>范玲玲</w:t>
            </w:r>
          </w:p>
        </w:tc>
        <w:tc>
          <w:tcPr>
            <w:tcW w:w="5820" w:type="dxa"/>
            <w:shd w:val="clear" w:color="auto" w:fill="auto"/>
            <w:vAlign w:val="center"/>
          </w:tcPr>
          <w:p w14:paraId="603B219A">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both"/>
              <w:textAlignment w:val="auto"/>
              <w:outlineLvl w:val="9"/>
              <w:rPr>
                <w:rFonts w:hint="eastAsia" w:ascii="仿宋" w:hAnsi="仿宋" w:eastAsia="仿宋" w:cs="黑体"/>
                <w:b w:val="0"/>
                <w:bCs w:val="0"/>
                <w:color w:val="auto"/>
                <w:kern w:val="2"/>
                <w:sz w:val="32"/>
                <w:szCs w:val="32"/>
                <w:lang w:val="en-US" w:eastAsia="zh-CN" w:bidi="ar-SA"/>
              </w:rPr>
            </w:pPr>
            <w:r>
              <w:rPr>
                <w:rFonts w:hint="eastAsia" w:ascii="仿宋" w:hAnsi="仿宋" w:eastAsia="仿宋" w:cs="黑体"/>
                <w:b w:val="0"/>
                <w:bCs w:val="0"/>
                <w:color w:val="auto"/>
                <w:kern w:val="2"/>
                <w:sz w:val="32"/>
                <w:szCs w:val="32"/>
                <w:lang w:val="en-US" w:eastAsia="zh-CN" w:bidi="ar-SA"/>
              </w:rPr>
              <w:t>区委组织部部务会成员、区干部信息管理中心主任</w:t>
            </w:r>
          </w:p>
        </w:tc>
        <w:tc>
          <w:tcPr>
            <w:tcW w:w="2066" w:type="dxa"/>
            <w:vAlign w:val="top"/>
          </w:tcPr>
          <w:p w14:paraId="73EB232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outlineLvl w:val="9"/>
              <w:rPr>
                <w:rFonts w:hint="eastAsia" w:ascii="仿宋" w:hAnsi="仿宋" w:eastAsia="仿宋" w:cs="黑体"/>
                <w:b w:val="0"/>
                <w:bCs w:val="0"/>
                <w:color w:val="auto"/>
                <w:kern w:val="2"/>
                <w:sz w:val="32"/>
                <w:szCs w:val="32"/>
                <w:lang w:val="en-US" w:eastAsia="zh-CN" w:bidi="ar-SA"/>
              </w:rPr>
            </w:pPr>
          </w:p>
        </w:tc>
      </w:tr>
      <w:tr w14:paraId="4175F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402" w:type="dxa"/>
            <w:shd w:val="clear" w:color="auto" w:fill="auto"/>
            <w:vAlign w:val="center"/>
          </w:tcPr>
          <w:p w14:paraId="2C2699F4">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both"/>
              <w:textAlignment w:val="auto"/>
              <w:outlineLvl w:val="9"/>
              <w:rPr>
                <w:rFonts w:hint="eastAsia" w:ascii="仿宋" w:hAnsi="仿宋" w:eastAsia="仿宋" w:cs="黑体"/>
                <w:b w:val="0"/>
                <w:bCs w:val="0"/>
                <w:color w:val="auto"/>
                <w:kern w:val="2"/>
                <w:sz w:val="32"/>
                <w:szCs w:val="32"/>
                <w:lang w:val="en-US" w:eastAsia="zh-CN" w:bidi="ar-SA"/>
              </w:rPr>
            </w:pPr>
            <w:r>
              <w:rPr>
                <w:rFonts w:hint="eastAsia" w:ascii="仿宋" w:hAnsi="仿宋" w:eastAsia="仿宋" w:cs="黑体"/>
                <w:b w:val="0"/>
                <w:bCs w:val="0"/>
                <w:color w:val="auto"/>
                <w:kern w:val="2"/>
                <w:sz w:val="32"/>
                <w:szCs w:val="32"/>
                <w:lang w:val="en-US" w:eastAsia="zh-CN" w:bidi="ar-SA"/>
              </w:rPr>
              <w:t>焦 媛</w:t>
            </w:r>
          </w:p>
        </w:tc>
        <w:tc>
          <w:tcPr>
            <w:tcW w:w="5820" w:type="dxa"/>
            <w:shd w:val="clear" w:color="auto" w:fill="auto"/>
            <w:vAlign w:val="center"/>
          </w:tcPr>
          <w:p w14:paraId="1795C0A1">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both"/>
              <w:textAlignment w:val="auto"/>
              <w:outlineLvl w:val="9"/>
              <w:rPr>
                <w:rFonts w:hint="eastAsia" w:ascii="仿宋" w:hAnsi="仿宋" w:eastAsia="仿宋" w:cs="黑体"/>
                <w:b w:val="0"/>
                <w:bCs w:val="0"/>
                <w:color w:val="auto"/>
                <w:kern w:val="2"/>
                <w:sz w:val="32"/>
                <w:szCs w:val="32"/>
                <w:lang w:val="en-US" w:eastAsia="zh-CN" w:bidi="ar-SA"/>
              </w:rPr>
            </w:pPr>
            <w:r>
              <w:rPr>
                <w:rFonts w:hint="eastAsia" w:ascii="仿宋" w:hAnsi="仿宋" w:eastAsia="仿宋" w:cs="黑体"/>
                <w:b w:val="0"/>
                <w:bCs w:val="0"/>
                <w:color w:val="auto"/>
                <w:kern w:val="2"/>
                <w:sz w:val="32"/>
                <w:szCs w:val="32"/>
                <w:lang w:val="en-US" w:eastAsia="zh-CN" w:bidi="ar-SA"/>
              </w:rPr>
              <w:t>区委组织部办公室负责人</w:t>
            </w:r>
          </w:p>
        </w:tc>
        <w:tc>
          <w:tcPr>
            <w:tcW w:w="2066" w:type="dxa"/>
            <w:vAlign w:val="top"/>
          </w:tcPr>
          <w:p w14:paraId="108B42A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outlineLvl w:val="9"/>
              <w:rPr>
                <w:rFonts w:hint="eastAsia" w:ascii="仿宋" w:hAnsi="仿宋" w:eastAsia="仿宋" w:cs="黑体"/>
                <w:b w:val="0"/>
                <w:bCs w:val="0"/>
                <w:color w:val="auto"/>
                <w:kern w:val="2"/>
                <w:sz w:val="32"/>
                <w:szCs w:val="32"/>
                <w:lang w:val="en-US" w:eastAsia="zh-CN" w:bidi="ar-SA"/>
              </w:rPr>
            </w:pPr>
          </w:p>
        </w:tc>
      </w:tr>
    </w:tbl>
    <w:p w14:paraId="35640CF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ascii="仿宋" w:hAnsi="仿宋" w:eastAsia="仿宋"/>
          <w:sz w:val="32"/>
          <w:szCs w:val="32"/>
          <w:highlight w:val="none"/>
        </w:rPr>
      </w:pPr>
    </w:p>
    <w:p w14:paraId="1074AAF5">
      <w:pPr>
        <w:keepNext w:val="0"/>
        <w:keepLines w:val="0"/>
        <w:pageBreakBefore w:val="0"/>
        <w:widowControl w:val="0"/>
        <w:kinsoku/>
        <w:wordWrap/>
        <w:overflowPunct/>
        <w:topLinePunct w:val="0"/>
        <w:autoSpaceDE/>
        <w:autoSpaceDN/>
        <w:bidi w:val="0"/>
        <w:adjustRightInd w:val="0"/>
        <w:snapToGrid w:val="0"/>
        <w:spacing w:line="600" w:lineRule="exact"/>
        <w:ind w:firstLine="5440" w:firstLineChars="1700"/>
        <w:jc w:val="both"/>
        <w:textAlignment w:val="auto"/>
        <w:rPr>
          <w:rFonts w:hint="eastAsia" w:ascii="仿宋" w:hAnsi="仿宋" w:eastAsia="仿宋"/>
          <w:sz w:val="32"/>
          <w:szCs w:val="32"/>
        </w:rPr>
      </w:pPr>
    </w:p>
    <w:p w14:paraId="2ECCB67A">
      <w:pPr>
        <w:keepNext w:val="0"/>
        <w:keepLines w:val="0"/>
        <w:pageBreakBefore w:val="0"/>
        <w:widowControl w:val="0"/>
        <w:kinsoku/>
        <w:wordWrap/>
        <w:overflowPunct/>
        <w:topLinePunct w:val="0"/>
        <w:autoSpaceDE/>
        <w:autoSpaceDN/>
        <w:bidi w:val="0"/>
        <w:adjustRightInd w:val="0"/>
        <w:snapToGrid w:val="0"/>
        <w:spacing w:line="600" w:lineRule="exact"/>
        <w:ind w:firstLine="5440" w:firstLineChars="1700"/>
        <w:jc w:val="both"/>
        <w:textAlignment w:val="auto"/>
        <w:rPr>
          <w:rFonts w:hint="eastAsia" w:ascii="仿宋" w:hAnsi="仿宋" w:eastAsia="仿宋"/>
          <w:sz w:val="32"/>
          <w:szCs w:val="32"/>
        </w:rPr>
      </w:pPr>
    </w:p>
    <w:p w14:paraId="419AB983">
      <w:pPr>
        <w:keepNext w:val="0"/>
        <w:keepLines w:val="0"/>
        <w:pageBreakBefore w:val="0"/>
        <w:widowControl w:val="0"/>
        <w:kinsoku/>
        <w:wordWrap/>
        <w:overflowPunct/>
        <w:topLinePunct w:val="0"/>
        <w:autoSpaceDE/>
        <w:autoSpaceDN/>
        <w:bidi w:val="0"/>
        <w:adjustRightInd w:val="0"/>
        <w:snapToGrid w:val="0"/>
        <w:spacing w:line="600" w:lineRule="exact"/>
        <w:ind w:firstLine="5440" w:firstLineChars="1700"/>
        <w:jc w:val="both"/>
        <w:textAlignment w:val="auto"/>
        <w:rPr>
          <w:rFonts w:hint="eastAsia" w:ascii="仿宋" w:hAnsi="仿宋" w:eastAsia="仿宋"/>
          <w:sz w:val="32"/>
          <w:szCs w:val="32"/>
        </w:rPr>
      </w:pPr>
      <w:r>
        <w:rPr>
          <w:rFonts w:hint="eastAsia" w:ascii="仿宋" w:hAnsi="仿宋" w:eastAsia="仿宋"/>
          <w:sz w:val="32"/>
          <w:szCs w:val="32"/>
        </w:rPr>
        <w:t>井陉矿区委组织部</w:t>
      </w:r>
    </w:p>
    <w:p w14:paraId="67AB4086">
      <w:pPr>
        <w:keepNext w:val="0"/>
        <w:keepLines w:val="0"/>
        <w:pageBreakBefore w:val="0"/>
        <w:widowControl w:val="0"/>
        <w:kinsoku/>
        <w:wordWrap/>
        <w:overflowPunct/>
        <w:topLinePunct w:val="0"/>
        <w:autoSpaceDE/>
        <w:autoSpaceDN/>
        <w:bidi w:val="0"/>
        <w:adjustRightInd w:val="0"/>
        <w:snapToGrid w:val="0"/>
        <w:spacing w:line="600" w:lineRule="exact"/>
        <w:ind w:firstLine="6080" w:firstLineChars="1900"/>
        <w:jc w:val="both"/>
        <w:textAlignment w:val="auto"/>
        <w:rPr>
          <w:rFonts w:ascii="仿宋" w:hAnsi="仿宋" w:eastAsia="仿宋"/>
          <w:sz w:val="32"/>
          <w:szCs w:val="32"/>
          <w:highlight w:val="none"/>
        </w:rPr>
      </w:pPr>
      <w:r>
        <w:rPr>
          <w:rFonts w:hint="eastAsia" w:ascii="仿宋" w:hAnsi="仿宋" w:eastAsia="仿宋"/>
          <w:sz w:val="32"/>
          <w:szCs w:val="32"/>
        </w:rPr>
        <w:t>202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lang w:val="en-US" w:eastAsia="zh-CN"/>
        </w:rPr>
        <w:t>8</w:t>
      </w:r>
      <w:r>
        <w:rPr>
          <w:rFonts w:hint="eastAsia" w:ascii="仿宋" w:hAnsi="仿宋" w:eastAsia="仿宋"/>
          <w:sz w:val="32"/>
          <w:szCs w:val="32"/>
        </w:rPr>
        <w:t>月</w:t>
      </w:r>
      <w:r>
        <w:rPr>
          <w:rFonts w:hint="eastAsia" w:ascii="仿宋" w:hAnsi="仿宋" w:eastAsia="仿宋"/>
          <w:sz w:val="32"/>
          <w:szCs w:val="32"/>
          <w:lang w:val="en-US" w:eastAsia="zh-CN"/>
        </w:rPr>
        <w:t>7</w:t>
      </w:r>
      <w:r>
        <w:rPr>
          <w:rFonts w:hint="eastAsia" w:ascii="仿宋" w:hAnsi="仿宋" w:eastAsia="仿宋"/>
          <w:sz w:val="32"/>
          <w:szCs w:val="32"/>
        </w:rPr>
        <w:t>日</w:t>
      </w:r>
    </w:p>
    <w:p w14:paraId="4BF3F73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ascii="黑体" w:hAnsi="黑体" w:eastAsia="黑体"/>
          <w:sz w:val="32"/>
          <w:szCs w:val="32"/>
        </w:rPr>
      </w:pPr>
      <w:r>
        <w:rPr>
          <w:rFonts w:hint="eastAsia" w:ascii="黑体" w:hAnsi="黑体" w:eastAsia="黑体"/>
          <w:sz w:val="32"/>
          <w:szCs w:val="32"/>
        </w:rPr>
        <w:t xml:space="preserve">     </w:t>
      </w:r>
    </w:p>
    <w:p w14:paraId="1837BAAC">
      <w:pPr>
        <w:keepNext w:val="0"/>
        <w:keepLines w:val="0"/>
        <w:pageBreakBefore w:val="0"/>
        <w:widowControl w:val="0"/>
        <w:kinsoku/>
        <w:wordWrap/>
        <w:overflowPunct/>
        <w:topLinePunct w:val="0"/>
        <w:autoSpaceDE/>
        <w:autoSpaceDN/>
        <w:bidi w:val="0"/>
        <w:spacing w:line="600" w:lineRule="exact"/>
        <w:jc w:val="both"/>
        <w:textAlignment w:val="auto"/>
        <w:rPr>
          <w:rFonts w:ascii="仿宋" w:hAnsi="仿宋" w:eastAsia="仿宋"/>
        </w:rPr>
      </w:pPr>
    </w:p>
    <w:sectPr>
      <w:footerReference r:id="rId3" w:type="default"/>
      <w:pgSz w:w="11906" w:h="16838"/>
      <w:pgMar w:top="1440" w:right="1474" w:bottom="1440"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DengXian-Regular">
    <w:altName w:val="宋体"/>
    <w:panose1 w:val="00000000000000000000"/>
    <w:charset w:val="86"/>
    <w:family w:val="auto"/>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6A159">
    <w:pPr>
      <w:pStyle w:val="6"/>
    </w:pPr>
    <w:r>
      <mc:AlternateContent>
        <mc:Choice Requires="wps">
          <w:drawing>
            <wp:anchor distT="0" distB="0" distL="90805" distR="90805" simplePos="0" relativeHeight="251659264" behindDoc="0" locked="0" layoutInCell="1" allowOverlap="1">
              <wp:simplePos x="0" y="0"/>
              <wp:positionH relativeFrom="margin">
                <wp:align>center</wp:align>
              </wp:positionH>
              <wp:positionV relativeFrom="paragraph">
                <wp:posOffset>0</wp:posOffset>
              </wp:positionV>
              <wp:extent cx="209550" cy="162560"/>
              <wp:effectExtent l="0" t="0" r="0" b="0"/>
              <wp:wrapNone/>
              <wp:docPr id="1" name="Quad Arrow 3073"/>
              <wp:cNvGraphicFramePr/>
              <a:graphic xmlns:a="http://schemas.openxmlformats.org/drawingml/2006/main">
                <a:graphicData uri="http://schemas.microsoft.com/office/word/2010/wordprocessingShape">
                  <wps:wsp>
                    <wps:cNvSpPr/>
                    <wps:spPr>
                      <a:xfrm>
                        <a:off x="0" y="0"/>
                        <a:ext cx="209492" cy="162820"/>
                      </a:xfrm>
                      <a:prstGeom prst="rect">
                        <a:avLst/>
                      </a:prstGeom>
                      <a:noFill/>
                      <a:ln w="9525" cap="flat" cmpd="sng">
                        <a:noFill/>
                        <a:prstDash val="solid"/>
                        <a:miter/>
                      </a:ln>
                    </wps:spPr>
                    <wps:txbx>
                      <w:txbxContent>
                        <w:p w14:paraId="3F09040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id="Quad Arrow 3073" o:spid="_x0000_s1026" o:spt="1" style="position:absolute;left:0pt;margin-top:0pt;height:12.8pt;width:16.5pt;mso-position-horizontal:center;mso-position-horizontal-relative:margin;mso-wrap-style:none;z-index:251659264;mso-width-relative:page;mso-height-relative:page;" filled="f" stroked="f" coordsize="21600,21600" o:gfxdata="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1qUiZ0QAAAAMBAAAPAAAAAAAAAAEAIAAAACIAAABkcnMvZG93bnJldi54bWxQSwEC&#10;FAAUAAAACACHTuJAh+iDI/sBAAD4AwAADgAAAAAAAAABACAAAAAgAQAAZHJzL2Uyb0RvYy54bWxQ&#10;SwUGAAAAAAYABgBZAQAAjQUAAAAA&#10;">
              <v:fill on="f" focussize="0,0"/>
              <v:stroke on="f" joinstyle="miter"/>
              <v:imagedata o:title=""/>
              <o:lock v:ext="edit" aspectratio="f"/>
              <v:textbox inset="0mm,0mm,0mm,0mm" style="mso-fit-shape-to-text:t;">
                <w:txbxContent>
                  <w:p w14:paraId="3F09040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C9052E"/>
    <w:multiLevelType w:val="singleLevel"/>
    <w:tmpl w:val="D9C9052E"/>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doNotUseIndentAsNumberingTabStop/>
    <w:useAltKinsokuLineBreakRules/>
    <w:doNotSuppressIndentation/>
    <w:splitPgBreakAndParaMark/>
    <w:compatSetting w:name="compatibilityMode" w:uri="http://schemas.microsoft.com/office/word" w:val="11"/>
  </w:compat>
  <w:docVars>
    <w:docVar w:name="commondata" w:val="eyJoZGlkIjoiYzgxMzVhZTBlNDUyZWUxNDVhMjNkN2E1NjFlOTE5NDcifQ=="/>
  </w:docVars>
  <w:rsids>
    <w:rsidRoot w:val="00000000"/>
    <w:rsid w:val="00CF4A18"/>
    <w:rsid w:val="021A4578"/>
    <w:rsid w:val="022343E1"/>
    <w:rsid w:val="034E66E8"/>
    <w:rsid w:val="06700B84"/>
    <w:rsid w:val="068F128E"/>
    <w:rsid w:val="0FF26B15"/>
    <w:rsid w:val="12525F91"/>
    <w:rsid w:val="1995588A"/>
    <w:rsid w:val="1D1B3F6B"/>
    <w:rsid w:val="1D46583C"/>
    <w:rsid w:val="1ED56A0C"/>
    <w:rsid w:val="2F4800A8"/>
    <w:rsid w:val="2F6173BC"/>
    <w:rsid w:val="302C683A"/>
    <w:rsid w:val="3F2B644E"/>
    <w:rsid w:val="40250D1A"/>
    <w:rsid w:val="432B321D"/>
    <w:rsid w:val="44725BDE"/>
    <w:rsid w:val="45AA3413"/>
    <w:rsid w:val="46111C6B"/>
    <w:rsid w:val="46DA3884"/>
    <w:rsid w:val="4975699D"/>
    <w:rsid w:val="4BB11007"/>
    <w:rsid w:val="4DA670A8"/>
    <w:rsid w:val="4FFC2ABD"/>
    <w:rsid w:val="565D46D6"/>
    <w:rsid w:val="5BBE156E"/>
    <w:rsid w:val="5DED613B"/>
    <w:rsid w:val="5FD72610"/>
    <w:rsid w:val="60C52373"/>
    <w:rsid w:val="62E573E1"/>
    <w:rsid w:val="6E585463"/>
    <w:rsid w:val="752B5F4A"/>
    <w:rsid w:val="7AE06C7C"/>
    <w:rsid w:val="7B25261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1"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2"/>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3"/>
    <w:qFormat/>
    <w:uiPriority w:val="0"/>
    <w:pPr>
      <w:keepNext/>
      <w:keepLines/>
      <w:spacing w:before="260" w:after="260" w:line="415" w:lineRule="auto"/>
      <w:outlineLvl w:val="2"/>
    </w:pPr>
    <w:rPr>
      <w:b/>
      <w:bCs/>
      <w:sz w:val="32"/>
      <w:szCs w:val="32"/>
    </w:rPr>
  </w:style>
  <w:style w:type="paragraph" w:styleId="5">
    <w:name w:val="heading 6"/>
    <w:basedOn w:val="1"/>
    <w:next w:val="1"/>
    <w:qFormat/>
    <w:uiPriority w:val="0"/>
    <w:pPr>
      <w:keepNext/>
      <w:keepLines/>
      <w:widowControl w:val="0"/>
      <w:spacing w:before="240" w:after="64" w:line="319" w:lineRule="auto"/>
      <w:ind w:left="1151" w:hanging="1151"/>
      <w:outlineLvl w:val="5"/>
    </w:pPr>
    <w:rPr>
      <w:rFonts w:ascii="Cambria" w:hAnsi="Cambria"/>
      <w:b/>
      <w:bCs/>
    </w:rPr>
  </w:style>
  <w:style w:type="character" w:default="1" w:styleId="10">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rFonts w:ascii="Times New Roman" w:hAnsi="Times New Roman"/>
      <w:sz w:val="18"/>
    </w:rPr>
  </w:style>
  <w:style w:type="table" w:styleId="9">
    <w:name w:val="Table Grid"/>
    <w:qFormat/>
    <w:uiPriority w:val="1"/>
    <w:rPr>
      <w:rFonts w:ascii="Calibri" w:hAnsi="Calibri"/>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heading 1 Char"/>
    <w:basedOn w:val="10"/>
    <w:link w:val="2"/>
    <w:qFormat/>
    <w:uiPriority w:val="0"/>
    <w:rPr>
      <w:rFonts w:ascii="Calibri" w:hAnsi="Calibri" w:eastAsia="宋体" w:cs="黑体"/>
      <w:b/>
      <w:bCs/>
      <w:kern w:val="44"/>
      <w:sz w:val="44"/>
      <w:szCs w:val="44"/>
      <w:lang w:val="en-US" w:eastAsia="zh-CN" w:bidi="ar-SA"/>
    </w:rPr>
  </w:style>
  <w:style w:type="character" w:customStyle="1" w:styleId="12">
    <w:name w:val="heading 2 Char"/>
    <w:basedOn w:val="10"/>
    <w:link w:val="3"/>
    <w:qFormat/>
    <w:uiPriority w:val="0"/>
    <w:rPr>
      <w:rFonts w:ascii="Times New Roman" w:hAnsi="Times New Roman" w:eastAsia="黑体" w:cs="黑体"/>
      <w:b/>
      <w:bCs/>
      <w:kern w:val="2"/>
      <w:sz w:val="32"/>
      <w:szCs w:val="32"/>
      <w:lang w:val="en-US" w:eastAsia="zh-CN" w:bidi="ar-SA"/>
    </w:rPr>
  </w:style>
  <w:style w:type="character" w:customStyle="1" w:styleId="13">
    <w:name w:val="heading 3 Char"/>
    <w:basedOn w:val="10"/>
    <w:link w:val="4"/>
    <w:qFormat/>
    <w:uiPriority w:val="0"/>
    <w:rPr>
      <w:rFonts w:ascii="Calibri" w:hAnsi="Calibri" w:eastAsia="宋体" w:cs="黑体"/>
      <w:b/>
      <w:bCs/>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899EF5-E6C6-4A85-B6D9-C2BDC251CCE7}">
  <ds:schemaRefs/>
</ds:datastoreItem>
</file>

<file path=docProps/app.xml><?xml version="1.0" encoding="utf-8"?>
<Properties xmlns="http://schemas.openxmlformats.org/officeDocument/2006/extended-properties" xmlns:vt="http://schemas.openxmlformats.org/officeDocument/2006/docPropsVTypes">
  <Template>Normal.eit</Template>
  <Pages>7</Pages>
  <Words>2890</Words>
  <Characters>3080</Characters>
  <Lines>0</Lines>
  <Paragraphs>29</Paragraphs>
  <TotalTime>71</TotalTime>
  <ScaleCrop>false</ScaleCrop>
  <LinksUpToDate>false</LinksUpToDate>
  <CharactersWithSpaces>3100</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 媛媛</cp:lastModifiedBy>
  <cp:lastPrinted>2026-08-12T08:09:18Z</cp:lastPrinted>
  <dcterms:modified xsi:type="dcterms:W3CDTF">2026-08-12T09:39:53Z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96934721B1514D3FBAA28020338CE855_12</vt:lpwstr>
  </property>
  <property fmtid="{D5CDD505-2E9C-101B-9397-08002B2CF9AE}" pid="4" name="KSOTemplateDocerSaveRecord">
    <vt:lpwstr>eyJoZGlkIjoiYzMyN2UxMTRmZThmM2MyNzhjYzExNTQ1ZTg3OWM2YzYiLCJ1c2VySWQiOiI1NzgzMTEyMDkifQ==</vt:lpwstr>
  </property>
</Properties>
</file>