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adjustRightInd w:val="0"/>
        <w:snapToGrid w:val="0"/>
        <w:spacing w:line="560" w:lineRule="exact"/>
        <w:rPr>
          <w:rFonts w:ascii="黑体" w:eastAsia="黑体" w:hAnsi="黑体"/>
          <w:sz w:val="32"/>
          <w:szCs w:val="32"/>
        </w:rPr>
      </w:pPr>
      <w:r>
        <w:rPr>
          <w:rFonts w:ascii="黑体" w:eastAsia="黑体" w:hAnsi="黑体" w:hint="eastAsia"/>
          <w:sz w:val="32"/>
          <w:szCs w:val="32"/>
        </w:rPr>
        <w:t>附件4</w:t>
      </w:r>
    </w:p>
    <w:p>
      <w:pPr>
        <w:spacing w:line="560" w:lineRule="exact"/>
        <w:jc w:val="center"/>
        <w:rPr>
          <w:rFonts w:ascii="宋体" w:cs="宋体" w:hAnsi="宋体"/>
          <w:b/>
          <w:bCs/>
          <w:sz w:val="44"/>
          <w:szCs w:val="44"/>
        </w:rPr>
      </w:pPr>
    </w:p>
    <w:p>
      <w:pPr>
        <w:spacing w:line="560" w:lineRule="exact"/>
        <w:jc w:val="center"/>
        <w:rPr>
          <w:rFonts w:ascii="宋体" w:cs="宋体" w:hAnsi="宋体"/>
          <w:b/>
          <w:bCs/>
          <w:sz w:val="44"/>
          <w:szCs w:val="44"/>
        </w:rPr>
      </w:pPr>
      <w:r>
        <w:rPr>
          <w:rFonts w:ascii="宋体" w:cs="宋体" w:hAnsi="宋体" w:hint="eastAsia"/>
          <w:b/>
          <w:bCs/>
          <w:sz w:val="44"/>
          <w:szCs w:val="44"/>
        </w:rPr>
        <w:t>井陉矿区应急管理局</w:t>
      </w:r>
    </w:p>
    <w:p>
      <w:pPr>
        <w:spacing w:line="560" w:lineRule="exact"/>
        <w:jc w:val="center"/>
        <w:rPr>
          <w:rFonts w:ascii="宋体" w:cs="宋体" w:hAnsi="宋体"/>
          <w:b/>
          <w:bCs/>
          <w:sz w:val="44"/>
          <w:szCs w:val="44"/>
        </w:rPr>
      </w:pPr>
      <w:r>
        <w:rPr>
          <w:rFonts w:ascii="宋体" w:cs="宋体" w:hAnsi="宋体" w:hint="eastAsia"/>
          <w:b/>
          <w:bCs/>
          <w:sz w:val="44"/>
          <w:szCs w:val="44"/>
        </w:rPr>
        <w:t>2025年度整体支出绩效自评报告</w:t>
      </w:r>
    </w:p>
    <w:p>
      <w:pPr>
        <w:spacing w:line="560" w:lineRule="exact"/>
        <w:jc w:val="center"/>
        <w:rPr>
          <w:rFonts w:ascii="华文楷体" w:eastAsia="华文楷体"/>
          <w:sz w:val="32"/>
          <w:szCs w:val="32"/>
        </w:rPr>
      </w:pP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贯彻落实</w:t>
      </w:r>
      <w:r>
        <w:rPr>
          <w:rFonts w:ascii="仿宋" w:eastAsia="仿宋" w:hAnsi="仿宋"/>
          <w:sz w:val="32"/>
          <w:szCs w:val="32"/>
        </w:rPr>
        <w:t>区委区政府</w:t>
      </w:r>
      <w:r>
        <w:rPr>
          <w:rFonts w:ascii="仿宋" w:eastAsia="仿宋" w:hAnsi="仿宋" w:hint="eastAsia"/>
          <w:sz w:val="32"/>
          <w:szCs w:val="32"/>
        </w:rPr>
        <w:t>《关于全面落实预算绩效管理的实施意见》（</w:t>
      </w:r>
      <w:r>
        <w:rPr>
          <w:rFonts w:ascii="仿宋" w:eastAsia="仿宋" w:hAnsi="仿宋"/>
          <w:sz w:val="32"/>
          <w:szCs w:val="32"/>
        </w:rPr>
        <w:t>矿</w:t>
      </w:r>
      <w:r>
        <w:rPr>
          <w:rFonts w:ascii="仿宋" w:eastAsia="仿宋" w:hAnsi="仿宋" w:hint="eastAsia"/>
          <w:sz w:val="32"/>
          <w:szCs w:val="32"/>
        </w:rPr>
        <w:t>发﹝2019﹞</w:t>
      </w:r>
      <w:r>
        <w:rPr>
          <w:rFonts w:ascii="仿宋" w:eastAsia="仿宋" w:hAnsi="仿宋"/>
          <w:sz w:val="32"/>
          <w:szCs w:val="32"/>
        </w:rPr>
        <w:t>7</w:t>
      </w:r>
      <w:r>
        <w:rPr>
          <w:rFonts w:ascii="仿宋" w:eastAsia="仿宋" w:hAnsi="仿宋" w:hint="eastAsia"/>
          <w:sz w:val="32"/>
          <w:szCs w:val="32"/>
        </w:rPr>
        <w:t xml:space="preserve">号）文件精神，遵循“科学性、规范性、客观性和公正性”的原则，对井陉矿区应急管理局部门2025年整体支出情况实施了财政支出绩效自评价，形成本评价报告。  </w:t>
      </w:r>
    </w:p>
    <w:p>
      <w:pPr>
        <w:adjustRightInd w:val="0"/>
        <w:snapToGrid w:val="0"/>
        <w:spacing w:line="560" w:lineRule="exact"/>
        <w:rPr>
          <w:rFonts w:ascii="黑体" w:eastAsia="黑体" w:hAnsi="黑体"/>
          <w:b/>
          <w:bCs/>
          <w:sz w:val="32"/>
          <w:szCs w:val="36"/>
        </w:rPr>
      </w:pPr>
      <w:r>
        <w:rPr>
          <w:rFonts w:ascii="黑体" w:eastAsia="黑体" w:hAnsi="黑体" w:hint="eastAsia"/>
          <w:sz w:val="32"/>
          <w:szCs w:val="32"/>
        </w:rPr>
        <w:t xml:space="preserve">     一、部门</w:t>
      </w:r>
      <w:r>
        <w:rPr>
          <w:rFonts w:ascii="黑体" w:eastAsia="黑体" w:hAnsi="黑体" w:hint="eastAsia"/>
          <w:sz w:val="32"/>
          <w:szCs w:val="36"/>
        </w:rPr>
        <w:t>基本情况</w:t>
      </w:r>
    </w:p>
    <w:p>
      <w:pPr>
        <w:adjustRightInd w:val="0"/>
        <w:snapToGrid w:val="0"/>
        <w:spacing w:line="560" w:lineRule="exact"/>
        <w:ind w:firstLineChars="200" w:firstLine="640"/>
        <w:rPr>
          <w:rFonts w:ascii="楷体" w:eastAsia="楷体" w:cs="楷体_GB2312" w:hAnsi="楷体"/>
          <w:bCs/>
          <w:sz w:val="32"/>
          <w:szCs w:val="32"/>
        </w:rPr>
      </w:pPr>
      <w:r>
        <w:rPr>
          <w:rFonts w:ascii="楷体" w:eastAsia="楷体" w:cs="楷体_GB2312" w:hAnsi="楷体" w:hint="eastAsia"/>
          <w:bCs/>
          <w:sz w:val="32"/>
          <w:szCs w:val="32"/>
        </w:rPr>
        <w:t>（一）部门概况</w:t>
      </w:r>
    </w:p>
    <w:p>
      <w:pPr>
        <w:pStyle w:val="15"/>
      </w:pPr>
      <w:r>
        <w:rPr>
          <w:rFonts w:ascii="方正楷体_GBK" w:eastAsia="方正楷体_GBK" w:cs="方正楷体_GBK" w:hAnsi="方正楷体_GBK" w:hint="eastAsia"/>
          <w:b/>
          <w:color w:val="000000"/>
          <w:sz w:val="32"/>
        </w:rPr>
        <w:t>单位职责：</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1.负责应急管理工作。指导全区各级各部门应对安全生产类、自然灾害类等突发事件和综合防灾减灾救灾工作。负责安全生产综合监督管理和工矿商贸行业安全生产监督管理工作。</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2.贯彻落实国家、省、市有关应急管理和安全生产方面的法律、法规、条例、政策。组织编制区应急体系建设、安全生产和综合防灾减灾规划，组织制定相关具体规程并监督实施。</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3.负责应急预案体系建设，落实完善事故灾难和自然灾害分级应对制度，组织编制区总体应急预案和安全生产类、自然灾害类专项预案，综合协调应急预案衔接工作，组织开展预案演练，推动应急避难设施建设。</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4.与国家和省市系统对接，建立完善全区应急管理信息系统，负责管辖范围内的信息传输渠道的规划和布局;建立监测预警和灾情报告制度，健全自然灾害信息资源获取和共享机制，依法统一发布灾情。</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5.组织协调安全生产类、自然灾害类等突发事件应急救援，综合研判突发事件发展态势并提出应对建议，协助区委、区政府指定的负责同志组织重大灾害应急处置工作。</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6.统一协调指挥区应急专业队伍，建立应急协调联动机制，建立并推进指挥平台对接，衔接驻区解放军和武警部队参与应急救援工作。</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7.统筹应急救援力量建设，负责消防、森林和草原火灾扑救、抗洪抢险、地震和地质灾害救援、生产安全事故救援等专业应急救援力量建设，综合协调应急救援队伍，指导各级及社会应急救援力量建设。</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8.组织协调消防工作，指导消防监督、火灾预防、火灾扑救等工作。</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9.组织协调森林和草原火灾、水旱灾害、地震和地质灾害等防治工作，负责自然灾害综合监测预警工作；会同有关部门做好自然灾害综合风险评估工作。</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10.组织协调灾害救助工作，负责灾情核查、损失评估、救灾捐赠工作，管理、分配救灾款物并监督使用。</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11.依法行使安全生产综合监督管理职权，指导协调、监督检查区有关部门和各乡（镇）政府、街道办事处的安全生产工作，组织开展安全生产考核工作。</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12.按照分级、属地原则，依法监督检查工矿商贸生产经营单位贯彻执行安全生产法律法规情况，以及安全生产条件和有关设备（特种设备除外）、材料、劳动防护用品的安全生产管理工作；负责监督管理工矿商贸行业区内企业的安全生产工作，配合上级部门监督管理驻区中央企业、省属企业、市属企业的安全生产工作；负责危险化学品安全监督管理综合工作和烟花爆竹安全生产监督管理工作。</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13.依法开展生产安全事故调查处理，监督事故查处和责任追究落实情况；组织开展自然灾害类突发事件的调查评估工作。</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14.制定应急物资储备和应急救援装备规划并组织实施，会同区粮食和物资储备等部门建立健全应急物资信息平台和调拨制度，在救灾时统一调度。</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15.负责应急管理、安全生产宣传教育和培训工作，负责应急管理、安全生产科技成果推广应用和信息化建设工作。</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16.负责组织协调、指导监督全区安全生产行政执法工作，组织开展对区内企业的执法检查，组织开展对辖区安全生产重点企业，驻区中央企业、省属企业、市属企业的执法抽查。</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17.组织开展应急管理方面的区域交流与合作。</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18.完成区委、区政府交办的其他任务。</w:t>
      </w:r>
    </w:p>
    <w:p>
      <w:pPr>
        <w:pStyle w:val="19"/>
        <w:rPr>
          <w:b/>
          <w:bCs/>
        </w:rPr>
      </w:pPr>
      <w:r>
        <w:rPr>
          <w:rFonts w:hint="eastAsia"/>
          <w:b/>
          <w:bCs/>
        </w:rPr>
        <w:t>机构构成：</w:t>
      </w:r>
    </w:p>
    <w:tbl>
      <w:tblPr>
        <w:tblpPr w:leftFromText="180" w:rightFromText="180" w:vertAnchor="text" w:horzAnchor="page" w:tblpX="2282" w:tblpY="171"/>
        <w:tblOverlap w:val="never"/>
        <w:tblW w:w="79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4A0" w:firstRow="1" w:lastRow="0" w:firstColumn="1" w:lastColumn="0" w:noHBand="0" w:noVBand="1"/>
      </w:tblPr>
      <w:tblGrid>
        <w:gridCol w:w="2430"/>
        <w:gridCol w:w="1590"/>
        <w:gridCol w:w="1635"/>
        <w:gridCol w:w="2265"/>
      </w:tblGrid>
      <w:tr>
        <w:trPr>
          <w:trHeight w:val="567"/>
          <w:tblHeader/>
        </w:trPr>
        <w:tc>
          <w:tcPr>
            <w:tcW w:w="2430" w:type="dxa"/>
            <w:vAlign w:val="center"/>
          </w:tcPr>
          <w:p>
            <w:pPr>
              <w:pStyle w:val="20"/>
            </w:pPr>
            <w:r>
              <w:t>单位名称</w:t>
            </w:r>
          </w:p>
        </w:tc>
        <w:tc>
          <w:tcPr>
            <w:tcW w:w="1590" w:type="dxa"/>
            <w:vAlign w:val="center"/>
          </w:tcPr>
          <w:p>
            <w:pPr>
              <w:pStyle w:val="20"/>
            </w:pPr>
            <w:r>
              <w:t>单位性质</w:t>
            </w:r>
          </w:p>
        </w:tc>
        <w:tc>
          <w:tcPr>
            <w:tcW w:w="1635" w:type="dxa"/>
            <w:vAlign w:val="center"/>
          </w:tcPr>
          <w:p>
            <w:pPr>
              <w:pStyle w:val="20"/>
            </w:pPr>
            <w:r>
              <w:t>单位规格</w:t>
            </w:r>
          </w:p>
        </w:tc>
        <w:tc>
          <w:tcPr>
            <w:tcW w:w="2265" w:type="dxa"/>
            <w:vAlign w:val="center"/>
          </w:tcPr>
          <w:p>
            <w:pPr>
              <w:pStyle w:val="20"/>
            </w:pPr>
            <w:r>
              <w:t>经费保障形式</w:t>
            </w:r>
          </w:p>
        </w:tc>
      </w:tr>
      <w:tr>
        <w:trPr>
          <w:trHeight w:val="369"/>
        </w:trPr>
        <w:tc>
          <w:tcPr>
            <w:tcW w:w="2430" w:type="dxa"/>
            <w:vAlign w:val="center"/>
          </w:tcPr>
          <w:p>
            <w:pPr>
              <w:pStyle w:val="21"/>
            </w:pPr>
            <w:r>
              <w:t>矿区应急管理局本级</w:t>
            </w:r>
          </w:p>
        </w:tc>
        <w:tc>
          <w:tcPr>
            <w:tcW w:w="1590" w:type="dxa"/>
            <w:tcBorders>
              <w:left w:val="single" w:sz="6" w:space="0" w:color="000000"/>
            </w:tcBorders>
            <w:vAlign w:val="center"/>
          </w:tcPr>
          <w:p>
            <w:pPr>
              <w:pStyle w:val="22"/>
            </w:pPr>
            <w:r>
              <w:t>行政</w:t>
            </w:r>
          </w:p>
        </w:tc>
        <w:tc>
          <w:tcPr>
            <w:tcW w:w="1635" w:type="dxa"/>
            <w:tcBorders>
              <w:left w:val="single" w:sz="6" w:space="0" w:color="000000"/>
            </w:tcBorders>
            <w:vAlign w:val="center"/>
          </w:tcPr>
          <w:p>
            <w:pPr>
              <w:pStyle w:val="22"/>
            </w:pPr>
            <w:r>
              <w:t>正科级</w:t>
            </w:r>
          </w:p>
        </w:tc>
        <w:tc>
          <w:tcPr>
            <w:tcW w:w="2265" w:type="dxa"/>
            <w:tcBorders>
              <w:left w:val="single" w:sz="6" w:space="0" w:color="000000"/>
            </w:tcBorders>
            <w:vAlign w:val="center"/>
          </w:tcPr>
          <w:p>
            <w:pPr>
              <w:pStyle w:val="22"/>
            </w:pPr>
            <w:r>
              <w:t>财政拨款</w:t>
            </w:r>
          </w:p>
        </w:tc>
      </w:tr>
      <w:tr>
        <w:trPr>
          <w:trHeight w:val="369"/>
        </w:trPr>
        <w:tc>
          <w:tcPr>
            <w:tcW w:w="2430" w:type="dxa"/>
            <w:vAlign w:val="center"/>
          </w:tcPr>
          <w:p>
            <w:pPr>
              <w:pStyle w:val="21"/>
            </w:pPr>
            <w:r>
              <w:rPr>
                <w:rFonts w:hint="eastAsia"/>
              </w:rPr>
              <w:t>井陉矿区森林草原消防大队</w:t>
            </w:r>
          </w:p>
        </w:tc>
        <w:tc>
          <w:tcPr>
            <w:tcW w:w="1590" w:type="dxa"/>
            <w:tcBorders>
              <w:left w:val="single" w:sz="6" w:space="0" w:color="000000"/>
            </w:tcBorders>
            <w:vAlign w:val="center"/>
          </w:tcPr>
          <w:p>
            <w:pPr>
              <w:pStyle w:val="22"/>
            </w:pPr>
            <w:r>
              <w:rPr>
                <w:rFonts w:hint="eastAsia"/>
              </w:rPr>
              <w:t>事业</w:t>
            </w:r>
          </w:p>
        </w:tc>
        <w:tc>
          <w:tcPr>
            <w:tcW w:w="1635" w:type="dxa"/>
            <w:tcBorders>
              <w:left w:val="single" w:sz="6" w:space="0" w:color="000000"/>
            </w:tcBorders>
            <w:vAlign w:val="center"/>
          </w:tcPr>
          <w:p>
            <w:pPr>
              <w:pStyle w:val="22"/>
            </w:pPr>
            <w:r>
              <w:rPr>
                <w:rFonts w:hint="eastAsia"/>
              </w:rPr>
              <w:t>股</w:t>
            </w:r>
            <w:r>
              <w:t>级</w:t>
            </w:r>
          </w:p>
        </w:tc>
        <w:tc>
          <w:tcPr>
            <w:tcW w:w="2265" w:type="dxa"/>
            <w:tcBorders>
              <w:left w:val="single" w:sz="6" w:space="0" w:color="000000"/>
            </w:tcBorders>
            <w:vAlign w:val="center"/>
          </w:tcPr>
          <w:p>
            <w:pPr>
              <w:pStyle w:val="22"/>
            </w:pPr>
            <w:r>
              <w:t>财政拨款</w:t>
            </w:r>
          </w:p>
        </w:tc>
      </w:tr>
    </w:tbl>
    <w:p>
      <w:pPr>
        <w:pStyle w:val="19"/>
        <w:rPr>
          <w:rFonts w:ascii="宋体" w:eastAsia="宋体" w:cs="宋体" w:hAnsi="宋体"/>
          <w:b/>
          <w:bCs/>
          <w:sz w:val="32"/>
          <w:szCs w:val="32"/>
        </w:rPr>
      </w:pPr>
      <w:r>
        <w:rPr>
          <w:rFonts w:ascii="宋体" w:eastAsia="宋体" w:cs="宋体" w:hAnsi="宋体" w:hint="eastAsia"/>
          <w:b/>
          <w:bCs/>
          <w:sz w:val="32"/>
          <w:szCs w:val="32"/>
        </w:rPr>
        <w:t>（</w:t>
      </w:r>
    </w:p>
    <w:p>
      <w:pPr>
        <w:pStyle w:val="19"/>
        <w:rPr>
          <w:rFonts w:ascii="宋体" w:eastAsia="宋体" w:cs="宋体" w:hAnsi="宋体"/>
          <w:b/>
          <w:bCs/>
          <w:sz w:val="32"/>
          <w:szCs w:val="32"/>
        </w:rPr>
      </w:pPr>
    </w:p>
    <w:p>
      <w:pPr>
        <w:pStyle w:val="19"/>
        <w:rPr>
          <w:rFonts w:ascii="宋体" w:eastAsia="宋体" w:cs="宋体" w:hAnsi="宋体"/>
          <w:b/>
          <w:bCs/>
          <w:sz w:val="32"/>
          <w:szCs w:val="32"/>
        </w:rPr>
      </w:pPr>
    </w:p>
    <w:p>
      <w:pPr>
        <w:pStyle w:val="19"/>
        <w:rPr>
          <w:rFonts w:ascii="宋体" w:eastAsia="宋体" w:cs="宋体" w:hAnsi="宋体"/>
          <w:b/>
          <w:bCs/>
          <w:sz w:val="32"/>
          <w:szCs w:val="32"/>
        </w:rPr>
      </w:pPr>
    </w:p>
    <w:p>
      <w:pPr>
        <w:snapToGrid w:val="0"/>
        <w:spacing w:line="520" w:lineRule="exact"/>
        <w:ind w:left="0" w:firstLineChars="200" w:firstLine="640"/>
        <w:rPr>
          <w:rFonts w:ascii="仿宋_GB2312" w:eastAsia="仿宋_GB2312" w:hAnsi="仿宋"/>
          <w:b/>
          <w:bCs/>
          <w:sz w:val="32"/>
          <w:szCs w:val="32"/>
        </w:rPr>
      </w:pPr>
      <w:r>
        <w:rPr>
          <w:rFonts w:ascii="仿宋_GB2312" w:eastAsia="仿宋_GB2312" w:hAnsi="仿宋" w:hint="eastAsia"/>
          <w:b/>
          <w:bCs/>
          <w:sz w:val="32"/>
          <w:szCs w:val="32"/>
        </w:rPr>
        <w:t>人员及资产情况：</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2025年年初，应急管理局行政实有人数10人、事业编实有人数7人，共计17人。</w:t>
      </w:r>
      <w:bookmarkStart w:id="0" w:name="_GoBack"/>
      <w:r>
        <w:rPr>
          <w:rFonts w:ascii="仿宋" w:eastAsia="仿宋" w:hAnsi="仿宋" w:hint="eastAsia"/>
          <w:sz w:val="32"/>
          <w:szCs w:val="32"/>
        </w:rPr>
        <w:t>截</w:t>
      </w:r>
      <w:r>
        <w:rPr>
          <w:rFonts w:ascii="仿宋" w:eastAsia="仿宋" w:hAnsi="仿宋"/>
          <w:sz w:val="32"/>
          <w:szCs w:val="32"/>
        </w:rPr>
        <w:t>至</w:t>
      </w:r>
      <w:r>
        <w:rPr>
          <w:rFonts w:ascii="仿宋" w:eastAsia="仿宋" w:hAnsi="仿宋" w:hint="eastAsia"/>
          <w:sz w:val="32"/>
          <w:szCs w:val="32"/>
        </w:rPr>
        <w:t>2025年年末</w:t>
      </w:r>
      <w:bookmarkEnd w:id="0"/>
      <w:r>
        <w:rPr>
          <w:rFonts w:ascii="仿宋" w:eastAsia="仿宋" w:hAnsi="仿宋" w:hint="eastAsia"/>
          <w:sz w:val="32"/>
          <w:szCs w:val="32"/>
        </w:rPr>
        <w:t>，行政工勤退休1人，事业编人员调入1人；截止年末全单位共计17人。</w:t>
      </w:r>
    </w:p>
    <w:p>
      <w:pPr>
        <w:adjustRightInd w:val="0"/>
        <w:snapToGrid w:val="0"/>
        <w:spacing w:line="560" w:lineRule="exact"/>
        <w:ind w:firstLineChars="200" w:firstLine="640"/>
        <w:rPr>
          <w:rFonts w:ascii="仿宋" w:eastAsia="仿宋" w:cs="仿宋" w:hAnsi="仿宋"/>
          <w:sz w:val="32"/>
          <w:szCs w:val="32"/>
        </w:rPr>
      </w:pPr>
      <w:r>
        <w:rPr>
          <w:rFonts w:ascii="仿宋" w:eastAsia="仿宋" w:hAnsi="仿宋" w:hint="eastAsia"/>
          <w:sz w:val="32"/>
          <w:szCs w:val="32"/>
        </w:rPr>
        <w:t>2025年年初我单位“固定资产”</w:t>
      </w:r>
      <w:r>
        <w:rPr>
          <w:rFonts w:ascii="仿宋" w:eastAsia="仿宋" w:hAnsi="仿宋"/>
          <w:sz w:val="32"/>
          <w:szCs w:val="32"/>
        </w:rPr>
        <w:t>5571935.67</w:t>
      </w:r>
      <w:r>
        <w:rPr>
          <w:rFonts w:ascii="仿宋" w:eastAsia="仿宋" w:hAnsi="仿宋" w:hint="eastAsia"/>
          <w:sz w:val="32"/>
          <w:szCs w:val="32"/>
        </w:rPr>
        <w:t>元，2025年增加设备等218200元，因此“固定资产”期末数为</w:t>
      </w:r>
      <w:r>
        <w:rPr>
          <w:rFonts w:ascii="仿宋" w:eastAsia="仿宋" w:hAnsi="仿宋"/>
          <w:sz w:val="32"/>
          <w:szCs w:val="32"/>
        </w:rPr>
        <w:t>5</w:t>
      </w:r>
      <w:r>
        <w:rPr>
          <w:rFonts w:ascii="仿宋" w:eastAsia="仿宋" w:hAnsi="仿宋" w:hint="eastAsia"/>
          <w:sz w:val="32"/>
          <w:szCs w:val="32"/>
        </w:rPr>
        <w:t>790135</w:t>
      </w:r>
      <w:r>
        <w:rPr>
          <w:rFonts w:ascii="仿宋" w:eastAsia="仿宋" w:hAnsi="仿宋"/>
          <w:sz w:val="32"/>
          <w:szCs w:val="32"/>
        </w:rPr>
        <w:t>.67</w:t>
      </w:r>
      <w:r>
        <w:rPr>
          <w:rFonts w:ascii="仿宋" w:eastAsia="仿宋" w:hAnsi="仿宋" w:hint="eastAsia"/>
          <w:sz w:val="32"/>
          <w:szCs w:val="32"/>
        </w:rPr>
        <w:t>元。</w:t>
      </w:r>
    </w:p>
    <w:p>
      <w:pPr>
        <w:adjustRightInd w:val="0"/>
        <w:snapToGrid w:val="0"/>
        <w:spacing w:line="560" w:lineRule="exact"/>
        <w:ind w:firstLineChars="200" w:firstLine="640"/>
        <w:rPr>
          <w:rFonts w:ascii="楷体" w:eastAsia="楷体" w:cs="楷体_GB2312" w:hAnsi="楷体"/>
          <w:bCs/>
          <w:sz w:val="32"/>
          <w:szCs w:val="32"/>
        </w:rPr>
      </w:pPr>
      <w:r>
        <w:rPr>
          <w:rFonts w:ascii="楷体" w:eastAsia="楷体" w:cs="楷体_GB2312" w:hAnsi="楷体" w:hint="eastAsia"/>
          <w:bCs/>
          <w:sz w:val="32"/>
          <w:szCs w:val="32"/>
        </w:rPr>
        <w:t>（二）部门收支预决算情况</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2025年年初预算收入540.56万元、决算支出482.15万元，其中：一般公共预算财政拨款支出416.31万元；政府性基金预算财政拨款支出65.84万元。</w:t>
      </w:r>
    </w:p>
    <w:p>
      <w:pPr>
        <w:adjustRightInd w:val="0"/>
        <w:snapToGrid w:val="0"/>
        <w:spacing w:line="560" w:lineRule="exact"/>
        <w:ind w:firstLineChars="200" w:firstLine="640"/>
        <w:rPr>
          <w:rFonts w:ascii="楷体" w:eastAsia="楷体" w:cs="楷体_GB2312" w:hAnsi="楷体"/>
          <w:bCs/>
          <w:sz w:val="32"/>
          <w:szCs w:val="32"/>
        </w:rPr>
      </w:pPr>
      <w:r>
        <w:rPr>
          <w:rFonts w:ascii="楷体" w:eastAsia="楷体" w:cs="楷体_GB2312" w:hAnsi="楷体" w:hint="eastAsia"/>
          <w:bCs/>
          <w:sz w:val="32"/>
          <w:szCs w:val="32"/>
        </w:rPr>
        <w:t>（三）部门整体支出绩效目标、指标</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我单位一级项目和二级项目基本按预算完成，绩效评价得分92分，主要差异是部分项目未能完成支付，原因是补充森林草原防灭火救援装备经费因财政资金紧张未付款。</w:t>
      </w:r>
    </w:p>
    <w:p>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二、自评工作开展情况</w:t>
      </w:r>
    </w:p>
    <w:p>
      <w:pPr>
        <w:spacing w:line="560" w:lineRule="exact"/>
        <w:rPr>
          <w:rFonts w:ascii="楷体" w:eastAsia="楷体" w:cs="楷体_GB2312" w:hAnsi="楷体"/>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（一）自评的组织工作</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为进一步提高我局绩效预算管理工作，根据区财政局《关于开展2026年绩效自评工作的通知》文件要求，成立绩效评价工作组，对我局所有的资金项目，开展2025年度部门整体绩效自评工作。</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绩效评价工作组根据工作方案，明确任务分工，确定评价程序及时间安排。根据2025年初设定的绩效目标完成情况和各绩效指标完成情况进行核实分析，填报《2025年区级项目绩效自评表》，并撰写绩效自评报告。</w:t>
      </w:r>
    </w:p>
    <w:p>
      <w:pPr>
        <w:numPr>
          <w:ilvl w:val="0"/>
          <w:numId w:val="1"/>
        </w:numPr>
        <w:spacing w:line="560" w:lineRule="exact"/>
        <w:rPr>
          <w:rFonts w:ascii="楷体" w:eastAsia="楷体" w:cs="楷体_GB2312" w:hAnsi="楷体"/>
          <w:bCs/>
          <w:sz w:val="32"/>
          <w:szCs w:val="32"/>
        </w:rPr>
      </w:pPr>
      <w:r>
        <w:rPr>
          <w:rFonts w:ascii="楷体" w:eastAsia="楷体" w:cs="楷体_GB2312" w:hAnsi="楷体" w:hint="eastAsia"/>
          <w:bCs/>
          <w:sz w:val="32"/>
          <w:szCs w:val="32"/>
        </w:rPr>
        <w:t>自评的方法和过程</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本次绩效评价证据收集方法包括了：研究、分析项目预算股室提供的相关文件；整理汇总项目预算股室提供的项目资料、工作总结和合同；根据预算股室提供的基础数据表逐项进行核实；根据项目服务对象填写的问卷调查结果汇总满意度情况。项目在前期的调研基础上，完成了项目绩效评价工作方案，设计了指标体系、评价标准、问卷调查方案等，明确了评价的目的、方法，评价原则。项目严格按照工作方案，通过调研、相关文件的解读、数据采集、文件调查、数据分析、指标评分和撰写的环节，顺利完成了本次绩效评价工作。</w:t>
      </w:r>
    </w:p>
    <w:p>
      <w:pPr>
        <w:spacing w:line="560" w:lineRule="exact"/>
        <w:rPr>
          <w:rFonts w:ascii="黑体" w:eastAsia="黑体" w:hAnsi="黑体"/>
          <w:b/>
          <w:bCs/>
          <w:sz w:val="32"/>
          <w:szCs w:val="32"/>
        </w:rPr>
      </w:pPr>
      <w:r>
        <w:rPr>
          <w:rFonts w:ascii="黑体" w:eastAsia="黑体" w:hAnsi="黑体" w:hint="eastAsia"/>
          <w:sz w:val="32"/>
          <w:szCs w:val="32"/>
        </w:rPr>
        <w:t xml:space="preserve">    三、部门整体支出绩效目标实现情况及指标分析</w:t>
      </w:r>
    </w:p>
    <w:p>
      <w:pPr>
        <w:numPr>
          <w:ilvl w:val="0"/>
          <w:numId w:val="2"/>
        </w:numPr>
        <w:spacing w:line="560" w:lineRule="exact"/>
        <w:ind w:left="0" w:firstLineChars="200" w:firstLine="640"/>
        <w:rPr>
          <w:rFonts w:ascii="楷体" w:eastAsia="楷体" w:cs="楷体_GB2312" w:hAnsi="楷体"/>
          <w:bCs/>
          <w:sz w:val="32"/>
          <w:szCs w:val="32"/>
        </w:rPr>
      </w:pPr>
      <w:r>
        <w:rPr>
          <w:rFonts w:ascii="楷体" w:eastAsia="楷体" w:cs="楷体_GB2312" w:hAnsi="楷体" w:hint="eastAsia"/>
          <w:bCs/>
          <w:sz w:val="32"/>
          <w:szCs w:val="32"/>
        </w:rPr>
        <w:t>总体绩效目标实现情况</w:t>
      </w:r>
    </w:p>
    <w:p>
      <w:pPr>
        <w:pStyle w:val="15"/>
        <w:rPr>
          <w:rFonts w:ascii="仿宋" w:eastAsia="仿宋" w:cs="楷体_GB2312" w:hAnsi="仿宋"/>
          <w:sz w:val="32"/>
          <w:szCs w:val="32"/>
        </w:rPr>
      </w:pPr>
      <w:r>
        <w:rPr>
          <w:rFonts w:ascii="仿宋" w:eastAsia="仿宋" w:cs="楷体_GB2312" w:hAnsi="仿宋" w:hint="eastAsia"/>
          <w:sz w:val="32"/>
          <w:szCs w:val="32"/>
        </w:rPr>
        <w:t>绩效目标是贯穿预算绩效管理始终的一条主线，是预算资金安排、事中绩效跟踪和事后绩效评价的重要依据。根据相关文件要求，我局所有年初项目均设定了绩效目标，涉及产出指标和效果指标，但存在绩效指标不够全面、可评性不高、具体指标缺乏量化等问题。主要原因是对绩效目标的认识不够，制定多样化和细化的评价指标和标准需要在实践中不断完善。</w:t>
      </w:r>
    </w:p>
    <w:p>
      <w:pPr>
        <w:spacing w:line="560" w:lineRule="exact"/>
        <w:rPr>
          <w:rFonts w:ascii="楷体" w:eastAsia="楷体" w:hAnsi="楷体"/>
          <w:bCs/>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（二）分项绩效目标实现情况及指标分析</w:t>
      </w:r>
    </w:p>
    <w:p>
      <w:pPr>
        <w:pStyle w:val="15"/>
        <w:rPr>
          <w:rFonts w:ascii="仿宋" w:eastAsia="仿宋" w:cs="楷体_GB2312" w:hAnsi="仿宋"/>
          <w:sz w:val="32"/>
          <w:szCs w:val="32"/>
        </w:rPr>
      </w:pPr>
      <w:r>
        <w:rPr>
          <w:rFonts w:ascii="仿宋" w:eastAsia="仿宋" w:cs="楷体_GB2312" w:hAnsi="仿宋" w:hint="eastAsia"/>
          <w:sz w:val="32"/>
          <w:szCs w:val="32"/>
        </w:rPr>
        <w:t>（一）劳务派遣经费</w:t>
      </w:r>
    </w:p>
    <w:p>
      <w:pPr>
        <w:pStyle w:val="15"/>
        <w:rPr>
          <w:rFonts w:ascii="仿宋" w:eastAsia="仿宋" w:cs="楷体_GB2312" w:hAnsi="仿宋"/>
          <w:sz w:val="32"/>
          <w:szCs w:val="32"/>
        </w:rPr>
      </w:pPr>
      <w:r>
        <w:rPr>
          <w:rFonts w:ascii="仿宋" w:eastAsia="仿宋" w:cs="楷体_GB2312" w:hAnsi="仿宋" w:hint="eastAsia"/>
          <w:sz w:val="32"/>
          <w:szCs w:val="32"/>
        </w:rPr>
        <w:t>1.资金支出进度</w:t>
      </w:r>
    </w:p>
    <w:p>
      <w:pPr>
        <w:pStyle w:val="15"/>
        <w:rPr>
          <w:rFonts w:ascii="仿宋" w:eastAsia="仿宋" w:cs="楷体_GB2312" w:hAnsi="仿宋"/>
          <w:sz w:val="32"/>
          <w:szCs w:val="32"/>
        </w:rPr>
      </w:pPr>
      <w:r>
        <w:rPr>
          <w:rFonts w:ascii="仿宋" w:eastAsia="仿宋" w:cs="楷体_GB2312" w:hAnsi="仿宋" w:hint="eastAsia"/>
          <w:sz w:val="32"/>
          <w:szCs w:val="32"/>
        </w:rPr>
        <w:t>该项目预算数是129.8万元，支出49.96万元，总体支出进度为 38.49%。</w:t>
      </w:r>
    </w:p>
    <w:p>
      <w:pPr>
        <w:pStyle w:val="15"/>
        <w:rPr>
          <w:rFonts w:ascii="仿宋" w:eastAsia="仿宋" w:cs="楷体_GB2312" w:hAnsi="仿宋"/>
          <w:sz w:val="32"/>
          <w:szCs w:val="32"/>
        </w:rPr>
      </w:pPr>
      <w:r>
        <w:rPr>
          <w:rFonts w:ascii="仿宋" w:eastAsia="仿宋" w:cs="楷体_GB2312" w:hAnsi="仿宋" w:hint="eastAsia"/>
          <w:sz w:val="32"/>
          <w:szCs w:val="32"/>
        </w:rPr>
        <w:t>2.产出指标和效果指标完成情况</w:t>
      </w:r>
    </w:p>
    <w:p>
      <w:pPr>
        <w:pStyle w:val="15"/>
        <w:rPr>
          <w:rFonts w:ascii="仿宋" w:eastAsia="仿宋" w:cs="楷体_GB2312" w:hAnsi="仿宋"/>
          <w:sz w:val="32"/>
          <w:szCs w:val="32"/>
        </w:rPr>
      </w:pPr>
      <w:r>
        <w:rPr>
          <w:rFonts w:ascii="仿宋" w:eastAsia="仿宋" w:cs="楷体_GB2312" w:hAnsi="仿宋" w:hint="eastAsia"/>
          <w:sz w:val="32"/>
          <w:szCs w:val="32"/>
        </w:rPr>
        <w:t>通过支付劳务派遣人员工资及各项社会保障费，提升了工作效率，保障日常工作顺利开展。</w:t>
      </w:r>
    </w:p>
    <w:p>
      <w:pPr>
        <w:pStyle w:val="15"/>
        <w:rPr>
          <w:rFonts w:ascii="仿宋" w:eastAsia="仿宋" w:cs="楷体_GB2312" w:hAnsi="仿宋"/>
          <w:sz w:val="32"/>
          <w:szCs w:val="32"/>
        </w:rPr>
      </w:pPr>
      <w:r>
        <w:rPr>
          <w:rFonts w:ascii="仿宋" w:eastAsia="仿宋" w:cs="楷体_GB2312" w:hAnsi="仿宋" w:hint="eastAsia"/>
          <w:sz w:val="32"/>
          <w:szCs w:val="32"/>
        </w:rPr>
        <w:t>绩效指标为 4 个，评价等级为优。</w:t>
      </w:r>
    </w:p>
    <w:p>
      <w:pPr>
        <w:pStyle w:val="15"/>
        <w:rPr>
          <w:rFonts w:ascii="仿宋" w:eastAsia="仿宋" w:cs="楷体_GB2312" w:hAnsi="仿宋"/>
          <w:sz w:val="32"/>
          <w:szCs w:val="32"/>
        </w:rPr>
      </w:pPr>
      <w:r>
        <w:rPr>
          <w:rFonts w:ascii="仿宋" w:eastAsia="仿宋" w:cs="楷体_GB2312" w:hAnsi="仿宋" w:hint="eastAsia"/>
          <w:sz w:val="32"/>
          <w:szCs w:val="32"/>
        </w:rPr>
        <w:t>（二）安监信息平台网络运维费</w:t>
      </w:r>
    </w:p>
    <w:p>
      <w:pPr>
        <w:pStyle w:val="15"/>
        <w:rPr>
          <w:rFonts w:ascii="仿宋" w:eastAsia="仿宋" w:cs="楷体_GB2312" w:hAnsi="仿宋"/>
          <w:sz w:val="32"/>
          <w:szCs w:val="32"/>
        </w:rPr>
      </w:pPr>
      <w:r>
        <w:rPr>
          <w:rFonts w:ascii="仿宋" w:eastAsia="仿宋" w:cs="楷体_GB2312" w:hAnsi="仿宋" w:hint="eastAsia"/>
          <w:sz w:val="32"/>
          <w:szCs w:val="32"/>
        </w:rPr>
        <w:t>1.资金支出进度</w:t>
      </w:r>
    </w:p>
    <w:p>
      <w:pPr>
        <w:pStyle w:val="15"/>
        <w:rPr>
          <w:rFonts w:ascii="仿宋" w:eastAsia="仿宋" w:cs="楷体_GB2312" w:hAnsi="仿宋"/>
          <w:sz w:val="32"/>
          <w:szCs w:val="32"/>
        </w:rPr>
      </w:pPr>
      <w:r>
        <w:rPr>
          <w:rFonts w:ascii="仿宋" w:eastAsia="仿宋" w:cs="楷体_GB2312" w:hAnsi="仿宋" w:hint="eastAsia"/>
          <w:sz w:val="32"/>
          <w:szCs w:val="32"/>
        </w:rPr>
        <w:t>该项目预算数是27.5万元，支出27.5万元，总体支出进度为100%。</w:t>
      </w:r>
    </w:p>
    <w:p>
      <w:pPr>
        <w:pStyle w:val="15"/>
        <w:rPr>
          <w:rFonts w:ascii="仿宋" w:eastAsia="仿宋" w:cs="楷体_GB2312" w:hAnsi="仿宋"/>
          <w:sz w:val="32"/>
          <w:szCs w:val="32"/>
        </w:rPr>
      </w:pPr>
      <w:r>
        <w:rPr>
          <w:rFonts w:ascii="仿宋" w:eastAsia="仿宋" w:cs="楷体_GB2312" w:hAnsi="仿宋" w:hint="eastAsia"/>
          <w:sz w:val="32"/>
          <w:szCs w:val="32"/>
        </w:rPr>
        <w:t>2.产出指标和效果指标完成情况</w:t>
      </w:r>
    </w:p>
    <w:p>
      <w:pPr>
        <w:pStyle w:val="15"/>
        <w:rPr>
          <w:rFonts w:ascii="仿宋" w:eastAsia="仿宋" w:cs="楷体_GB2312" w:hAnsi="仿宋"/>
          <w:sz w:val="32"/>
          <w:szCs w:val="32"/>
        </w:rPr>
      </w:pPr>
      <w:r>
        <w:rPr>
          <w:rFonts w:ascii="仿宋" w:eastAsia="仿宋" w:cs="楷体_GB2312" w:hAnsi="仿宋" w:hint="eastAsia"/>
          <w:sz w:val="32"/>
          <w:szCs w:val="32"/>
        </w:rPr>
        <w:t>通过安全生产综合监管与应急救援信息平台、工矿商贸领域作业场所视频监控全覆盖建设项目、应急通信设备网络运行维护，确保网络正常运行。</w:t>
      </w:r>
    </w:p>
    <w:p>
      <w:pPr>
        <w:pStyle w:val="15"/>
        <w:rPr>
          <w:rFonts w:ascii="仿宋" w:eastAsia="仿宋" w:cs="楷体_GB2312" w:hAnsi="仿宋"/>
          <w:sz w:val="32"/>
          <w:szCs w:val="32"/>
        </w:rPr>
      </w:pPr>
      <w:r>
        <w:rPr>
          <w:rFonts w:ascii="仿宋" w:eastAsia="仿宋" w:cs="楷体_GB2312" w:hAnsi="仿宋" w:hint="eastAsia"/>
          <w:sz w:val="32"/>
          <w:szCs w:val="32"/>
        </w:rPr>
        <w:t>绩效指标为4个，评价等级为优。</w:t>
      </w:r>
    </w:p>
    <w:p>
      <w:pPr>
        <w:pStyle w:val="15"/>
        <w:rPr>
          <w:rFonts w:ascii="仿宋" w:eastAsia="仿宋" w:cs="楷体_GB2312" w:hAnsi="仿宋"/>
          <w:sz w:val="32"/>
          <w:szCs w:val="32"/>
        </w:rPr>
      </w:pPr>
      <w:r>
        <w:rPr>
          <w:rFonts w:ascii="仿宋" w:eastAsia="仿宋" w:cs="楷体_GB2312" w:hAnsi="仿宋" w:hint="eastAsia"/>
          <w:sz w:val="32"/>
          <w:szCs w:val="32"/>
        </w:rPr>
        <w:t>（三）森林草原消防应急救援经费</w:t>
      </w:r>
    </w:p>
    <w:p>
      <w:pPr>
        <w:pStyle w:val="15"/>
        <w:rPr>
          <w:rFonts w:ascii="仿宋" w:eastAsia="仿宋" w:cs="楷体_GB2312" w:hAnsi="仿宋"/>
          <w:sz w:val="32"/>
          <w:szCs w:val="32"/>
        </w:rPr>
      </w:pPr>
      <w:r>
        <w:rPr>
          <w:rFonts w:ascii="仿宋" w:eastAsia="仿宋" w:cs="楷体_GB2312" w:hAnsi="仿宋" w:hint="eastAsia"/>
          <w:sz w:val="32"/>
          <w:szCs w:val="32"/>
        </w:rPr>
        <w:t>1.资金支出进度</w:t>
      </w:r>
    </w:p>
    <w:p>
      <w:pPr>
        <w:pStyle w:val="15"/>
        <w:rPr>
          <w:rFonts w:ascii="仿宋" w:eastAsia="仿宋" w:cs="楷体_GB2312" w:hAnsi="仿宋"/>
          <w:sz w:val="32"/>
          <w:szCs w:val="32"/>
        </w:rPr>
      </w:pPr>
      <w:r>
        <w:rPr>
          <w:rFonts w:ascii="仿宋" w:eastAsia="仿宋" w:cs="楷体_GB2312" w:hAnsi="仿宋" w:hint="eastAsia"/>
          <w:sz w:val="32"/>
          <w:szCs w:val="32"/>
        </w:rPr>
        <w:t>该项目预算数是4万元，支出3.1万元，总体支出进度为77.5%。</w:t>
      </w:r>
    </w:p>
    <w:p>
      <w:pPr>
        <w:pStyle w:val="15"/>
        <w:rPr>
          <w:rFonts w:ascii="仿宋" w:eastAsia="仿宋" w:cs="楷体_GB2312" w:hAnsi="仿宋"/>
          <w:sz w:val="32"/>
          <w:szCs w:val="32"/>
        </w:rPr>
      </w:pPr>
      <w:r>
        <w:rPr>
          <w:rFonts w:ascii="仿宋" w:eastAsia="仿宋" w:cs="楷体_GB2312" w:hAnsi="仿宋" w:hint="eastAsia"/>
          <w:sz w:val="32"/>
          <w:szCs w:val="32"/>
        </w:rPr>
        <w:t>2.产出指标和效果指标完成情况</w:t>
      </w:r>
    </w:p>
    <w:p>
      <w:pPr>
        <w:pStyle w:val="15"/>
        <w:rPr>
          <w:rFonts w:ascii="仿宋" w:eastAsia="仿宋" w:cs="楷体_GB2312" w:hAnsi="仿宋"/>
          <w:sz w:val="32"/>
          <w:szCs w:val="32"/>
        </w:rPr>
      </w:pPr>
      <w:r>
        <w:rPr>
          <w:rFonts w:ascii="仿宋" w:eastAsia="仿宋" w:cs="楷体_GB2312" w:hAnsi="仿宋" w:hint="eastAsia"/>
          <w:sz w:val="32"/>
          <w:szCs w:val="32"/>
        </w:rPr>
        <w:t>通过购买水费、电费障森林草原消防大队日常工作顺利开展。</w:t>
      </w:r>
    </w:p>
    <w:p>
      <w:pPr>
        <w:pStyle w:val="15"/>
        <w:rPr>
          <w:rFonts w:ascii="仿宋" w:eastAsia="仿宋" w:cs="楷体_GB2312" w:hAnsi="仿宋"/>
          <w:sz w:val="32"/>
          <w:szCs w:val="32"/>
        </w:rPr>
      </w:pPr>
      <w:r>
        <w:rPr>
          <w:rFonts w:ascii="仿宋" w:eastAsia="仿宋" w:cs="楷体_GB2312" w:hAnsi="仿宋" w:hint="eastAsia"/>
          <w:sz w:val="32"/>
          <w:szCs w:val="32"/>
        </w:rPr>
        <w:t>绩效指标为 4 个，评价等级为优。</w:t>
      </w:r>
    </w:p>
    <w:p>
      <w:pPr>
        <w:pStyle w:val="15"/>
        <w:rPr>
          <w:rFonts w:ascii="仿宋" w:eastAsia="仿宋" w:cs="楷体_GB2312" w:hAnsi="仿宋"/>
          <w:sz w:val="32"/>
          <w:szCs w:val="32"/>
        </w:rPr>
      </w:pPr>
      <w:r>
        <w:rPr>
          <w:rFonts w:ascii="仿宋" w:eastAsia="仿宋" w:cs="楷体_GB2312" w:hAnsi="仿宋" w:hint="eastAsia"/>
          <w:sz w:val="32"/>
          <w:szCs w:val="32"/>
        </w:rPr>
        <w:t>（四）</w:t>
      </w:r>
      <w:r>
        <w:rPr>
          <w:rFonts w:ascii="仿宋" w:eastAsia="仿宋" w:cs="仿宋" w:hAnsi="仿宋" w:hint="eastAsia"/>
          <w:sz w:val="32"/>
          <w:szCs w:val="32"/>
        </w:rPr>
        <w:t>补充森林草原防灭火救援装备经费</w:t>
      </w:r>
    </w:p>
    <w:p>
      <w:pPr>
        <w:pStyle w:val="15"/>
        <w:rPr>
          <w:rFonts w:ascii="仿宋" w:eastAsia="仿宋" w:cs="楷体_GB2312" w:hAnsi="仿宋"/>
          <w:sz w:val="32"/>
          <w:szCs w:val="32"/>
        </w:rPr>
      </w:pPr>
      <w:r>
        <w:rPr>
          <w:rFonts w:ascii="仿宋" w:eastAsia="仿宋" w:cs="楷体_GB2312" w:hAnsi="仿宋" w:hint="eastAsia"/>
          <w:sz w:val="32"/>
          <w:szCs w:val="32"/>
        </w:rPr>
        <w:t>1.资金支出进度</w:t>
      </w:r>
    </w:p>
    <w:p>
      <w:pPr>
        <w:pStyle w:val="15"/>
        <w:rPr>
          <w:rFonts w:ascii="仿宋" w:eastAsia="仿宋" w:cs="楷体_GB2312" w:hAnsi="仿宋"/>
          <w:sz w:val="32"/>
          <w:szCs w:val="32"/>
        </w:rPr>
      </w:pPr>
      <w:r>
        <w:rPr>
          <w:rFonts w:ascii="仿宋" w:eastAsia="仿宋" w:cs="楷体_GB2312" w:hAnsi="仿宋" w:hint="eastAsia"/>
          <w:sz w:val="32"/>
          <w:szCs w:val="32"/>
        </w:rPr>
        <w:t>该项目年初预算数是15.71万元，支出0万元，总体支出进度为0%。</w:t>
      </w:r>
    </w:p>
    <w:p>
      <w:pPr>
        <w:pStyle w:val="15"/>
        <w:rPr>
          <w:rFonts w:ascii="仿宋" w:eastAsia="仿宋" w:cs="楷体_GB2312" w:hAnsi="仿宋"/>
          <w:sz w:val="32"/>
          <w:szCs w:val="32"/>
        </w:rPr>
      </w:pPr>
      <w:r>
        <w:rPr>
          <w:rFonts w:ascii="仿宋" w:eastAsia="仿宋" w:cs="楷体_GB2312" w:hAnsi="仿宋" w:hint="eastAsia"/>
          <w:sz w:val="32"/>
          <w:szCs w:val="32"/>
        </w:rPr>
        <w:t>2.产出指标和效果指标完成情况</w:t>
      </w:r>
    </w:p>
    <w:p>
      <w:pPr>
        <w:pStyle w:val="15"/>
        <w:rPr>
          <w:rFonts w:ascii="仿宋" w:eastAsia="仿宋" w:cs="楷体_GB2312" w:hAnsi="仿宋"/>
          <w:sz w:val="32"/>
          <w:szCs w:val="32"/>
        </w:rPr>
      </w:pPr>
      <w:r>
        <w:rPr>
          <w:rFonts w:ascii="仿宋" w:eastAsia="仿宋" w:cs="仿宋" w:hAnsi="仿宋" w:hint="eastAsia"/>
          <w:sz w:val="32"/>
          <w:szCs w:val="32"/>
        </w:rPr>
        <w:t>我局按照合同要求按时采购了森林草原防灭火救援装备，切实提高应急救援能力，确保了日常工作顺利开展。</w:t>
      </w:r>
    </w:p>
    <w:p>
      <w:pPr>
        <w:pStyle w:val="15"/>
        <w:rPr>
          <w:rFonts w:ascii="仿宋" w:eastAsia="仿宋" w:cs="楷体_GB2312" w:hAnsi="仿宋"/>
          <w:sz w:val="32"/>
          <w:szCs w:val="32"/>
        </w:rPr>
      </w:pPr>
      <w:r>
        <w:rPr>
          <w:rFonts w:ascii="仿宋" w:eastAsia="仿宋" w:cs="楷体_GB2312" w:hAnsi="仿宋" w:hint="eastAsia"/>
          <w:sz w:val="32"/>
          <w:szCs w:val="32"/>
        </w:rPr>
        <w:t>绩效指标为4个，评价等级为优。</w:t>
      </w:r>
    </w:p>
    <w:p>
      <w:pPr>
        <w:pStyle w:val="15"/>
        <w:rPr>
          <w:rFonts w:ascii="仿宋" w:eastAsia="仿宋" w:cs="楷体_GB2312" w:hAnsi="仿宋"/>
          <w:sz w:val="32"/>
          <w:szCs w:val="32"/>
        </w:rPr>
      </w:pPr>
      <w:r>
        <w:rPr>
          <w:rFonts w:ascii="仿宋" w:eastAsia="仿宋" w:cs="楷体_GB2312" w:hAnsi="仿宋" w:hint="eastAsia"/>
          <w:sz w:val="32"/>
          <w:szCs w:val="32"/>
        </w:rPr>
        <w:t>（五）政策性农房保险项目经费</w:t>
      </w:r>
    </w:p>
    <w:p>
      <w:pPr>
        <w:pStyle w:val="15"/>
        <w:rPr>
          <w:rFonts w:ascii="仿宋" w:eastAsia="仿宋" w:cs="楷体_GB2312" w:hAnsi="仿宋"/>
          <w:sz w:val="32"/>
          <w:szCs w:val="32"/>
        </w:rPr>
      </w:pPr>
      <w:r>
        <w:rPr>
          <w:rFonts w:ascii="仿宋" w:eastAsia="仿宋" w:cs="楷体_GB2312" w:hAnsi="仿宋" w:hint="eastAsia"/>
          <w:sz w:val="32"/>
          <w:szCs w:val="32"/>
        </w:rPr>
        <w:t>1.资金支出进度</w:t>
      </w:r>
    </w:p>
    <w:p>
      <w:pPr>
        <w:pStyle w:val="15"/>
        <w:rPr>
          <w:rFonts w:ascii="仿宋" w:eastAsia="仿宋" w:cs="楷体_GB2312" w:hAnsi="仿宋"/>
          <w:sz w:val="32"/>
          <w:szCs w:val="32"/>
        </w:rPr>
      </w:pPr>
      <w:r>
        <w:rPr>
          <w:rFonts w:ascii="仿宋" w:eastAsia="仿宋" w:cs="楷体_GB2312" w:hAnsi="仿宋" w:hint="eastAsia"/>
          <w:sz w:val="32"/>
          <w:szCs w:val="32"/>
        </w:rPr>
        <w:t>该项目预算数是2.3万元，支出2.3万元，总体支出进度为 100%。</w:t>
      </w:r>
    </w:p>
    <w:p>
      <w:pPr>
        <w:pStyle w:val="15"/>
        <w:rPr>
          <w:rFonts w:ascii="仿宋" w:eastAsia="仿宋" w:cs="楷体_GB2312" w:hAnsi="仿宋"/>
          <w:sz w:val="32"/>
          <w:szCs w:val="32"/>
        </w:rPr>
      </w:pPr>
      <w:r>
        <w:rPr>
          <w:rFonts w:ascii="仿宋" w:eastAsia="仿宋" w:cs="楷体_GB2312" w:hAnsi="仿宋" w:hint="eastAsia"/>
          <w:sz w:val="32"/>
          <w:szCs w:val="32"/>
        </w:rPr>
        <w:t>2.产出指标和效果指标完成情况</w:t>
      </w:r>
    </w:p>
    <w:p>
      <w:pPr>
        <w:pStyle w:val="15"/>
        <w:rPr>
          <w:rFonts w:ascii="仿宋" w:eastAsia="仿宋" w:cs="楷体_GB2312" w:hAnsi="仿宋"/>
          <w:sz w:val="32"/>
          <w:szCs w:val="32"/>
        </w:rPr>
      </w:pPr>
      <w:r>
        <w:rPr>
          <w:rFonts w:ascii="仿宋" w:eastAsia="仿宋" w:cs="楷体_GB2312" w:hAnsi="仿宋"/>
          <w:sz w:val="32"/>
          <w:szCs w:val="32"/>
        </w:rPr>
        <w:t>通过引导社会力量资金参与救灾工作，充分发挥财政资金的放大作用，加大对受灾群众的救助水平，提升受灾农户抵御自然灾害和突发事故能力，提高农村居民住房灾后重建保障能力。</w:t>
      </w:r>
    </w:p>
    <w:p>
      <w:pPr>
        <w:pStyle w:val="15"/>
        <w:rPr>
          <w:rFonts w:ascii="仿宋" w:eastAsia="仿宋" w:cs="楷体_GB2312" w:hAnsi="仿宋"/>
          <w:sz w:val="32"/>
          <w:szCs w:val="32"/>
        </w:rPr>
      </w:pPr>
      <w:r>
        <w:rPr>
          <w:rFonts w:ascii="仿宋" w:eastAsia="仿宋" w:cs="楷体_GB2312" w:hAnsi="仿宋" w:hint="eastAsia"/>
          <w:sz w:val="32"/>
          <w:szCs w:val="32"/>
        </w:rPr>
        <w:t>绩效指标为 4 个，评价等级为优。</w:t>
      </w:r>
    </w:p>
    <w:p>
      <w:pPr>
        <w:pStyle w:val="15"/>
        <w:rPr>
          <w:rFonts w:ascii="仿宋" w:eastAsia="仿宋" w:cs="楷体_GB2312" w:hAnsi="仿宋"/>
          <w:sz w:val="32"/>
          <w:szCs w:val="32"/>
        </w:rPr>
      </w:pPr>
      <w:r>
        <w:rPr>
          <w:rFonts w:ascii="仿宋" w:eastAsia="仿宋" w:cs="楷体_GB2312" w:hAnsi="仿宋" w:hint="eastAsia"/>
          <w:sz w:val="32"/>
          <w:szCs w:val="32"/>
        </w:rPr>
        <w:t>（六）井陉矿区应急管理局2025年第五批政府新增政府债券项目</w:t>
      </w:r>
    </w:p>
    <w:p>
      <w:pPr>
        <w:pStyle w:val="15"/>
        <w:rPr>
          <w:rFonts w:ascii="仿宋" w:eastAsia="仿宋" w:cs="楷体_GB2312" w:hAnsi="仿宋"/>
          <w:sz w:val="32"/>
          <w:szCs w:val="32"/>
        </w:rPr>
      </w:pPr>
      <w:r>
        <w:rPr>
          <w:rFonts w:ascii="仿宋" w:eastAsia="仿宋" w:cs="楷体_GB2312" w:hAnsi="仿宋" w:hint="eastAsia"/>
          <w:sz w:val="32"/>
          <w:szCs w:val="32"/>
        </w:rPr>
        <w:t>1.资金支出进度</w:t>
      </w:r>
    </w:p>
    <w:p>
      <w:pPr>
        <w:pStyle w:val="15"/>
        <w:rPr>
          <w:rFonts w:ascii="仿宋" w:eastAsia="仿宋" w:cs="楷体_GB2312" w:hAnsi="仿宋"/>
          <w:sz w:val="32"/>
          <w:szCs w:val="32"/>
        </w:rPr>
      </w:pPr>
      <w:r>
        <w:rPr>
          <w:rFonts w:ascii="仿宋" w:eastAsia="仿宋" w:cs="楷体_GB2312" w:hAnsi="仿宋" w:hint="eastAsia"/>
          <w:sz w:val="32"/>
          <w:szCs w:val="32"/>
        </w:rPr>
        <w:t>该项目预算数是79.07万元，支出65.84万元，总体支出进度为83.27%。</w:t>
      </w:r>
    </w:p>
    <w:p>
      <w:pPr>
        <w:pStyle w:val="15"/>
        <w:rPr>
          <w:rFonts w:ascii="仿宋" w:eastAsia="仿宋" w:cs="楷体_GB2312" w:hAnsi="仿宋"/>
          <w:sz w:val="32"/>
          <w:szCs w:val="32"/>
        </w:rPr>
      </w:pPr>
      <w:r>
        <w:rPr>
          <w:rFonts w:ascii="仿宋" w:eastAsia="仿宋" w:cs="楷体_GB2312" w:hAnsi="仿宋" w:hint="eastAsia"/>
          <w:sz w:val="32"/>
          <w:szCs w:val="32"/>
        </w:rPr>
        <w:t>2.产出指标和效果指标完成情况</w:t>
      </w:r>
    </w:p>
    <w:p>
      <w:pPr>
        <w:pStyle w:val="15"/>
        <w:rPr>
          <w:rFonts w:ascii="仿宋" w:eastAsia="仿宋" w:cs="楷体_GB2312" w:hAnsi="仿宋"/>
          <w:sz w:val="32"/>
          <w:szCs w:val="32"/>
        </w:rPr>
      </w:pPr>
      <w:r>
        <w:rPr>
          <w:rFonts w:ascii="仿宋" w:eastAsia="仿宋" w:cs="楷体_GB2312" w:hAnsi="仿宋" w:hint="eastAsia"/>
          <w:sz w:val="32"/>
          <w:szCs w:val="32"/>
        </w:rPr>
        <w:t>通过采购办公家具、设备、执法服装等，切实提升我区综合监管及应急通讯保障能力，增强组织的战斗力，保持了全区安全生产稳定态势。</w:t>
      </w:r>
    </w:p>
    <w:p>
      <w:pPr>
        <w:pStyle w:val="15"/>
        <w:rPr>
          <w:rFonts w:ascii="仿宋" w:eastAsia="仿宋" w:cs="楷体_GB2312" w:hAnsi="仿宋"/>
          <w:sz w:val="32"/>
          <w:szCs w:val="32"/>
        </w:rPr>
      </w:pPr>
      <w:r>
        <w:rPr>
          <w:rFonts w:ascii="仿宋" w:eastAsia="仿宋" w:cs="楷体_GB2312" w:hAnsi="仿宋" w:hint="eastAsia"/>
          <w:sz w:val="32"/>
          <w:szCs w:val="32"/>
        </w:rPr>
        <w:t>绩效指标为4个，评价等级为优。</w:t>
      </w:r>
    </w:p>
    <w:p>
      <w:pPr>
        <w:pStyle w:val="15"/>
        <w:rPr>
          <w:rFonts w:ascii="仿宋" w:eastAsia="仿宋" w:cs="楷体_GB2312" w:hAnsi="仿宋"/>
          <w:sz w:val="32"/>
          <w:szCs w:val="32"/>
        </w:rPr>
      </w:pPr>
      <w:r>
        <w:rPr>
          <w:rFonts w:ascii="仿宋" w:eastAsia="仿宋" w:cs="楷体_GB2312" w:hAnsi="仿宋" w:hint="eastAsia"/>
          <w:sz w:val="32"/>
          <w:szCs w:val="32"/>
        </w:rPr>
        <w:t>（七）关于提前下达2025年自然灾害救助专项资金的通知</w:t>
      </w:r>
    </w:p>
    <w:p>
      <w:pPr>
        <w:pStyle w:val="15"/>
        <w:rPr>
          <w:rFonts w:ascii="仿宋" w:eastAsia="仿宋" w:cs="楷体_GB2312" w:hAnsi="仿宋"/>
          <w:sz w:val="32"/>
          <w:szCs w:val="32"/>
        </w:rPr>
      </w:pPr>
      <w:r>
        <w:rPr>
          <w:rFonts w:ascii="仿宋" w:eastAsia="仿宋" w:cs="楷体_GB2312" w:hAnsi="仿宋" w:hint="eastAsia"/>
          <w:sz w:val="32"/>
          <w:szCs w:val="32"/>
        </w:rPr>
        <w:t>1.资金支出进度</w:t>
      </w:r>
    </w:p>
    <w:p>
      <w:pPr>
        <w:pStyle w:val="15"/>
        <w:rPr>
          <w:rFonts w:ascii="仿宋" w:eastAsia="仿宋" w:cs="楷体_GB2312" w:hAnsi="仿宋"/>
          <w:sz w:val="32"/>
          <w:szCs w:val="32"/>
        </w:rPr>
      </w:pPr>
      <w:r>
        <w:rPr>
          <w:rFonts w:ascii="仿宋" w:eastAsia="仿宋" w:cs="楷体_GB2312" w:hAnsi="仿宋" w:hint="eastAsia"/>
          <w:sz w:val="32"/>
          <w:szCs w:val="32"/>
        </w:rPr>
        <w:t>该项目预算数是4.67万元，支出4.67万元，总体支出进度为 100%。</w:t>
      </w:r>
    </w:p>
    <w:p>
      <w:pPr>
        <w:pStyle w:val="15"/>
        <w:rPr>
          <w:rFonts w:ascii="仿宋" w:eastAsia="仿宋" w:cs="楷体_GB2312" w:hAnsi="仿宋"/>
          <w:sz w:val="32"/>
          <w:szCs w:val="32"/>
        </w:rPr>
      </w:pPr>
      <w:r>
        <w:rPr>
          <w:rFonts w:ascii="仿宋" w:eastAsia="仿宋" w:cs="楷体_GB2312" w:hAnsi="仿宋" w:hint="eastAsia"/>
          <w:sz w:val="32"/>
          <w:szCs w:val="32"/>
        </w:rPr>
        <w:t>2.产出指标和效果指标完成情况</w:t>
      </w:r>
    </w:p>
    <w:p>
      <w:pPr>
        <w:pStyle w:val="15"/>
        <w:rPr>
          <w:rFonts w:ascii="仿宋" w:eastAsia="仿宋" w:cs="楷体_GB2312" w:hAnsi="仿宋"/>
          <w:sz w:val="32"/>
          <w:szCs w:val="32"/>
        </w:rPr>
      </w:pPr>
      <w:r>
        <w:rPr>
          <w:rFonts w:ascii="仿宋" w:eastAsia="仿宋" w:cs="楷体_GB2312" w:hAnsi="仿宋"/>
          <w:sz w:val="32"/>
          <w:szCs w:val="32"/>
        </w:rPr>
        <w:t>通过引导社会力量资金参与救灾工作，充分发挥财政资金的放大作用，加大对受灾群众的救助水平，提升受灾农户抵御自然灾害和突发事故能力，提高农村居民住房灾后重建保障能力。</w:t>
      </w:r>
    </w:p>
    <w:p>
      <w:pPr>
        <w:pStyle w:val="15"/>
        <w:rPr>
          <w:rFonts w:ascii="仿宋" w:eastAsia="仿宋" w:cs="楷体_GB2312" w:hAnsi="仿宋"/>
          <w:sz w:val="32"/>
          <w:szCs w:val="32"/>
        </w:rPr>
      </w:pPr>
      <w:r>
        <w:rPr>
          <w:rFonts w:ascii="仿宋" w:eastAsia="仿宋" w:cs="楷体_GB2312" w:hAnsi="仿宋" w:hint="eastAsia"/>
          <w:sz w:val="32"/>
          <w:szCs w:val="32"/>
        </w:rPr>
        <w:t>绩效指标为 4 个，评价等级为优。</w:t>
      </w:r>
    </w:p>
    <w:p>
      <w:pPr>
        <w:pStyle w:val="15"/>
        <w:rPr>
          <w:rFonts w:ascii="仿宋" w:eastAsia="仿宋" w:cs="楷体_GB2312" w:hAnsi="仿宋"/>
          <w:sz w:val="32"/>
          <w:szCs w:val="32"/>
        </w:rPr>
      </w:pPr>
      <w:r>
        <w:rPr>
          <w:rFonts w:ascii="仿宋" w:eastAsia="仿宋" w:cs="楷体_GB2312" w:hAnsi="仿宋" w:hint="eastAsia"/>
          <w:sz w:val="32"/>
          <w:szCs w:val="32"/>
        </w:rPr>
        <w:t>（八）关于提前下达2025年市级防震减灾群测群防补助资金的通知</w:t>
      </w:r>
    </w:p>
    <w:p>
      <w:pPr>
        <w:pStyle w:val="15"/>
        <w:rPr>
          <w:rFonts w:ascii="仿宋" w:eastAsia="仿宋" w:cs="楷体_GB2312" w:hAnsi="仿宋"/>
          <w:sz w:val="32"/>
          <w:szCs w:val="32"/>
        </w:rPr>
      </w:pPr>
      <w:r>
        <w:rPr>
          <w:rFonts w:ascii="仿宋" w:eastAsia="仿宋" w:cs="楷体_GB2312" w:hAnsi="仿宋" w:hint="eastAsia"/>
          <w:sz w:val="32"/>
          <w:szCs w:val="32"/>
        </w:rPr>
        <w:t>1.资金支出进度</w:t>
      </w:r>
    </w:p>
    <w:p>
      <w:pPr>
        <w:pStyle w:val="15"/>
        <w:rPr>
          <w:rFonts w:ascii="仿宋" w:eastAsia="仿宋" w:cs="楷体_GB2312" w:hAnsi="仿宋"/>
          <w:sz w:val="32"/>
          <w:szCs w:val="32"/>
        </w:rPr>
      </w:pPr>
      <w:r>
        <w:rPr>
          <w:rFonts w:ascii="仿宋" w:eastAsia="仿宋" w:cs="楷体_GB2312" w:hAnsi="仿宋" w:hint="eastAsia"/>
          <w:sz w:val="32"/>
          <w:szCs w:val="32"/>
        </w:rPr>
        <w:t>该项目预算数是0.4万元，支出0万元，总体支出进度为0%。</w:t>
      </w:r>
    </w:p>
    <w:p>
      <w:pPr>
        <w:pStyle w:val="15"/>
        <w:rPr>
          <w:rFonts w:ascii="仿宋" w:eastAsia="仿宋" w:cs="楷体_GB2312" w:hAnsi="仿宋"/>
          <w:sz w:val="32"/>
          <w:szCs w:val="32"/>
        </w:rPr>
      </w:pPr>
      <w:r>
        <w:rPr>
          <w:rFonts w:ascii="仿宋" w:eastAsia="仿宋" w:cs="楷体_GB2312" w:hAnsi="仿宋" w:hint="eastAsia"/>
          <w:sz w:val="32"/>
          <w:szCs w:val="32"/>
        </w:rPr>
        <w:t>2.产出指标和效果指标完成情况</w:t>
      </w:r>
    </w:p>
    <w:p>
      <w:pPr>
        <w:pStyle w:val="15"/>
        <w:rPr>
          <w:rFonts w:ascii="仿宋" w:eastAsia="仿宋" w:cs="楷体_GB2312" w:hAnsi="仿宋"/>
          <w:sz w:val="32"/>
          <w:szCs w:val="32"/>
        </w:rPr>
      </w:pPr>
      <w:r>
        <w:rPr>
          <w:rFonts w:ascii="仿宋" w:eastAsia="仿宋" w:cs="楷体_GB2312" w:hAnsi="仿宋" w:hint="eastAsia"/>
          <w:sz w:val="32"/>
          <w:szCs w:val="32"/>
        </w:rPr>
        <w:t>通过补充县级地震群测群防工作经费，确保地震监测台站运行率、数据质量优秀率等绩效考核指标达标。</w:t>
      </w:r>
    </w:p>
    <w:p>
      <w:pPr>
        <w:pStyle w:val="15"/>
        <w:rPr>
          <w:rFonts w:ascii="仿宋" w:eastAsia="仿宋" w:cs="楷体_GB2312" w:hAnsi="仿宋"/>
          <w:sz w:val="32"/>
          <w:szCs w:val="32"/>
        </w:rPr>
      </w:pPr>
      <w:r>
        <w:rPr>
          <w:rFonts w:ascii="仿宋" w:eastAsia="仿宋" w:cs="楷体_GB2312" w:hAnsi="仿宋" w:hint="eastAsia"/>
          <w:sz w:val="32"/>
          <w:szCs w:val="32"/>
        </w:rPr>
        <w:t>绩效指标为 4 个，评价等级为优。</w:t>
      </w:r>
    </w:p>
    <w:p>
      <w:pPr>
        <w:pStyle w:val="15"/>
        <w:rPr>
          <w:rFonts w:ascii="仿宋" w:eastAsia="仿宋" w:cs="楷体_GB2312" w:hAnsi="仿宋"/>
          <w:sz w:val="32"/>
          <w:szCs w:val="32"/>
        </w:rPr>
      </w:pPr>
      <w:r>
        <w:rPr>
          <w:rFonts w:ascii="仿宋" w:eastAsia="仿宋" w:cs="楷体_GB2312" w:hAnsi="仿宋" w:hint="eastAsia"/>
          <w:sz w:val="32"/>
          <w:szCs w:val="32"/>
        </w:rPr>
        <w:t>（九）关于下达增发2023年国债自然灾害应急能力提升工程（应急领域）补助资金预算的通知</w:t>
      </w:r>
    </w:p>
    <w:p>
      <w:pPr>
        <w:pStyle w:val="15"/>
        <w:rPr>
          <w:rFonts w:ascii="仿宋" w:eastAsia="仿宋" w:cs="楷体_GB2312" w:hAnsi="仿宋"/>
          <w:sz w:val="32"/>
          <w:szCs w:val="32"/>
        </w:rPr>
      </w:pPr>
      <w:r>
        <w:rPr>
          <w:rFonts w:ascii="仿宋" w:eastAsia="仿宋" w:cs="楷体_GB2312" w:hAnsi="仿宋" w:hint="eastAsia"/>
          <w:sz w:val="32"/>
          <w:szCs w:val="32"/>
        </w:rPr>
        <w:t>1.资金支出进度</w:t>
      </w:r>
    </w:p>
    <w:p>
      <w:pPr>
        <w:pStyle w:val="15"/>
        <w:rPr>
          <w:rFonts w:ascii="仿宋" w:eastAsia="仿宋" w:cs="楷体_GB2312" w:hAnsi="仿宋"/>
          <w:sz w:val="32"/>
          <w:szCs w:val="32"/>
        </w:rPr>
      </w:pPr>
      <w:r>
        <w:rPr>
          <w:rFonts w:ascii="仿宋" w:eastAsia="仿宋" w:cs="楷体_GB2312" w:hAnsi="仿宋" w:hint="eastAsia"/>
          <w:sz w:val="32"/>
          <w:szCs w:val="32"/>
        </w:rPr>
        <w:t>该项目预算数是43.85万元，支出26.19万元，总体支出进度为59.73%。</w:t>
      </w:r>
    </w:p>
    <w:p>
      <w:pPr>
        <w:pStyle w:val="15"/>
        <w:rPr>
          <w:rFonts w:ascii="仿宋" w:eastAsia="仿宋" w:cs="楷体_GB2312" w:hAnsi="仿宋"/>
          <w:sz w:val="32"/>
          <w:szCs w:val="32"/>
        </w:rPr>
      </w:pPr>
      <w:r>
        <w:rPr>
          <w:rFonts w:ascii="仿宋" w:eastAsia="仿宋" w:cs="楷体_GB2312" w:hAnsi="仿宋" w:hint="eastAsia"/>
          <w:sz w:val="32"/>
          <w:szCs w:val="32"/>
        </w:rPr>
        <w:t>2.产出指标和效果指标完成情况</w:t>
      </w:r>
    </w:p>
    <w:p>
      <w:pPr>
        <w:pStyle w:val="15"/>
        <w:rPr>
          <w:rFonts w:ascii="仿宋" w:eastAsia="仿宋" w:cs="楷体_GB2312" w:hAnsi="仿宋"/>
          <w:sz w:val="32"/>
          <w:szCs w:val="32"/>
        </w:rPr>
      </w:pPr>
      <w:r>
        <w:rPr>
          <w:rFonts w:ascii="仿宋" w:eastAsia="仿宋" w:cs="楷体_GB2312" w:hAnsi="仿宋" w:hint="eastAsia"/>
          <w:sz w:val="32"/>
          <w:szCs w:val="32"/>
        </w:rPr>
        <w:t>按照河北省应急管理厅的要求，完成河北省自然灾害应急能力提升工程预警指挥项目实施，有效提升预警指挥能力。</w:t>
      </w:r>
    </w:p>
    <w:p>
      <w:pPr>
        <w:pStyle w:val="15"/>
        <w:rPr>
          <w:rFonts w:ascii="仿宋" w:eastAsia="仿宋" w:cs="楷体_GB2312" w:hAnsi="仿宋"/>
          <w:sz w:val="32"/>
          <w:szCs w:val="32"/>
        </w:rPr>
      </w:pPr>
      <w:r>
        <w:rPr>
          <w:rFonts w:ascii="仿宋" w:eastAsia="仿宋" w:cs="楷体_GB2312" w:hAnsi="仿宋" w:hint="eastAsia"/>
          <w:sz w:val="32"/>
          <w:szCs w:val="32"/>
        </w:rPr>
        <w:t>绩效指标为 4 个，评价等级为优。</w:t>
      </w:r>
    </w:p>
    <w:p>
      <w:pPr>
        <w:pStyle w:val="15"/>
        <w:rPr>
          <w:rFonts w:ascii="仿宋" w:eastAsia="仿宋" w:cs="楷体_GB2312" w:hAnsi="仿宋"/>
          <w:sz w:val="32"/>
          <w:szCs w:val="32"/>
        </w:rPr>
      </w:pPr>
      <w:r>
        <w:rPr>
          <w:rFonts w:ascii="仿宋" w:eastAsia="仿宋" w:cs="楷体_GB2312" w:hAnsi="仿宋" w:hint="eastAsia"/>
          <w:sz w:val="32"/>
          <w:szCs w:val="32"/>
        </w:rPr>
        <w:t>（十）关于下达增发2023年国债自然灾害应急能力提升工程（应急领域）省级补助资金预算的通知</w:t>
      </w:r>
    </w:p>
    <w:p>
      <w:pPr>
        <w:pStyle w:val="15"/>
        <w:rPr>
          <w:rFonts w:ascii="仿宋" w:eastAsia="仿宋" w:cs="楷体_GB2312" w:hAnsi="仿宋"/>
          <w:sz w:val="32"/>
          <w:szCs w:val="32"/>
        </w:rPr>
      </w:pPr>
      <w:r>
        <w:rPr>
          <w:rFonts w:ascii="仿宋" w:eastAsia="仿宋" w:cs="楷体_GB2312" w:hAnsi="仿宋" w:hint="eastAsia"/>
          <w:sz w:val="32"/>
          <w:szCs w:val="32"/>
        </w:rPr>
        <w:t>1.资金支出进度</w:t>
      </w:r>
    </w:p>
    <w:p>
      <w:pPr>
        <w:pStyle w:val="15"/>
        <w:rPr>
          <w:rFonts w:ascii="仿宋" w:eastAsia="仿宋" w:cs="楷体_GB2312" w:hAnsi="仿宋"/>
          <w:sz w:val="32"/>
          <w:szCs w:val="32"/>
        </w:rPr>
      </w:pPr>
      <w:r>
        <w:rPr>
          <w:rFonts w:ascii="仿宋" w:eastAsia="仿宋" w:cs="楷体_GB2312" w:hAnsi="仿宋" w:hint="eastAsia"/>
          <w:sz w:val="32"/>
          <w:szCs w:val="32"/>
        </w:rPr>
        <w:t>该项目预算数是4.17万元，支出0万元，总体支出进度为0%。</w:t>
      </w:r>
    </w:p>
    <w:p>
      <w:pPr>
        <w:pStyle w:val="15"/>
        <w:rPr>
          <w:rFonts w:ascii="仿宋" w:eastAsia="仿宋" w:cs="楷体_GB2312" w:hAnsi="仿宋"/>
          <w:sz w:val="32"/>
          <w:szCs w:val="32"/>
        </w:rPr>
      </w:pPr>
      <w:r>
        <w:rPr>
          <w:rFonts w:ascii="仿宋" w:eastAsia="仿宋" w:cs="楷体_GB2312" w:hAnsi="仿宋" w:hint="eastAsia"/>
          <w:sz w:val="32"/>
          <w:szCs w:val="32"/>
        </w:rPr>
        <w:t>2.产出指标和效果指标完成情况</w:t>
      </w:r>
    </w:p>
    <w:p>
      <w:pPr>
        <w:pStyle w:val="15"/>
        <w:rPr>
          <w:rFonts w:ascii="仿宋" w:eastAsia="仿宋" w:cs="楷体_GB2312" w:hAnsi="仿宋"/>
          <w:sz w:val="32"/>
          <w:szCs w:val="32"/>
        </w:rPr>
      </w:pPr>
      <w:r>
        <w:rPr>
          <w:rFonts w:ascii="仿宋" w:eastAsia="仿宋" w:cs="楷体_GB2312" w:hAnsi="仿宋" w:hint="eastAsia"/>
          <w:sz w:val="32"/>
          <w:szCs w:val="32"/>
        </w:rPr>
        <w:t>按照河北省应急管理厅的要求，完成河北省自然灾害应急能力提升工程预警指挥项目实施，有效提升预警指挥能力。</w:t>
      </w:r>
    </w:p>
    <w:p>
      <w:pPr>
        <w:pStyle w:val="15"/>
        <w:rPr>
          <w:rFonts w:ascii="仿宋" w:eastAsia="仿宋" w:cs="楷体_GB2312" w:hAnsi="仿宋"/>
          <w:sz w:val="32"/>
          <w:szCs w:val="32"/>
        </w:rPr>
      </w:pPr>
      <w:r>
        <w:rPr>
          <w:rFonts w:ascii="仿宋" w:eastAsia="仿宋" w:cs="楷体_GB2312" w:hAnsi="仿宋" w:hint="eastAsia"/>
          <w:sz w:val="32"/>
          <w:szCs w:val="32"/>
        </w:rPr>
        <w:t>绩效指标为 4 个，评价等级为优。</w:t>
      </w:r>
    </w:p>
    <w:p>
      <w:pPr>
        <w:pStyle w:val="15"/>
        <w:rPr>
          <w:rFonts w:ascii="仿宋" w:eastAsia="仿宋" w:cs="楷体_GB2312" w:hAnsi="仿宋"/>
          <w:sz w:val="32"/>
          <w:szCs w:val="32"/>
        </w:rPr>
      </w:pPr>
      <w:r>
        <w:rPr>
          <w:rFonts w:ascii="仿宋" w:eastAsia="仿宋" w:cs="楷体_GB2312" w:hAnsi="仿宋" w:hint="eastAsia"/>
          <w:sz w:val="32"/>
          <w:szCs w:val="32"/>
        </w:rPr>
        <w:t>（十一）自然灾害应急能力提升工程航空应急与预警指挥国债项目区级配套资金</w:t>
      </w:r>
    </w:p>
    <w:p>
      <w:pPr>
        <w:pStyle w:val="15"/>
        <w:rPr>
          <w:rFonts w:ascii="仿宋" w:eastAsia="仿宋" w:cs="楷体_GB2312" w:hAnsi="仿宋"/>
          <w:sz w:val="32"/>
          <w:szCs w:val="32"/>
        </w:rPr>
      </w:pPr>
      <w:r>
        <w:rPr>
          <w:rFonts w:ascii="仿宋" w:eastAsia="仿宋" w:cs="楷体_GB2312" w:hAnsi="仿宋" w:hint="eastAsia"/>
          <w:sz w:val="32"/>
          <w:szCs w:val="32"/>
        </w:rPr>
        <w:t>1.资金支出进度</w:t>
      </w:r>
    </w:p>
    <w:p>
      <w:pPr>
        <w:pStyle w:val="15"/>
        <w:rPr>
          <w:rFonts w:ascii="仿宋" w:eastAsia="仿宋" w:cs="楷体_GB2312" w:hAnsi="仿宋"/>
          <w:sz w:val="32"/>
          <w:szCs w:val="32"/>
        </w:rPr>
      </w:pPr>
      <w:r>
        <w:rPr>
          <w:rFonts w:ascii="仿宋" w:eastAsia="仿宋" w:cs="楷体_GB2312" w:hAnsi="仿宋" w:hint="eastAsia"/>
          <w:sz w:val="32"/>
          <w:szCs w:val="32"/>
        </w:rPr>
        <w:t>该项目预算数是14.53万元，支出0万元，总体支出进度为 0%。</w:t>
      </w:r>
    </w:p>
    <w:p>
      <w:pPr>
        <w:pStyle w:val="15"/>
        <w:rPr>
          <w:rFonts w:ascii="仿宋" w:eastAsia="仿宋" w:cs="楷体_GB2312" w:hAnsi="仿宋"/>
          <w:sz w:val="32"/>
          <w:szCs w:val="32"/>
        </w:rPr>
      </w:pPr>
      <w:r>
        <w:rPr>
          <w:rFonts w:ascii="仿宋" w:eastAsia="仿宋" w:cs="楷体_GB2312" w:hAnsi="仿宋" w:hint="eastAsia"/>
          <w:sz w:val="32"/>
          <w:szCs w:val="32"/>
        </w:rPr>
        <w:t>2.产出指标和效果指标完成情况</w:t>
      </w:r>
    </w:p>
    <w:p>
      <w:pPr>
        <w:pStyle w:val="15"/>
        <w:rPr>
          <w:rFonts w:ascii="仿宋" w:eastAsia="仿宋" w:cs="楷体_GB2312" w:hAnsi="仿宋"/>
          <w:sz w:val="32"/>
          <w:szCs w:val="32"/>
        </w:rPr>
      </w:pPr>
      <w:r>
        <w:rPr>
          <w:rFonts w:ascii="仿宋" w:eastAsia="仿宋" w:cs="楷体_GB2312" w:hAnsi="仿宋" w:hint="eastAsia"/>
          <w:sz w:val="32"/>
          <w:szCs w:val="32"/>
        </w:rPr>
        <w:t>按照河北省应急管理厅的要求，完成河北省自然灾害应急能力提升工程预警指挥项目实施，有效提升预警指挥能力。</w:t>
      </w:r>
    </w:p>
    <w:p>
      <w:pPr>
        <w:pStyle w:val="15"/>
        <w:rPr>
          <w:rFonts w:ascii="仿宋" w:eastAsia="仿宋" w:cs="楷体_GB2312" w:hAnsi="仿宋"/>
          <w:sz w:val="32"/>
          <w:szCs w:val="32"/>
        </w:rPr>
      </w:pPr>
      <w:r>
        <w:rPr>
          <w:rFonts w:ascii="仿宋" w:eastAsia="仿宋" w:cs="楷体_GB2312" w:hAnsi="仿宋" w:hint="eastAsia"/>
          <w:sz w:val="32"/>
          <w:szCs w:val="32"/>
        </w:rPr>
        <w:t>绩效指标为 4 个，评价等级为优。</w:t>
      </w:r>
    </w:p>
    <w:p>
      <w:pPr>
        <w:pStyle w:val="15"/>
        <w:rPr>
          <w:rFonts w:ascii="仿宋" w:eastAsia="仿宋" w:cs="楷体_GB2312" w:hAnsi="仿宋"/>
          <w:sz w:val="32"/>
          <w:szCs w:val="32"/>
        </w:rPr>
      </w:pPr>
      <w:r>
        <w:rPr>
          <w:rFonts w:ascii="仿宋" w:eastAsia="仿宋" w:cs="楷体_GB2312" w:hAnsi="仿宋" w:hint="eastAsia"/>
          <w:sz w:val="32"/>
          <w:szCs w:val="32"/>
        </w:rPr>
        <w:t>（十二）石家庄市基层防灾工程国债项目区级配套资金</w:t>
      </w:r>
    </w:p>
    <w:p>
      <w:pPr>
        <w:pStyle w:val="15"/>
        <w:rPr>
          <w:rFonts w:ascii="仿宋" w:eastAsia="仿宋" w:cs="楷体_GB2312" w:hAnsi="仿宋"/>
          <w:sz w:val="32"/>
          <w:szCs w:val="32"/>
        </w:rPr>
      </w:pPr>
      <w:r>
        <w:rPr>
          <w:rFonts w:ascii="仿宋" w:eastAsia="仿宋" w:cs="楷体_GB2312" w:hAnsi="仿宋" w:hint="eastAsia"/>
          <w:sz w:val="32"/>
          <w:szCs w:val="32"/>
        </w:rPr>
        <w:t>1.资金支出进度</w:t>
      </w:r>
    </w:p>
    <w:p>
      <w:pPr>
        <w:pStyle w:val="15"/>
        <w:rPr>
          <w:rFonts w:ascii="仿宋" w:eastAsia="仿宋" w:cs="楷体_GB2312" w:hAnsi="仿宋"/>
          <w:sz w:val="32"/>
          <w:szCs w:val="32"/>
        </w:rPr>
      </w:pPr>
      <w:r>
        <w:rPr>
          <w:rFonts w:ascii="仿宋" w:eastAsia="仿宋" w:cs="楷体_GB2312" w:hAnsi="仿宋" w:hint="eastAsia"/>
          <w:sz w:val="32"/>
          <w:szCs w:val="32"/>
        </w:rPr>
        <w:t>该项目预算数是37.57万元，支出14.76万元，总体支出进度为 39.29%。</w:t>
      </w:r>
    </w:p>
    <w:p>
      <w:pPr>
        <w:pStyle w:val="15"/>
        <w:rPr>
          <w:rFonts w:ascii="仿宋" w:eastAsia="仿宋" w:cs="楷体_GB2312" w:hAnsi="仿宋"/>
          <w:sz w:val="32"/>
          <w:szCs w:val="32"/>
        </w:rPr>
      </w:pPr>
      <w:r>
        <w:rPr>
          <w:rFonts w:ascii="仿宋" w:eastAsia="仿宋" w:cs="楷体_GB2312" w:hAnsi="仿宋" w:hint="eastAsia"/>
          <w:sz w:val="32"/>
          <w:szCs w:val="32"/>
        </w:rPr>
        <w:t>2.产出指标和效果指标完成情况</w:t>
      </w:r>
    </w:p>
    <w:p>
      <w:pPr>
        <w:pStyle w:val="15"/>
        <w:rPr>
          <w:rFonts w:ascii="仿宋" w:eastAsia="仿宋" w:cs="楷体_GB2312" w:hAnsi="仿宋"/>
          <w:sz w:val="32"/>
          <w:szCs w:val="32"/>
        </w:rPr>
      </w:pPr>
      <w:r>
        <w:rPr>
          <w:rFonts w:ascii="仿宋" w:eastAsia="仿宋" w:cs="楷体_GB2312" w:hAnsi="仿宋" w:hint="eastAsia"/>
          <w:sz w:val="32"/>
          <w:szCs w:val="32"/>
        </w:rPr>
        <w:t>通过购买救援装备，提升基层装备配备水平，提高防灾救灾能力。</w:t>
      </w:r>
    </w:p>
    <w:p>
      <w:pPr>
        <w:pStyle w:val="15"/>
        <w:rPr>
          <w:rFonts w:ascii="仿宋" w:eastAsia="仿宋" w:cs="楷体_GB2312" w:hAnsi="仿宋"/>
          <w:sz w:val="32"/>
          <w:szCs w:val="32"/>
        </w:rPr>
      </w:pPr>
      <w:r>
        <w:rPr>
          <w:rFonts w:ascii="仿宋" w:eastAsia="仿宋" w:cs="楷体_GB2312" w:hAnsi="仿宋" w:hint="eastAsia"/>
          <w:sz w:val="32"/>
          <w:szCs w:val="32"/>
        </w:rPr>
        <w:t>绩效指标为 4 个，评价等级为优。</w:t>
      </w:r>
    </w:p>
    <w:p>
      <w:pPr>
        <w:pStyle w:val="15"/>
        <w:rPr>
          <w:rFonts w:ascii="仿宋" w:eastAsia="仿宋" w:cs="楷体_GB2312" w:hAnsi="仿宋"/>
          <w:sz w:val="32"/>
          <w:szCs w:val="32"/>
        </w:rPr>
      </w:pPr>
      <w:r>
        <w:rPr>
          <w:rFonts w:ascii="仿宋" w:eastAsia="仿宋" w:cs="楷体_GB2312" w:hAnsi="仿宋" w:hint="eastAsia"/>
          <w:sz w:val="32"/>
          <w:szCs w:val="32"/>
        </w:rPr>
        <w:t>（十三）安全生产举报奖励资金</w:t>
      </w:r>
    </w:p>
    <w:p>
      <w:pPr>
        <w:pStyle w:val="15"/>
        <w:rPr>
          <w:rFonts w:ascii="仿宋" w:eastAsia="仿宋" w:cs="楷体_GB2312" w:hAnsi="仿宋"/>
          <w:sz w:val="32"/>
          <w:szCs w:val="32"/>
        </w:rPr>
      </w:pPr>
      <w:r>
        <w:rPr>
          <w:rFonts w:ascii="仿宋" w:eastAsia="仿宋" w:cs="楷体_GB2312" w:hAnsi="仿宋" w:hint="eastAsia"/>
          <w:sz w:val="32"/>
          <w:szCs w:val="32"/>
        </w:rPr>
        <w:t>1.资金支出进度</w:t>
      </w:r>
    </w:p>
    <w:p>
      <w:pPr>
        <w:pStyle w:val="15"/>
        <w:rPr>
          <w:rFonts w:ascii="仿宋" w:eastAsia="仿宋" w:cs="楷体_GB2312" w:hAnsi="仿宋"/>
          <w:sz w:val="32"/>
          <w:szCs w:val="32"/>
        </w:rPr>
      </w:pPr>
      <w:r>
        <w:rPr>
          <w:rFonts w:ascii="仿宋" w:eastAsia="仿宋" w:cs="楷体_GB2312" w:hAnsi="仿宋" w:hint="eastAsia"/>
          <w:sz w:val="32"/>
          <w:szCs w:val="32"/>
        </w:rPr>
        <w:t>该项目预算数是0.5万元，支出0万元，总体支出进度为 0%。</w:t>
      </w:r>
    </w:p>
    <w:p>
      <w:pPr>
        <w:pStyle w:val="15"/>
        <w:rPr>
          <w:rFonts w:ascii="仿宋" w:eastAsia="仿宋" w:cs="楷体_GB2312" w:hAnsi="仿宋"/>
          <w:sz w:val="32"/>
          <w:szCs w:val="32"/>
        </w:rPr>
      </w:pPr>
      <w:r>
        <w:rPr>
          <w:rFonts w:ascii="仿宋" w:eastAsia="仿宋" w:cs="楷体_GB2312" w:hAnsi="仿宋" w:hint="eastAsia"/>
          <w:sz w:val="32"/>
          <w:szCs w:val="32"/>
        </w:rPr>
        <w:t>2.产出指标和效果指标完成情况</w:t>
      </w:r>
    </w:p>
    <w:p>
      <w:pPr>
        <w:pStyle w:val="15"/>
        <w:rPr>
          <w:rFonts w:ascii="仿宋" w:eastAsia="仿宋" w:cs="楷体_GB2312" w:hAnsi="仿宋"/>
          <w:sz w:val="32"/>
          <w:szCs w:val="32"/>
        </w:rPr>
      </w:pPr>
      <w:r>
        <w:rPr>
          <w:rFonts w:ascii="仿宋" w:eastAsia="仿宋" w:cs="楷体_GB2312" w:hAnsi="仿宋"/>
          <w:sz w:val="32"/>
          <w:szCs w:val="32"/>
        </w:rPr>
        <w:t>进一步完善奖励制度，严格遵照文件要求完成奖励工作，确保资金使用符合相关规定。</w:t>
      </w:r>
      <w:r>
        <w:rPr>
          <w:rFonts w:ascii="仿宋" w:eastAsia="仿宋" w:cs="楷体_GB2312" w:hAnsi="仿宋" w:hint="eastAsia"/>
          <w:sz w:val="32"/>
          <w:szCs w:val="32"/>
        </w:rPr>
        <w:t>2025年我区未发生安全生产举报。</w:t>
      </w:r>
    </w:p>
    <w:p>
      <w:pPr>
        <w:pStyle w:val="15"/>
        <w:rPr>
          <w:rFonts w:ascii="仿宋" w:eastAsia="仿宋" w:cs="楷体_GB2312" w:hAnsi="仿宋"/>
          <w:sz w:val="32"/>
          <w:szCs w:val="32"/>
        </w:rPr>
      </w:pPr>
      <w:r>
        <w:rPr>
          <w:rFonts w:ascii="仿宋" w:eastAsia="仿宋" w:cs="楷体_GB2312" w:hAnsi="仿宋" w:hint="eastAsia"/>
          <w:sz w:val="32"/>
          <w:szCs w:val="32"/>
        </w:rPr>
        <w:t>绩效指标为 4 个，评价等级为优。</w:t>
      </w:r>
    </w:p>
    <w:p>
      <w:pPr>
        <w:spacing w:line="560" w:lineRule="exact"/>
        <w:ind w:firstLineChars="200" w:firstLine="640"/>
        <w:rPr>
          <w:rFonts w:ascii="黑体" w:eastAsia="黑体" w:hAnsi="黑体"/>
          <w:sz w:val="32"/>
          <w:szCs w:val="32"/>
        </w:rPr>
      </w:pPr>
      <w:r>
        <w:rPr>
          <w:rFonts w:ascii="黑体" w:eastAsia="黑体" w:hAnsi="黑体" w:hint="eastAsia"/>
          <w:sz w:val="32"/>
          <w:szCs w:val="32"/>
        </w:rPr>
        <w:t>四、评价结论和评价等级</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根据部门职责定位和各项工作履职情况进行综合评价，给出总得分，满分100分，得出综合绩效评价等级。部门整体支出综合绩效评价分为4个等级：得分</w:t>
      </w:r>
      <w:r>
        <w:rPr>
          <w:rFonts w:ascii="仿宋" w:eastAsia="仿宋" w:cs="Arial" w:hAnsi="仿宋"/>
          <w:sz w:val="32"/>
          <w:szCs w:val="32"/>
        </w:rPr>
        <w:t>≥</w:t>
      </w:r>
      <w:r>
        <w:rPr>
          <w:rFonts w:ascii="仿宋" w:eastAsia="仿宋" w:hAnsi="仿宋" w:hint="eastAsia"/>
          <w:sz w:val="32"/>
          <w:szCs w:val="32"/>
        </w:rPr>
        <w:t>85分为优秀；75</w:t>
      </w:r>
      <w:r>
        <w:rPr>
          <w:rFonts w:ascii="仿宋" w:eastAsia="仿宋" w:cs="Arial" w:hAnsi="仿宋"/>
          <w:sz w:val="32"/>
          <w:szCs w:val="32"/>
        </w:rPr>
        <w:t>≤</w:t>
      </w:r>
      <w:r>
        <w:rPr>
          <w:rFonts w:ascii="仿宋" w:eastAsia="仿宋" w:hAnsi="仿宋" w:hint="eastAsia"/>
          <w:sz w:val="32"/>
          <w:szCs w:val="32"/>
        </w:rPr>
        <w:t>得分＜85分为良好；60</w:t>
      </w:r>
      <w:r>
        <w:rPr>
          <w:rFonts w:ascii="仿宋" w:eastAsia="仿宋" w:cs="Arial" w:hAnsi="仿宋"/>
          <w:sz w:val="32"/>
          <w:szCs w:val="32"/>
        </w:rPr>
        <w:t>≤</w:t>
      </w:r>
      <w:r>
        <w:rPr>
          <w:rFonts w:ascii="仿宋" w:eastAsia="仿宋" w:hAnsi="仿宋" w:hint="eastAsia"/>
          <w:sz w:val="32"/>
          <w:szCs w:val="32"/>
        </w:rPr>
        <w:t>得分＜75分为一般；得分＜60分为较差。我部门整体支出综合绩效评价分92分为优秀。</w:t>
      </w:r>
    </w:p>
    <w:p>
      <w:pPr>
        <w:spacing w:line="560" w:lineRule="exact"/>
        <w:ind w:firstLineChars="200" w:firstLine="640"/>
        <w:rPr>
          <w:rFonts w:ascii="黑体" w:eastAsia="黑体" w:hAnsi="黑体"/>
          <w:sz w:val="32"/>
          <w:szCs w:val="32"/>
        </w:rPr>
      </w:pPr>
      <w:r>
        <w:rPr>
          <w:rFonts w:ascii="黑体" w:eastAsia="黑体" w:hAnsi="黑体" w:hint="eastAsia"/>
          <w:sz w:val="32"/>
          <w:szCs w:val="32"/>
        </w:rPr>
        <w:t>五、存在的问题及改进措施</w:t>
      </w:r>
    </w:p>
    <w:p>
      <w:pPr>
        <w:spacing w:line="560" w:lineRule="exact"/>
        <w:ind w:firstLineChars="200" w:firstLine="640"/>
        <w:rPr>
          <w:rFonts w:ascii="楷体" w:eastAsia="楷体" w:hAnsi="楷体"/>
          <w:bCs/>
          <w:sz w:val="32"/>
          <w:szCs w:val="32"/>
        </w:rPr>
      </w:pPr>
      <w:r>
        <w:rPr>
          <w:rFonts w:ascii="楷体" w:eastAsia="楷体" w:hAnsi="楷体" w:hint="eastAsia"/>
          <w:bCs/>
          <w:sz w:val="32"/>
          <w:szCs w:val="32"/>
        </w:rPr>
        <w:t>（一）存在的主要问题</w:t>
      </w:r>
    </w:p>
    <w:p>
      <w:pPr>
        <w:pStyle w:val="15"/>
        <w:rPr>
          <w:rFonts w:ascii="仿宋" w:eastAsia="仿宋" w:cs="楷体_GB2312" w:hAnsi="仿宋"/>
          <w:sz w:val="32"/>
          <w:szCs w:val="32"/>
        </w:rPr>
      </w:pPr>
      <w:r>
        <w:rPr>
          <w:rFonts w:ascii="仿宋" w:eastAsia="仿宋" w:cs="楷体_GB2312" w:hAnsi="仿宋" w:hint="eastAsia"/>
          <w:sz w:val="32"/>
          <w:szCs w:val="32"/>
        </w:rPr>
        <w:t>绩效评价在目标设定上过于简单，对于绩效考核来讲，目标就是方向，如果在绩效考核目标设定上出现问题、或者是设计不合理势必要影响到绩效考核的全局。当前绩效考核在目标设定上不能实现多元化的目标，考核结果仅仅是停留在作为薪金或晋升的依据，还不能成为考量职工发展的标杆。绩效评价在指标设定上存在偏离的现象。在当前绩效考核指标设定上，德能勤绩这种传统的固化思维模式依旧存在，不能紧紧围绕工作重点、偏离实际的现象依旧凸显。</w:t>
      </w:r>
    </w:p>
    <w:p>
      <w:pPr>
        <w:spacing w:line="560" w:lineRule="exact"/>
        <w:ind w:firstLineChars="200" w:firstLine="640"/>
        <w:rPr>
          <w:rFonts w:ascii="楷体" w:eastAsia="楷体" w:hAnsi="楷体"/>
          <w:bCs/>
          <w:sz w:val="32"/>
          <w:szCs w:val="32"/>
        </w:rPr>
      </w:pPr>
      <w:r>
        <w:rPr>
          <w:rFonts w:ascii="楷体" w:eastAsia="楷体" w:hAnsi="楷体" w:hint="eastAsia"/>
          <w:bCs/>
          <w:sz w:val="32"/>
          <w:szCs w:val="32"/>
        </w:rPr>
        <w:t>（二）针对问题提出具体的改进措施或建议</w:t>
      </w:r>
    </w:p>
    <w:p>
      <w:pPr>
        <w:pStyle w:val="15"/>
        <w:rPr>
          <w:rFonts w:ascii="仿宋" w:eastAsia="仿宋" w:cs="楷体_GB2312" w:hAnsi="仿宋"/>
          <w:sz w:val="32"/>
          <w:szCs w:val="32"/>
        </w:rPr>
      </w:pPr>
      <w:r>
        <w:rPr>
          <w:rFonts w:ascii="仿宋" w:eastAsia="仿宋" w:cs="楷体_GB2312" w:hAnsi="仿宋" w:hint="eastAsia"/>
          <w:sz w:val="32"/>
          <w:szCs w:val="32"/>
        </w:rPr>
        <w:t>针对绩效指标设定中存在的问题，从实际出发，在2024年项目绩效目标填报中增强指标的可评价性和可量化性，合理如实的反映资金使用的绩效成果，审核实现绩效目标所需资金的合理性以及填报的规范性、完整性，提高财政支出产生的社会效益和经济效益，重点考虑项目的外界因素对年度任务的影响。</w:t>
      </w:r>
    </w:p>
    <w:p>
      <w:pPr>
        <w:pStyle w:val="15"/>
        <w:rPr>
          <w:rFonts w:ascii="仿宋" w:eastAsia="仿宋" w:hAnsi="仿宋"/>
          <w:b/>
          <w:bCs/>
          <w:sz w:val="32"/>
          <w:szCs w:val="32"/>
        </w:rPr>
      </w:pPr>
      <w:r>
        <w:rPr>
          <w:rFonts w:ascii="仿宋" w:eastAsia="仿宋" w:cs="楷体_GB2312" w:hAnsi="仿宋" w:hint="eastAsia"/>
          <w:sz w:val="32"/>
          <w:szCs w:val="32"/>
        </w:rPr>
        <w:t>在以后的工作中，要根据年度工作计划制定具体、可衡量、可实现的绩效目标，明确支出的必要性、可行性和有效性，并围绕绩效目标编制清晰、量化、便于考核的绩效指标。要重视绩效评价工作，切实发挥绩效评价结果应用的作用，通过绩效评价应用实践，积累连续的数据库，优化对比分析，总结实践中的经验和教训，强化财政资金管理水平、提高财政资金使用效益，在更高层次上实现财政资源配置的公平性和合理性。</w:t>
      </w:r>
    </w:p>
    <w:p>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六、评价工作组人员名单及签字（姓名、工作单位、职务、职称）</w:t>
      </w:r>
    </w:p>
    <w:p>
      <w:pPr>
        <w:spacing w:line="560" w:lineRule="exact"/>
        <w:jc w:val="center"/>
        <w:rPr>
          <w:rFonts w:ascii="宋体" w:cs="宋体" w:hAnsi="宋体"/>
          <w:sz w:val="44"/>
          <w:szCs w:val="44"/>
        </w:rPr>
      </w:pPr>
      <w:r>
        <w:rPr>
          <w:rFonts w:ascii="宋体" w:cs="宋体" w:hAnsi="宋体" w:hint="eastAsia"/>
          <w:sz w:val="44"/>
          <w:szCs w:val="44"/>
        </w:rPr>
        <w:t>评价工作组人员名单</w:t>
      </w:r>
    </w:p>
    <w:tbl>
      <w:tblPr>
        <w:jc w:val="left"/>
        <w:tblInd w:w="0" w:type="dxa"/>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4A0" w:firstRow="1" w:lastRow="0" w:firstColumn="1" w:lastColumn="0" w:noHBand="0" w:noVBand="1"/>
      </w:tblPr>
      <w:tblGrid>
        <w:gridCol w:w="1149"/>
        <w:gridCol w:w="1172"/>
        <w:gridCol w:w="2040"/>
        <w:gridCol w:w="2887"/>
        <w:gridCol w:w="1813"/>
      </w:tblGrid>
      <w:tr>
        <w:tc>
          <w:tcPr>
            <w:tcW w:w="1149" w:type="dxa"/>
          </w:tcPr>
          <w:p>
            <w:pPr>
              <w:pStyle w:val="15"/>
              <w:ind w:firstLineChars="0" w:firstLine="0"/>
            </w:pPr>
            <w:r>
              <w:rPr>
                <w:rFonts w:hint="eastAsia"/>
              </w:rPr>
              <w:t xml:space="preserve"> 序号</w:t>
            </w:r>
          </w:p>
        </w:tc>
        <w:tc>
          <w:tcPr>
            <w:tcW w:w="1172" w:type="dxa"/>
          </w:tcPr>
          <w:p>
            <w:pPr>
              <w:pStyle w:val="15"/>
              <w:ind w:firstLineChars="0" w:firstLine="0"/>
            </w:pPr>
            <w:r>
              <w:rPr>
                <w:rFonts w:hint="eastAsia"/>
              </w:rPr>
              <w:t xml:space="preserve"> 姓名</w:t>
            </w:r>
          </w:p>
        </w:tc>
        <w:tc>
          <w:tcPr>
            <w:tcW w:w="2040" w:type="dxa"/>
          </w:tcPr>
          <w:p>
            <w:pPr>
              <w:pStyle w:val="15"/>
              <w:ind w:firstLineChars="0" w:firstLine="0"/>
            </w:pPr>
            <w:r>
              <w:rPr>
                <w:rFonts w:hint="eastAsia"/>
              </w:rPr>
              <w:t xml:space="preserve"> 工作单位</w:t>
            </w:r>
          </w:p>
        </w:tc>
        <w:tc>
          <w:tcPr>
            <w:tcW w:w="2887" w:type="dxa"/>
          </w:tcPr>
          <w:p>
            <w:pPr>
              <w:pStyle w:val="15"/>
              <w:ind w:firstLineChars="0" w:firstLine="0"/>
              <w:jc w:val="center"/>
            </w:pPr>
            <w:r>
              <w:rPr>
                <w:rFonts w:hint="eastAsia"/>
              </w:rPr>
              <w:t>职  务</w:t>
            </w:r>
          </w:p>
        </w:tc>
        <w:tc>
          <w:tcPr>
            <w:tcW w:w="1813" w:type="dxa"/>
          </w:tcPr>
          <w:p>
            <w:pPr>
              <w:pStyle w:val="15"/>
              <w:ind w:firstLineChars="0" w:firstLine="0"/>
              <w:jc w:val="center"/>
            </w:pPr>
            <w:r>
              <w:rPr>
                <w:rFonts w:hint="eastAsia"/>
              </w:rPr>
              <w:t>签  名</w:t>
            </w:r>
          </w:p>
        </w:tc>
      </w:tr>
      <w:tr>
        <w:tc>
          <w:tcPr>
            <w:tcW w:w="1149" w:type="dxa"/>
            <w:vAlign w:val="center"/>
          </w:tcPr>
          <w:p>
            <w:pPr>
              <w:pStyle w:val="15"/>
              <w:ind w:firstLineChars="0" w:firstLine="0"/>
              <w:jc w:val="center"/>
              <w:rPr>
                <w:rFonts w:ascii="仿宋_GB2312" w:cs="仿宋_GB2312" w:hAnsi="仿宋_GB2312"/>
              </w:rPr>
            </w:pPr>
            <w:r>
              <w:rPr>
                <w:rFonts w:ascii="仿宋_GB2312" w:cs="仿宋_GB2312" w:hAnsi="仿宋_GB2312" w:hint="eastAsia"/>
              </w:rPr>
              <w:t>1</w:t>
            </w:r>
          </w:p>
        </w:tc>
        <w:tc>
          <w:tcPr>
            <w:tcW w:w="1172" w:type="dxa"/>
          </w:tcPr>
          <w:p>
            <w:pPr>
              <w:pStyle w:val="15"/>
              <w:ind w:firstLineChars="0" w:firstLine="0"/>
            </w:pPr>
            <w:r>
              <w:rPr>
                <w:rFonts w:hint="eastAsia"/>
              </w:rPr>
              <w:t>耿  嘉</w:t>
            </w:r>
          </w:p>
        </w:tc>
        <w:tc>
          <w:tcPr>
            <w:tcW w:w="2040" w:type="dxa"/>
            <w:vAlign w:val="center"/>
          </w:tcPr>
          <w:p>
            <w:pPr>
              <w:pStyle w:val="15"/>
              <w:ind w:firstLineChars="0" w:firstLine="0"/>
              <w:jc w:val="center"/>
            </w:pPr>
            <w:r>
              <w:rPr>
                <w:rFonts w:hint="eastAsia"/>
              </w:rPr>
              <w:t>应急管理局</w:t>
            </w:r>
          </w:p>
        </w:tc>
        <w:tc>
          <w:tcPr>
            <w:tcW w:w="2887" w:type="dxa"/>
          </w:tcPr>
          <w:p>
            <w:pPr>
              <w:pStyle w:val="15"/>
              <w:ind w:firstLineChars="0" w:firstLine="0"/>
              <w:jc w:val="center"/>
            </w:pPr>
            <w:r>
              <w:rPr>
                <w:rFonts w:hint="eastAsia"/>
              </w:rPr>
              <w:t>局  长</w:t>
            </w:r>
          </w:p>
        </w:tc>
        <w:tc>
          <w:tcPr>
            <w:tcW w:w="1813" w:type="dxa"/>
          </w:tcPr>
          <w:p>
            <w:pPr>
              <w:pStyle w:val="15"/>
            </w:pPr>
          </w:p>
        </w:tc>
      </w:tr>
      <w:tr>
        <w:tc>
          <w:tcPr>
            <w:tcW w:w="1149" w:type="dxa"/>
            <w:vAlign w:val="center"/>
          </w:tcPr>
          <w:p>
            <w:pPr>
              <w:pStyle w:val="15"/>
              <w:ind w:firstLineChars="0" w:firstLine="0"/>
              <w:jc w:val="center"/>
              <w:rPr>
                <w:rFonts w:ascii="仿宋_GB2312" w:cs="仿宋_GB2312" w:hAnsi="仿宋_GB2312"/>
              </w:rPr>
            </w:pPr>
            <w:r>
              <w:rPr>
                <w:rFonts w:ascii="仿宋_GB2312" w:cs="仿宋_GB2312" w:hAnsi="仿宋_GB2312" w:hint="eastAsia"/>
              </w:rPr>
              <w:t>2</w:t>
            </w:r>
          </w:p>
        </w:tc>
        <w:tc>
          <w:tcPr>
            <w:tcW w:w="1172" w:type="dxa"/>
          </w:tcPr>
          <w:p>
            <w:pPr>
              <w:pStyle w:val="15"/>
              <w:ind w:firstLineChars="0" w:firstLine="0"/>
            </w:pPr>
            <w:r>
              <w:rPr>
                <w:rFonts w:hint="eastAsia"/>
              </w:rPr>
              <w:t>苏志忠</w:t>
            </w:r>
          </w:p>
        </w:tc>
        <w:tc>
          <w:tcPr>
            <w:tcW w:w="2040" w:type="dxa"/>
            <w:vAlign w:val="center"/>
          </w:tcPr>
          <w:p>
            <w:pPr>
              <w:pStyle w:val="15"/>
              <w:ind w:firstLineChars="0" w:firstLine="0"/>
              <w:jc w:val="center"/>
            </w:pPr>
            <w:r>
              <w:rPr>
                <w:rFonts w:hint="eastAsia"/>
              </w:rPr>
              <w:t>应急管理局</w:t>
            </w:r>
          </w:p>
        </w:tc>
        <w:tc>
          <w:tcPr>
            <w:tcW w:w="2887" w:type="dxa"/>
          </w:tcPr>
          <w:p>
            <w:pPr>
              <w:pStyle w:val="15"/>
              <w:ind w:firstLineChars="0" w:firstLine="0"/>
              <w:jc w:val="center"/>
            </w:pPr>
            <w:r>
              <w:rPr>
                <w:rFonts w:hint="eastAsia"/>
              </w:rPr>
              <w:t>副局长</w:t>
            </w:r>
          </w:p>
        </w:tc>
        <w:tc>
          <w:tcPr>
            <w:tcW w:w="1813" w:type="dxa"/>
          </w:tcPr>
          <w:p>
            <w:pPr>
              <w:pStyle w:val="15"/>
            </w:pPr>
          </w:p>
        </w:tc>
      </w:tr>
      <w:tr>
        <w:tc>
          <w:tcPr>
            <w:tcW w:w="1149" w:type="dxa"/>
            <w:vAlign w:val="center"/>
          </w:tcPr>
          <w:p>
            <w:pPr>
              <w:pStyle w:val="15"/>
              <w:ind w:firstLineChars="0" w:firstLine="0"/>
              <w:jc w:val="center"/>
              <w:rPr>
                <w:rFonts w:ascii="仿宋_GB2312" w:cs="仿宋_GB2312" w:hAnsi="仿宋_GB2312"/>
              </w:rPr>
            </w:pPr>
            <w:r>
              <w:rPr>
                <w:rFonts w:ascii="仿宋_GB2312" w:cs="仿宋_GB2312" w:hAnsi="仿宋_GB2312" w:hint="eastAsia"/>
              </w:rPr>
              <w:t>3</w:t>
            </w:r>
          </w:p>
        </w:tc>
        <w:tc>
          <w:tcPr>
            <w:tcW w:w="1172" w:type="dxa"/>
          </w:tcPr>
          <w:p>
            <w:pPr>
              <w:pStyle w:val="15"/>
              <w:ind w:firstLineChars="0" w:firstLine="0"/>
            </w:pPr>
            <w:r>
              <w:rPr>
                <w:rFonts w:hint="eastAsia"/>
              </w:rPr>
              <w:t>纪福荣</w:t>
            </w:r>
          </w:p>
        </w:tc>
        <w:tc>
          <w:tcPr>
            <w:tcW w:w="2040" w:type="dxa"/>
            <w:vAlign w:val="center"/>
          </w:tcPr>
          <w:p>
            <w:pPr>
              <w:pStyle w:val="15"/>
              <w:ind w:firstLineChars="0" w:firstLine="0"/>
              <w:jc w:val="center"/>
            </w:pPr>
            <w:r>
              <w:rPr>
                <w:rFonts w:hint="eastAsia"/>
              </w:rPr>
              <w:t>应急管理局</w:t>
            </w:r>
          </w:p>
        </w:tc>
        <w:tc>
          <w:tcPr>
            <w:tcW w:w="2887" w:type="dxa"/>
          </w:tcPr>
          <w:p>
            <w:pPr>
              <w:pStyle w:val="15"/>
              <w:ind w:firstLineChars="0" w:firstLine="0"/>
              <w:jc w:val="center"/>
            </w:pPr>
            <w:r>
              <w:rPr>
                <w:rFonts w:hint="eastAsia"/>
              </w:rPr>
              <w:t>副局长</w:t>
            </w:r>
          </w:p>
        </w:tc>
        <w:tc>
          <w:tcPr>
            <w:tcW w:w="1813" w:type="dxa"/>
          </w:tcPr>
          <w:p>
            <w:pPr>
              <w:pStyle w:val="15"/>
            </w:pPr>
          </w:p>
        </w:tc>
      </w:tr>
      <w:tr>
        <w:tc>
          <w:tcPr>
            <w:tcW w:w="1149" w:type="dxa"/>
            <w:vAlign w:val="center"/>
          </w:tcPr>
          <w:p>
            <w:pPr>
              <w:pStyle w:val="15"/>
              <w:ind w:firstLineChars="0" w:firstLine="0"/>
              <w:jc w:val="center"/>
              <w:rPr>
                <w:rFonts w:ascii="仿宋_GB2312" w:cs="仿宋_GB2312" w:hAnsi="仿宋_GB2312"/>
              </w:rPr>
            </w:pPr>
            <w:r>
              <w:rPr>
                <w:rFonts w:ascii="仿宋_GB2312" w:cs="仿宋_GB2312" w:hAnsi="仿宋_GB2312" w:hint="eastAsia"/>
              </w:rPr>
              <w:t>4</w:t>
            </w:r>
          </w:p>
        </w:tc>
        <w:tc>
          <w:tcPr>
            <w:tcW w:w="1172" w:type="dxa"/>
          </w:tcPr>
          <w:p>
            <w:pPr>
              <w:pStyle w:val="15"/>
              <w:ind w:firstLineChars="0" w:firstLine="0"/>
            </w:pPr>
            <w:r>
              <w:rPr>
                <w:rFonts w:hint="eastAsia"/>
              </w:rPr>
              <w:t>高明杰</w:t>
            </w:r>
          </w:p>
        </w:tc>
        <w:tc>
          <w:tcPr>
            <w:tcW w:w="2040" w:type="dxa"/>
            <w:vAlign w:val="center"/>
          </w:tcPr>
          <w:p>
            <w:pPr>
              <w:pStyle w:val="15"/>
              <w:ind w:firstLineChars="0" w:firstLine="0"/>
              <w:jc w:val="center"/>
            </w:pPr>
            <w:r>
              <w:rPr>
                <w:rFonts w:hint="eastAsia"/>
              </w:rPr>
              <w:t>综合执法大队</w:t>
            </w:r>
          </w:p>
        </w:tc>
        <w:tc>
          <w:tcPr>
            <w:tcW w:w="2887" w:type="dxa"/>
          </w:tcPr>
          <w:p>
            <w:pPr>
              <w:pStyle w:val="15"/>
              <w:ind w:firstLineChars="0" w:firstLine="0"/>
              <w:jc w:val="center"/>
            </w:pPr>
            <w:r>
              <w:rPr>
                <w:rFonts w:hint="eastAsia"/>
              </w:rPr>
              <w:t>大队长</w:t>
            </w:r>
          </w:p>
        </w:tc>
        <w:tc>
          <w:tcPr>
            <w:tcW w:w="1813" w:type="dxa"/>
          </w:tcPr>
          <w:p>
            <w:pPr>
              <w:pStyle w:val="15"/>
            </w:pPr>
          </w:p>
        </w:tc>
      </w:tr>
      <w:tr>
        <w:tc>
          <w:tcPr>
            <w:tcW w:w="1149" w:type="dxa"/>
            <w:vAlign w:val="center"/>
          </w:tcPr>
          <w:p>
            <w:pPr>
              <w:pStyle w:val="15"/>
              <w:ind w:firstLineChars="0" w:firstLine="0"/>
              <w:jc w:val="center"/>
              <w:rPr>
                <w:rFonts w:ascii="仿宋_GB2312" w:cs="仿宋_GB2312" w:hAnsi="仿宋_GB2312"/>
              </w:rPr>
            </w:pPr>
            <w:r>
              <w:rPr>
                <w:rFonts w:ascii="仿宋_GB2312" w:cs="仿宋_GB2312" w:hAnsi="仿宋_GB2312" w:hint="eastAsia"/>
              </w:rPr>
              <w:t>5</w:t>
            </w:r>
          </w:p>
        </w:tc>
        <w:tc>
          <w:tcPr>
            <w:tcW w:w="1172" w:type="dxa"/>
          </w:tcPr>
          <w:p>
            <w:pPr>
              <w:pStyle w:val="15"/>
              <w:ind w:firstLineChars="0" w:firstLine="0"/>
            </w:pPr>
            <w:r>
              <w:rPr>
                <w:rFonts w:hint="eastAsia"/>
              </w:rPr>
              <w:t>徐亚琪</w:t>
            </w:r>
          </w:p>
        </w:tc>
        <w:tc>
          <w:tcPr>
            <w:tcW w:w="2040" w:type="dxa"/>
            <w:vAlign w:val="center"/>
          </w:tcPr>
          <w:p>
            <w:pPr>
              <w:pStyle w:val="15"/>
              <w:ind w:firstLineChars="0" w:firstLine="0"/>
              <w:jc w:val="center"/>
            </w:pPr>
            <w:r>
              <w:rPr>
                <w:rFonts w:hint="eastAsia"/>
              </w:rPr>
              <w:t>综合执法大队</w:t>
            </w:r>
          </w:p>
        </w:tc>
        <w:tc>
          <w:tcPr>
            <w:tcW w:w="2887" w:type="dxa"/>
          </w:tcPr>
          <w:p>
            <w:pPr>
              <w:pStyle w:val="15"/>
              <w:ind w:firstLineChars="140" w:firstLine="420"/>
            </w:pPr>
            <w:r>
              <w:rPr>
                <w:rFonts w:hint="eastAsia"/>
              </w:rPr>
              <w:t xml:space="preserve">   职  员</w:t>
            </w:r>
          </w:p>
        </w:tc>
        <w:tc>
          <w:tcPr>
            <w:tcW w:w="1813" w:type="dxa"/>
          </w:tcPr>
          <w:p>
            <w:pPr>
              <w:pStyle w:val="15"/>
            </w:pPr>
          </w:p>
        </w:tc>
      </w:tr>
    </w:tbl>
    <w:p>
      <w:pPr>
        <w:spacing w:line="560" w:lineRule="exact"/>
        <w:rPr>
          <w:rFonts w:ascii="仿宋" w:eastAsia="仿宋" w:hAnsi="仿宋"/>
        </w:rPr>
      </w:pPr>
    </w:p>
    <w:sectPr>
      <w:footerReference w:type="default" r:id="rId2"/>
      <w:pgSz w:w="11906" w:h="16838"/>
      <w:pgMar w:top="1440" w:right="1474" w:bottom="1440" w:left="1587" w:header="851" w:footer="992" w:gutter="0"/>
      <w:pgNumType w:fmt="numberInDash"/>
      <w:cols w:num="1" w:space="720"/>
      <w:docGrid w:type="lines" w:linePitch="312" w:charSpace="0"/>
    </w:sectPr>
  </w:body>
</w:document>
</file>

<file path=word/fontTable.xml><?xml version="1.0" encoding="utf-8"?>
<w:fonts xmlns:w="http://schemas.openxmlformats.org/wordprocessingml/2006/main" xmlns:r="http://schemas.openxmlformats.org/officeDocument/2006/relationships">
  <w:font w:name="黑体">
    <w:altName w:val="SimHei"/>
    <w:panose1 w:val="02010609060101010101"/>
    <w:charset w:val="86"/>
    <w:family w:val="modern"/>
    <w:pitch w:val="variable"/>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variable"/>
    <w:sig w:usb0="800002BF" w:usb1="38CF7CFA" w:usb2="00000016" w:usb3="00000000" w:csb0="00040001" w:csb1="00000000"/>
  </w:font>
  <w:font w:name="楷体">
    <w:panose1 w:val="02010609060101010101"/>
    <w:charset w:val="86"/>
    <w:family w:val="modern"/>
    <w:pitch w:val="variable"/>
    <w:sig w:usb0="800002BF" w:usb1="38CF7CFA" w:usb2="00000016" w:usb3="00000000" w:csb0="00040001" w:csb1="00000000"/>
  </w:font>
  <w:font w:name="楷体_GB2312">
    <w:panose1 w:val="00000000000000000000"/>
    <w:charset w:val="86"/>
    <w:family w:val="auto"/>
    <w:pitch w:val="variable"/>
    <w:sig w:usb0="00000001" w:usb1="080E0000" w:usb2="00000000" w:usb3="00000000" w:csb0="00040000" w:csb1="00000000"/>
  </w:font>
  <w:font w:name="方正楷体_GBK">
    <w:altName w:val="宋体"/>
    <w:panose1 w:val="00000000000000000000"/>
    <w:charset w:val="86"/>
    <w:family w:val="modern"/>
    <w:pitch w:val="variable"/>
  </w:font>
  <w:font w:name="仿宋_GB2312">
    <w:altName w:val="仿宋"/>
    <w:panose1 w:val="00000000000000000000"/>
    <w:charset w:val="86"/>
    <w:family w:val="auto"/>
    <w:pitch w:val="variable"/>
    <w:sig w:usb0="00000001"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方正仿宋_GBK">
    <w:altName w:val="宋体"/>
    <w:panose1 w:val="00000000000000000000"/>
    <w:charset w:val="86"/>
    <w:family w:val="modern"/>
    <w:pitch w:val="variable"/>
  </w:font>
  <w:font w:name="方正书宋_GBK">
    <w:altName w:val="宋体"/>
    <w:panose1 w:val="00000000000000000000"/>
    <w:charset w:val="86"/>
    <w:family w:val="modern"/>
    <w:pitch w:val="variable"/>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tabs>
        <w:tab w:val="center" w:pos="4153"/>
        <w:tab w:val="right" w:pos="8306"/>
      </w:tabs>
    </w:pPr>
    <w:r>
      <mc:AlternateContent>
        <mc:Choice Requires="wps">
          <w:drawing>
            <wp:anchor distT="0" distB="0" distL="90805" distR="90805" simplePos="0" relativeHeight="12" behindDoc="0" locked="0" layoutInCell="1" hidden="0" allowOverlap="1">
              <wp:simplePos x="0" y="0"/>
              <wp:positionH relativeFrom="margin">
                <wp:align>center</wp:align>
              </wp:positionH>
              <wp:positionV relativeFrom="paragraph">
                <wp:posOffset>0</wp:posOffset>
              </wp:positionV>
              <wp:extent cx="209531" cy="162780"/>
              <wp:effectExtent l="0" t="0" r="0" b="0"/>
              <wp:wrapNone/>
              <wp:docPr id="1" name="Quad Arrow 3073"/>
              <wp:cNvGraphicFramePr>
                <a:graphicFrameLocks noChangeAspect="0"/>
              </wp:cNvGraphicFramePr>
              <a:graphic>
                <a:graphicData uri="http://schemas.microsoft.com/office/word/2010/wordprocessingShape">
                  <wps:wsp>
                    <wps:cNvSpPr/>
                    <wps:spPr>
                      <a:xfrm rot="0">
                        <a:off x="0" y="0"/>
                        <a:ext cx="209531" cy="162780"/>
                      </a:xfrm>
                      <a:prstGeom prst="rect"/>
                      <a:noFill/>
                      <a:ln w="9525" cmpd="sng" cap="flat">
                        <a:noFill/>
                        <a:prstDash val="solid"/>
                        <a:miter/>
                      </a:ln>
                    </wps:spPr>
                    <wps:txbx id="1">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- 11 -</w:t>
                          </w:r>
                          <w:r>
                            <w:rPr>
                              <w:rFonts w:hint="eastAsia"/>
                              <w:sz w:val="18"/>
                            </w:rPr>
                            <w:fldChar w:fldCharType="end"/>
                          </w:r>
                        </w:p>
                      </w:txbxContent>
                    </wps:txbx>
                    <wps:bodyPr vert="horz" wrap="none" lIns="0" tIns="0" rIns="0" bIns="0" anchor="t" anchorCtr="0" upright="1">
                      <a:spAutoFit/>
                    </wps:bodyPr>
                  </wps:wsp>
                </a:graphicData>
              </a:graphic>
            </wp:anchor>
          </w:drawing>
        </mc:Choice>
        <mc:Fallback>
          <w:pict>
            <v:rect type="#_x0000_t1" id="Quad Arrow 3073" o:spid="_x0000_s2" filled="f" stroked="f" style="position:absolute;margin-left:0.0pt;margin-top:0.0pt;width:16.498535pt;height:12.817383pt;z-index:12;mso-position-horizontal:center;mso-position-horizontal-relative:margin;mso-position-vertical:absolute;mso-wrap-distance-left:7.15pt;mso-wrap-distance-right:7.15pt;mso-wrap-style:none;">
              <v:stroke/>
              <v:textbox id="848" inset="0mm,0mm,0mm,0mm" o:insetmode="custom" style="layout-flow:horizontal;v-text-anchor:top;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- 11 -</w:t>
                    </w:r>
                    <w:r>
                      <w:rPr>
                        <w:rFonts w:hint="eastAsia"/>
                        <w:sz w:val="18"/>
                      </w:rP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516AA81"/>
    <w:multiLevelType w:val="singleLevel"/>
    <w:tmpl w:val="0516AA81"/>
    <w:lvl w:ilvl="0">
      <w:start w:val="2"/>
      <w:numFmt w:val="chineseCounting"/>
      <w:lvlRestart w:val="0"/>
      <w:suff w:val="nothing"/>
      <w:lvlText w:val="（%1）"/>
      <w:lvlJc w:val="left"/>
      <w:pPr>
        <w:ind w:left="642" w:hanging="0"/>
      </w:pPr>
      <w:rPr>
        <w:rFonts w:hint="eastAsia"/>
      </w:rPr>
    </w:lvl>
  </w:abstractNum>
  <w:abstractNum w:abstractNumId="1">
    <w:nsid w:val="5E68489B"/>
    <w:multiLevelType w:val="singleLevel"/>
    <w:tmpl w:val="5E68489B"/>
    <w:lvl w:ilvl="0">
      <w:start w:val="1"/>
      <w:numFmt w:val="chineseCounting"/>
      <w:lvlRestart w:val="0"/>
      <w:suff w:val="nothing"/>
      <w:lvlText w:val="（%1）"/>
      <w:lvlJc w:val="left"/>
      <w:pPr>
        <w:ind w:left="0" w:hanging="0"/>
      </w:pPr>
      <w:rPr>
        <w:rFonts w:ascii="楷体" w:hAnsi="楷体" w:eastAsia="楷体"/>
      </w:r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UseIndentAsNumberingTabStop/>
    <w:useAltKinsokuLineBreakRules/>
    <w:doNotSuppressIndentation/>
    <w:splitPgBreakAndParaMark/>
    <w:compatSetting w:name="compatibilityMode" w:uri="http://schemas.microsoft.com/office/word" w:val="11"/>
  </w:compat>
  <w:docVars>
    <w:docVar w:name="commondata" w:val="eyJoZGlkIjoiYzgxMzVhZTBlNDUyZWUxNDVhMjNkN2E1NjFlOTE5NDcifQ=="/>
  </w:docVars>
  <m:mathPr>
    <m:mathFont m:val="Cambria Math"/>
    <m:brkBin m:val="before"/>
    <m:brkBinSub m:val="--"/>
    <m:smallFrac m:val="0"/>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next w:val="15"/>
    <w:pPr>
      <w:widowControl w:val="0"/>
      <w:jc w:val="both"/>
    </w:pPr>
    <w:rPr>
      <w:rFonts w:ascii="Calibri" w:eastAsia="宋体" w:cs="黑体" w:hAnsi="Calibri"/>
      <w:kern w:val="2"/>
      <w:sz w:val="21"/>
      <w:szCs w:val="22"/>
      <w:lang w:val="en-US" w:eastAsia="zh-CN"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Calibri" w:eastAsia="宋体" w:cs="黑体" w:hAnsi="Calibri"/>
      <w:b/>
      <w:bCs/>
      <w:kern w:val="44"/>
      <w:sz w:val="44"/>
      <w:szCs w:val="44"/>
      <w:lang w:val="en-US" w:eastAsia="zh-CN" w:bidi="ar-SA"/>
    </w:rPr>
  </w:style>
  <w:style w:type="paragraph" w:styleId="2">
    <w:name w:val="heading 2"/>
    <w:qFormat/>
    <w:basedOn w:val="0"/>
    <w:next w:val="0"/>
    <w:link w:val="2Char"/>
    <w:pPr>
      <w:keepNext/>
      <w:keepLines/>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黑体" w:hAnsi="Times New Roman"/>
      <w:b/>
      <w:bCs/>
      <w:kern w:val="2"/>
      <w:sz w:val="32"/>
      <w:szCs w:val="32"/>
      <w:lang w:val="en-US" w:eastAsia="zh-CN" w:bidi="ar-SA"/>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Calibri" w:eastAsia="宋体" w:cs="黑体" w:hAnsi="Calibri"/>
      <w:b/>
      <w:bCs/>
      <w:kern w:val="2"/>
      <w:sz w:val="32"/>
      <w:szCs w:val="32"/>
      <w:lang w:val="en-US" w:eastAsia="zh-CN" w:bidi="ar-SA"/>
    </w:rPr>
  </w:style>
  <w:style w:type="character" w:default="1" w:styleId="10">
    <w:name w:val="Default Paragraph Font"/>
    <w:qFormat/>
  </w:style>
  <w:style w:type="paragraph" w:styleId="15">
    <w:name w:val="Normal Indent"/>
    <w:qFormat/>
    <w:basedOn w:val="0"/>
    <w:next w:val="16"/>
    <w:pPr>
      <w:ind w:firstLineChars="200" w:firstLine="200"/>
    </w:pPr>
    <w:rPr>
      <w:rFonts w:eastAsia="仿宋_GB2312"/>
      <w:sz w:val="30"/>
    </w:rPr>
  </w:style>
  <w:style w:type="paragraph" w:styleId="16">
    <w:name w:val="Subtitle"/>
    <w:qFormat/>
    <w:basedOn w:val="0"/>
    <w:next w:val="0"/>
    <w:pPr>
      <w:spacing w:before="240" w:after="60" w:line="312" w:lineRule="auto"/>
      <w:jc w:val="center"/>
      <w:outlineLvl w:val="1"/>
    </w:pPr>
    <w:rPr>
      <w:rFonts w:ascii="Cambria" w:cs="Times New Roman" w:hAnsi="Cambria"/>
      <w:b/>
      <w:bCs/>
      <w:kern w:val="28"/>
      <w:sz w:val="32"/>
      <w:szCs w:val="32"/>
    </w:rPr>
  </w:style>
  <w:style w:type="paragraph" w:styleId="17">
    <w:name w:val="footer"/>
    <w:qFormat/>
    <w:basedOn w:val="0"/>
    <w:pPr>
      <w:tabs>
        <w:tab w:val="center" w:pos="4153"/>
        <w:tab w:val="right" w:pos="8306"/>
      </w:tabs>
      <w:snapToGrid w:val="0"/>
      <w:jc w:val="left"/>
    </w:pPr>
    <w:rPr>
      <w:sz w:val="18"/>
    </w:rPr>
  </w:style>
  <w:style w:type="paragraph" w:styleId="18">
    <w:name w:val="header"/>
    <w:qFormat/>
    <w:basedOn w:val="0"/>
    <w:pPr>
      <w:tabs>
        <w:tab w:val="center" w:pos="4153"/>
        <w:tab w:val="right" w:pos="8306"/>
      </w:tabs>
      <w:snapToGrid w:val="0"/>
    </w:pPr>
    <w:rPr>
      <w:rFonts w:ascii="Times New Roman" w:hAnsi="Times New Roman"/>
      <w:sz w:val="18"/>
    </w:rPr>
  </w:style>
  <w:style w:type="paragraph" w:customStyle="1" w:styleId="19">
    <w:name w:val="插入文本样式-插入单位职责文件"/>
    <w:qFormat/>
    <w:basedOn w:val="0"/>
    <w:pPr>
      <w:spacing w:line="500" w:lineRule="exact"/>
      <w:ind w:firstLine="560"/>
    </w:pPr>
    <w:rPr>
      <w:rFonts w:eastAsia="方正仿宋_GBK"/>
      <w:sz w:val="28"/>
    </w:rPr>
  </w:style>
  <w:style w:type="paragraph" w:customStyle="1" w:styleId="20">
    <w:name w:val="单元格样式1"/>
    <w:qFormat/>
    <w:basedOn w:val="0"/>
    <w:pPr>
      <w:jc w:val="center"/>
    </w:pPr>
    <w:rPr>
      <w:rFonts w:ascii="方正书宋_GBK" w:eastAsia="方正书宋_GBK" w:cs="方正书宋_GBK" w:hAnsi="方正书宋_GBK"/>
      <w:b/>
    </w:rPr>
  </w:style>
  <w:style w:type="paragraph" w:customStyle="1" w:styleId="21">
    <w:name w:val="单元格样式2"/>
    <w:qFormat/>
    <w:basedOn w:val="0"/>
    <w:rPr>
      <w:rFonts w:ascii="方正书宋_GBK" w:eastAsia="方正书宋_GBK" w:cs="方正书宋_GBK" w:hAnsi="方正书宋_GBK"/>
    </w:rPr>
  </w:style>
  <w:style w:type="paragraph" w:customStyle="1" w:styleId="22">
    <w:name w:val="单元格样式3"/>
    <w:qFormat/>
    <w:basedOn w:val="0"/>
    <w:pPr>
      <w:jc w:val="center"/>
    </w:pPr>
    <w:rPr>
      <w:rFonts w:ascii="方正书宋_GBK" w:eastAsia="方正书宋_GBK" w:cs="方正书宋_GBK" w:hAnsi="方正书宋_GBK"/>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customXml" Target="../customXml/item1.xml"/><Relationship Id="rId7" Type="http://schemas.openxmlformats.org/officeDocument/2006/relationships/theme" Target="theme/theme1.xml"/></Relationships>
</file>

<file path=word/theme/theme1.xml><?xml version="1.0" encoding="utf-8"?>
<a:theme xmlns:a="http://schemas.openxmlformats.org/drawingml/2006/main" name="Office 主题​​">
  <a:themeElements>
    <a:clrScheme name="Office 主题​​">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mpd="sng" cap="flat">
          <a:solidFill>
            <a:schemeClr val="phClr">
              <a:shade val="95000"/>
              <a:satMod val="105000"/>
            </a:schemeClr>
          </a:solidFill>
          <a:prstDash val="solid"/>
          <a:round/>
        </a:ln>
        <a:ln w="25400" cmpd="sng" cap="flat">
          <a:solidFill>
            <a:schemeClr val="phClr"/>
          </a:solidFill>
          <a:prstDash val="solid"/>
          <a:round/>
        </a:ln>
        <a:ln w="38100" cmpd="sng" cap="flat">
          <a:solidFill>
            <a:schemeClr val="phClr"/>
          </a:solidFill>
          <a:prstDash val="solid"/>
          <a:round/>
        </a:ln>
      </a:lnStyleLst>
      <a:effectStyleLst>
        <a:effectStyle>
          <a:effectLst>
            <a:outerShdw sx="100000" sy="100000" algn="b" rotWithShape="0" blurRad="40000" dist="20000" dir="5400000">
              <a:srgbClr val="000000">
                <a:alpha val="37647"/>
              </a:srgbClr>
            </a:outerShdw>
          </a:effectLst>
        </a:effectStyle>
        <a:effectStyle>
          <a:effectLst>
            <a:outerShdw sx="100000" sy="100000" algn="b" rotWithShape="0" blurRad="40000" dist="23000" dir="5400000">
              <a:srgbClr val="000000">
                <a:alpha val="34509"/>
              </a:srgbClr>
            </a:outerShdw>
          </a:effectLst>
        </a:effectStyle>
        <a:effectStyle>
          <a:effectLst>
            <a:outerShdw sx="100000" sy="100000" algn="b" rotWithShape="0" blurRad="40000" dist="23000" dir="540000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100000"/>
          </a:path>
          <a:tileRect r="-100000" b="-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51BB5FC0-8520-472D-94FD-C12265F05A3A}">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19</TotalTime>
  <Application>Yozo_Office9.0.4819.102ZH</Application>
  <Pages>12</Pages>
  <Words>0</Words>
  <Characters>4114</Characters>
  <Lines>0</Lines>
  <Paragraphs>140</Paragraphs>
  <CharactersWithSpaces>5486</CharactersWithSpaces>
  <Company>微软中国</Company>
</Properties>
</file>

<file path=docProps/core.xml><?xml version="1.0" encoding="utf-8"?>
<cp:coreProperties xmlns:cp="http://schemas.openxmlformats.org/package/2006/metadata/core-properties" xmlns:dc="http://purl.org/dc/elements/1.1/" xmlns:dcterms="http://purl.org/dc/terms/" xmlns:xsi="http://www.w3.org/2001/XMLSchema-instance">
  <dc:title>附件3：</dc:title>
  <dc:creator>欣欣大人</dc:creator>
  <cp:lastModifiedBy>Administrator</cp:lastModifiedBy>
  <cp:revision>29</cp:revision>
  <cp:lastPrinted>2026-09-17T08:10:19Z</cp:lastPrinted>
  <dcterms:created xsi:type="dcterms:W3CDTF">2020-02-04T03:46:00Z</dcterms:created>
  <dcterms:modified xsi:type="dcterms:W3CDTF">2026-09-17T08:11:03Z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2052-10.8.0.5562</vt:lpwstr>
  </property>
  <property fmtid="{D5CDD505-2E9C-101B-9397-08002B2CF9AE}" pid="3" name="ICV">
    <vt:lpwstr>96934721B1514D3FBAA28020338CE855_12</vt:lpwstr>
  </property>
</Properties>
</file>