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ascii="黑体" w:eastAsia="黑体" w:cs="黑体" w:hAnsi="黑体" w:hint="eastAsia"/>
          <w:sz w:val="32"/>
          <w:szCs w:val="32"/>
        </w:rPr>
      </w:pPr>
      <w:r>
        <w:rPr>
          <w:rFonts w:ascii="黑体" w:eastAsia="黑体" w:cs="黑体" w:hAnsi="黑体" w:hint="eastAsia"/>
          <w:sz w:val="32"/>
          <w:szCs w:val="32"/>
        </w:rPr>
        <w:t>附件4</w:t>
      </w:r>
    </w:p>
    <w:p>
      <w:pPr>
        <w:keepNext w:val="0"/>
        <w:keepLines w:val="0"/>
        <w:pageBreakBefore w:val="0"/>
        <w:widowControl w:val="0"/>
        <w:kinsoku/>
        <w:wordWrap/>
        <w:overflowPunct/>
        <w:topLinePunct w:val="0"/>
        <w:autoSpaceDE/>
        <w:autoSpaceDN/>
        <w:bidi w:val="0"/>
        <w:spacing w:line="600" w:lineRule="exact"/>
        <w:jc w:val="center"/>
        <w:textAlignment w:val="auto"/>
        <w:rPr>
          <w:rFonts w:ascii="宋体" w:cs="宋体" w:hAnsi="宋体"/>
          <w:b/>
          <w:bCs/>
          <w:sz w:val="44"/>
          <w:szCs w:val="44"/>
        </w:rPr>
      </w:pPr>
    </w:p>
    <w:p>
      <w:pPr>
        <w:keepNext w:val="0"/>
        <w:keepLines w:val="0"/>
        <w:pageBreakBefore w:val="0"/>
        <w:widowControl w:val="0"/>
        <w:kinsoku/>
        <w:wordWrap/>
        <w:overflowPunct/>
        <w:topLinePunct w:val="0"/>
        <w:autoSpaceDE/>
        <w:autoSpaceDN/>
        <w:bidi w:val="0"/>
        <w:spacing w:line="600" w:lineRule="exact"/>
        <w:jc w:val="center"/>
        <w:textAlignment w:val="auto"/>
        <w:rPr>
          <w:rFonts w:ascii="宋体" w:cs="宋体" w:hAnsi="宋体" w:hint="eastAsia"/>
          <w:b/>
          <w:bCs/>
          <w:sz w:val="44"/>
          <w:szCs w:val="44"/>
          <w:lang w:eastAsia="zh-CN"/>
        </w:rPr>
      </w:pPr>
      <w:r>
        <w:rPr>
          <w:rFonts w:ascii="宋体" w:cs="宋体" w:hAnsi="宋体" w:hint="eastAsia"/>
          <w:b/>
          <w:bCs/>
          <w:sz w:val="44"/>
          <w:szCs w:val="44"/>
          <w:lang w:eastAsia="zh-CN"/>
        </w:rPr>
        <w:t>矿区工商联</w:t>
      </w:r>
    </w:p>
    <w:p>
      <w:pPr>
        <w:keepNext w:val="0"/>
        <w:keepLines w:val="0"/>
        <w:pageBreakBefore w:val="0"/>
        <w:widowControl w:val="0"/>
        <w:kinsoku/>
        <w:wordWrap/>
        <w:overflowPunct/>
        <w:topLinePunct w:val="0"/>
        <w:autoSpaceDE/>
        <w:autoSpaceDN/>
        <w:bidi w:val="0"/>
        <w:spacing w:line="600" w:lineRule="exact"/>
        <w:jc w:val="center"/>
        <w:textAlignment w:val="auto"/>
        <w:rPr>
          <w:rFonts w:ascii="宋体" w:cs="宋体" w:hAnsi="宋体"/>
          <w:b/>
          <w:bCs/>
          <w:sz w:val="44"/>
          <w:szCs w:val="44"/>
        </w:rPr>
      </w:pPr>
      <w:r>
        <w:rPr>
          <w:rFonts w:ascii="宋体" w:cs="宋体" w:hAnsi="宋体" w:hint="eastAsia"/>
          <w:b/>
          <w:bCs/>
          <w:sz w:val="44"/>
          <w:szCs w:val="44"/>
        </w:rPr>
        <w:t>202</w:t>
      </w:r>
      <w:r>
        <w:rPr>
          <w:rFonts w:ascii="宋体" w:cs="宋体" w:hAnsi="宋体"/>
          <w:b/>
          <w:bCs/>
          <w:sz w:val="44"/>
          <w:szCs w:val="44"/>
        </w:rPr>
        <w:t>5</w:t>
      </w:r>
      <w:r>
        <w:rPr>
          <w:rFonts w:ascii="宋体" w:cs="宋体" w:hAnsi="宋体" w:hint="eastAsia"/>
          <w:b/>
          <w:bCs/>
          <w:sz w:val="44"/>
          <w:szCs w:val="44"/>
        </w:rPr>
        <w:t>年度整体支出绩效自评报告</w:t>
      </w:r>
    </w:p>
    <w:p>
      <w:pPr>
        <w:keepNext w:val="0"/>
        <w:keepLines w:val="0"/>
        <w:pageBreakBefore w:val="0"/>
        <w:widowControl w:val="0"/>
        <w:kinsoku/>
        <w:wordWrap/>
        <w:overflowPunct/>
        <w:topLinePunct w:val="0"/>
        <w:autoSpaceDE/>
        <w:autoSpaceDN/>
        <w:bidi w:val="0"/>
        <w:spacing w:line="600" w:lineRule="exact"/>
        <w:jc w:val="center"/>
        <w:textAlignment w:val="auto"/>
        <w:rPr>
          <w:rFonts w:ascii="华文楷体" w:eastAsia="华文楷体"/>
          <w:sz w:val="32"/>
          <w:szCs w:val="32"/>
        </w:rPr>
      </w:pP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hAnsi="仿宋"/>
          <w:sz w:val="32"/>
          <w:szCs w:val="32"/>
        </w:rPr>
      </w:pPr>
      <w:r>
        <w:rPr>
          <w:rFonts w:ascii="仿宋" w:eastAsia="仿宋" w:hAnsi="仿宋" w:hint="eastAsia"/>
          <w:sz w:val="32"/>
          <w:szCs w:val="32"/>
        </w:rPr>
        <w:t>贯彻落实</w:t>
      </w:r>
      <w:r>
        <w:rPr>
          <w:rFonts w:ascii="仿宋" w:eastAsia="仿宋" w:hAnsi="仿宋"/>
          <w:sz w:val="32"/>
          <w:szCs w:val="32"/>
        </w:rPr>
        <w:t>区委区政府</w:t>
      </w:r>
      <w:r>
        <w:rPr>
          <w:rFonts w:ascii="仿宋" w:eastAsia="仿宋" w:hAnsi="仿宋" w:hint="eastAsia"/>
          <w:sz w:val="32"/>
          <w:szCs w:val="32"/>
        </w:rPr>
        <w:t>《关于全面落实预算绩效管理的实施意见》（</w:t>
      </w:r>
      <w:r>
        <w:rPr>
          <w:rFonts w:ascii="仿宋" w:eastAsia="仿宋" w:hAnsi="仿宋"/>
          <w:sz w:val="32"/>
          <w:szCs w:val="32"/>
        </w:rPr>
        <w:t>矿</w:t>
      </w:r>
      <w:r>
        <w:rPr>
          <w:rFonts w:ascii="仿宋" w:eastAsia="仿宋" w:hAnsi="仿宋" w:hint="eastAsia"/>
          <w:sz w:val="32"/>
          <w:szCs w:val="32"/>
        </w:rPr>
        <w:t>发﹝2019﹞</w:t>
      </w:r>
      <w:r>
        <w:rPr>
          <w:rFonts w:ascii="仿宋" w:eastAsia="仿宋" w:hAnsi="仿宋"/>
          <w:sz w:val="32"/>
          <w:szCs w:val="32"/>
        </w:rPr>
        <w:t>7</w:t>
      </w:r>
      <w:r>
        <w:rPr>
          <w:rFonts w:ascii="仿宋" w:eastAsia="仿宋" w:hAnsi="仿宋" w:hint="eastAsia"/>
          <w:sz w:val="32"/>
          <w:szCs w:val="32"/>
        </w:rPr>
        <w:t>号）文件精神，遵循“科学性、规范性、客观性和公正性”的原则，对</w:t>
      </w:r>
      <w:r>
        <w:rPr>
          <w:rFonts w:ascii="仿宋" w:eastAsia="仿宋" w:hAnsi="仿宋" w:hint="eastAsia"/>
          <w:sz w:val="32"/>
          <w:szCs w:val="32"/>
          <w:lang w:eastAsia="zh-CN"/>
        </w:rPr>
        <w:t>矿区工商联</w:t>
      </w:r>
      <w:r>
        <w:rPr>
          <w:rFonts w:ascii="仿宋" w:eastAsia="仿宋" w:hAnsi="仿宋" w:hint="eastAsia"/>
          <w:sz w:val="32"/>
          <w:szCs w:val="32"/>
        </w:rPr>
        <w:t>202</w:t>
      </w:r>
      <w:r>
        <w:rPr>
          <w:rFonts w:ascii="仿宋" w:eastAsia="仿宋" w:hAnsi="仿宋"/>
          <w:sz w:val="32"/>
          <w:szCs w:val="32"/>
        </w:rPr>
        <w:t>5</w:t>
      </w:r>
      <w:r>
        <w:rPr>
          <w:rFonts w:ascii="仿宋" w:eastAsia="仿宋" w:hAnsi="仿宋" w:hint="eastAsia"/>
          <w:sz w:val="32"/>
          <w:szCs w:val="32"/>
        </w:rPr>
        <w:t>年整体支出情况实施了财政支出绩效自评价，形成本评价报告。</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ascii="黑体" w:eastAsia="黑体" w:hAnsi="黑体"/>
          <w:b/>
          <w:bCs/>
          <w:sz w:val="32"/>
          <w:szCs w:val="36"/>
        </w:rPr>
      </w:pPr>
      <w:r>
        <w:rPr>
          <w:rFonts w:ascii="黑体" w:eastAsia="黑体" w:hAnsi="黑体" w:hint="eastAsia"/>
          <w:sz w:val="32"/>
          <w:szCs w:val="32"/>
        </w:rPr>
        <w:t xml:space="preserve">     一、部门</w:t>
      </w:r>
      <w:r>
        <w:rPr>
          <w:rFonts w:ascii="黑体" w:eastAsia="黑体" w:hAnsi="黑体" w:hint="eastAsia"/>
          <w:sz w:val="32"/>
          <w:szCs w:val="36"/>
        </w:rPr>
        <w:t>基本情况</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楷体" w:eastAsia="楷体" w:cs="楷体_GB2312" w:hAnsi="楷体"/>
          <w:bCs/>
          <w:sz w:val="32"/>
          <w:szCs w:val="32"/>
        </w:rPr>
      </w:pPr>
      <w:r>
        <w:rPr>
          <w:rFonts w:ascii="楷体" w:eastAsia="楷体" w:cs="楷体_GB2312" w:hAnsi="楷体" w:hint="eastAsia"/>
          <w:bCs/>
          <w:sz w:val="32"/>
          <w:szCs w:val="32"/>
        </w:rPr>
        <w:t>（一）部门概况</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一</w:t>
      </w:r>
      <w:r>
        <w:rPr>
          <w:rFonts w:ascii="仿宋" w:eastAsia="仿宋" w:cs="仿宋" w:hAnsi="仿宋" w:hint="eastAsia"/>
          <w:sz w:val="32"/>
          <w:szCs w:val="32"/>
          <w:lang w:eastAsia="zh-CN"/>
        </w:rPr>
        <w:t>、</w:t>
      </w:r>
      <w:r>
        <w:rPr>
          <w:rFonts w:ascii="仿宋" w:eastAsia="仿宋" w:cs="仿宋" w:hAnsi="仿宋" w:hint="eastAsia"/>
          <w:sz w:val="32"/>
          <w:szCs w:val="32"/>
        </w:rPr>
        <w:t>井陉矿区工商业联合会是负责本区非公有制经济的人民团体和民间商会，其主要职责是：</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1.引导会员积极参加国家经济建设，促进社会全面发展。</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2.做工商界代表人士政治安排的推荐工作。</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3.发扬自我教育的优良传统，加强和改进思想政治工作，提倡爱国、敬业、守法，提高会员素质，培养积极分子队伍。</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4.代表并维护会员的合法权益，反应会员的意见、要求和建议。</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5.为会员提供信息和科技、管理、法律、会计、审计、融资、咨询等服务。</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6.开展工商专业培训，帮助会员改进经济管理、完善财会管理、照章纳税，提高生产技术和产品质量。</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7.组织会员举办和参加各种对内对外展销会、交易会，组织会员出国、出境考察访问，帮助会员开拓国内、国际市场，协助引进资金、技术、人才。</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8.为会员提供有关证明、协调关系、调解经济纠纷。</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 xml:space="preserve"> 9.办好会办企业、事业。</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 xml:space="preserve"> 10.承办区委交办的其他事项。</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楷体" w:eastAsia="楷体" w:cs="楷体_GB2312" w:hAnsi="楷体" w:hint="eastAsia"/>
          <w:bCs/>
          <w:sz w:val="32"/>
          <w:szCs w:val="32"/>
        </w:rPr>
      </w:pPr>
      <w:r>
        <w:rPr>
          <w:rFonts w:ascii="楷体" w:eastAsia="楷体" w:cs="楷体_GB2312" w:hAnsi="楷体" w:hint="eastAsia"/>
          <w:bCs/>
          <w:sz w:val="32"/>
          <w:szCs w:val="32"/>
        </w:rPr>
        <w:t>（二）部门收支预决算情况</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1、</w:t>
      </w:r>
      <w:r>
        <w:rPr>
          <w:rFonts w:ascii="仿宋" w:eastAsia="仿宋" w:cs="仿宋" w:hAnsi="仿宋" w:hint="eastAsia"/>
          <w:sz w:val="32"/>
          <w:szCs w:val="32"/>
          <w:lang w:eastAsia="zh-CN"/>
        </w:rPr>
        <w:t>预算</w:t>
      </w:r>
      <w:r>
        <w:rPr>
          <w:rFonts w:ascii="仿宋" w:eastAsia="仿宋" w:cs="仿宋" w:hAnsi="仿宋" w:hint="eastAsia"/>
          <w:sz w:val="32"/>
          <w:szCs w:val="32"/>
        </w:rPr>
        <w:t>收入说明</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202</w:t>
      </w:r>
      <w:r>
        <w:rPr>
          <w:rFonts w:ascii="仿宋" w:eastAsia="仿宋" w:cs="仿宋" w:hAnsi="仿宋" w:hint="eastAsia"/>
          <w:sz w:val="32"/>
          <w:szCs w:val="32"/>
          <w:lang w:val="en-US" w:eastAsia="zh-CN"/>
        </w:rPr>
        <w:t>5</w:t>
      </w:r>
      <w:r>
        <w:rPr>
          <w:rFonts w:ascii="仿宋" w:eastAsia="仿宋" w:cs="仿宋" w:hAnsi="仿宋" w:hint="eastAsia"/>
          <w:sz w:val="32"/>
          <w:szCs w:val="32"/>
        </w:rPr>
        <w:t>年预算收入</w:t>
      </w:r>
      <w:r>
        <w:rPr>
          <w:rFonts w:ascii="仿宋" w:eastAsia="仿宋" w:cs="仿宋" w:hAnsi="仿宋" w:hint="eastAsia"/>
          <w:sz w:val="32"/>
          <w:szCs w:val="32"/>
          <w:lang w:val="en-US" w:eastAsia="zh-CN"/>
        </w:rPr>
        <w:t>78.24</w:t>
      </w:r>
      <w:r>
        <w:rPr>
          <w:rFonts w:ascii="仿宋" w:eastAsia="仿宋" w:cs="仿宋" w:hAnsi="仿宋" w:hint="eastAsia"/>
          <w:sz w:val="32"/>
          <w:szCs w:val="32"/>
        </w:rPr>
        <w:t>万元，其中：</w:t>
      </w:r>
      <w:r>
        <w:rPr>
          <w:rFonts w:ascii="仿宋" w:eastAsia="仿宋" w:cs="仿宋" w:hAnsi="仿宋" w:hint="eastAsia"/>
          <w:sz w:val="32"/>
          <w:szCs w:val="32"/>
          <w:highlight w:val="auto"/>
        </w:rPr>
        <w:t>一般公共预算收入</w:t>
      </w:r>
      <w:r>
        <w:rPr>
          <w:rFonts w:ascii="仿宋" w:eastAsia="仿宋" w:cs="仿宋" w:hAnsi="仿宋" w:hint="eastAsia"/>
          <w:sz w:val="32"/>
          <w:szCs w:val="32"/>
          <w:lang w:val="en-US" w:eastAsia="zh-CN"/>
          <w:highlight w:val="auto"/>
        </w:rPr>
        <w:t>78.24</w:t>
      </w:r>
      <w:r>
        <w:rPr>
          <w:rFonts w:ascii="仿宋" w:eastAsia="仿宋" w:cs="仿宋" w:hAnsi="仿宋" w:hint="eastAsia"/>
          <w:sz w:val="32"/>
          <w:szCs w:val="32"/>
          <w:highlight w:val="auto"/>
        </w:rPr>
        <w:t>万元</w:t>
      </w:r>
      <w:r>
        <w:rPr>
          <w:rFonts w:ascii="仿宋" w:eastAsia="仿宋" w:cs="仿宋" w:hAnsi="仿宋" w:hint="eastAsia"/>
          <w:sz w:val="32"/>
          <w:szCs w:val="32"/>
        </w:rPr>
        <w:t>，财政专户核拨资金0万元，政府性基金预算拨款0万元，国有资本经营预算收入0万元，事业收入0万元，其他收入0万元。</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2、</w:t>
      </w:r>
      <w:r>
        <w:rPr>
          <w:rFonts w:ascii="仿宋" w:eastAsia="仿宋" w:cs="仿宋" w:hAnsi="仿宋" w:hint="eastAsia"/>
          <w:sz w:val="32"/>
          <w:szCs w:val="32"/>
          <w:lang w:eastAsia="zh-CN"/>
        </w:rPr>
        <w:t>预算</w:t>
      </w:r>
      <w:r>
        <w:rPr>
          <w:rFonts w:ascii="仿宋" w:eastAsia="仿宋" w:cs="仿宋" w:hAnsi="仿宋" w:hint="eastAsia"/>
          <w:sz w:val="32"/>
          <w:szCs w:val="32"/>
        </w:rPr>
        <w:t>支出说明</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lang w:val="en-US" w:eastAsia="zh-CN"/>
          <w:highlight w:val="auto"/>
        </w:rPr>
        <w:t>2025</w:t>
      </w:r>
      <w:r>
        <w:rPr>
          <w:rFonts w:ascii="仿宋" w:eastAsia="仿宋" w:cs="仿宋" w:hAnsi="仿宋" w:hint="eastAsia"/>
          <w:sz w:val="32"/>
          <w:szCs w:val="32"/>
          <w:highlight w:val="auto"/>
        </w:rPr>
        <w:t>年支出预算</w:t>
      </w:r>
      <w:r>
        <w:rPr>
          <w:rFonts w:ascii="仿宋" w:eastAsia="仿宋" w:cs="仿宋" w:hAnsi="仿宋" w:hint="eastAsia"/>
          <w:sz w:val="32"/>
          <w:szCs w:val="32"/>
          <w:lang w:val="en-US" w:eastAsia="zh-CN"/>
          <w:highlight w:val="auto"/>
        </w:rPr>
        <w:t>78.24</w:t>
      </w:r>
      <w:r>
        <w:rPr>
          <w:rFonts w:ascii="仿宋" w:eastAsia="仿宋" w:cs="仿宋" w:hAnsi="仿宋" w:hint="eastAsia"/>
          <w:sz w:val="32"/>
          <w:szCs w:val="32"/>
          <w:highlight w:val="auto"/>
        </w:rPr>
        <w:t>万元</w:t>
      </w:r>
      <w:r>
        <w:rPr>
          <w:rFonts w:ascii="仿宋" w:eastAsia="仿宋" w:cs="仿宋" w:hAnsi="仿宋" w:hint="eastAsia"/>
          <w:sz w:val="32"/>
          <w:szCs w:val="32"/>
        </w:rPr>
        <w:t>，其中基本支出</w:t>
      </w:r>
      <w:r>
        <w:rPr>
          <w:rFonts w:ascii="仿宋" w:eastAsia="仿宋" w:cs="仿宋" w:hAnsi="仿宋" w:hint="eastAsia"/>
          <w:sz w:val="32"/>
          <w:szCs w:val="32"/>
          <w:lang w:val="en-US" w:eastAsia="zh-CN"/>
        </w:rPr>
        <w:t>71.97</w:t>
      </w:r>
      <w:r>
        <w:rPr>
          <w:rFonts w:ascii="仿宋" w:eastAsia="仿宋" w:cs="仿宋" w:hAnsi="仿宋" w:hint="eastAsia"/>
          <w:sz w:val="32"/>
          <w:szCs w:val="32"/>
        </w:rPr>
        <w:t>万元，</w:t>
      </w:r>
      <w:r>
        <w:rPr>
          <w:rFonts w:ascii="仿宋" w:eastAsia="仿宋" w:cs="仿宋" w:hAnsi="仿宋" w:hint="eastAsia"/>
          <w:color w:val="auto"/>
          <w:sz w:val="32"/>
          <w:szCs w:val="32"/>
        </w:rPr>
        <w:t>包括人员经费</w:t>
      </w:r>
      <w:r>
        <w:rPr>
          <w:rFonts w:ascii="仿宋" w:eastAsia="仿宋" w:cs="仿宋" w:hAnsi="仿宋" w:hint="eastAsia"/>
          <w:color w:val="auto"/>
          <w:sz w:val="32"/>
          <w:szCs w:val="32"/>
          <w:lang w:val="en-US" w:eastAsia="zh-CN"/>
        </w:rPr>
        <w:t>68.87</w:t>
      </w:r>
      <w:r>
        <w:rPr>
          <w:rFonts w:ascii="仿宋" w:eastAsia="仿宋" w:cs="仿宋" w:hAnsi="仿宋" w:hint="eastAsia"/>
          <w:color w:val="auto"/>
          <w:sz w:val="32"/>
          <w:szCs w:val="32"/>
        </w:rPr>
        <w:t>万元，日常公用经费</w:t>
      </w:r>
      <w:r>
        <w:rPr>
          <w:rFonts w:ascii="仿宋" w:eastAsia="仿宋" w:cs="仿宋" w:hAnsi="仿宋" w:hint="eastAsia"/>
          <w:color w:val="auto"/>
          <w:sz w:val="32"/>
          <w:szCs w:val="32"/>
          <w:lang w:val="en-US" w:eastAsia="zh-CN"/>
        </w:rPr>
        <w:t>3.1</w:t>
      </w:r>
      <w:r>
        <w:rPr>
          <w:rFonts w:ascii="仿宋" w:eastAsia="仿宋" w:cs="仿宋" w:hAnsi="仿宋" w:hint="eastAsia"/>
          <w:color w:val="auto"/>
          <w:sz w:val="32"/>
          <w:szCs w:val="32"/>
        </w:rPr>
        <w:t>万元</w:t>
      </w:r>
      <w:r>
        <w:rPr>
          <w:rFonts w:ascii="仿宋" w:eastAsia="仿宋" w:cs="仿宋" w:hAnsi="仿宋" w:hint="eastAsia"/>
          <w:sz w:val="32"/>
          <w:szCs w:val="32"/>
        </w:rPr>
        <w:t>；项目支出</w:t>
      </w:r>
      <w:r>
        <w:rPr>
          <w:rFonts w:ascii="仿宋" w:eastAsia="仿宋" w:cs="仿宋" w:hAnsi="仿宋" w:hint="eastAsia"/>
          <w:sz w:val="32"/>
          <w:szCs w:val="32"/>
          <w:lang w:val="en-US" w:eastAsia="zh-CN"/>
        </w:rPr>
        <w:t>6.27</w:t>
      </w:r>
      <w:r>
        <w:rPr>
          <w:rFonts w:ascii="仿宋" w:eastAsia="仿宋" w:cs="仿宋" w:hAnsi="仿宋" w:hint="eastAsia"/>
          <w:sz w:val="32"/>
          <w:szCs w:val="32"/>
        </w:rPr>
        <w:t>万元,包括管理和服务非公经济</w:t>
      </w:r>
      <w:r>
        <w:rPr>
          <w:rFonts w:ascii="仿宋" w:eastAsia="仿宋" w:cs="仿宋" w:hAnsi="仿宋"/>
          <w:sz w:val="32"/>
          <w:szCs w:val="32"/>
        </w:rPr>
        <w:t>、劳务派遣经费</w:t>
      </w:r>
      <w:r>
        <w:rPr>
          <w:rFonts w:ascii="仿宋" w:eastAsia="仿宋" w:cs="仿宋" w:hAnsi="仿宋" w:hint="eastAsia"/>
          <w:sz w:val="32"/>
          <w:szCs w:val="32"/>
        </w:rPr>
        <w:t>及</w:t>
      </w:r>
      <w:r>
        <w:rPr>
          <w:rFonts w:ascii="仿宋" w:eastAsia="仿宋" w:cs="仿宋" w:hAnsi="仿宋" w:hint="eastAsia"/>
          <w:sz w:val="32"/>
          <w:szCs w:val="32"/>
          <w:lang w:eastAsia="zh-CN"/>
        </w:rPr>
        <w:t>其他劳务派遣人员</w:t>
      </w:r>
      <w:r>
        <w:rPr>
          <w:rFonts w:ascii="仿宋" w:eastAsia="仿宋" w:cs="仿宋" w:hAnsi="仿宋" w:hint="eastAsia"/>
          <w:sz w:val="32"/>
          <w:szCs w:val="32"/>
        </w:rPr>
        <w:t>经费。</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lang w:val="en-US" w:eastAsia="zh-CN"/>
        </w:rPr>
      </w:pPr>
      <w:r>
        <w:rPr>
          <w:rFonts w:ascii="仿宋" w:eastAsia="仿宋" w:cs="仿宋" w:hAnsi="仿宋" w:hint="eastAsia"/>
          <w:sz w:val="32"/>
          <w:szCs w:val="32"/>
          <w:lang w:val="en-US" w:eastAsia="zh-CN"/>
        </w:rPr>
        <w:t>3、决算说明</w:t>
      </w:r>
    </w:p>
    <w:p>
      <w:pPr>
        <w:keepNext w:val="0"/>
        <w:keepLines w:val="0"/>
        <w:pageBreakBefore w:val="0"/>
        <w:widowControl w:val="0"/>
        <w:kinsoku/>
        <w:wordWrap/>
        <w:overflowPunct/>
        <w:topLinePunct w:val="0"/>
        <w:autoSpaceDE/>
        <w:autoSpaceDN/>
        <w:bidi w:val="0"/>
        <w:spacing w:line="600" w:lineRule="exact"/>
        <w:ind w:firstLineChars="200" w:firstLine="640"/>
        <w:jc w:val="left"/>
        <w:textAlignment w:val="auto"/>
        <w:rPr>
          <w:rFonts w:ascii="仿宋" w:eastAsia="仿宋" w:cs="仿宋" w:hAnsi="仿宋" w:hint="eastAsia"/>
          <w:sz w:val="32"/>
          <w:szCs w:val="32"/>
        </w:rPr>
      </w:pPr>
      <w:r>
        <w:rPr>
          <w:rFonts w:ascii="仿宋" w:eastAsia="仿宋" w:cs="仿宋" w:hAnsi="仿宋" w:hint="eastAsia"/>
          <w:sz w:val="32"/>
          <w:szCs w:val="32"/>
        </w:rPr>
        <w:t>本部门20</w:t>
      </w:r>
      <w:r>
        <w:rPr>
          <w:rFonts w:ascii="仿宋" w:eastAsia="仿宋" w:cs="仿宋" w:hAnsi="仿宋" w:hint="eastAsia"/>
          <w:sz w:val="32"/>
          <w:szCs w:val="32"/>
          <w:lang w:val="en-US" w:eastAsia="zh-CN"/>
        </w:rPr>
        <w:t>25</w:t>
      </w:r>
      <w:r>
        <w:rPr>
          <w:rFonts w:ascii="仿宋" w:eastAsia="仿宋" w:cs="仿宋" w:hAnsi="仿宋" w:hint="eastAsia"/>
          <w:sz w:val="32"/>
          <w:szCs w:val="32"/>
        </w:rPr>
        <w:t>年度收入合计</w:t>
      </w:r>
      <w:r>
        <w:rPr>
          <w:rFonts w:ascii="仿宋" w:eastAsia="仿宋" w:cs="仿宋" w:hAnsi="仿宋" w:hint="eastAsia"/>
          <w:sz w:val="32"/>
          <w:szCs w:val="32"/>
          <w:lang w:val="en-US" w:eastAsia="zh-CN"/>
        </w:rPr>
        <w:t>78.24</w:t>
      </w:r>
      <w:r>
        <w:rPr>
          <w:rFonts w:ascii="仿宋" w:eastAsia="仿宋" w:cs="仿宋" w:hAnsi="仿宋" w:hint="eastAsia"/>
          <w:sz w:val="32"/>
          <w:szCs w:val="32"/>
        </w:rPr>
        <w:t>万元，其中：财政拨款收入</w:t>
      </w:r>
      <w:r>
        <w:rPr>
          <w:rFonts w:ascii="仿宋" w:eastAsia="仿宋" w:cs="仿宋" w:hAnsi="仿宋" w:hint="eastAsia"/>
          <w:sz w:val="32"/>
          <w:szCs w:val="32"/>
          <w:lang w:val="en-US" w:eastAsia="zh-CN"/>
        </w:rPr>
        <w:t>78.24</w:t>
      </w:r>
      <w:r>
        <w:rPr>
          <w:rFonts w:ascii="仿宋" w:eastAsia="仿宋" w:cs="仿宋" w:hAnsi="仿宋" w:hint="eastAsia"/>
          <w:sz w:val="32"/>
          <w:szCs w:val="32"/>
        </w:rPr>
        <w:t>万元</w:t>
      </w:r>
      <w:r>
        <w:rPr>
          <w:rFonts w:ascii="仿宋" w:eastAsia="仿宋" w:cs="仿宋" w:hAnsi="仿宋" w:hint="eastAsia"/>
          <w:sz w:val="32"/>
          <w:szCs w:val="32"/>
          <w:lang w:val="en-US" w:eastAsia="zh-CN"/>
        </w:rPr>
        <w:t>。</w:t>
      </w:r>
      <w:r>
        <w:rPr>
          <w:rFonts w:ascii="仿宋" w:eastAsia="仿宋" w:cs="仿宋" w:hAnsi="仿宋" w:hint="eastAsia"/>
          <w:sz w:val="32"/>
          <w:szCs w:val="32"/>
        </w:rPr>
        <w:t>本部门20</w:t>
      </w:r>
      <w:r>
        <w:rPr>
          <w:rFonts w:ascii="仿宋" w:eastAsia="仿宋" w:cs="仿宋" w:hAnsi="仿宋" w:hint="eastAsia"/>
          <w:sz w:val="32"/>
          <w:szCs w:val="32"/>
          <w:lang w:val="en-US" w:eastAsia="zh-CN"/>
        </w:rPr>
        <w:t>25</w:t>
      </w:r>
      <w:r>
        <w:rPr>
          <w:rFonts w:ascii="仿宋" w:eastAsia="仿宋" w:cs="仿宋" w:hAnsi="仿宋" w:hint="eastAsia"/>
          <w:sz w:val="32"/>
          <w:szCs w:val="32"/>
        </w:rPr>
        <w:t>年度支出合计</w:t>
      </w:r>
      <w:r>
        <w:rPr>
          <w:rFonts w:ascii="仿宋" w:eastAsia="仿宋" w:cs="仿宋" w:hAnsi="仿宋" w:hint="eastAsia"/>
          <w:sz w:val="32"/>
          <w:szCs w:val="32"/>
          <w:lang w:val="en-US" w:eastAsia="zh-CN"/>
        </w:rPr>
        <w:t>78.24</w:t>
      </w:r>
      <w:r>
        <w:rPr>
          <w:rFonts w:ascii="仿宋" w:eastAsia="仿宋" w:cs="仿宋" w:hAnsi="仿宋" w:hint="eastAsia"/>
          <w:sz w:val="32"/>
          <w:szCs w:val="32"/>
        </w:rPr>
        <w:t>万元，其中：基本支出</w:t>
      </w:r>
      <w:r>
        <w:rPr>
          <w:rFonts w:ascii="仿宋" w:eastAsia="仿宋" w:cs="仿宋" w:hAnsi="仿宋" w:hint="eastAsia"/>
          <w:sz w:val="32"/>
          <w:szCs w:val="32"/>
          <w:lang w:val="en-US" w:eastAsia="zh-CN"/>
        </w:rPr>
        <w:t>71.97</w:t>
      </w:r>
      <w:r>
        <w:rPr>
          <w:rFonts w:ascii="仿宋" w:eastAsia="仿宋" w:cs="仿宋" w:hAnsi="仿宋" w:hint="eastAsia"/>
          <w:sz w:val="32"/>
          <w:szCs w:val="32"/>
        </w:rPr>
        <w:t>万元，项目支出</w:t>
      </w:r>
      <w:r>
        <w:rPr>
          <w:rFonts w:ascii="仿宋" w:eastAsia="仿宋" w:cs="仿宋" w:hAnsi="仿宋" w:hint="eastAsia"/>
          <w:sz w:val="32"/>
          <w:szCs w:val="32"/>
          <w:lang w:val="en-US" w:eastAsia="zh-CN"/>
        </w:rPr>
        <w:t>6.27</w:t>
      </w:r>
      <w:r>
        <w:rPr>
          <w:rFonts w:ascii="仿宋" w:eastAsia="仿宋" w:cs="仿宋" w:hAnsi="仿宋" w:hint="eastAsia"/>
          <w:sz w:val="32"/>
          <w:szCs w:val="32"/>
        </w:rPr>
        <w:t>万元</w:t>
      </w:r>
      <w:r>
        <w:rPr>
          <w:rFonts w:ascii="仿宋" w:eastAsia="仿宋" w:cs="仿宋" w:hAnsi="仿宋" w:hint="eastAsia"/>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楷体" w:eastAsia="楷体" w:cs="楷体_GB2312" w:hAnsi="楷体"/>
          <w:bCs/>
          <w:sz w:val="32"/>
          <w:szCs w:val="32"/>
        </w:rPr>
      </w:pPr>
      <w:r>
        <w:rPr>
          <w:rFonts w:ascii="楷体" w:eastAsia="楷体" w:cs="楷体_GB2312" w:hAnsi="楷体" w:hint="eastAsia"/>
          <w:bCs/>
          <w:sz w:val="32"/>
          <w:szCs w:val="32"/>
        </w:rPr>
        <w:t>（三）部门整体支出绩效目标、指标</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w:t>
      </w:r>
      <w:r>
        <w:rPr>
          <w:rFonts w:ascii="仿宋" w:eastAsia="仿宋" w:cs="仿宋" w:hAnsi="仿宋" w:hint="eastAsia"/>
          <w:sz w:val="32"/>
          <w:szCs w:val="32"/>
          <w:lang w:val="en-US" w:eastAsia="zh-CN"/>
        </w:rPr>
        <w:t>1</w:t>
      </w:r>
      <w:r>
        <w:rPr>
          <w:rFonts w:ascii="仿宋" w:eastAsia="仿宋" w:cs="仿宋" w:hAnsi="仿宋" w:hint="eastAsia"/>
          <w:sz w:val="32"/>
          <w:szCs w:val="32"/>
        </w:rPr>
        <w:t>）</w:t>
      </w:r>
      <w:r>
        <w:rPr>
          <w:rFonts w:ascii="仿宋" w:eastAsia="仿宋" w:cs="仿宋" w:hAnsi="仿宋" w:hint="eastAsia"/>
          <w:sz w:val="32"/>
          <w:szCs w:val="32"/>
          <w:lang w:eastAsia="zh-CN"/>
        </w:rPr>
        <w:t>管理和服务非公经济</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1.资金支出进度</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该项目</w:t>
      </w:r>
      <w:r>
        <w:rPr>
          <w:rFonts w:ascii="仿宋" w:eastAsia="仿宋" w:cs="仿宋" w:hAnsi="仿宋" w:hint="eastAsia"/>
          <w:sz w:val="32"/>
          <w:szCs w:val="32"/>
          <w:lang w:eastAsia="zh-CN"/>
        </w:rPr>
        <w:t>年初</w:t>
      </w:r>
      <w:r>
        <w:rPr>
          <w:rFonts w:ascii="仿宋" w:eastAsia="仿宋" w:cs="仿宋" w:hAnsi="仿宋" w:hint="eastAsia"/>
          <w:sz w:val="32"/>
          <w:szCs w:val="32"/>
        </w:rPr>
        <w:t>预算为</w:t>
      </w:r>
      <w:r>
        <w:rPr>
          <w:rFonts w:ascii="仿宋" w:eastAsia="仿宋" w:cs="仿宋" w:hAnsi="仿宋" w:hint="eastAsia"/>
          <w:sz w:val="32"/>
          <w:szCs w:val="32"/>
          <w:lang w:val="en-US" w:eastAsia="zh-CN"/>
        </w:rPr>
        <w:t>2</w:t>
      </w:r>
      <w:r>
        <w:rPr>
          <w:rFonts w:ascii="仿宋" w:eastAsia="仿宋" w:cs="仿宋" w:hAnsi="仿宋" w:hint="eastAsia"/>
          <w:sz w:val="32"/>
          <w:szCs w:val="32"/>
        </w:rPr>
        <w:t>万元，支出</w:t>
      </w:r>
      <w:r>
        <w:rPr>
          <w:rFonts w:ascii="仿宋" w:eastAsia="仿宋" w:cs="仿宋" w:hAnsi="仿宋" w:hint="eastAsia"/>
          <w:sz w:val="32"/>
          <w:szCs w:val="32"/>
          <w:lang w:val="en-US" w:eastAsia="zh-CN"/>
        </w:rPr>
        <w:t>1.5</w:t>
      </w:r>
      <w:r>
        <w:rPr>
          <w:rFonts w:ascii="仿宋" w:eastAsia="仿宋" w:cs="仿宋" w:hAnsi="仿宋" w:hint="eastAsia"/>
          <w:sz w:val="32"/>
          <w:szCs w:val="32"/>
        </w:rPr>
        <w:t>万元，总体支出进度为</w:t>
      </w:r>
      <w:r>
        <w:rPr>
          <w:rFonts w:ascii="仿宋" w:eastAsia="仿宋" w:cs="仿宋" w:hAnsi="仿宋" w:hint="eastAsia"/>
          <w:sz w:val="32"/>
          <w:szCs w:val="32"/>
          <w:lang w:val="en-US" w:eastAsia="zh-CN"/>
        </w:rPr>
        <w:t>75</w:t>
      </w:r>
      <w:r>
        <w:rPr>
          <w:rFonts w:ascii="仿宋" w:eastAsia="仿宋" w:cs="仿宋" w:hAnsi="仿宋" w:hint="eastAsia"/>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2.产出指标和效果指标完成情况</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仿宋" w:eastAsia="仿宋" w:cs="仿宋" w:hAnsi="仿宋" w:hint="eastAsia"/>
          <w:sz w:val="32"/>
          <w:szCs w:val="32"/>
          <w:lang w:eastAsia="zh-CN"/>
        </w:rPr>
      </w:pPr>
      <w:r>
        <w:rPr>
          <w:rFonts w:ascii="仿宋" w:eastAsia="仿宋" w:cs="仿宋" w:hAnsi="仿宋" w:hint="eastAsia"/>
          <w:bCs/>
          <w:sz w:val="32"/>
          <w:szCs w:val="32"/>
          <w:lang w:val="en-US" w:eastAsia="zh-CN"/>
        </w:rPr>
        <w:t>截</w:t>
      </w:r>
      <w:r>
        <w:rPr>
          <w:rFonts w:ascii="仿宋" w:eastAsia="仿宋" w:cs="仿宋" w:hAnsi="仿宋"/>
          <w:bCs/>
          <w:sz w:val="32"/>
          <w:szCs w:val="32"/>
          <w:lang w:val="en-US" w:eastAsia="zh-CN"/>
        </w:rPr>
        <w:t>至</w:t>
      </w:r>
      <w:r>
        <w:rPr>
          <w:rFonts w:ascii="仿宋" w:eastAsia="仿宋" w:cs="仿宋" w:hAnsi="仿宋" w:hint="eastAsia"/>
          <w:bCs/>
          <w:sz w:val="32"/>
          <w:szCs w:val="32"/>
          <w:lang w:val="en-US" w:eastAsia="zh-CN"/>
        </w:rPr>
        <w:t>2025年12月，</w:t>
      </w:r>
      <w:r>
        <w:rPr>
          <w:rFonts w:ascii="仿宋" w:eastAsia="仿宋" w:cs="仿宋" w:hAnsi="仿宋" w:hint="eastAsia"/>
          <w:bCs/>
          <w:sz w:val="32"/>
          <w:szCs w:val="32"/>
          <w:lang w:eastAsia="zh-CN"/>
        </w:rPr>
        <w:t>我联</w:t>
      </w:r>
      <w:r>
        <w:rPr>
          <w:rFonts w:ascii="仿宋" w:eastAsia="仿宋" w:cs="仿宋" w:hAnsi="仿宋" w:hint="eastAsia"/>
          <w:bCs/>
          <w:sz w:val="32"/>
          <w:szCs w:val="32"/>
        </w:rPr>
        <w:t>组织非公企业学习培训</w:t>
      </w:r>
      <w:r>
        <w:rPr>
          <w:rFonts w:ascii="仿宋" w:eastAsia="仿宋" w:cs="仿宋" w:hAnsi="仿宋" w:hint="eastAsia"/>
          <w:bCs/>
          <w:sz w:val="32"/>
          <w:szCs w:val="32"/>
          <w:lang w:val="en-US" w:eastAsia="zh-CN"/>
        </w:rPr>
        <w:t>5次以上，培训活动出勤率达到95%左右，发展会员数为5家。除此之外，我联积极带领会员企业</w:t>
      </w:r>
      <w:r>
        <w:rPr>
          <w:rFonts w:ascii="仿宋" w:eastAsia="仿宋" w:cs="仿宋" w:hAnsi="仿宋" w:hint="eastAsia"/>
          <w:bCs/>
          <w:sz w:val="32"/>
          <w:szCs w:val="32"/>
        </w:rPr>
        <w:t>及外出调研</w:t>
      </w:r>
      <w:r>
        <w:rPr>
          <w:rFonts w:ascii="仿宋" w:eastAsia="仿宋" w:cs="仿宋" w:hAnsi="仿宋" w:hint="eastAsia"/>
          <w:bCs/>
          <w:sz w:val="32"/>
          <w:szCs w:val="32"/>
          <w:lang w:val="en-US" w:eastAsia="zh-CN"/>
        </w:rPr>
        <w:t>1次，提供人才，技术，法律服务进企业活</w:t>
      </w:r>
      <w:bookmarkStart w:id="0" w:name="_GoBack"/>
      <w:bookmarkEnd w:id="0"/>
      <w:r>
        <w:rPr>
          <w:rFonts w:ascii="仿宋" w:eastAsia="仿宋" w:cs="仿宋" w:hAnsi="仿宋" w:hint="eastAsia"/>
          <w:bCs/>
          <w:sz w:val="32"/>
          <w:szCs w:val="32"/>
          <w:lang w:val="en-US" w:eastAsia="zh-CN"/>
        </w:rPr>
        <w:t>动</w:t>
      </w:r>
      <w:r>
        <w:rPr>
          <w:rFonts w:ascii="仿宋" w:eastAsia="仿宋" w:cs="仿宋" w:hAnsi="仿宋"/>
          <w:bCs/>
          <w:sz w:val="32"/>
          <w:szCs w:val="32"/>
          <w:lang w:val="en-US" w:eastAsia="zh-CN"/>
        </w:rPr>
        <w:t>2</w:t>
      </w:r>
      <w:r>
        <w:rPr>
          <w:rFonts w:ascii="仿宋" w:eastAsia="仿宋" w:cs="仿宋" w:hAnsi="仿宋" w:hint="eastAsia"/>
          <w:bCs/>
          <w:sz w:val="32"/>
          <w:szCs w:val="32"/>
          <w:lang w:val="en-US" w:eastAsia="zh-CN"/>
        </w:rPr>
        <w:t>次，有效地凝聚和充分发挥了区工商联的职能作用，促进工商联班子建设和工作开展。其他还用于</w:t>
      </w:r>
      <w:r>
        <w:rPr>
          <w:rFonts w:ascii="仿宋" w:eastAsia="仿宋" w:cs="仿宋" w:hAnsi="仿宋" w:hint="eastAsia"/>
          <w:bCs/>
          <w:sz w:val="32"/>
          <w:szCs w:val="32"/>
        </w:rPr>
        <w:t>购买办公用品</w:t>
      </w:r>
      <w:r>
        <w:rPr>
          <w:rFonts w:ascii="仿宋" w:eastAsia="仿宋" w:cs="仿宋" w:hAnsi="仿宋" w:hint="eastAsia"/>
          <w:bCs/>
          <w:sz w:val="32"/>
          <w:szCs w:val="32"/>
          <w:lang w:eastAsia="zh-CN"/>
        </w:rPr>
        <w:t>等，有效地保障工商联工作的正常开展。</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绩效指标为</w:t>
      </w:r>
      <w:r>
        <w:rPr>
          <w:rFonts w:ascii="仿宋" w:eastAsia="仿宋" w:cs="仿宋" w:hAnsi="仿宋" w:hint="eastAsia"/>
          <w:sz w:val="32"/>
          <w:szCs w:val="32"/>
          <w:lang w:val="en-US" w:eastAsia="zh-CN"/>
        </w:rPr>
        <w:t>4</w:t>
      </w:r>
      <w:r>
        <w:rPr>
          <w:rFonts w:ascii="仿宋" w:eastAsia="仿宋" w:cs="仿宋" w:hAnsi="仿宋" w:hint="eastAsia"/>
          <w:sz w:val="32"/>
          <w:szCs w:val="32"/>
        </w:rPr>
        <w:t>个，评价等级为优。</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黑体" w:eastAsia="黑体" w:hAnsi="黑体"/>
          <w:sz w:val="32"/>
          <w:szCs w:val="32"/>
        </w:rPr>
      </w:pPr>
      <w:r>
        <w:rPr>
          <w:rFonts w:ascii="黑体" w:eastAsia="黑体" w:hAnsi="黑体" w:hint="eastAsia"/>
          <w:sz w:val="32"/>
          <w:szCs w:val="32"/>
        </w:rPr>
        <w:t>二、自评工作开展情况</w:t>
      </w:r>
    </w:p>
    <w:p>
      <w:pPr>
        <w:keepNext w:val="0"/>
        <w:keepLines w:val="0"/>
        <w:pageBreakBefore w:val="0"/>
        <w:widowControl w:val="0"/>
        <w:kinsoku/>
        <w:wordWrap/>
        <w:overflowPunct/>
        <w:topLinePunct w:val="0"/>
        <w:autoSpaceDE/>
        <w:autoSpaceDN/>
        <w:bidi w:val="0"/>
        <w:spacing w:line="600" w:lineRule="exact"/>
        <w:textAlignment w:val="auto"/>
        <w:rPr>
          <w:rFonts w:ascii="楷体" w:eastAsia="楷体" w:cs="楷体_GB2312" w:hAnsi="楷体"/>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（一）自评的组织工作</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hAnsi="仿宋" w:hint="eastAsia"/>
          <w:sz w:val="32"/>
          <w:szCs w:val="32"/>
        </w:rPr>
        <w:t xml:space="preserve"> </w:t>
      </w:r>
      <w:r>
        <w:rPr>
          <w:rFonts w:ascii="仿宋" w:eastAsia="仿宋" w:cs="仿宋" w:hAnsi="仿宋" w:hint="eastAsia"/>
          <w:sz w:val="32"/>
          <w:szCs w:val="32"/>
        </w:rPr>
        <w:t>为进一步提高我</w:t>
      </w:r>
      <w:r>
        <w:rPr>
          <w:rFonts w:ascii="仿宋" w:eastAsia="仿宋" w:cs="仿宋" w:hAnsi="仿宋" w:hint="eastAsia"/>
          <w:sz w:val="32"/>
          <w:szCs w:val="32"/>
          <w:lang w:eastAsia="zh-CN"/>
        </w:rPr>
        <w:t>联</w:t>
      </w:r>
      <w:r>
        <w:rPr>
          <w:rFonts w:ascii="仿宋" w:eastAsia="仿宋" w:cs="仿宋" w:hAnsi="仿宋" w:hint="eastAsia"/>
          <w:sz w:val="32"/>
          <w:szCs w:val="32"/>
        </w:rPr>
        <w:t>绩效预算管理工作，根据《</w:t>
      </w:r>
      <w:r>
        <w:rPr>
          <w:rFonts w:ascii="仿宋" w:eastAsia="仿宋" w:cs="仿宋" w:hAnsi="仿宋" w:hint="eastAsia"/>
          <w:sz w:val="32"/>
          <w:szCs w:val="32"/>
          <w:lang w:eastAsia="zh-CN"/>
        </w:rPr>
        <w:t>中共井陉矿区委、井陉矿区人民政府关于全面落实预算绩效管理的实施意见</w:t>
      </w:r>
      <w:r>
        <w:rPr>
          <w:rFonts w:ascii="仿宋" w:eastAsia="仿宋" w:cs="仿宋" w:hAnsi="仿宋" w:hint="eastAsia"/>
          <w:sz w:val="32"/>
          <w:szCs w:val="32"/>
        </w:rPr>
        <w:t>》（</w:t>
      </w:r>
      <w:r>
        <w:rPr>
          <w:rFonts w:ascii="仿宋" w:eastAsia="仿宋" w:cs="仿宋" w:hAnsi="仿宋" w:hint="eastAsia"/>
          <w:sz w:val="32"/>
          <w:szCs w:val="32"/>
          <w:lang w:eastAsia="zh-CN"/>
        </w:rPr>
        <w:t>矿发</w:t>
      </w:r>
      <w:r>
        <w:rPr>
          <w:rFonts w:ascii="仿宋" w:eastAsia="仿宋" w:cs="仿宋" w:hAnsi="仿宋" w:hint="eastAsia"/>
          <w:sz w:val="32"/>
          <w:szCs w:val="32"/>
        </w:rPr>
        <w:t>〔</w:t>
      </w:r>
      <w:r>
        <w:rPr>
          <w:rFonts w:ascii="仿宋" w:eastAsia="仿宋" w:cs="仿宋" w:hAnsi="仿宋" w:hint="eastAsia"/>
          <w:sz w:val="32"/>
          <w:szCs w:val="32"/>
          <w:lang w:val="en-US" w:eastAsia="zh-CN"/>
        </w:rPr>
        <w:t>2019</w:t>
      </w:r>
      <w:r>
        <w:rPr>
          <w:rFonts w:ascii="仿宋" w:eastAsia="仿宋" w:cs="仿宋" w:hAnsi="仿宋" w:hint="eastAsia"/>
          <w:sz w:val="32"/>
          <w:szCs w:val="32"/>
        </w:rPr>
        <w:t>〕</w:t>
      </w:r>
      <w:r>
        <w:rPr>
          <w:rFonts w:ascii="仿宋" w:eastAsia="仿宋" w:cs="仿宋" w:hAnsi="仿宋" w:hint="eastAsia"/>
          <w:sz w:val="32"/>
          <w:szCs w:val="32"/>
          <w:lang w:val="en-US" w:eastAsia="zh-CN"/>
        </w:rPr>
        <w:t>7</w:t>
      </w:r>
      <w:r>
        <w:rPr>
          <w:rFonts w:ascii="仿宋" w:eastAsia="仿宋" w:cs="仿宋" w:hAnsi="仿宋" w:hint="eastAsia"/>
          <w:sz w:val="32"/>
          <w:szCs w:val="32"/>
        </w:rPr>
        <w:t>号）要求，成立绩效评价工作组，对我</w:t>
      </w:r>
      <w:r>
        <w:rPr>
          <w:rFonts w:ascii="仿宋" w:eastAsia="仿宋" w:cs="仿宋" w:hAnsi="仿宋" w:hint="eastAsia"/>
          <w:sz w:val="32"/>
          <w:szCs w:val="32"/>
          <w:lang w:eastAsia="zh-CN"/>
        </w:rPr>
        <w:t>联</w:t>
      </w:r>
      <w:r>
        <w:rPr>
          <w:rFonts w:ascii="仿宋" w:eastAsia="仿宋" w:cs="仿宋" w:hAnsi="仿宋" w:hint="eastAsia"/>
          <w:sz w:val="32"/>
          <w:szCs w:val="32"/>
        </w:rPr>
        <w:t>所有的</w:t>
      </w:r>
      <w:r>
        <w:rPr>
          <w:rFonts w:ascii="仿宋" w:eastAsia="仿宋" w:cs="仿宋" w:hAnsi="仿宋" w:hint="eastAsia"/>
          <w:sz w:val="32"/>
          <w:szCs w:val="32"/>
          <w:lang w:eastAsia="zh-CN"/>
        </w:rPr>
        <w:t>资金</w:t>
      </w:r>
      <w:r>
        <w:rPr>
          <w:rFonts w:ascii="仿宋" w:eastAsia="仿宋" w:cs="仿宋" w:hAnsi="仿宋" w:hint="eastAsia"/>
          <w:sz w:val="32"/>
          <w:szCs w:val="32"/>
        </w:rPr>
        <w:t>项目，开展20</w:t>
      </w:r>
      <w:r>
        <w:rPr>
          <w:rFonts w:ascii="仿宋" w:eastAsia="仿宋" w:cs="仿宋" w:hAnsi="仿宋" w:hint="eastAsia"/>
          <w:sz w:val="32"/>
          <w:szCs w:val="32"/>
          <w:lang w:val="en-US" w:eastAsia="zh-CN"/>
        </w:rPr>
        <w:t>25</w:t>
      </w:r>
      <w:r>
        <w:rPr>
          <w:rFonts w:ascii="仿宋" w:eastAsia="仿宋" w:cs="仿宋" w:hAnsi="仿宋" w:hint="eastAsia"/>
          <w:sz w:val="32"/>
          <w:szCs w:val="32"/>
        </w:rPr>
        <w:t>年度</w:t>
      </w:r>
      <w:r>
        <w:rPr>
          <w:rFonts w:ascii="仿宋" w:eastAsia="仿宋" w:cs="仿宋" w:hAnsi="仿宋" w:hint="eastAsia"/>
          <w:sz w:val="32"/>
          <w:szCs w:val="32"/>
          <w:lang w:eastAsia="zh-CN"/>
        </w:rPr>
        <w:t>部门整体</w:t>
      </w:r>
      <w:r>
        <w:rPr>
          <w:rFonts w:ascii="仿宋" w:eastAsia="仿宋" w:cs="仿宋" w:hAnsi="仿宋" w:hint="eastAsia"/>
          <w:sz w:val="32"/>
          <w:szCs w:val="32"/>
        </w:rPr>
        <w:t>绩效自评工作。</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绩效评价工作组根据工作方案，明确任务分工，确定评价程序及时间安排。根据20</w:t>
      </w:r>
      <w:r>
        <w:rPr>
          <w:rFonts w:ascii="仿宋" w:eastAsia="仿宋" w:cs="仿宋" w:hAnsi="仿宋" w:hint="eastAsia"/>
          <w:sz w:val="32"/>
          <w:szCs w:val="32"/>
          <w:lang w:val="en-US" w:eastAsia="zh-CN"/>
        </w:rPr>
        <w:t>25</w:t>
      </w:r>
      <w:r>
        <w:rPr>
          <w:rFonts w:ascii="仿宋" w:eastAsia="仿宋" w:cs="仿宋" w:hAnsi="仿宋" w:hint="eastAsia"/>
          <w:sz w:val="32"/>
          <w:szCs w:val="32"/>
        </w:rPr>
        <w:t>年初设定的绩效目标完成情况和各绩效指标完成情况进行核实分析，填报《</w:t>
      </w:r>
      <w:r>
        <w:rPr>
          <w:rFonts w:ascii="仿宋" w:eastAsia="仿宋" w:cs="仿宋" w:hAnsi="仿宋" w:hint="eastAsia"/>
          <w:sz w:val="32"/>
          <w:szCs w:val="32"/>
          <w:lang w:val="en-US" w:eastAsia="zh-CN"/>
        </w:rPr>
        <w:t>2025年</w:t>
      </w:r>
      <w:r>
        <w:rPr>
          <w:rFonts w:ascii="仿宋" w:eastAsia="仿宋" w:cs="仿宋" w:hAnsi="仿宋" w:hint="eastAsia"/>
          <w:sz w:val="32"/>
          <w:szCs w:val="32"/>
          <w:lang w:eastAsia="zh-CN"/>
        </w:rPr>
        <w:t>区级</w:t>
      </w:r>
      <w:r>
        <w:rPr>
          <w:rFonts w:ascii="仿宋" w:eastAsia="仿宋" w:cs="仿宋" w:hAnsi="仿宋" w:hint="eastAsia"/>
          <w:sz w:val="32"/>
          <w:szCs w:val="32"/>
        </w:rPr>
        <w:t>项目绩效自评表》，并撰写绩效自评报告。</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仿宋" w:eastAsia="仿宋" w:hAnsi="仿宋"/>
          <w:sz w:val="32"/>
          <w:szCs w:val="32"/>
        </w:rPr>
      </w:pPr>
      <w:r>
        <w:rPr>
          <w:rFonts w:ascii="仿宋" w:eastAsia="仿宋" w:cs="仿宋" w:hAnsi="仿宋" w:hint="eastAsia"/>
          <w:sz w:val="32"/>
          <w:szCs w:val="32"/>
          <w:lang w:eastAsia="zh-CN"/>
        </w:rPr>
        <w:t>矿区工商联</w:t>
      </w:r>
      <w:r>
        <w:rPr>
          <w:rFonts w:ascii="仿宋" w:eastAsia="仿宋" w:cs="仿宋" w:hAnsi="仿宋" w:hint="eastAsia"/>
          <w:sz w:val="32"/>
          <w:szCs w:val="32"/>
        </w:rPr>
        <w:t>20</w:t>
      </w:r>
      <w:r>
        <w:rPr>
          <w:rFonts w:ascii="仿宋" w:eastAsia="仿宋" w:cs="仿宋" w:hAnsi="仿宋" w:hint="eastAsia"/>
          <w:sz w:val="32"/>
          <w:szCs w:val="32"/>
          <w:lang w:val="en-US" w:eastAsia="zh-CN"/>
        </w:rPr>
        <w:t>25</w:t>
      </w:r>
      <w:r>
        <w:rPr>
          <w:rFonts w:ascii="仿宋" w:eastAsia="仿宋" w:cs="仿宋" w:hAnsi="仿宋" w:hint="eastAsia"/>
          <w:sz w:val="32"/>
          <w:szCs w:val="32"/>
        </w:rPr>
        <w:t>年度</w:t>
      </w:r>
      <w:r>
        <w:rPr>
          <w:rFonts w:ascii="仿宋" w:eastAsia="仿宋" w:cs="仿宋" w:hAnsi="仿宋" w:hint="eastAsia"/>
          <w:sz w:val="32"/>
          <w:szCs w:val="32"/>
          <w:lang w:eastAsia="zh-CN"/>
        </w:rPr>
        <w:t>年初</w:t>
      </w:r>
      <w:r>
        <w:rPr>
          <w:rFonts w:ascii="仿宋" w:eastAsia="仿宋" w:cs="仿宋" w:hAnsi="仿宋" w:hint="eastAsia"/>
          <w:sz w:val="32"/>
          <w:szCs w:val="32"/>
        </w:rPr>
        <w:t>预算共</w:t>
      </w:r>
      <w:r>
        <w:rPr>
          <w:rFonts w:ascii="仿宋" w:eastAsia="仿宋" w:cs="仿宋" w:hAnsi="仿宋" w:hint="eastAsia"/>
          <w:sz w:val="32"/>
          <w:szCs w:val="32"/>
          <w:lang w:val="en-US" w:eastAsia="zh-CN"/>
        </w:rPr>
        <w:t>80.61万元：人员预算66.03万元，日常公用经费预算3.58万元，项目</w:t>
      </w:r>
      <w:r>
        <w:rPr>
          <w:rFonts w:ascii="仿宋" w:eastAsia="仿宋" w:cs="仿宋" w:hAnsi="仿宋" w:hint="eastAsia"/>
          <w:sz w:val="32"/>
          <w:szCs w:val="32"/>
          <w:lang w:eastAsia="zh-CN"/>
        </w:rPr>
        <w:t>（</w:t>
      </w:r>
      <w:r>
        <w:rPr>
          <w:rFonts w:ascii="仿宋" w:eastAsia="仿宋" w:cs="仿宋" w:hAnsi="仿宋" w:hint="eastAsia"/>
          <w:sz w:val="32"/>
          <w:szCs w:val="32"/>
          <w:lang w:val="en-US" w:eastAsia="zh-CN"/>
        </w:rPr>
        <w:t>2</w:t>
      </w:r>
      <w:r>
        <w:rPr>
          <w:rFonts w:ascii="仿宋" w:eastAsia="仿宋" w:cs="仿宋" w:hAnsi="仿宋" w:hint="eastAsia"/>
          <w:sz w:val="32"/>
          <w:szCs w:val="32"/>
          <w:lang w:eastAsia="zh-CN"/>
        </w:rPr>
        <w:t>个）</w:t>
      </w:r>
      <w:r>
        <w:rPr>
          <w:rFonts w:ascii="仿宋" w:eastAsia="仿宋" w:cs="仿宋" w:hAnsi="仿宋" w:hint="eastAsia"/>
          <w:sz w:val="32"/>
          <w:szCs w:val="32"/>
          <w:lang w:val="en-US" w:eastAsia="zh-CN"/>
        </w:rPr>
        <w:t>预算</w:t>
      </w:r>
      <w:r>
        <w:rPr>
          <w:rFonts w:ascii="仿宋" w:eastAsia="仿宋" w:cs="仿宋" w:hAnsi="仿宋" w:hint="eastAsia"/>
          <w:sz w:val="32"/>
          <w:szCs w:val="32"/>
        </w:rPr>
        <w:t>涉及资金</w:t>
      </w:r>
      <w:r>
        <w:rPr>
          <w:rFonts w:ascii="仿宋" w:eastAsia="仿宋" w:cs="仿宋" w:hAnsi="仿宋" w:hint="eastAsia"/>
          <w:sz w:val="32"/>
          <w:szCs w:val="32"/>
          <w:lang w:val="en-US" w:eastAsia="zh-CN"/>
        </w:rPr>
        <w:t>13万元</w:t>
      </w:r>
      <w:r>
        <w:rPr>
          <w:rFonts w:ascii="仿宋" w:eastAsia="仿宋" w:cs="仿宋" w:hAnsi="仿宋" w:hint="eastAsia"/>
          <w:sz w:val="32"/>
          <w:szCs w:val="32"/>
        </w:rPr>
        <w:t>具体为：</w:t>
      </w:r>
      <w:r>
        <w:rPr>
          <w:rFonts w:ascii="仿宋" w:eastAsia="仿宋" w:cs="仿宋" w:hAnsi="仿宋" w:hint="eastAsia"/>
          <w:sz w:val="32"/>
          <w:szCs w:val="32"/>
          <w:lang w:eastAsia="zh-CN"/>
        </w:rPr>
        <w:t>管理和服务非公经济</w:t>
      </w:r>
      <w:r>
        <w:rPr>
          <w:rFonts w:ascii="仿宋" w:eastAsia="仿宋" w:cs="仿宋" w:hAnsi="仿宋" w:hint="eastAsia"/>
          <w:sz w:val="32"/>
          <w:szCs w:val="32"/>
          <w:lang w:val="en-US" w:eastAsia="zh-CN"/>
        </w:rPr>
        <w:t>2万元</w:t>
      </w:r>
      <w:r>
        <w:rPr>
          <w:rFonts w:ascii="仿宋" w:eastAsia="仿宋" w:cs="仿宋" w:hAnsi="仿宋"/>
          <w:sz w:val="32"/>
          <w:szCs w:val="32"/>
        </w:rPr>
        <w:t>；劳务派遣</w:t>
      </w:r>
      <w:r>
        <w:rPr>
          <w:rFonts w:ascii="仿宋" w:eastAsia="仿宋" w:cs="仿宋" w:hAnsi="仿宋" w:hint="eastAsia"/>
          <w:sz w:val="32"/>
          <w:szCs w:val="32"/>
          <w:lang w:eastAsia="zh-CN"/>
        </w:rPr>
        <w:t>人员</w:t>
      </w:r>
      <w:r>
        <w:rPr>
          <w:rFonts w:ascii="仿宋" w:eastAsia="仿宋" w:cs="仿宋" w:hAnsi="仿宋"/>
          <w:sz w:val="32"/>
          <w:szCs w:val="32"/>
        </w:rPr>
        <w:t>经费</w:t>
      </w:r>
      <w:r>
        <w:rPr>
          <w:rFonts w:ascii="仿宋" w:eastAsia="仿宋" w:cs="仿宋" w:hAnsi="仿宋" w:hint="eastAsia"/>
          <w:sz w:val="32"/>
          <w:szCs w:val="32"/>
          <w:lang w:val="en-US" w:eastAsia="zh-CN"/>
        </w:rPr>
        <w:t>11</w:t>
      </w:r>
      <w:r>
        <w:rPr>
          <w:rFonts w:ascii="仿宋" w:eastAsia="仿宋" w:cs="仿宋" w:hAnsi="仿宋"/>
          <w:sz w:val="32"/>
          <w:szCs w:val="32"/>
        </w:rPr>
        <w:t>万元</w:t>
      </w:r>
      <w:r>
        <w:rPr>
          <w:rFonts w:ascii="仿宋" w:eastAsia="仿宋" w:cs="仿宋" w:hAnsi="仿宋" w:hint="eastAsia"/>
          <w:sz w:val="32"/>
          <w:szCs w:val="32"/>
          <w:lang w:eastAsia="zh-CN"/>
        </w:rPr>
        <w:t>。</w:t>
      </w:r>
    </w:p>
    <w:p>
      <w:pPr>
        <w:keepNext w:val="0"/>
        <w:keepLines w:val="0"/>
        <w:pageBreakBefore w:val="0"/>
        <w:widowControl w:val="0"/>
        <w:numPr>
          <w:ilvl w:val="0"/>
          <w:numId w:val="1"/>
        </w:numPr>
        <w:kinsoku/>
        <w:wordWrap/>
        <w:overflowPunct/>
        <w:topLinePunct w:val="0"/>
        <w:autoSpaceDE/>
        <w:autoSpaceDN/>
        <w:bidi w:val="0"/>
        <w:spacing w:line="600" w:lineRule="exact"/>
        <w:textAlignment w:val="auto"/>
        <w:rPr>
          <w:rFonts w:ascii="楷体" w:eastAsia="楷体" w:cs="楷体_GB2312" w:hAnsi="楷体"/>
          <w:bCs/>
          <w:sz w:val="32"/>
          <w:szCs w:val="32"/>
        </w:rPr>
      </w:pPr>
      <w:r>
        <w:rPr>
          <w:rFonts w:ascii="楷体" w:eastAsia="楷体" w:cs="楷体_GB2312" w:hAnsi="楷体" w:hint="eastAsia"/>
          <w:bCs/>
          <w:sz w:val="32"/>
          <w:szCs w:val="32"/>
        </w:rPr>
        <w:t>自评的方法和过程</w:t>
      </w:r>
    </w:p>
    <w:p>
      <w:pPr>
        <w:pStyle w:val="15"/>
        <w:keepNext w:val="0"/>
        <w:keepLines w:val="0"/>
        <w:pageBreakBefore w:val="0"/>
        <w:widowControl w:val="0"/>
        <w:kinsoku/>
        <w:wordWrap/>
        <w:overflowPunct/>
        <w:topLinePunct w:val="0"/>
        <w:autoSpaceDE/>
        <w:autoSpaceDN/>
        <w:bidi w:val="0"/>
        <w:spacing w:line="600" w:lineRule="exact"/>
        <w:textAlignment w:val="auto"/>
        <w:rPr>
          <w:rFonts w:eastAsia="仿宋" w:hint="eastAsia"/>
          <w:b w:val="0"/>
          <w:bCs w:val="0"/>
          <w:sz w:val="32"/>
          <w:szCs w:val="32"/>
          <w:lang w:eastAsia="zh-CN"/>
        </w:rPr>
      </w:pPr>
      <w:r>
        <w:rPr>
          <w:rFonts w:ascii="仿宋" w:eastAsia="仿宋" w:cs="楷体_GB2312" w:hAnsi="仿宋" w:hint="eastAsia"/>
          <w:b w:val="0"/>
          <w:bCs w:val="0"/>
          <w:sz w:val="32"/>
          <w:szCs w:val="32"/>
          <w:lang w:eastAsia="zh-CN"/>
        </w:rPr>
        <w:t>本次绩效评价证据收集方法包括了：研究、分析项目预算股室提供的相关文件；整理汇总项目预算股室提供的项目资料、工作总结和合同；根据预算股室提供的基础数据表逐项进行核实；根据项目服务对象填写的问卷调查结果汇总满意度情况。项目在前期的调研基础上，完成了项目绩效评价工作方案，设计了指标体系、评价标准、问卷调查方案等，明确了评价的目的、方法，评价原则。项目严格按照工作方案，通过调研、相关文件的解读、数据采集、文件调查、数据分析、指标评分和撰写的环节，顺利完成了本次绩效评价工作。</w:t>
      </w:r>
    </w:p>
    <w:p>
      <w:pPr>
        <w:keepNext w:val="0"/>
        <w:keepLines w:val="0"/>
        <w:pageBreakBefore w:val="0"/>
        <w:widowControl w:val="0"/>
        <w:kinsoku/>
        <w:wordWrap/>
        <w:overflowPunct/>
        <w:topLinePunct w:val="0"/>
        <w:autoSpaceDE/>
        <w:autoSpaceDN/>
        <w:bidi w:val="0"/>
        <w:spacing w:line="600" w:lineRule="exact"/>
        <w:textAlignment w:val="auto"/>
        <w:rPr>
          <w:rFonts w:ascii="黑体" w:eastAsia="黑体" w:hAnsi="黑体"/>
          <w:b/>
          <w:bCs/>
          <w:sz w:val="32"/>
          <w:szCs w:val="32"/>
        </w:rPr>
      </w:pPr>
      <w:r>
        <w:rPr>
          <w:rFonts w:ascii="黑体" w:eastAsia="黑体" w:hAnsi="黑体" w:hint="eastAsia"/>
          <w:sz w:val="32"/>
          <w:szCs w:val="32"/>
        </w:rPr>
        <w:t xml:space="preserve">    三、部门整体支出绩效目标实现情况及指标分析</w:t>
      </w:r>
    </w:p>
    <w:p>
      <w:pPr>
        <w:keepNext w:val="0"/>
        <w:keepLines w:val="0"/>
        <w:pageBreakBefore w:val="0"/>
        <w:widowControl w:val="0"/>
        <w:numPr>
          <w:ilvl w:val="0"/>
          <w:numId w:val="2"/>
        </w:numPr>
        <w:kinsoku/>
        <w:wordWrap/>
        <w:overflowPunct/>
        <w:topLinePunct w:val="0"/>
        <w:autoSpaceDE/>
        <w:autoSpaceDN/>
        <w:bidi w:val="0"/>
        <w:spacing w:line="600" w:lineRule="exact"/>
        <w:ind w:left="0" w:firstLineChars="200" w:firstLine="640"/>
        <w:textAlignment w:val="auto"/>
        <w:rPr>
          <w:rFonts w:ascii="楷体" w:eastAsia="楷体" w:cs="楷体_GB2312" w:hAnsi="楷体"/>
          <w:bCs/>
          <w:sz w:val="32"/>
          <w:szCs w:val="32"/>
        </w:rPr>
      </w:pPr>
      <w:r>
        <w:rPr>
          <w:rFonts w:ascii="楷体" w:eastAsia="楷体" w:cs="楷体_GB2312" w:hAnsi="楷体" w:hint="eastAsia"/>
          <w:bCs/>
          <w:sz w:val="32"/>
          <w:szCs w:val="32"/>
        </w:rPr>
        <w:t>总体绩效目标实现情况</w:t>
      </w:r>
    </w:p>
    <w:p>
      <w:pPr>
        <w:keepNext w:val="0"/>
        <w:keepLines w:val="0"/>
        <w:pageBreakBefore w:val="0"/>
        <w:widowControl w:val="0"/>
        <w:kinsoku/>
        <w:wordWrap/>
        <w:overflowPunct/>
        <w:topLinePunct w:val="0"/>
        <w:autoSpaceDE/>
        <w:autoSpaceDN/>
        <w:bidi w:val="0"/>
        <w:spacing w:line="600" w:lineRule="exact"/>
        <w:ind w:firstLineChars="250" w:firstLine="800"/>
        <w:textAlignment w:val="auto"/>
        <w:rPr>
          <w:rFonts w:ascii="仿宋" w:eastAsia="仿宋" w:hAnsi="仿宋"/>
          <w:sz w:val="32"/>
          <w:szCs w:val="32"/>
        </w:rPr>
      </w:pPr>
      <w:r>
        <w:rPr>
          <w:rFonts w:ascii="仿宋" w:eastAsia="仿宋" w:cs="仿宋" w:hAnsi="仿宋" w:hint="eastAsia"/>
          <w:sz w:val="32"/>
          <w:szCs w:val="32"/>
        </w:rPr>
        <w:t>绩效目标是贯穿预算绩效管理始终的一条主线，是预算资金安排、事中绩效跟踪和事后绩效评价的重要依据。根据相关文件要求，我</w:t>
      </w:r>
      <w:r>
        <w:rPr>
          <w:rFonts w:ascii="仿宋" w:eastAsia="仿宋" w:cs="仿宋" w:hAnsi="仿宋" w:hint="eastAsia"/>
          <w:sz w:val="32"/>
          <w:szCs w:val="32"/>
          <w:lang w:eastAsia="zh-CN"/>
        </w:rPr>
        <w:t>单位</w:t>
      </w:r>
      <w:r>
        <w:rPr>
          <w:rFonts w:ascii="仿宋" w:eastAsia="仿宋" w:cs="仿宋" w:hAnsi="仿宋" w:hint="eastAsia"/>
          <w:sz w:val="32"/>
          <w:szCs w:val="32"/>
        </w:rPr>
        <w:t>所有年初项目均设定了绩效目标，涉及产出指标和效果指标，但存在绩效指标不够全面、可评性不高、具体指标缺乏量化等问题。主要原因是对绩效目标的认识不够，制定多样化和细化的评价指标和标准需要在实践中不断完善</w:t>
      </w:r>
      <w:r>
        <w:rPr>
          <w:rFonts w:ascii="仿宋" w:eastAsia="仿宋" w:hAnsi="仿宋" w:hint="eastAsia"/>
          <w:sz w:val="32"/>
          <w:szCs w:val="32"/>
        </w:rPr>
        <w:t>。</w:t>
      </w:r>
    </w:p>
    <w:p>
      <w:pPr>
        <w:keepNext w:val="0"/>
        <w:keepLines w:val="0"/>
        <w:pageBreakBefore w:val="0"/>
        <w:widowControl w:val="0"/>
        <w:kinsoku/>
        <w:wordWrap/>
        <w:overflowPunct/>
        <w:topLinePunct w:val="0"/>
        <w:autoSpaceDE/>
        <w:autoSpaceDN/>
        <w:bidi w:val="0"/>
        <w:spacing w:line="600" w:lineRule="exact"/>
        <w:textAlignment w:val="auto"/>
        <w:rPr>
          <w:rFonts w:ascii="仿宋" w:eastAsia="仿宋" w:cs="仿宋" w:hAnsi="仿宋" w:hint="eastAsia"/>
          <w:sz w:val="32"/>
          <w:szCs w:val="32"/>
        </w:rPr>
      </w:pPr>
      <w:r>
        <w:rPr>
          <w:rFonts w:ascii="仿宋" w:eastAsia="仿宋" w:cs="楷体_GB2312" w:hAnsi="仿宋" w:hint="eastAsia"/>
          <w:b/>
          <w:bCs/>
          <w:sz w:val="32"/>
          <w:szCs w:val="32"/>
        </w:rPr>
        <w:t xml:space="preserve">    </w:t>
      </w:r>
      <w:r>
        <w:rPr>
          <w:rFonts w:ascii="楷体" w:eastAsia="楷体" w:cs="楷体_GB2312" w:hAnsi="楷体" w:hint="eastAsia"/>
          <w:bCs/>
          <w:sz w:val="32"/>
          <w:szCs w:val="32"/>
        </w:rPr>
        <w:t>（二）分项绩效目标实现情况及指标分析</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w:t>
      </w:r>
      <w:r>
        <w:rPr>
          <w:rFonts w:ascii="仿宋" w:eastAsia="仿宋" w:cs="仿宋" w:hAnsi="仿宋" w:hint="eastAsia"/>
          <w:sz w:val="32"/>
          <w:szCs w:val="32"/>
          <w:lang w:val="en-US" w:eastAsia="zh-CN"/>
        </w:rPr>
        <w:t>1</w:t>
      </w:r>
      <w:r>
        <w:rPr>
          <w:rFonts w:ascii="仿宋" w:eastAsia="仿宋" w:cs="仿宋" w:hAnsi="仿宋" w:hint="eastAsia"/>
          <w:sz w:val="32"/>
          <w:szCs w:val="32"/>
        </w:rPr>
        <w:t>）</w:t>
      </w:r>
      <w:r>
        <w:rPr>
          <w:rFonts w:ascii="仿宋" w:eastAsia="仿宋" w:cs="仿宋" w:hAnsi="仿宋" w:hint="eastAsia"/>
          <w:sz w:val="32"/>
          <w:szCs w:val="32"/>
          <w:lang w:eastAsia="zh-CN"/>
        </w:rPr>
        <w:t>管理和服务非公经济</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1.资金支出进度</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该项目</w:t>
      </w:r>
      <w:r>
        <w:rPr>
          <w:rFonts w:ascii="仿宋" w:eastAsia="仿宋" w:cs="仿宋" w:hAnsi="仿宋" w:hint="eastAsia"/>
          <w:sz w:val="32"/>
          <w:szCs w:val="32"/>
          <w:lang w:eastAsia="zh-CN"/>
        </w:rPr>
        <w:t>年初</w:t>
      </w:r>
      <w:r>
        <w:rPr>
          <w:rFonts w:ascii="仿宋" w:eastAsia="仿宋" w:cs="仿宋" w:hAnsi="仿宋" w:hint="eastAsia"/>
          <w:sz w:val="32"/>
          <w:szCs w:val="32"/>
        </w:rPr>
        <w:t>预算为</w:t>
      </w:r>
      <w:r>
        <w:rPr>
          <w:rFonts w:ascii="仿宋" w:eastAsia="仿宋" w:cs="仿宋" w:hAnsi="仿宋" w:hint="eastAsia"/>
          <w:sz w:val="32"/>
          <w:szCs w:val="32"/>
          <w:lang w:val="en-US" w:eastAsia="zh-CN"/>
        </w:rPr>
        <w:t>2</w:t>
      </w:r>
      <w:r>
        <w:rPr>
          <w:rFonts w:ascii="仿宋" w:eastAsia="仿宋" w:cs="仿宋" w:hAnsi="仿宋" w:hint="eastAsia"/>
          <w:sz w:val="32"/>
          <w:szCs w:val="32"/>
        </w:rPr>
        <w:t>万元，</w:t>
      </w:r>
      <w:r>
        <w:rPr>
          <w:rFonts w:ascii="仿宋" w:eastAsia="仿宋" w:cs="仿宋" w:hAnsi="仿宋" w:hint="eastAsia"/>
          <w:sz w:val="32"/>
          <w:szCs w:val="32"/>
          <w:lang w:eastAsia="zh-CN"/>
        </w:rPr>
        <w:t>调整预算后为</w:t>
      </w:r>
      <w:r>
        <w:rPr>
          <w:rFonts w:ascii="仿宋" w:eastAsia="仿宋" w:cs="仿宋" w:hAnsi="仿宋" w:hint="eastAsia"/>
          <w:sz w:val="32"/>
          <w:szCs w:val="32"/>
          <w:lang w:val="en-US" w:eastAsia="zh-CN"/>
        </w:rPr>
        <w:t>2万元，</w:t>
      </w:r>
      <w:r>
        <w:rPr>
          <w:rFonts w:ascii="仿宋" w:eastAsia="仿宋" w:cs="仿宋" w:hAnsi="仿宋" w:hint="eastAsia"/>
          <w:sz w:val="32"/>
          <w:szCs w:val="32"/>
        </w:rPr>
        <w:t>支出</w:t>
      </w:r>
      <w:r>
        <w:rPr>
          <w:rFonts w:ascii="仿宋" w:eastAsia="仿宋" w:cs="仿宋" w:hAnsi="仿宋" w:hint="eastAsia"/>
          <w:sz w:val="32"/>
          <w:szCs w:val="32"/>
          <w:lang w:val="en-US" w:eastAsia="zh-CN"/>
        </w:rPr>
        <w:t>1.5</w:t>
      </w:r>
      <w:r>
        <w:rPr>
          <w:rFonts w:ascii="仿宋" w:eastAsia="仿宋" w:cs="仿宋" w:hAnsi="仿宋" w:hint="eastAsia"/>
          <w:sz w:val="32"/>
          <w:szCs w:val="32"/>
        </w:rPr>
        <w:t>万元，总体支出进度为</w:t>
      </w:r>
      <w:r>
        <w:rPr>
          <w:rFonts w:ascii="仿宋" w:eastAsia="仿宋" w:cs="仿宋" w:hAnsi="仿宋" w:hint="eastAsia"/>
          <w:sz w:val="32"/>
          <w:szCs w:val="32"/>
          <w:lang w:val="en-US" w:eastAsia="zh-CN"/>
        </w:rPr>
        <w:t>75</w:t>
      </w:r>
      <w:r>
        <w:rPr>
          <w:rFonts w:ascii="仿宋" w:eastAsia="仿宋" w:cs="仿宋" w:hAnsi="仿宋" w:hint="eastAsia"/>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2.产出指标和效果指标完成情况</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仿宋" w:eastAsia="仿宋" w:cs="仿宋" w:hAnsi="仿宋" w:hint="eastAsia"/>
          <w:sz w:val="32"/>
          <w:szCs w:val="32"/>
          <w:lang w:eastAsia="zh-CN"/>
        </w:rPr>
      </w:pPr>
      <w:r>
        <w:rPr>
          <w:rFonts w:ascii="仿宋" w:eastAsia="仿宋" w:cs="仿宋" w:hAnsi="仿宋" w:hint="eastAsia"/>
          <w:bCs/>
          <w:sz w:val="32"/>
          <w:szCs w:val="32"/>
          <w:lang w:eastAsia="zh-CN"/>
        </w:rPr>
        <w:t>我联</w:t>
      </w:r>
      <w:r>
        <w:rPr>
          <w:rFonts w:ascii="仿宋" w:eastAsia="仿宋" w:cs="仿宋" w:hAnsi="仿宋" w:hint="eastAsia"/>
          <w:bCs/>
          <w:sz w:val="32"/>
          <w:szCs w:val="32"/>
        </w:rPr>
        <w:t>组织非公企业学习培训</w:t>
      </w:r>
      <w:r>
        <w:rPr>
          <w:rFonts w:ascii="仿宋" w:eastAsia="仿宋" w:cs="仿宋" w:hAnsi="仿宋" w:hint="eastAsia"/>
          <w:bCs/>
          <w:sz w:val="32"/>
          <w:szCs w:val="32"/>
          <w:lang w:val="en-US" w:eastAsia="zh-CN"/>
        </w:rPr>
        <w:t>5次以上，培训活动出勤率达到95%左右，发展会员数为5家。除此之外，我联积极带领会员企业</w:t>
      </w:r>
      <w:r>
        <w:rPr>
          <w:rFonts w:ascii="仿宋" w:eastAsia="仿宋" w:cs="仿宋" w:hAnsi="仿宋" w:hint="eastAsia"/>
          <w:bCs/>
          <w:sz w:val="32"/>
          <w:szCs w:val="32"/>
        </w:rPr>
        <w:t>及外出调研</w:t>
      </w:r>
      <w:r>
        <w:rPr>
          <w:rFonts w:ascii="仿宋" w:eastAsia="仿宋" w:cs="仿宋" w:hAnsi="仿宋" w:hint="eastAsia"/>
          <w:bCs/>
          <w:sz w:val="32"/>
          <w:szCs w:val="32"/>
          <w:lang w:val="en-US" w:eastAsia="zh-CN"/>
        </w:rPr>
        <w:t>1次，提供人才，技术，法律服务进企业活动</w:t>
      </w:r>
      <w:r>
        <w:rPr>
          <w:rFonts w:ascii="仿宋" w:eastAsia="仿宋" w:cs="仿宋" w:hAnsi="仿宋"/>
          <w:bCs/>
          <w:sz w:val="32"/>
          <w:szCs w:val="32"/>
          <w:lang w:val="en-US" w:eastAsia="zh-CN"/>
        </w:rPr>
        <w:t>2</w:t>
      </w:r>
      <w:r>
        <w:rPr>
          <w:rFonts w:ascii="仿宋" w:eastAsia="仿宋" w:cs="仿宋" w:hAnsi="仿宋" w:hint="eastAsia"/>
          <w:bCs/>
          <w:sz w:val="32"/>
          <w:szCs w:val="32"/>
          <w:lang w:val="en-US" w:eastAsia="zh-CN"/>
        </w:rPr>
        <w:t>次，有效地凝聚和充分发挥了区工商联的职能作用，促进工商联班子建设和工作开展。其他还用于</w:t>
      </w:r>
      <w:r>
        <w:rPr>
          <w:rFonts w:ascii="仿宋" w:eastAsia="仿宋" w:cs="仿宋" w:hAnsi="仿宋" w:hint="eastAsia"/>
          <w:bCs/>
          <w:sz w:val="32"/>
          <w:szCs w:val="32"/>
        </w:rPr>
        <w:t>购买办公用品</w:t>
      </w:r>
      <w:r>
        <w:rPr>
          <w:rFonts w:ascii="仿宋" w:eastAsia="仿宋" w:cs="仿宋" w:hAnsi="仿宋" w:hint="eastAsia"/>
          <w:bCs/>
          <w:sz w:val="32"/>
          <w:szCs w:val="32"/>
          <w:lang w:eastAsia="zh-CN"/>
        </w:rPr>
        <w:t>等，有效地保障工商联工作的正常开展。</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仿宋" w:eastAsia="仿宋" w:cs="仿宋" w:hAnsi="仿宋" w:hint="eastAsia"/>
          <w:sz w:val="32"/>
          <w:szCs w:val="32"/>
        </w:rPr>
      </w:pPr>
      <w:r>
        <w:rPr>
          <w:rFonts w:ascii="仿宋" w:eastAsia="仿宋" w:cs="仿宋" w:hAnsi="仿宋" w:hint="eastAsia"/>
          <w:sz w:val="32"/>
          <w:szCs w:val="32"/>
        </w:rPr>
        <w:t>绩效指标为</w:t>
      </w:r>
      <w:r>
        <w:rPr>
          <w:rFonts w:ascii="仿宋" w:eastAsia="仿宋" w:cs="仿宋" w:hAnsi="仿宋" w:hint="eastAsia"/>
          <w:sz w:val="32"/>
          <w:szCs w:val="32"/>
          <w:lang w:val="en-US" w:eastAsia="zh-CN"/>
        </w:rPr>
        <w:t>4</w:t>
      </w:r>
      <w:r>
        <w:rPr>
          <w:rFonts w:ascii="仿宋" w:eastAsia="仿宋" w:cs="仿宋" w:hAnsi="仿宋" w:hint="eastAsia"/>
          <w:sz w:val="32"/>
          <w:szCs w:val="32"/>
        </w:rPr>
        <w:t>个，评价等级为优。</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黑体" w:eastAsia="黑体" w:hAnsi="黑体"/>
          <w:sz w:val="32"/>
          <w:szCs w:val="32"/>
        </w:rPr>
      </w:pPr>
      <w:r>
        <w:rPr>
          <w:rFonts w:ascii="黑体" w:eastAsia="黑体" w:hAnsi="黑体" w:hint="eastAsia"/>
          <w:sz w:val="32"/>
          <w:szCs w:val="32"/>
        </w:rPr>
        <w:t>四、评价结论和评价等级</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仿宋" w:eastAsia="仿宋" w:hAnsi="仿宋"/>
          <w:sz w:val="32"/>
          <w:szCs w:val="32"/>
        </w:rPr>
      </w:pPr>
      <w:r>
        <w:rPr>
          <w:rFonts w:ascii="仿宋" w:eastAsia="仿宋" w:hAnsi="仿宋" w:hint="eastAsia"/>
          <w:sz w:val="32"/>
          <w:szCs w:val="32"/>
        </w:rPr>
        <w:t>根据部门职责定位和各项工作履职情况进行综合评价，给出总得分，满分100分，得出综合绩效评价等级。部门整体支出综合绩效评价分为4个等级：得分</w:t>
      </w:r>
      <w:r>
        <w:rPr>
          <w:rFonts w:ascii="仿宋" w:eastAsia="仿宋" w:cs="Arial" w:hAnsi="仿宋"/>
          <w:sz w:val="32"/>
          <w:szCs w:val="32"/>
        </w:rPr>
        <w:t>≥</w:t>
      </w:r>
      <w:r>
        <w:rPr>
          <w:rFonts w:ascii="仿宋" w:eastAsia="仿宋" w:hAnsi="仿宋" w:hint="eastAsia"/>
          <w:sz w:val="32"/>
          <w:szCs w:val="32"/>
        </w:rPr>
        <w:t>85分为优秀；75</w:t>
      </w:r>
      <w:r>
        <w:rPr>
          <w:rFonts w:ascii="仿宋" w:eastAsia="仿宋" w:cs="Arial" w:hAnsi="仿宋"/>
          <w:sz w:val="32"/>
          <w:szCs w:val="32"/>
        </w:rPr>
        <w:t>≤</w:t>
      </w:r>
      <w:r>
        <w:rPr>
          <w:rFonts w:ascii="仿宋" w:eastAsia="仿宋" w:hAnsi="仿宋" w:hint="eastAsia"/>
          <w:sz w:val="32"/>
          <w:szCs w:val="32"/>
        </w:rPr>
        <w:t>得分＜85分为良好；60</w:t>
      </w:r>
      <w:r>
        <w:rPr>
          <w:rFonts w:ascii="仿宋" w:eastAsia="仿宋" w:cs="Arial" w:hAnsi="仿宋"/>
          <w:sz w:val="32"/>
          <w:szCs w:val="32"/>
        </w:rPr>
        <w:t>≤</w:t>
      </w:r>
      <w:r>
        <w:rPr>
          <w:rFonts w:ascii="仿宋" w:eastAsia="仿宋" w:hAnsi="仿宋" w:hint="eastAsia"/>
          <w:sz w:val="32"/>
          <w:szCs w:val="32"/>
        </w:rPr>
        <w:t>得分＜75分为一般；得分＜60分为较差。部门整体支出综合绩效评价</w:t>
      </w:r>
      <w:r>
        <w:rPr>
          <w:rFonts w:ascii="仿宋" w:eastAsia="仿宋" w:hAnsi="仿宋" w:hint="eastAsia"/>
          <w:color w:val="auto"/>
          <w:sz w:val="32"/>
          <w:szCs w:val="32"/>
          <w:highlight w:val="auto"/>
        </w:rPr>
        <w:t>分</w:t>
      </w:r>
      <w:r>
        <w:rPr>
          <w:rFonts w:ascii="仿宋" w:eastAsia="仿宋" w:hAnsi="仿宋" w:hint="eastAsia"/>
          <w:color w:val="auto"/>
          <w:sz w:val="32"/>
          <w:szCs w:val="32"/>
          <w:lang w:val="en-US" w:eastAsia="zh-CN"/>
          <w:highlight w:val="auto"/>
        </w:rPr>
        <w:t>9</w:t>
      </w:r>
      <w:r>
        <w:rPr>
          <w:rFonts w:ascii="仿宋" w:eastAsia="仿宋" w:hAnsi="仿宋"/>
          <w:color w:val="auto"/>
          <w:sz w:val="32"/>
          <w:szCs w:val="32"/>
          <w:lang w:val="en-US" w:eastAsia="zh-CN"/>
          <w:highlight w:val="auto"/>
        </w:rPr>
        <w:t>9</w:t>
      </w:r>
      <w:r>
        <w:rPr>
          <w:rFonts w:ascii="仿宋" w:eastAsia="仿宋" w:hAnsi="仿宋" w:hint="eastAsia"/>
          <w:color w:val="auto"/>
          <w:sz w:val="32"/>
          <w:szCs w:val="32"/>
          <w:highlight w:val="auto"/>
        </w:rPr>
        <w:t>分为优秀。</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黑体" w:eastAsia="黑体" w:hAnsi="黑体"/>
          <w:sz w:val="32"/>
          <w:szCs w:val="32"/>
        </w:rPr>
      </w:pPr>
      <w:r>
        <w:rPr>
          <w:rFonts w:ascii="黑体" w:eastAsia="黑体" w:hAnsi="黑体" w:hint="eastAsia"/>
          <w:sz w:val="32"/>
          <w:szCs w:val="32"/>
        </w:rPr>
        <w:t>五、存在的问题及改进措施</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楷体" w:eastAsia="楷体" w:hAnsi="楷体" w:hint="eastAsia"/>
          <w:bCs/>
          <w:sz w:val="32"/>
          <w:szCs w:val="32"/>
        </w:rPr>
      </w:pPr>
      <w:r>
        <w:rPr>
          <w:rFonts w:ascii="楷体" w:eastAsia="楷体" w:hAnsi="楷体" w:hint="eastAsia"/>
          <w:bCs/>
          <w:sz w:val="32"/>
          <w:szCs w:val="32"/>
        </w:rPr>
        <w:t>（一）存在的主要问题</w:t>
      </w:r>
    </w:p>
    <w:p>
      <w:pPr>
        <w:keepNext w:val="0"/>
        <w:keepLines w:val="0"/>
        <w:pageBreakBefore w:val="0"/>
        <w:widowControl w:val="0"/>
        <w:kinsoku/>
        <w:wordWrap/>
        <w:overflowPunct/>
        <w:topLinePunct w:val="0"/>
        <w:autoSpaceDE/>
        <w:autoSpaceDN/>
        <w:bidi w:val="0"/>
        <w:spacing w:line="600" w:lineRule="exact"/>
        <w:ind w:firstLineChars="200" w:firstLine="640"/>
        <w:textAlignment w:val="auto"/>
        <w:rPr>
          <w:rFonts w:ascii="楷体" w:eastAsia="楷体" w:hAnsi="楷体" w:hint="eastAsia"/>
          <w:bCs/>
          <w:sz w:val="32"/>
          <w:szCs w:val="32"/>
        </w:rPr>
      </w:pPr>
      <w:r>
        <w:rPr>
          <w:rFonts w:ascii="仿宋" w:eastAsia="仿宋" w:cs="仿宋" w:hAnsi="仿宋" w:hint="eastAsia"/>
          <w:sz w:val="32"/>
          <w:szCs w:val="32"/>
          <w:lang w:val="en-US" w:eastAsia="zh-CN"/>
        </w:rPr>
        <w:t>考虑问题还是不够全面。</w:t>
      </w:r>
    </w:p>
    <w:p>
      <w:pPr>
        <w:keepNext w:val="0"/>
        <w:keepLines w:val="0"/>
        <w:pageBreakBefore w:val="0"/>
        <w:widowControl w:val="0"/>
        <w:numPr>
          <w:ilvl w:val="0"/>
          <w:numId w:val="2"/>
        </w:numPr>
        <w:kinsoku/>
        <w:wordWrap/>
        <w:overflowPunct/>
        <w:topLinePunct w:val="0"/>
        <w:autoSpaceDE/>
        <w:autoSpaceDN/>
        <w:bidi w:val="0"/>
        <w:spacing w:line="600" w:lineRule="exact"/>
        <w:ind w:left="0" w:firstLineChars="200" w:firstLine="640"/>
        <w:textAlignment w:val="auto"/>
        <w:rPr>
          <w:rFonts w:ascii="楷体" w:eastAsia="楷体" w:hAnsi="楷体" w:hint="eastAsia"/>
          <w:bCs/>
          <w:sz w:val="32"/>
          <w:szCs w:val="32"/>
        </w:rPr>
      </w:pPr>
      <w:r>
        <w:rPr>
          <w:rFonts w:ascii="楷体" w:eastAsia="楷体" w:hAnsi="楷体" w:hint="eastAsia"/>
          <w:bCs/>
          <w:sz w:val="32"/>
          <w:szCs w:val="32"/>
        </w:rPr>
        <w:t>针对问题提出具体的改进措施或建议</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pPr>
      <w:r>
        <w:rPr>
          <w:rFonts w:ascii="仿宋" w:eastAsia="仿宋" w:cs="仿宋" w:hAnsi="仿宋" w:hint="eastAsia"/>
          <w:sz w:val="32"/>
          <w:szCs w:val="32"/>
        </w:rPr>
        <w:t>在以后的工作中，</w:t>
      </w:r>
      <w:r>
        <w:rPr>
          <w:rFonts w:ascii="仿宋" w:eastAsia="仿宋" w:cs="仿宋" w:hAnsi="仿宋"/>
          <w:sz w:val="32"/>
          <w:szCs w:val="32"/>
        </w:rPr>
        <w:t>要根据年度工作计划制定具体、可衡量、可实现的绩效目标，明确支出的必要性、可行性和有效性，并围绕绩效目标编制清晰、量化、便于考核的绩效指标。</w:t>
      </w:r>
      <w:r>
        <w:rPr>
          <w:rFonts w:ascii="仿宋" w:eastAsia="仿宋" w:cs="仿宋" w:hAnsi="仿宋" w:hint="eastAsia"/>
          <w:sz w:val="32"/>
          <w:szCs w:val="32"/>
        </w:rPr>
        <w:t>要重视绩效评价工作，切实发挥绩效评价结果应用的作用，通过绩效评价应用实践，积累连续的数据库，优化对比分析，总结实践中的经验和教训，强化财政资金管理水平、提高财政资金使用效益，在更高层次上实现财政资源配置的公平性和合理性。</w:t>
      </w:r>
    </w:p>
    <w:p>
      <w:pPr>
        <w:keepNext w:val="0"/>
        <w:keepLines w:val="0"/>
        <w:pageBreakBefore w:val="0"/>
        <w:widowControl w:val="0"/>
        <w:kinsoku/>
        <w:wordWrap/>
        <w:overflowPunct/>
        <w:topLinePunct w:val="0"/>
        <w:autoSpaceDE/>
        <w:autoSpaceDN/>
        <w:bidi w:val="0"/>
        <w:adjustRightInd w:val="0"/>
        <w:snapToGrid w:val="0"/>
        <w:spacing w:line="600" w:lineRule="exact"/>
        <w:ind w:firstLineChars="200" w:firstLine="640"/>
        <w:textAlignment w:val="auto"/>
        <w:rPr>
          <w:rFonts w:ascii="黑体" w:eastAsia="黑体" w:hAnsi="黑体"/>
          <w:sz w:val="32"/>
          <w:szCs w:val="32"/>
        </w:rPr>
      </w:pPr>
      <w:r>
        <w:rPr>
          <w:rFonts w:ascii="黑体" w:eastAsia="黑体" w:hAnsi="黑体" w:hint="eastAsia"/>
          <w:sz w:val="32"/>
          <w:szCs w:val="32"/>
        </w:rPr>
        <w:t>六、评价工作组人员名单及签字（姓名、工作单位、职务、职称）</w:t>
      </w:r>
    </w:p>
    <w:tbl>
      <w:tblPr>
        <w:tblpPr w:leftFromText="180" w:rightFromText="180" w:vertAnchor="text" w:horzAnchor="page" w:tblpX="1558" w:tblpY="709"/>
        <w:tblOverlap w:val="never"/>
        <w:tblW w:w="9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600" w:firstRow="0" w:lastRow="0" w:firstColumn="0" w:lastColumn="0" w:noHBand="1" w:noVBand="1"/>
      </w:tblPr>
      <w:tblGrid>
        <w:gridCol w:w="1149"/>
        <w:gridCol w:w="1172"/>
        <w:gridCol w:w="1856"/>
        <w:gridCol w:w="3071"/>
        <w:gridCol w:w="1813"/>
      </w:tblGrid>
      <w:tr>
        <w:trPr>
          <w:trHeight w:val="827"/>
        </w:trPr>
        <w:tc>
          <w:tcPr>
            <w:tcW w:w="1149" w:type="dxa"/>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val="en-US" w:eastAsia="zh-CN"/>
              </w:rPr>
              <w:t>序</w:t>
            </w:r>
            <w:r>
              <w:rPr>
                <w:rFonts w:ascii="仿宋_GB2312" w:eastAsia="仿宋_GB2312" w:cs="仿宋_GB2312" w:hAnsi="仿宋_GB2312" w:hint="eastAsia"/>
                <w:vertAlign w:val="baseline"/>
                <w:lang w:eastAsia="zh-CN"/>
              </w:rPr>
              <w:t>号</w:t>
            </w:r>
          </w:p>
        </w:tc>
        <w:tc>
          <w:tcPr>
            <w:tcW w:w="1172" w:type="dxa"/>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姓名</w:t>
            </w:r>
          </w:p>
        </w:tc>
        <w:tc>
          <w:tcPr>
            <w:tcW w:w="1856" w:type="dxa"/>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工作单位</w:t>
            </w:r>
          </w:p>
        </w:tc>
        <w:tc>
          <w:tcPr>
            <w:tcW w:w="3071" w:type="dxa"/>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职务</w:t>
            </w:r>
          </w:p>
        </w:tc>
        <w:tc>
          <w:tcPr>
            <w:tcW w:w="1813" w:type="dxa"/>
            <w:vAlign w:val="center"/>
          </w:tcPr>
          <w:p>
            <w:pPr>
              <w:pStyle w:val="15"/>
              <w:keepNext w:val="0"/>
              <w:keepLines w:val="0"/>
              <w:pageBreakBefore w:val="0"/>
              <w:widowControl w:val="0"/>
              <w:kinsoku/>
              <w:wordWrap/>
              <w:overflowPunct/>
              <w:topLinePunct w:val="0"/>
              <w:autoSpaceDE/>
              <w:autoSpaceDN/>
              <w:bidi w:val="0"/>
              <w:spacing w:line="600" w:lineRule="exact"/>
              <w:jc w:val="both"/>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签字</w:t>
            </w:r>
          </w:p>
        </w:tc>
      </w:tr>
      <w:tr>
        <w:trPr>
          <w:trHeight w:val="877"/>
        </w:trPr>
        <w:tc>
          <w:tcPr>
            <w:tcW w:w="1149"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val="en-US" w:eastAsia="zh-CN"/>
              </w:rPr>
            </w:pPr>
            <w:r>
              <w:rPr>
                <w:rFonts w:ascii="仿宋_GB2312" w:eastAsia="仿宋_GB2312" w:cs="仿宋_GB2312" w:hAnsi="仿宋_GB2312" w:hint="eastAsia"/>
                <w:vertAlign w:val="baseline"/>
                <w:lang w:val="en-US" w:eastAsia="zh-CN"/>
              </w:rPr>
              <w:t>1</w:t>
            </w:r>
          </w:p>
        </w:tc>
        <w:tc>
          <w:tcPr>
            <w:tcW w:w="1172"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cs="仿宋_GB2312" w:hAnsi="仿宋_GB2312" w:hint="eastAsia"/>
                <w:vertAlign w:val="baseline"/>
                <w:lang w:eastAsia="zh-CN"/>
              </w:rPr>
              <w:t>苏冬杰</w:t>
            </w:r>
          </w:p>
        </w:tc>
        <w:tc>
          <w:tcPr>
            <w:tcW w:w="1856"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区工商联</w:t>
            </w:r>
          </w:p>
        </w:tc>
        <w:tc>
          <w:tcPr>
            <w:tcW w:w="3071"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主</w:t>
            </w:r>
            <w:r>
              <w:rPr>
                <w:rFonts w:ascii="仿宋_GB2312" w:cs="仿宋_GB2312" w:hAnsi="仿宋_GB2312" w:hint="eastAsia"/>
                <w:vertAlign w:val="baseline"/>
                <w:lang w:val="en-US" w:eastAsia="zh-CN"/>
              </w:rPr>
              <w:t xml:space="preserve">  </w:t>
            </w:r>
            <w:r>
              <w:rPr>
                <w:rFonts w:ascii="仿宋_GB2312" w:eastAsia="仿宋_GB2312" w:cs="仿宋_GB2312" w:hAnsi="仿宋_GB2312" w:hint="eastAsia"/>
                <w:vertAlign w:val="baseline"/>
                <w:lang w:eastAsia="zh-CN"/>
              </w:rPr>
              <w:t>席</w:t>
            </w:r>
          </w:p>
        </w:tc>
        <w:tc>
          <w:tcPr>
            <w:tcW w:w="1813"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jc w:val="center"/>
              <w:textAlignment w:val="auto"/>
              <w:rPr>
                <w:rFonts w:ascii="仿宋_GB2312" w:eastAsia="仿宋_GB2312" w:cs="仿宋_GB2312" w:hAnsi="仿宋_GB2312" w:hint="eastAsia"/>
                <w:vertAlign w:val="baseline"/>
                <w:lang w:eastAsia="zh-CN"/>
              </w:rPr>
            </w:pPr>
          </w:p>
        </w:tc>
      </w:tr>
      <w:tr>
        <w:trPr>
          <w:trHeight w:val="910"/>
        </w:trPr>
        <w:tc>
          <w:tcPr>
            <w:tcW w:w="1149"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val="en-US" w:eastAsia="zh-CN"/>
              </w:rPr>
            </w:pPr>
            <w:r>
              <w:rPr>
                <w:rFonts w:ascii="仿宋_GB2312" w:eastAsia="仿宋_GB2312" w:cs="仿宋_GB2312" w:hAnsi="仿宋_GB2312" w:hint="eastAsia"/>
                <w:vertAlign w:val="baseline"/>
                <w:lang w:val="en-US" w:eastAsia="zh-CN"/>
              </w:rPr>
              <w:t>2</w:t>
            </w:r>
          </w:p>
        </w:tc>
        <w:tc>
          <w:tcPr>
            <w:tcW w:w="1172"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cs="仿宋_GB2312" w:hAnsi="仿宋_GB2312" w:hint="eastAsia"/>
                <w:vertAlign w:val="baseline"/>
                <w:lang w:eastAsia="zh-CN"/>
              </w:rPr>
              <w:t>孙建国</w:t>
            </w:r>
          </w:p>
        </w:tc>
        <w:tc>
          <w:tcPr>
            <w:tcW w:w="1856"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区工商联</w:t>
            </w:r>
          </w:p>
        </w:tc>
        <w:tc>
          <w:tcPr>
            <w:tcW w:w="3071"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副主席</w:t>
            </w:r>
            <w:r>
              <w:rPr>
                <w:rFonts w:ascii="仿宋_GB2312" w:eastAsia="仿宋_GB2312" w:cs="仿宋_GB2312" w:hAnsi="仿宋_GB2312"/>
                <w:vertAlign w:val="baseline"/>
                <w:lang w:eastAsia="zh-CN"/>
              </w:rPr>
              <w:t>、三级主任科员</w:t>
            </w:r>
          </w:p>
        </w:tc>
        <w:tc>
          <w:tcPr>
            <w:tcW w:w="1813"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jc w:val="center"/>
              <w:textAlignment w:val="auto"/>
              <w:rPr>
                <w:rFonts w:ascii="仿宋_GB2312" w:eastAsia="仿宋_GB2312" w:cs="仿宋_GB2312" w:hAnsi="仿宋_GB2312" w:hint="eastAsia"/>
                <w:vertAlign w:val="baseline"/>
                <w:lang w:eastAsia="zh-CN"/>
              </w:rPr>
            </w:pPr>
          </w:p>
        </w:tc>
      </w:tr>
      <w:tr>
        <w:trPr>
          <w:trHeight w:val="853"/>
        </w:trPr>
        <w:tc>
          <w:tcPr>
            <w:tcW w:w="1149"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val="en-US" w:eastAsia="zh-CN"/>
              </w:rPr>
            </w:pPr>
            <w:r>
              <w:rPr>
                <w:rFonts w:ascii="仿宋_GB2312" w:eastAsia="仿宋_GB2312" w:cs="仿宋_GB2312" w:hAnsi="仿宋_GB2312" w:hint="eastAsia"/>
                <w:vertAlign w:val="baseline"/>
                <w:lang w:val="en-US" w:eastAsia="zh-CN"/>
              </w:rPr>
              <w:t>3</w:t>
            </w:r>
          </w:p>
        </w:tc>
        <w:tc>
          <w:tcPr>
            <w:tcW w:w="1172"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冯</w:t>
            </w:r>
            <w:r>
              <w:rPr>
                <w:rFonts w:ascii="仿宋_GB2312" w:cs="仿宋_GB2312" w:hAnsi="仿宋_GB2312" w:hint="eastAsia"/>
                <w:vertAlign w:val="baseline"/>
                <w:lang w:val="en-US" w:eastAsia="zh-CN"/>
              </w:rPr>
              <w:t xml:space="preserve"> </w:t>
            </w:r>
            <w:r>
              <w:rPr>
                <w:rFonts w:ascii="仿宋_GB2312" w:eastAsia="仿宋_GB2312" w:cs="仿宋_GB2312" w:hAnsi="仿宋_GB2312" w:hint="eastAsia"/>
                <w:vertAlign w:val="baseline"/>
                <w:lang w:eastAsia="zh-CN"/>
              </w:rPr>
              <w:t>迪</w:t>
            </w:r>
          </w:p>
        </w:tc>
        <w:tc>
          <w:tcPr>
            <w:tcW w:w="1856"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区工商联</w:t>
            </w:r>
          </w:p>
        </w:tc>
        <w:tc>
          <w:tcPr>
            <w:tcW w:w="3071"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ind w:left="0" w:firstLineChars="0" w:firstLine="0"/>
              <w:jc w:val="center"/>
              <w:textAlignment w:val="auto"/>
              <w:rPr>
                <w:rFonts w:ascii="仿宋_GB2312" w:eastAsia="仿宋_GB2312" w:cs="仿宋_GB2312" w:hAnsi="仿宋_GB2312" w:hint="eastAsia"/>
                <w:vertAlign w:val="baseline"/>
                <w:lang w:eastAsia="zh-CN"/>
              </w:rPr>
            </w:pPr>
            <w:r>
              <w:rPr>
                <w:rFonts w:ascii="仿宋_GB2312" w:eastAsia="仿宋_GB2312" w:cs="仿宋_GB2312" w:hAnsi="仿宋_GB2312" w:hint="eastAsia"/>
                <w:vertAlign w:val="baseline"/>
                <w:lang w:eastAsia="zh-CN"/>
              </w:rPr>
              <w:t>工作人员</w:t>
            </w:r>
          </w:p>
        </w:tc>
        <w:tc>
          <w:tcPr>
            <w:tcW w:w="1813" w:type="dxa"/>
            <w:tcBorders>
              <w:top w:val="single" w:sz="4" w:space="0" w:color="auto"/>
              <w:left w:val="single" w:sz="4" w:space="0" w:color="auto"/>
              <w:right w:val="single" w:sz="4" w:space="0" w:color="auto"/>
            </w:tcBorders>
            <w:vAlign w:val="center"/>
          </w:tcPr>
          <w:p>
            <w:pPr>
              <w:pStyle w:val="15"/>
              <w:keepNext w:val="0"/>
              <w:keepLines w:val="0"/>
              <w:pageBreakBefore w:val="0"/>
              <w:widowControl w:val="0"/>
              <w:kinsoku/>
              <w:wordWrap/>
              <w:overflowPunct/>
              <w:topLinePunct w:val="0"/>
              <w:autoSpaceDE/>
              <w:autoSpaceDN/>
              <w:bidi w:val="0"/>
              <w:spacing w:line="600" w:lineRule="exact"/>
              <w:jc w:val="center"/>
              <w:textAlignment w:val="auto"/>
              <w:rPr>
                <w:rFonts w:ascii="仿宋_GB2312" w:eastAsia="仿宋_GB2312" w:cs="仿宋_GB2312" w:hAnsi="仿宋_GB2312" w:hint="eastAsia"/>
                <w:vertAlign w:val="baseline"/>
                <w:lang w:eastAsia="zh-CN"/>
              </w:rPr>
            </w:pPr>
          </w:p>
        </w:tc>
      </w:tr>
    </w:tbl>
    <w:p>
      <w:pPr>
        <w:keepNext w:val="0"/>
        <w:keepLines w:val="0"/>
        <w:pageBreakBefore w:val="0"/>
        <w:widowControl w:val="0"/>
        <w:kinsoku/>
        <w:wordWrap/>
        <w:overflowPunct/>
        <w:topLinePunct w:val="0"/>
        <w:autoSpaceDE/>
        <w:autoSpaceDN/>
        <w:bidi w:val="0"/>
        <w:spacing w:line="600" w:lineRule="exact"/>
        <w:textAlignment w:val="auto"/>
        <w:rPr>
          <w:rFonts w:ascii="仿宋" w:eastAsia="仿宋" w:hAnsi="仿宋"/>
        </w:rPr>
      </w:pPr>
    </w:p>
    <w:sectPr>
      <w:footerReference w:type="default" r:id="rId2"/>
      <w:pgSz w:w="11906" w:h="16838"/>
      <w:pgMar w:top="1440" w:right="1474" w:bottom="1440" w:left="1587" w:header="851" w:footer="992" w:gutter="0"/>
      <w:pgNumType w:fmt="numberInDash"/>
      <w:docGrid w:type="lines" w:linePitch="312" w:charSpace="0"/>
    </w:sectPr>
  </w:body>
</w:document>
</file>

<file path=word/fontTable.xml><?xml version="1.0" encoding="utf-8"?>
<w:fonts xmlns:w="http://schemas.openxmlformats.org/wordprocessingml/2006/main" xmlns:r="http://schemas.openxmlformats.org/officeDocument/2006/relationships">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华文楷体">
    <w:panose1 w:val="02010600040101010101"/>
    <w:charset w:val="86"/>
    <w:family w:val="auto"/>
    <w:pitch w:val="variable"/>
    <w:sig w:usb0="00000287" w:usb1="080F0000" w:usb2="00000000" w:usb3="00000000" w:csb0="0004009F" w:csb1="DFD70000"/>
  </w:font>
  <w:font w:name="仿宋">
    <w:panose1 w:val="02010609060101010101"/>
    <w:charset w:val="86"/>
    <w:family w:val="modern"/>
    <w:pitch w:val="variable"/>
    <w:sig w:usb0="800002BF" w:usb1="38CF7CFA" w:usb2="00000016" w:usb3="00000000" w:csb0="00040001" w:csb1="00000000"/>
  </w:font>
  <w:font w:name="楷体">
    <w:panose1 w:val="02010609060101010101"/>
    <w:charset w:val="86"/>
    <w:family w:val="modern"/>
    <w:pitch w:val="variable"/>
    <w:sig w:usb0="800002BF" w:usb1="38CF7CFA" w:usb2="00000016" w:usb3="00000000" w:csb0="00040001" w:csb1="00000000"/>
  </w:font>
  <w:font w:name="楷体_GB2312">
    <w:panose1 w:val="02010609030101010101"/>
    <w:charset w:val="86"/>
    <w:family w:val="auto"/>
    <w:pitch w:val="variable"/>
    <w:sig w:usb0="00000001" w:usb1="080E0000" w:usb2="00000000" w:usb3="00000000" w:csb0="00040000" w:csb1="00000000"/>
  </w:font>
  <w:font w:name="Arial">
    <w:panose1 w:val="020B0604020202020204"/>
    <w:charset w:val="01"/>
    <w:family w:val="swiss"/>
    <w:pitch w:val="variable"/>
    <w:sig w:usb0="E0002AFF" w:usb1="C0007843" w:usb2="00000009" w:usb3="00000000" w:csb0="400001FF" w:csb1="FFFF0000"/>
  </w:font>
  <w:font w:name="仿宋_GB2312">
    <w:panose1 w:val="02010609030101010101"/>
    <w:charset w:val="86"/>
    <w:family w:val="auto"/>
    <w:pitch w:val="variable"/>
    <w:sig w:usb0="00000001" w:usb1="080E0000" w:usb2="00000000" w:usb3="00000000" w:csb0="00040000" w:csb1="00000000"/>
  </w:font>
  <w:font w:name="Times New Roman">
    <w:panose1 w:val="02020603050405020304"/>
    <w:charset w:val="86"/>
    <w:family w:val="roman"/>
    <w:pitch w:val="variable"/>
    <w:sig w:usb0="E0002AFF" w:usb1="C0007841" w:usb2="00000009" w:usb3="00000000" w:csb0="400001FF" w:csb1="FFFF0000"/>
  </w:font>
  <w:font w:name="Calibri">
    <w:panose1 w:val="020F0502020204030204"/>
    <w:charset w:val="00"/>
    <w:family w:val="swiss"/>
    <w:pitch w:val="variable"/>
    <w:sig w:usb0="E00002FF" w:usb1="4000ACFF" w:usb2="00000001" w:usb3="00000000" w:csb0="2000019F" w:csb1="00000000"/>
  </w:font>
  <w:font w:name="方正小标宋简体">
    <w:panose1 w:val="03000509000000000000"/>
    <w:charset w:val="86"/>
    <w:family w:val="script"/>
    <w:pitch w:val="variable"/>
    <w:sig w:usb0="00000001" w:usb1="080E0000" w:usb2="00000000" w:usb3="00000000" w:csb0="0004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6"/>
      </w:tabs>
    </w:pPr>
    <w:r>
      <mc:AlternateContent>
        <mc:Choice Requires="wps">
          <w:drawing>
            <wp:anchor distT="0" distB="0" distL="90805" distR="90805" simplePos="0" relativeHeight="12" behindDoc="0" locked="0" layoutInCell="1" hidden="0" allowOverlap="1">
              <wp:simplePos x="0" y="0"/>
              <wp:positionH relativeFrom="margin">
                <wp:align>center</wp:align>
              </wp:positionH>
              <wp:positionV relativeFrom="paragraph">
                <wp:posOffset>0</wp:posOffset>
              </wp:positionV>
              <wp:extent cx="209550" cy="162560"/>
              <wp:effectExtent l="0" t="0" r="0" b="0"/>
              <wp:wrapNone/>
              <wp:docPr id="1" name="Quad Arrow 3073"/>
              <wp:cNvGraphicFramePr>
                <a:graphicFrameLocks noChangeAspect="0"/>
              </wp:cNvGraphicFramePr>
              <a:graphic>
                <a:graphicData uri="http://schemas.microsoft.com/office/word/2010/wordprocessingShape">
                  <wps:wsp>
                    <wps:cNvSpPr/>
                    <wps:spPr>
                      <a:xfrm rot="0">
                        <a:off x="0" y="0"/>
                        <a:ext cx="209550" cy="162560"/>
                      </a:xfrm>
                      <a:prstGeom prst="rect"/>
                      <a:noFill/>
                      <a:ln w="9525" cmpd="sng" cap="flat">
                        <a:noFill/>
                        <a:prstDash val="solid"/>
                        <a:miter/>
                      </a:ln>
                    </wps:spPr>
                    <wps:txbx id="1">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wps:txbx>
                    <wps:bodyPr vert="horz" wrap="none" lIns="0" tIns="0" rIns="0" bIns="0" anchor="t" anchorCtr="0" upright="1">
                      <a:spAutoFit/>
                    </wps:bodyPr>
                  </wps:wsp>
                </a:graphicData>
              </a:graphic>
            </wp:anchor>
          </w:drawing>
        </mc:Choice>
        <mc:Fallback>
          <w:pict>
            <v:rect type="#_x0000_t1" id="Quad Arrow 3073" o:spid="_x0000_s2" filled="f" stroked="f" style="position:absolute;margin-left:0.0pt;margin-top:0.0pt;width:16.5pt;height:12.8pt;z-index:12;mso-position-horizontal:center;mso-position-horizontal-relative:margin;mso-position-vertical:absolute;mso-wrap-distance-left:7.15pt;mso-wrap-distance-right:7.15pt;mso-wrap-style:none;">
              <v:stroke/>
              <v:textbox id="848" inset="0mm,0mm,0mm,0mm" o:insetmode="custom" style="layout-flow:horizontal;v-text-anchor:top;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0516AA81"/>
    <w:multiLevelType w:val="singleLevel"/>
    <w:tmpl w:val="0516AA81"/>
    <w:lvl w:ilvl="0">
      <w:start w:val="2"/>
      <w:numFmt w:val="chineseCounting"/>
      <w:lvlRestart w:val="0"/>
      <w:suff w:val="nothing"/>
      <w:lvlText w:val="（%1）"/>
      <w:lvlJc w:val="left"/>
      <w:pPr>
        <w:ind w:left="642" w:hanging="0"/>
      </w:pPr>
      <w:rPr>
        <w:rFonts w:hint="eastAsia"/>
      </w:rPr>
    </w:lvl>
  </w:abstractNum>
  <w:abstractNum w:abstractNumId="1">
    <w:nsid w:val="5E68489B"/>
    <w:multiLevelType w:val="singleLevel"/>
    <w:tmpl w:val="5E68489B"/>
    <w:lvl w:ilvl="0">
      <w:start w:val="1"/>
      <w:numFmt w:val="chineseCounting"/>
      <w:lvlRestart w:val="0"/>
      <w:suff w:val="nothing"/>
      <w:lvlText w:val="（%1）"/>
      <w:lvlJc w:val="left"/>
      <w:pPr>
        <w:ind w:left="0" w:hanging="0"/>
      </w:pPr>
      <w:rPr>
        <w:rFonts w:ascii="楷体" w:hAnsi="楷体" w:eastAsia="楷体"/>
      </w:r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doNotUseIndentAsNumberingTabStop/>
    <w:useAltKinsokuLineBreakRules/>
    <w:doNotSuppressIndentation/>
    <w:splitPgBreakAndParaMark/>
    <w:compatSetting w:name="compatibilityMode" w:uri="http://schemas.microsoft.com/office/word" w:val="11"/>
  </w:compat>
  <w:docVars>
    <w:docVar w:name="commondata" w:val="eyJoZGlkIjoiYzgxMzVhZTBlNDUyZWUxNDVhMjNkN2E1NjFlOTE5NDcifQ=="/>
  </w:docVars>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jc w:val="both"/>
    </w:pPr>
    <w:rPr>
      <w:rFonts w:ascii="Calibri" w:eastAsia="宋体" w:cs="黑体" w:hAnsi="Calibri"/>
      <w:kern w:val="2"/>
      <w:sz w:val="21"/>
      <w:szCs w:val="22"/>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Calibri" w:eastAsia="宋体" w:cs="黑体" w:hAnsi="Calibri"/>
      <w:b/>
      <w:bCs/>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黑体" w:hAnsi="Times New Roman"/>
      <w:b/>
      <w:bCs/>
      <w:kern w:val="2"/>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Calibri" w:eastAsia="宋体" w:cs="黑体" w:hAnsi="Calibri"/>
      <w:b/>
      <w:bCs/>
      <w:kern w:val="2"/>
      <w:sz w:val="32"/>
      <w:szCs w:val="32"/>
      <w:lang w:val="en-US" w:eastAsia="zh-CN" w:bidi="ar-SA"/>
    </w:rPr>
  </w:style>
  <w:style w:type="character" w:default="1" w:styleId="10">
    <w:name w:val="Default Paragraph Font"/>
    <w:qFormat/>
  </w:style>
  <w:style w:type="paragraph" w:styleId="15">
    <w:name w:val="Normal Indent"/>
    <w:qFormat/>
    <w:basedOn w:val="0"/>
    <w:next w:val="16"/>
    <w:pPr>
      <w:widowControl w:val="0"/>
      <w:ind w:firstLineChars="200" w:firstLine="200"/>
      <w:jc w:val="both"/>
    </w:pPr>
    <w:rPr>
      <w:rFonts w:ascii="Calibri" w:eastAsia="仿宋_GB2312" w:cs="黑体" w:hAnsi="Calibri"/>
      <w:kern w:val="2"/>
      <w:sz w:val="30"/>
      <w:szCs w:val="22"/>
      <w:lang w:val="en-US" w:eastAsia="zh-CN" w:bidi="ar-SA"/>
    </w:rPr>
  </w:style>
  <w:style w:type="paragraph" w:styleId="16">
    <w:name w:val="Subtitle"/>
    <w:qFormat/>
    <w:basedOn w:val="0"/>
    <w:pPr>
      <w:spacing w:line="700" w:lineRule="exact"/>
      <w:jc w:val="center"/>
      <w:outlineLvl w:val="1"/>
    </w:pPr>
    <w:rPr>
      <w:rFonts w:ascii="Arial" w:eastAsia="方正小标宋简体" w:cs="Arial" w:hAnsi="Arial"/>
      <w:b/>
      <w:bCs/>
      <w:kern w:val="28"/>
      <w:sz w:val="44"/>
      <w:szCs w:val="44"/>
    </w:rPr>
  </w:style>
  <w:style w:type="paragraph" w:styleId="17">
    <w:name w:val="footer"/>
    <w:qFormat/>
    <w:basedOn w:val="0"/>
    <w:pPr>
      <w:tabs>
        <w:tab w:val="center" w:pos="4153"/>
        <w:tab w:val="right" w:pos="8306"/>
      </w:tabs>
      <w:snapToGrid w:val="0"/>
      <w:jc w:val="left"/>
    </w:pPr>
    <w:rPr>
      <w:sz w:val="18"/>
    </w:rPr>
  </w:style>
  <w:style w:type="paragraph" w:styleId="18">
    <w:name w:val="header"/>
    <w:qFormat/>
    <w:basedOn w:val="0"/>
    <w:pPr>
      <w:pBdr>
        <w:top w:val="none" w:sz="0" w:space="0" w:color="auto"/>
        <w:left w:val="none" w:sz="0" w:space="0" w:color="auto"/>
        <w:bottom w:val="none" w:sz="0" w:space="0" w:color="auto"/>
        <w:right w:val="none" w:sz="0" w:space="0" w:color="auto"/>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customXml" Target="../customXml/item1.xml"/><Relationship Id="rId7"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83FD55EB-70B3-496B-BF9D-2E73FF7A81DA}">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8</TotalTime>
  <Application>WPS_Yozo_Office9.0.4819.102ZH</Application>
  <Pages>6</Pages>
  <Words>0</Words>
  <Characters>1999</Characters>
  <Lines>0</Lines>
  <Paragraphs>60</Paragraphs>
  <CharactersWithSpaces>2666</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title>附件3：</dc:title>
  <dc:creator>欣欣大人</dc:creator>
  <cp:lastModifiedBy>Administrator</cp:lastModifiedBy>
  <cp:revision>3</cp:revision>
  <cp:lastPrinted>2026-09-17T06:58:03Z</cp:lastPrinted>
  <dcterms:created xsi:type="dcterms:W3CDTF">2020-02-04T03:46:00Z</dcterms:created>
  <dcterms:modified xsi:type="dcterms:W3CDTF">2026-09-17T06:58:45Z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2052-11.8.2.8053</vt:lpwstr>
  </property>
  <property fmtid="{D5CDD505-2E9C-101B-9397-08002B2CF9AE}" pid="3" name="ICV">
    <vt:lpwstr>96934721B1514D3FBAA28020338CE855_12</vt:lpwstr>
  </property>
</Properties>
</file>