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adjustRightInd w:val="0"/>
        <w:snapToGrid w:val="0"/>
        <w:spacing w:line="560" w:lineRule="exact"/>
        <w:rPr>
          <w:rFonts w:ascii="黑体" w:eastAsia="黑体" w:cs="黑体" w:hAnsi="黑体" w:hint="eastAsia"/>
          <w:sz w:val="32"/>
          <w:szCs w:val="32"/>
        </w:rPr>
      </w:pPr>
      <w:r>
        <w:rPr>
          <w:rFonts w:ascii="黑体" w:eastAsia="黑体" w:cs="黑体" w:hAnsi="黑体" w:hint="eastAsia"/>
          <w:sz w:val="32"/>
          <w:szCs w:val="32"/>
        </w:rPr>
        <w:t>附件4</w:t>
      </w:r>
    </w:p>
    <w:p>
      <w:pPr>
        <w:spacing w:line="560" w:lineRule="exact"/>
        <w:jc w:val="center"/>
        <w:rPr>
          <w:rFonts w:ascii="宋体" w:cs="宋体" w:hAnsi="宋体"/>
          <w:b/>
          <w:bCs/>
          <w:sz w:val="44"/>
          <w:szCs w:val="44"/>
        </w:rPr>
      </w:pPr>
    </w:p>
    <w:p>
      <w:pPr>
        <w:spacing w:line="560" w:lineRule="exact"/>
        <w:jc w:val="center"/>
        <w:rPr>
          <w:rFonts w:ascii="宋体" w:cs="宋体" w:hAnsi="宋体" w:hint="eastAsia"/>
          <w:b/>
          <w:bCs/>
          <w:spacing w:val="-11"/>
          <w:sz w:val="44"/>
          <w:szCs w:val="44"/>
          <w:lang w:val="en-US" w:eastAsia="zh-CN"/>
        </w:rPr>
      </w:pPr>
      <w:r>
        <w:rPr>
          <w:rFonts w:ascii="宋体" w:cs="宋体" w:hAnsi="宋体" w:hint="eastAsia"/>
          <w:b/>
          <w:bCs/>
          <w:spacing w:val="-11"/>
          <w:sz w:val="44"/>
          <w:szCs w:val="44"/>
          <w:lang w:val="en-US" w:eastAsia="zh-CN"/>
        </w:rPr>
        <w:t>中共井陉矿区委宣传部</w:t>
      </w:r>
    </w:p>
    <w:p>
      <w:pPr>
        <w:spacing w:line="560" w:lineRule="exact"/>
        <w:jc w:val="center"/>
        <w:rPr>
          <w:rFonts w:ascii="宋体" w:cs="宋体" w:hAnsi="宋体"/>
          <w:b/>
          <w:bCs/>
          <w:sz w:val="44"/>
          <w:szCs w:val="44"/>
        </w:rPr>
      </w:pPr>
      <w:r>
        <w:rPr>
          <w:rFonts w:ascii="宋体" w:cs="宋体" w:hAnsi="宋体" w:hint="eastAsia"/>
          <w:b/>
          <w:bCs/>
          <w:sz w:val="44"/>
          <w:szCs w:val="44"/>
        </w:rPr>
        <w:t>202</w:t>
      </w:r>
      <w:r>
        <w:rPr>
          <w:rFonts w:ascii="宋体" w:cs="宋体" w:hAnsi="宋体"/>
          <w:b/>
          <w:bCs/>
          <w:sz w:val="44"/>
          <w:szCs w:val="44"/>
          <w:lang w:val="en-US" w:eastAsia="zh-CN"/>
        </w:rPr>
        <w:t>5</w:t>
      </w:r>
      <w:r>
        <w:rPr>
          <w:rFonts w:ascii="宋体" w:cs="宋体" w:hAnsi="宋体" w:hint="eastAsia"/>
          <w:b/>
          <w:bCs/>
          <w:sz w:val="44"/>
          <w:szCs w:val="44"/>
        </w:rPr>
        <w:t>年度整体支出绩效自评报告</w:t>
      </w:r>
    </w:p>
    <w:p>
      <w:pPr>
        <w:spacing w:line="560" w:lineRule="exact"/>
        <w:jc w:val="center"/>
        <w:rPr>
          <w:rFonts w:ascii="华文楷体" w:eastAsia="华文楷体"/>
          <w:sz w:val="32"/>
          <w:szCs w:val="32"/>
        </w:rPr>
      </w:pP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贯彻落实</w:t>
      </w:r>
      <w:r>
        <w:rPr>
          <w:rFonts w:ascii="仿宋" w:eastAsia="仿宋" w:hAnsi="仿宋"/>
          <w:sz w:val="32"/>
          <w:szCs w:val="32"/>
        </w:rPr>
        <w:t>区委区政府</w:t>
      </w:r>
      <w:r>
        <w:rPr>
          <w:rFonts w:ascii="仿宋" w:eastAsia="仿宋" w:hAnsi="仿宋" w:hint="eastAsia"/>
          <w:sz w:val="32"/>
          <w:szCs w:val="32"/>
        </w:rPr>
        <w:t>《关于全面落实预算绩效管理的实施意见》（</w:t>
      </w:r>
      <w:r>
        <w:rPr>
          <w:rFonts w:ascii="仿宋" w:eastAsia="仿宋" w:hAnsi="仿宋" w:hint="eastAsia"/>
          <w:sz w:val="32"/>
          <w:szCs w:val="32"/>
          <w:lang w:val="en-US" w:eastAsia="zh-CN"/>
        </w:rPr>
        <w:t>2021</w:t>
      </w:r>
      <w:r>
        <w:rPr>
          <w:rFonts w:ascii="仿宋" w:eastAsia="仿宋" w:hAnsi="仿宋" w:hint="eastAsia"/>
          <w:sz w:val="32"/>
          <w:szCs w:val="32"/>
          <w:lang w:eastAsia="zh-CN"/>
        </w:rPr>
        <w:t>﹞</w:t>
      </w:r>
      <w:r>
        <w:rPr>
          <w:rFonts w:ascii="仿宋" w:eastAsia="仿宋" w:hAnsi="仿宋" w:hint="eastAsia"/>
          <w:sz w:val="32"/>
          <w:szCs w:val="32"/>
          <w:lang w:val="en-US" w:eastAsia="zh-CN"/>
        </w:rPr>
        <w:t>12号</w:t>
      </w:r>
      <w:r>
        <w:rPr>
          <w:rFonts w:ascii="仿宋" w:eastAsia="仿宋" w:hAnsi="仿宋" w:hint="eastAsia"/>
          <w:sz w:val="32"/>
          <w:szCs w:val="32"/>
        </w:rPr>
        <w:t>）文件精神，遵循“科学性、规范性、客观性和公正性”的原则，对</w:t>
      </w:r>
      <w:r>
        <w:rPr>
          <w:rFonts w:ascii="仿宋" w:eastAsia="仿宋" w:hAnsi="仿宋" w:hint="eastAsia"/>
          <w:sz w:val="32"/>
          <w:szCs w:val="32"/>
          <w:lang w:eastAsia="zh-CN"/>
        </w:rPr>
        <w:t>中共井陉矿区委宣传部</w:t>
      </w:r>
      <w:r>
        <w:rPr>
          <w:rFonts w:ascii="仿宋" w:eastAsia="仿宋" w:hAnsi="仿宋" w:hint="eastAsia"/>
          <w:sz w:val="32"/>
          <w:szCs w:val="32"/>
        </w:rPr>
        <w:t>202</w:t>
      </w:r>
      <w:r>
        <w:rPr>
          <w:rFonts w:ascii="仿宋" w:eastAsia="仿宋" w:hAnsi="仿宋"/>
          <w:sz w:val="32"/>
          <w:szCs w:val="32"/>
          <w:lang w:val="en-US" w:eastAsia="zh-CN"/>
        </w:rPr>
        <w:t>5</w:t>
      </w:r>
      <w:r>
        <w:rPr>
          <w:rFonts w:ascii="仿宋" w:eastAsia="仿宋" w:hAnsi="仿宋" w:hint="eastAsia"/>
          <w:sz w:val="32"/>
          <w:szCs w:val="32"/>
        </w:rPr>
        <w:t>年整体支出情况实施了财政支出绩效自评价，形成本评价报告。</w:t>
      </w:r>
    </w:p>
    <w:p>
      <w:pPr>
        <w:adjustRightInd w:val="0"/>
        <w:snapToGrid w:val="0"/>
        <w:spacing w:line="560" w:lineRule="exact"/>
        <w:rPr>
          <w:rFonts w:ascii="黑体" w:eastAsia="黑体" w:hAnsi="黑体"/>
          <w:b/>
          <w:bCs/>
          <w:sz w:val="32"/>
          <w:szCs w:val="36"/>
        </w:rPr>
      </w:pPr>
      <w:r>
        <w:rPr>
          <w:rFonts w:ascii="黑体" w:eastAsia="黑体" w:hAnsi="黑体" w:hint="eastAsia"/>
          <w:sz w:val="32"/>
          <w:szCs w:val="32"/>
        </w:rPr>
        <w:t xml:space="preserve">     一、部门</w:t>
      </w:r>
      <w:r>
        <w:rPr>
          <w:rFonts w:ascii="黑体" w:eastAsia="黑体" w:hAnsi="黑体" w:hint="eastAsia"/>
          <w:sz w:val="32"/>
          <w:szCs w:val="36"/>
        </w:rPr>
        <w:t>基本情况</w:t>
      </w:r>
    </w:p>
    <w:p>
      <w:pPr>
        <w:adjustRightInd w:val="0"/>
        <w:snapToGrid w:val="0"/>
        <w:spacing w:line="560" w:lineRule="exact"/>
        <w:ind w:firstLineChars="200" w:firstLine="640"/>
        <w:rPr>
          <w:rFonts w:ascii="楷体" w:eastAsia="楷体" w:cs="楷体_GB2312" w:hAnsi="楷体"/>
          <w:bCs/>
          <w:sz w:val="32"/>
          <w:szCs w:val="32"/>
        </w:rPr>
      </w:pPr>
      <w:r>
        <w:rPr>
          <w:rFonts w:ascii="楷体" w:eastAsia="楷体" w:cs="楷体_GB2312" w:hAnsi="楷体" w:hint="eastAsia"/>
          <w:bCs/>
          <w:sz w:val="32"/>
          <w:szCs w:val="32"/>
        </w:rPr>
        <w:t>（一）部门概况</w:t>
      </w:r>
    </w:p>
    <w:p>
      <w:pPr>
        <w:pStyle w:val="17"/>
        <w:rPr>
          <w:rFonts w:ascii="仿宋" w:eastAsia="仿宋" w:cs="黑体" w:hAnsi="仿宋" w:hint="eastAsia"/>
          <w:kern w:val="2"/>
          <w:sz w:val="32"/>
          <w:szCs w:val="32"/>
          <w:lang w:val="en-US" w:eastAsia="zh-CN" w:bidi="ar-SA"/>
        </w:rPr>
      </w:pPr>
      <w:r>
        <w:rPr>
          <w:rFonts w:ascii="仿宋" w:eastAsia="仿宋" w:cs="黑体" w:hAnsi="仿宋" w:hint="eastAsia"/>
          <w:kern w:val="2"/>
          <w:sz w:val="32"/>
          <w:szCs w:val="32"/>
          <w:lang w:val="en-US" w:eastAsia="zh-CN" w:bidi="ar-SA"/>
        </w:rPr>
        <w:t>（一）拟订全区宣传思想文化工作重大方针政策和事业发展总体规划，统筹协调推进宣传思想文化领域法治建设，按照区委统一部署，协调宣传思想文化系统各部门之间的工作。</w:t>
      </w:r>
    </w:p>
    <w:p>
      <w:pPr>
        <w:pStyle w:val="17"/>
        <w:rPr>
          <w:rFonts w:ascii="仿宋" w:eastAsia="仿宋" w:cs="黑体" w:hAnsi="仿宋" w:hint="eastAsia"/>
          <w:kern w:val="2"/>
          <w:sz w:val="32"/>
          <w:szCs w:val="32"/>
          <w:lang w:val="en-US" w:eastAsia="zh-CN" w:bidi="ar-SA"/>
        </w:rPr>
      </w:pPr>
      <w:r>
        <w:rPr>
          <w:rFonts w:ascii="仿宋" w:eastAsia="仿宋" w:cs="黑体" w:hAnsi="仿宋" w:hint="eastAsia"/>
          <w:kern w:val="2"/>
          <w:sz w:val="32"/>
          <w:szCs w:val="32"/>
          <w:lang w:val="en-US" w:eastAsia="zh-CN" w:bidi="ar-SA"/>
        </w:rPr>
        <w:t>（二）统筹协调全区党的意识形态工作，贯彻落实区委关于意识形态工作决策部署，组织协调意识形态工作责任制落实和日常监督检查。</w:t>
      </w:r>
    </w:p>
    <w:p>
      <w:pPr>
        <w:pStyle w:val="17"/>
        <w:rPr>
          <w:rFonts w:ascii="仿宋" w:eastAsia="仿宋" w:cs="黑体" w:hAnsi="仿宋" w:hint="eastAsia"/>
          <w:kern w:val="2"/>
          <w:sz w:val="32"/>
          <w:szCs w:val="32"/>
          <w:lang w:val="en-US" w:eastAsia="zh-CN" w:bidi="ar-SA"/>
        </w:rPr>
      </w:pPr>
      <w:r>
        <w:rPr>
          <w:rFonts w:ascii="仿宋" w:eastAsia="仿宋" w:cs="黑体" w:hAnsi="仿宋" w:hint="eastAsia"/>
          <w:kern w:val="2"/>
          <w:sz w:val="32"/>
          <w:szCs w:val="32"/>
          <w:lang w:val="en-US" w:eastAsia="zh-CN" w:bidi="ar-SA"/>
        </w:rPr>
        <w:t>（三）统筹指导协调全区理论研究、理论学习、理论宣传工作，组织推动理论武装工作，推动落实马克思主义理论研究和建设工程任务，负责区委理论学习中心组理论学习的有关工作。</w:t>
      </w:r>
    </w:p>
    <w:p>
      <w:pPr>
        <w:pStyle w:val="17"/>
        <w:rPr>
          <w:rFonts w:ascii="仿宋" w:eastAsia="仿宋" w:cs="黑体" w:hAnsi="仿宋" w:hint="eastAsia"/>
          <w:kern w:val="2"/>
          <w:sz w:val="32"/>
          <w:szCs w:val="32"/>
          <w:lang w:val="en-US" w:eastAsia="zh-CN" w:bidi="ar-SA"/>
        </w:rPr>
      </w:pPr>
      <w:r>
        <w:rPr>
          <w:rFonts w:ascii="仿宋" w:eastAsia="仿宋" w:cs="黑体" w:hAnsi="仿宋" w:hint="eastAsia"/>
          <w:kern w:val="2"/>
          <w:sz w:val="32"/>
          <w:szCs w:val="32"/>
          <w:lang w:val="en-US" w:eastAsia="zh-CN" w:bidi="ar-SA"/>
        </w:rPr>
        <w:t>（四）负责规划组织全区全局性思想政治工作任务，组织对先进典型的学习推广。配合区委组织部做好基层党员教育工作，指导协调编写党员教育教材，会同有关部门研究和改进群众思想教育工作。负责指导协调全区爱国主义教育基地的建设、管理、使用。负责全区国防教育工作。</w:t>
      </w:r>
    </w:p>
    <w:p>
      <w:pPr>
        <w:pStyle w:val="17"/>
        <w:rPr>
          <w:rFonts w:ascii="仿宋" w:eastAsia="仿宋" w:cs="黑体" w:hAnsi="仿宋" w:hint="eastAsia"/>
          <w:kern w:val="2"/>
          <w:sz w:val="32"/>
          <w:szCs w:val="32"/>
          <w:lang w:val="en-US" w:eastAsia="zh-CN" w:bidi="ar-SA"/>
        </w:rPr>
      </w:pPr>
      <w:r>
        <w:rPr>
          <w:rFonts w:ascii="仿宋" w:eastAsia="仿宋" w:cs="黑体" w:hAnsi="仿宋" w:hint="eastAsia"/>
          <w:kern w:val="2"/>
          <w:sz w:val="32"/>
          <w:szCs w:val="32"/>
          <w:lang w:val="en-US" w:eastAsia="zh-CN" w:bidi="ar-SA"/>
        </w:rPr>
        <w:t>（五）统筹分析研判和引导全区社会舆论，指导协调区直各新闻单位的工作，组织全区突发公共事件应急新闻工作。</w:t>
      </w:r>
    </w:p>
    <w:p>
      <w:pPr>
        <w:pStyle w:val="17"/>
        <w:rPr>
          <w:rFonts w:ascii="仿宋" w:eastAsia="仿宋" w:cs="黑体" w:hAnsi="仿宋" w:hint="eastAsia"/>
          <w:kern w:val="2"/>
          <w:sz w:val="32"/>
          <w:szCs w:val="32"/>
          <w:lang w:val="en-US" w:eastAsia="zh-CN" w:bidi="ar-SA"/>
        </w:rPr>
      </w:pPr>
      <w:r>
        <w:rPr>
          <w:rFonts w:ascii="仿宋" w:eastAsia="仿宋" w:cs="黑体" w:hAnsi="仿宋" w:hint="eastAsia"/>
          <w:kern w:val="2"/>
          <w:sz w:val="32"/>
          <w:szCs w:val="32"/>
          <w:lang w:val="en-US" w:eastAsia="zh-CN" w:bidi="ar-SA"/>
        </w:rPr>
        <w:t>（六）拟订全区新闻出版业的管理政策并督促落实，管理新闻出版行政事务，统筹规划和指导协调新闻出版事业、产业发展，监督管理出版物内容和质量，监督管理印刷业，管理著作权，管理出版物进出口等。组织指导协调全区“扫黄打非”工作。负责全区新闻记者证的审核管理。</w:t>
      </w:r>
    </w:p>
    <w:p>
      <w:pPr>
        <w:pStyle w:val="17"/>
        <w:rPr>
          <w:rFonts w:ascii="仿宋" w:eastAsia="仿宋" w:cs="黑体" w:hAnsi="仿宋" w:hint="eastAsia"/>
          <w:kern w:val="2"/>
          <w:sz w:val="32"/>
          <w:szCs w:val="32"/>
          <w:lang w:val="en-US" w:eastAsia="zh-CN" w:bidi="ar-SA"/>
        </w:rPr>
      </w:pPr>
      <w:r>
        <w:rPr>
          <w:rFonts w:ascii="仿宋" w:eastAsia="仿宋" w:cs="黑体" w:hAnsi="仿宋" w:hint="eastAsia"/>
          <w:kern w:val="2"/>
          <w:sz w:val="32"/>
          <w:szCs w:val="32"/>
          <w:lang w:val="en-US" w:eastAsia="zh-CN" w:bidi="ar-SA"/>
        </w:rPr>
        <w:t>（七）从宏观上统筹指导协调全区互联网宣传和信息内容管理工作。统筹数字新媒体的建设和管理。</w:t>
      </w:r>
    </w:p>
    <w:p>
      <w:pPr>
        <w:pStyle w:val="17"/>
        <w:rPr>
          <w:rFonts w:ascii="仿宋" w:eastAsia="仿宋" w:cs="黑体" w:hAnsi="仿宋" w:hint="eastAsia"/>
          <w:kern w:val="2"/>
          <w:sz w:val="32"/>
          <w:szCs w:val="32"/>
          <w:lang w:val="en-US" w:eastAsia="zh-CN" w:bidi="ar-SA"/>
        </w:rPr>
      </w:pPr>
      <w:r>
        <w:rPr>
          <w:rFonts w:ascii="仿宋" w:eastAsia="仿宋" w:cs="黑体" w:hAnsi="仿宋" w:hint="eastAsia"/>
          <w:kern w:val="2"/>
          <w:sz w:val="32"/>
          <w:szCs w:val="32"/>
          <w:lang w:val="en-US" w:eastAsia="zh-CN" w:bidi="ar-SA"/>
        </w:rPr>
        <w:t>（八）从宏观上统筹指导协调推动全区精神文化产品的创作和生产，协调组织中华优秀传统文化传承发展有关工作，指导协调推动群众文化建设。</w:t>
      </w:r>
    </w:p>
    <w:p>
      <w:pPr>
        <w:pStyle w:val="17"/>
        <w:rPr>
          <w:rFonts w:ascii="仿宋" w:eastAsia="仿宋" w:cs="黑体" w:hAnsi="仿宋" w:hint="eastAsia"/>
          <w:kern w:val="2"/>
          <w:sz w:val="32"/>
          <w:szCs w:val="32"/>
          <w:lang w:val="en-US" w:eastAsia="zh-CN" w:bidi="ar-SA"/>
        </w:rPr>
      </w:pPr>
      <w:r>
        <w:rPr>
          <w:rFonts w:ascii="仿宋" w:eastAsia="仿宋" w:cs="黑体" w:hAnsi="仿宋" w:hint="eastAsia"/>
          <w:kern w:val="2"/>
          <w:sz w:val="32"/>
          <w:szCs w:val="32"/>
          <w:lang w:val="en-US" w:eastAsia="zh-CN" w:bidi="ar-SA"/>
        </w:rPr>
        <w:t>（九）负责管理全区电影行政事务，指导监管电影制片、发行、放映工作，组织对电影内容进行审查，指导协调全区性重大电影活动。</w:t>
      </w:r>
    </w:p>
    <w:p>
      <w:pPr>
        <w:pStyle w:val="17"/>
        <w:rPr>
          <w:rFonts w:ascii="仿宋" w:eastAsia="仿宋" w:cs="黑体" w:hAnsi="仿宋" w:hint="eastAsia"/>
          <w:kern w:val="2"/>
          <w:sz w:val="32"/>
          <w:szCs w:val="32"/>
          <w:lang w:val="en-US" w:eastAsia="zh-CN" w:bidi="ar-SA"/>
        </w:rPr>
      </w:pPr>
      <w:r>
        <w:rPr>
          <w:rFonts w:ascii="仿宋" w:eastAsia="仿宋" w:cs="黑体" w:hAnsi="仿宋" w:hint="eastAsia"/>
          <w:kern w:val="2"/>
          <w:sz w:val="32"/>
          <w:szCs w:val="32"/>
          <w:lang w:val="en-US" w:eastAsia="zh-CN" w:bidi="ar-SA"/>
        </w:rPr>
        <w:t>（十）对全区新闻出版、广播影视、文化艺术业改革发展研究提出政策性建议，统筹指导协调文化体制改革和文化事业、文化产业及旅游业发展，负责区级文化企业国有资产监督管理。承担区文化体制改革和文化产业发展工作领导小组办公室日常工作。</w:t>
      </w:r>
    </w:p>
    <w:p>
      <w:pPr>
        <w:pStyle w:val="17"/>
        <w:rPr>
          <w:rFonts w:ascii="仿宋" w:eastAsia="仿宋" w:cs="黑体" w:hAnsi="仿宋" w:hint="eastAsia"/>
          <w:kern w:val="2"/>
          <w:sz w:val="32"/>
          <w:szCs w:val="32"/>
          <w:lang w:val="en-US" w:eastAsia="zh-CN" w:bidi="ar-SA"/>
        </w:rPr>
      </w:pPr>
      <w:r>
        <w:rPr>
          <w:rFonts w:ascii="仿宋" w:eastAsia="仿宋" w:cs="黑体" w:hAnsi="仿宋" w:hint="eastAsia"/>
          <w:kern w:val="2"/>
          <w:sz w:val="32"/>
          <w:szCs w:val="32"/>
          <w:lang w:val="en-US" w:eastAsia="zh-CN" w:bidi="ar-SA"/>
        </w:rPr>
        <w:t>（十一）统筹指导全区舆情信息工作，组织协调开展区内外舆情信息收集分析研判工作，跟踪了解、研究掌握宣传舆情动态。</w:t>
      </w:r>
    </w:p>
    <w:p>
      <w:pPr>
        <w:pStyle w:val="17"/>
        <w:rPr>
          <w:rFonts w:ascii="仿宋" w:eastAsia="仿宋" w:cs="黑体" w:hAnsi="仿宋" w:hint="eastAsia"/>
          <w:kern w:val="2"/>
          <w:sz w:val="32"/>
          <w:szCs w:val="32"/>
          <w:lang w:val="en-US" w:eastAsia="zh-CN" w:bidi="ar-SA"/>
        </w:rPr>
      </w:pPr>
      <w:r>
        <w:rPr>
          <w:rFonts w:ascii="仿宋" w:eastAsia="仿宋" w:cs="黑体" w:hAnsi="仿宋" w:hint="eastAsia"/>
          <w:kern w:val="2"/>
          <w:sz w:val="32"/>
          <w:szCs w:val="32"/>
          <w:lang w:val="en-US" w:eastAsia="zh-CN" w:bidi="ar-SA"/>
        </w:rPr>
        <w:t>（十二）统筹研究拟订有关全区精神文明建设的方针、政策。规划部署全区精神文明建设工作，组织指导全区群众性精神文明创建活动。</w:t>
      </w:r>
    </w:p>
    <w:p>
      <w:pPr>
        <w:pStyle w:val="17"/>
        <w:rPr>
          <w:rFonts w:ascii="仿宋" w:eastAsia="仿宋" w:cs="黑体" w:hAnsi="仿宋" w:hint="eastAsia"/>
          <w:kern w:val="2"/>
          <w:sz w:val="32"/>
          <w:szCs w:val="32"/>
          <w:lang w:val="en-US" w:eastAsia="zh-CN" w:bidi="ar-SA"/>
        </w:rPr>
      </w:pPr>
      <w:r>
        <w:rPr>
          <w:rFonts w:ascii="仿宋" w:eastAsia="仿宋" w:cs="黑体" w:hAnsi="仿宋" w:hint="eastAsia"/>
          <w:kern w:val="2"/>
          <w:sz w:val="32"/>
          <w:szCs w:val="32"/>
          <w:lang w:val="en-US" w:eastAsia="zh-CN" w:bidi="ar-SA"/>
        </w:rPr>
        <w:t>（十三）统筹协调全区对外宣传工作。指导协调有关部门研究拟订全区对外宣传事业发展规划，组织协调我区对外宣传文化交流工作，会同有关部门做好境外记者采访事务方面工作。</w:t>
      </w:r>
    </w:p>
    <w:p>
      <w:pPr>
        <w:pStyle w:val="17"/>
        <w:rPr>
          <w:rFonts w:ascii="仿宋" w:eastAsia="仿宋" w:cs="黑体" w:hAnsi="仿宋" w:hint="eastAsia"/>
          <w:kern w:val="2"/>
          <w:sz w:val="32"/>
          <w:szCs w:val="32"/>
          <w:lang w:val="en-US" w:eastAsia="zh-CN" w:bidi="ar-SA"/>
        </w:rPr>
      </w:pPr>
      <w:r>
        <w:rPr>
          <w:rFonts w:ascii="仿宋" w:eastAsia="仿宋" w:cs="黑体" w:hAnsi="仿宋" w:hint="eastAsia"/>
          <w:kern w:val="2"/>
          <w:sz w:val="32"/>
          <w:szCs w:val="32"/>
          <w:lang w:val="en-US" w:eastAsia="zh-CN" w:bidi="ar-SA"/>
        </w:rPr>
        <w:t>（十四）统筹协调组织开展新闻发布工作。承担区委新闻发布有关组织协调工作，负责区政府新闻发布组织实施工作，指导协调区政府各部门和各乡（镇）、街道的新闻发布工作，推动新闻发言人制度落实。</w:t>
      </w:r>
    </w:p>
    <w:p>
      <w:pPr>
        <w:pStyle w:val="17"/>
        <w:rPr>
          <w:rFonts w:ascii="仿宋" w:eastAsia="仿宋" w:cs="黑体" w:hAnsi="仿宋" w:hint="eastAsia"/>
          <w:kern w:val="2"/>
          <w:sz w:val="32"/>
          <w:szCs w:val="32"/>
          <w:lang w:val="en-US" w:eastAsia="zh-CN" w:bidi="ar-SA"/>
        </w:rPr>
      </w:pPr>
      <w:r>
        <w:rPr>
          <w:rFonts w:ascii="仿宋" w:eastAsia="仿宋" w:cs="黑体" w:hAnsi="仿宋" w:hint="eastAsia"/>
          <w:kern w:val="2"/>
          <w:sz w:val="32"/>
          <w:szCs w:val="32"/>
          <w:lang w:val="en-US" w:eastAsia="zh-CN" w:bidi="ar-SA"/>
        </w:rPr>
        <w:t>（十五）统筹指导协调全区哲学社会科学发展工作。组织制定发展战略、中长期规划和专项计划。负责组织社会科学课题成果转化应用等工作。</w:t>
      </w:r>
    </w:p>
    <w:p>
      <w:pPr>
        <w:pStyle w:val="17"/>
        <w:rPr>
          <w:rFonts w:ascii="仿宋" w:eastAsia="仿宋" w:cs="黑体" w:hAnsi="仿宋" w:hint="eastAsia"/>
          <w:kern w:val="2"/>
          <w:sz w:val="32"/>
          <w:szCs w:val="32"/>
          <w:lang w:val="en-US" w:eastAsia="zh-CN" w:bidi="ar-SA"/>
        </w:rPr>
      </w:pPr>
      <w:r>
        <w:rPr>
          <w:rFonts w:ascii="仿宋" w:eastAsia="仿宋" w:cs="黑体" w:hAnsi="仿宋" w:hint="eastAsia"/>
          <w:kern w:val="2"/>
          <w:sz w:val="32"/>
          <w:szCs w:val="32"/>
          <w:lang w:val="en-US" w:eastAsia="zh-CN" w:bidi="ar-SA"/>
        </w:rPr>
        <w:t>（十六）受区委委托，会同区委组织部管理新闻、文化、社会科学研究和互联网信息等方面区直宣传思想文化单位的领导干部。对各乡（镇）、街道党（工）委宣传委员的任免提出意见。负责有关重要宣传舆论阵地和重要岗位领导干部管理工作。统筹组织开展宣传思想文化系统干部教育培训和人才工作。</w:t>
      </w:r>
    </w:p>
    <w:p>
      <w:pPr>
        <w:pStyle w:val="17"/>
        <w:rPr>
          <w:rFonts w:ascii="仿宋" w:eastAsia="仿宋" w:cs="黑体" w:hAnsi="仿宋" w:hint="eastAsia"/>
          <w:kern w:val="2"/>
          <w:sz w:val="32"/>
          <w:szCs w:val="32"/>
          <w:lang w:val="en-US" w:eastAsia="zh-CN" w:bidi="ar-SA"/>
        </w:rPr>
      </w:pPr>
      <w:r>
        <w:rPr>
          <w:rFonts w:ascii="仿宋" w:eastAsia="仿宋" w:cs="黑体" w:hAnsi="仿宋" w:hint="eastAsia"/>
          <w:kern w:val="2"/>
          <w:sz w:val="32"/>
          <w:szCs w:val="32"/>
          <w:lang w:val="en-US" w:eastAsia="zh-CN" w:bidi="ar-SA"/>
        </w:rPr>
        <w:t>（十七）对区委网络安全和信息化委员会办公室（区互联网信息办公室）互联网宣传和信息内容管理方面的工作实施方针、政策的指导。归口领导区文化广电体育和旅游局、区广播电视台。</w:t>
      </w:r>
    </w:p>
    <w:p>
      <w:pPr>
        <w:adjustRightInd w:val="0"/>
        <w:snapToGrid w:val="0"/>
        <w:spacing w:line="560" w:lineRule="exact"/>
        <w:ind w:firstLineChars="200" w:firstLine="640"/>
        <w:rPr>
          <w:rFonts w:ascii="仿宋" w:eastAsia="仿宋" w:hAnsi="仿宋"/>
          <w:sz w:val="32"/>
          <w:szCs w:val="32"/>
        </w:rPr>
      </w:pPr>
      <w:r>
        <w:rPr>
          <w:rFonts w:ascii="仿宋" w:eastAsia="仿宋" w:cs="黑体" w:hAnsi="仿宋" w:hint="eastAsia"/>
          <w:kern w:val="2"/>
          <w:sz w:val="32"/>
          <w:szCs w:val="32"/>
          <w:lang w:val="en-US" w:eastAsia="zh-CN" w:bidi="ar-SA"/>
        </w:rPr>
        <w:t>（十八）完成区委交办的其他任务。</w:t>
      </w:r>
    </w:p>
    <w:p>
      <w:pPr>
        <w:snapToGrid w:val="0"/>
        <w:spacing w:line="520" w:lineRule="exact"/>
        <w:ind w:firstLineChars="200" w:firstLine="640"/>
        <w:rPr>
          <w:rFonts w:ascii="仿宋_GB2312" w:eastAsia="仿宋_GB2312" w:hAnsi="仿宋"/>
          <w:sz w:val="32"/>
          <w:szCs w:val="32"/>
        </w:rPr>
      </w:pPr>
      <w:r>
        <w:rPr>
          <w:rFonts w:ascii="仿宋_GB2312" w:eastAsia="仿宋_GB2312" w:hAnsi="仿宋" w:hint="eastAsia"/>
          <w:sz w:val="32"/>
          <w:szCs w:val="32"/>
        </w:rPr>
        <w:t>2．机构情况。</w:t>
      </w:r>
    </w:p>
    <w:tbl>
      <w:tblPr>
        <w:tblpPr w:leftFromText="180" w:rightFromText="180" w:vertAnchor="text" w:horzAnchor="page" w:tblpXSpec="center" w:tblpY="10"/>
        <w:tblOverlap w:val="never"/>
        <w:tblW w:w="9580"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CellMar>
          <w:top w:w="0" w:type="dxa"/>
          <w:left w:w="108" w:type="dxa"/>
          <w:bottom w:w="0" w:type="dxa"/>
          <w:right w:w="108" w:type="dxa"/>
        </w:tblCellMar>
        <w:tblLook w:val="0600" w:firstRow="0" w:lastRow="0" w:firstColumn="0" w:lastColumn="0" w:noHBand="1" w:noVBand="1"/>
      </w:tblPr>
      <w:tblGrid>
        <w:gridCol w:w="985"/>
        <w:gridCol w:w="3485"/>
        <w:gridCol w:w="2445"/>
        <w:gridCol w:w="2665"/>
      </w:tblGrid>
      <w:tr>
        <w:trPr>
          <w:trHeight w:val="811"/>
        </w:trPr>
        <w:tc>
          <w:tcPr>
            <w:tcW w:w="98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序号</w:t>
            </w:r>
          </w:p>
        </w:tc>
        <w:tc>
          <w:tcPr>
            <w:tcW w:w="348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单位名称</w:t>
            </w:r>
          </w:p>
        </w:tc>
        <w:tc>
          <w:tcPr>
            <w:tcW w:w="244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单位基本性质</w:t>
            </w:r>
          </w:p>
        </w:tc>
        <w:tc>
          <w:tcPr>
            <w:tcW w:w="266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经费形式</w:t>
            </w:r>
          </w:p>
        </w:tc>
      </w:tr>
      <w:tr>
        <w:trPr>
          <w:trHeight w:val="596"/>
        </w:trPr>
        <w:tc>
          <w:tcPr>
            <w:tcW w:w="985" w:type="dxa"/>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hint="eastAsia"/>
                <w:kern w:val="0"/>
                <w:sz w:val="28"/>
                <w:szCs w:val="28"/>
              </w:rPr>
              <w:t>1</w:t>
            </w:r>
          </w:p>
        </w:tc>
        <w:tc>
          <w:tcPr>
            <w:tcW w:w="3485" w:type="dxa"/>
            <w:tcBorders>
              <w:left w:val="single" w:sz="4" w:space="0" w:color="auto"/>
            </w:tcBorders>
          </w:tcPr>
          <w:p>
            <w:pPr>
              <w:spacing w:line="560" w:lineRule="exact"/>
              <w:rPr>
                <w:rFonts w:ascii="仿宋_GB2312" w:eastAsia="仿宋_GB2312" w:cs="ArialUnicodeMS" w:hAnsi="Calibri"/>
                <w:kern w:val="0"/>
                <w:sz w:val="28"/>
                <w:szCs w:val="28"/>
              </w:rPr>
            </w:pPr>
            <w:r>
              <w:rPr>
                <w:rFonts w:ascii="仿宋_GB2312" w:eastAsia="仿宋_GB2312" w:cs="ArialUnicodeMS" w:hAnsi="Calibri"/>
                <w:kern w:val="0"/>
                <w:sz w:val="28"/>
                <w:szCs w:val="28"/>
              </w:rPr>
              <w:t>中共石家庄市井陉矿区委</w:t>
            </w:r>
            <w:r>
              <w:rPr>
                <w:rFonts w:ascii="仿宋_GB2312" w:eastAsia="仿宋_GB2312" w:cs="ArialUnicodeMS" w:hint="eastAsia"/>
                <w:kern w:val="0"/>
                <w:sz w:val="28"/>
                <w:szCs w:val="28"/>
                <w:lang w:eastAsia="zh-CN"/>
              </w:rPr>
              <w:t>宣传</w:t>
            </w:r>
            <w:r>
              <w:rPr>
                <w:rFonts w:ascii="仿宋_GB2312" w:eastAsia="仿宋_GB2312" w:cs="ArialUnicodeMS" w:hAnsi="Calibri"/>
                <w:kern w:val="0"/>
                <w:sz w:val="28"/>
                <w:szCs w:val="28"/>
              </w:rPr>
              <w:t>部</w:t>
            </w:r>
          </w:p>
        </w:tc>
        <w:tc>
          <w:tcPr>
            <w:tcW w:w="2445" w:type="dxa"/>
            <w:tcBorders>
              <w:left w:val="single" w:sz="4" w:space="0" w:color="auto"/>
            </w:tcBorders>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kern w:val="0"/>
                <w:sz w:val="28"/>
                <w:szCs w:val="28"/>
              </w:rPr>
              <w:t>行政单位</w:t>
            </w:r>
          </w:p>
        </w:tc>
        <w:tc>
          <w:tcPr>
            <w:tcW w:w="2665" w:type="dxa"/>
            <w:tcBorders>
              <w:left w:val="single" w:sz="4" w:space="0" w:color="auto"/>
            </w:tcBorders>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kern w:val="0"/>
                <w:sz w:val="28"/>
                <w:szCs w:val="28"/>
              </w:rPr>
              <w:t>财政拨款</w:t>
            </w:r>
          </w:p>
        </w:tc>
      </w:tr>
    </w:tbl>
    <w:p>
      <w:pPr>
        <w:snapToGrid w:val="0"/>
        <w:spacing w:line="520" w:lineRule="exact"/>
        <w:ind w:firstLineChars="200" w:firstLine="640"/>
        <w:rPr>
          <w:rFonts w:ascii="仿宋_GB2312" w:eastAsia="仿宋_GB2312" w:hAnsi="仿宋"/>
          <w:sz w:val="32"/>
          <w:szCs w:val="32"/>
        </w:rPr>
      </w:pPr>
      <w:r>
        <w:rPr>
          <w:rFonts w:ascii="仿宋_GB2312" w:eastAsia="仿宋_GB2312" w:hAnsi="仿宋" w:hint="eastAsia"/>
          <w:sz w:val="32"/>
          <w:szCs w:val="32"/>
        </w:rPr>
        <w:t>3．人员情况。</w:t>
      </w:r>
    </w:p>
    <w:p>
      <w:pPr>
        <w:snapToGrid w:val="0"/>
        <w:spacing w:line="520" w:lineRule="exact"/>
        <w:ind w:firstLineChars="200" w:firstLine="640"/>
        <w:rPr>
          <w:rFonts w:ascii="仿宋_GB2312" w:eastAsia="仿宋_GB2312" w:hAnsi="仿宋"/>
          <w:sz w:val="32"/>
          <w:szCs w:val="32"/>
        </w:rPr>
      </w:pPr>
      <w:r>
        <w:rPr>
          <w:rFonts w:ascii="仿宋_GB2312" w:eastAsia="仿宋_GB2312" w:hAnsi="仿宋" w:hint="eastAsia"/>
          <w:sz w:val="32"/>
          <w:szCs w:val="32"/>
        </w:rPr>
        <w:t>202</w:t>
      </w:r>
      <w:r>
        <w:rPr>
          <w:rFonts w:ascii="仿宋_GB2312" w:eastAsia="仿宋_GB2312" w:hAnsi="仿宋"/>
          <w:sz w:val="32"/>
          <w:szCs w:val="32"/>
          <w:lang w:val="en-US" w:eastAsia="zh-CN"/>
        </w:rPr>
        <w:t>5</w:t>
      </w:r>
      <w:r>
        <w:rPr>
          <w:rFonts w:ascii="仿宋_GB2312" w:eastAsia="仿宋_GB2312" w:hAnsi="仿宋" w:hint="eastAsia"/>
          <w:sz w:val="32"/>
          <w:szCs w:val="32"/>
        </w:rPr>
        <w:t>年末实有人数</w:t>
      </w:r>
      <w:r>
        <w:rPr>
          <w:rFonts w:ascii="仿宋_GB2312" w:eastAsia="仿宋_GB2312" w:hAnsi="仿宋"/>
          <w:sz w:val="32"/>
          <w:szCs w:val="32"/>
          <w:lang w:val="en-US" w:eastAsia="zh-CN"/>
        </w:rPr>
        <w:t>12</w:t>
      </w:r>
      <w:r>
        <w:rPr>
          <w:rFonts w:ascii="仿宋_GB2312" w:eastAsia="仿宋_GB2312" w:hAnsi="仿宋" w:hint="eastAsia"/>
          <w:sz w:val="32"/>
          <w:szCs w:val="32"/>
        </w:rPr>
        <w:t>人。</w:t>
      </w:r>
    </w:p>
    <w:p>
      <w:pPr>
        <w:numPr>
          <w:ilvl w:val="0"/>
          <w:numId w:val="1"/>
        </w:numPr>
        <w:adjustRightInd w:val="0"/>
        <w:snapToGrid w:val="0"/>
        <w:spacing w:line="560" w:lineRule="exact"/>
        <w:ind w:left="0" w:firstLineChars="200" w:firstLine="640"/>
        <w:rPr>
          <w:rFonts w:ascii="楷体" w:eastAsia="楷体" w:cs="楷体_GB2312" w:hAnsi="楷体" w:hint="eastAsia"/>
          <w:bCs/>
          <w:sz w:val="32"/>
          <w:szCs w:val="32"/>
        </w:rPr>
      </w:pPr>
      <w:r>
        <w:rPr>
          <w:rFonts w:ascii="楷体" w:eastAsia="楷体" w:cs="楷体_GB2312" w:hAnsi="楷体" w:hint="eastAsia"/>
          <w:bCs/>
          <w:sz w:val="32"/>
          <w:szCs w:val="32"/>
        </w:rPr>
        <w:t>部门收支预决算情况</w:t>
      </w:r>
    </w:p>
    <w:p>
      <w:pPr>
        <w:widowControl w:val="0"/>
        <w:wordWrap/>
        <w:spacing w:line="560" w:lineRule="exact"/>
        <w:ind w:left="0" w:right="0" w:firstLineChars="200" w:firstLine="640"/>
        <w:textAlignment w:val="auto"/>
        <w:outlineLvl w:val="9"/>
        <w:rPr>
          <w:rFonts w:ascii="楷体" w:eastAsia="楷体" w:cs="楷体_GB2312" w:hAnsi="楷体"/>
          <w:bCs/>
          <w:sz w:val="32"/>
          <w:szCs w:val="32"/>
          <w:lang w:val="en-US" w:eastAsia="zh-CN"/>
        </w:rPr>
      </w:pPr>
      <w:r>
        <w:rPr>
          <w:rFonts w:ascii="仿宋" w:eastAsia="仿宋" w:hAnsi="仿宋" w:hint="eastAsia"/>
          <w:sz w:val="32"/>
          <w:szCs w:val="32"/>
        </w:rPr>
        <w:t>202</w:t>
      </w:r>
      <w:r>
        <w:rPr>
          <w:rFonts w:ascii="仿宋" w:eastAsia="仿宋" w:hAnsi="仿宋"/>
          <w:sz w:val="32"/>
          <w:szCs w:val="32"/>
          <w:lang w:val="en-US" w:eastAsia="zh-CN"/>
        </w:rPr>
        <w:t>5</w:t>
      </w:r>
      <w:r>
        <w:rPr>
          <w:rFonts w:ascii="仿宋" w:eastAsia="仿宋" w:hAnsi="仿宋" w:hint="eastAsia"/>
          <w:sz w:val="32"/>
          <w:szCs w:val="32"/>
        </w:rPr>
        <w:t>年年初预算安排情况</w:t>
      </w:r>
      <w:r>
        <w:rPr>
          <w:rFonts w:ascii="仿宋_GB2312" w:eastAsia="仿宋_GB2312" w:cs="Times New Roman"/>
          <w:color w:val="000000"/>
          <w:sz w:val="32"/>
          <w:szCs w:val="32"/>
          <w:u w:val="none"/>
          <w:lang w:val="en-US" w:eastAsia="zh-CN"/>
        </w:rPr>
        <w:t>316.51</w:t>
      </w:r>
      <w:r>
        <w:rPr>
          <w:rFonts w:ascii="仿宋" w:eastAsia="仿宋" w:hAnsi="仿宋" w:hint="eastAsia"/>
          <w:sz w:val="32"/>
          <w:szCs w:val="32"/>
        </w:rPr>
        <w:t>万元，其中基本支出</w:t>
      </w:r>
      <w:r>
        <w:rPr>
          <w:rFonts w:ascii="仿宋" w:eastAsia="仿宋" w:hAnsi="仿宋"/>
          <w:sz w:val="32"/>
          <w:szCs w:val="32"/>
          <w:lang w:val="en-US" w:eastAsia="zh-CN"/>
        </w:rPr>
        <w:t>173.4</w:t>
      </w:r>
      <w:r>
        <w:rPr>
          <w:rFonts w:ascii="仿宋" w:eastAsia="仿宋" w:hAnsi="仿宋" w:hint="eastAsia"/>
          <w:sz w:val="32"/>
          <w:szCs w:val="32"/>
        </w:rPr>
        <w:t>万元，其中人员经费支出</w:t>
      </w:r>
      <w:r>
        <w:rPr>
          <w:rFonts w:ascii="仿宋" w:eastAsia="仿宋" w:hAnsi="仿宋"/>
          <w:sz w:val="32"/>
          <w:szCs w:val="32"/>
          <w:lang w:val="en-US" w:eastAsia="zh-CN"/>
        </w:rPr>
        <w:t>165.6</w:t>
      </w:r>
      <w:r>
        <w:rPr>
          <w:rFonts w:ascii="仿宋" w:eastAsia="仿宋" w:hAnsi="仿宋" w:hint="eastAsia"/>
          <w:sz w:val="32"/>
          <w:szCs w:val="32"/>
        </w:rPr>
        <w:t>万元，日常公用经费</w:t>
      </w:r>
      <w:r>
        <w:rPr>
          <w:rFonts w:ascii="仿宋" w:eastAsia="仿宋" w:hAnsi="仿宋"/>
          <w:sz w:val="32"/>
          <w:szCs w:val="32"/>
          <w:lang w:val="en-US" w:eastAsia="zh-CN"/>
        </w:rPr>
        <w:t>7.8</w:t>
      </w:r>
      <w:r>
        <w:rPr>
          <w:rFonts w:ascii="仿宋" w:eastAsia="仿宋" w:hAnsi="仿宋" w:hint="eastAsia"/>
          <w:sz w:val="32"/>
          <w:szCs w:val="32"/>
        </w:rPr>
        <w:t>万元；项目支出</w:t>
      </w:r>
      <w:r>
        <w:rPr>
          <w:rFonts w:ascii="仿宋" w:eastAsia="仿宋" w:hAnsi="仿宋"/>
          <w:sz w:val="32"/>
          <w:szCs w:val="32"/>
          <w:lang w:val="en-US" w:eastAsia="zh-CN"/>
        </w:rPr>
        <w:t>143.11</w:t>
      </w:r>
      <w:r>
        <w:rPr>
          <w:rFonts w:ascii="仿宋" w:eastAsia="仿宋" w:hAnsi="仿宋" w:hint="eastAsia"/>
          <w:sz w:val="32"/>
          <w:szCs w:val="32"/>
        </w:rPr>
        <w:t>万元。202</w:t>
      </w:r>
      <w:r>
        <w:rPr>
          <w:rFonts w:ascii="仿宋" w:eastAsia="仿宋" w:hAnsi="仿宋"/>
          <w:sz w:val="32"/>
          <w:szCs w:val="32"/>
          <w:lang w:val="en-US" w:eastAsia="zh-CN"/>
        </w:rPr>
        <w:t>5</w:t>
      </w:r>
      <w:r>
        <w:rPr>
          <w:rFonts w:ascii="仿宋" w:eastAsia="仿宋" w:hAnsi="仿宋" w:hint="eastAsia"/>
          <w:sz w:val="32"/>
          <w:szCs w:val="32"/>
        </w:rPr>
        <w:t>年年底决算情况财政拨款收</w:t>
      </w:r>
      <w:r>
        <w:rPr>
          <w:rFonts w:ascii="仿宋" w:eastAsia="仿宋" w:hAnsi="仿宋"/>
          <w:sz w:val="32"/>
          <w:szCs w:val="32"/>
        </w:rPr>
        <w:t>入</w:t>
      </w:r>
      <w:r>
        <w:rPr>
          <w:rFonts w:ascii="仿宋" w:eastAsia="仿宋" w:hAnsi="仿宋"/>
          <w:sz w:val="32"/>
          <w:szCs w:val="32"/>
          <w:lang w:val="en-US" w:eastAsia="zh-CN"/>
        </w:rPr>
        <w:t>420.50</w:t>
      </w:r>
      <w:r>
        <w:rPr>
          <w:rFonts w:ascii="仿宋" w:eastAsia="仿宋" w:hAnsi="仿宋" w:hint="eastAsia"/>
          <w:sz w:val="32"/>
          <w:szCs w:val="32"/>
        </w:rPr>
        <w:t>万元、支出</w:t>
      </w:r>
      <w:r>
        <w:rPr>
          <w:rFonts w:ascii="仿宋" w:eastAsia="仿宋" w:hAnsi="仿宋"/>
          <w:sz w:val="32"/>
          <w:szCs w:val="32"/>
          <w:lang w:val="en-US" w:eastAsia="zh-CN"/>
        </w:rPr>
        <w:t>420.50</w:t>
      </w:r>
      <w:r>
        <w:rPr>
          <w:rFonts w:ascii="仿宋" w:eastAsia="仿宋" w:hAnsi="仿宋" w:hint="eastAsia"/>
          <w:sz w:val="32"/>
          <w:szCs w:val="32"/>
        </w:rPr>
        <w:t>万元，其中基本支出</w:t>
      </w:r>
      <w:r>
        <w:rPr>
          <w:rFonts w:ascii="仿宋" w:eastAsia="仿宋" w:hAnsi="仿宋"/>
          <w:sz w:val="32"/>
          <w:szCs w:val="32"/>
          <w:lang w:val="en-US" w:eastAsia="zh-CN"/>
        </w:rPr>
        <w:t>200.49</w:t>
      </w:r>
      <w:r>
        <w:rPr>
          <w:rFonts w:ascii="仿宋" w:eastAsia="仿宋" w:hAnsi="仿宋" w:hint="eastAsia"/>
          <w:sz w:val="32"/>
          <w:szCs w:val="32"/>
        </w:rPr>
        <w:t>万元，其中人员经费支出</w:t>
      </w:r>
      <w:r>
        <w:rPr>
          <w:rFonts w:ascii="仿宋" w:eastAsia="仿宋" w:hAnsi="仿宋"/>
          <w:sz w:val="32"/>
          <w:szCs w:val="32"/>
          <w:lang w:val="en-US" w:eastAsia="zh-CN"/>
        </w:rPr>
        <w:t>191.49</w:t>
      </w:r>
      <w:r>
        <w:rPr>
          <w:rFonts w:ascii="仿宋" w:eastAsia="仿宋" w:hAnsi="仿宋" w:hint="eastAsia"/>
          <w:sz w:val="32"/>
          <w:szCs w:val="32"/>
          <w:lang w:val="en-US" w:eastAsia="zh-CN"/>
        </w:rPr>
        <w:t>万</w:t>
      </w:r>
      <w:r>
        <w:rPr>
          <w:rFonts w:ascii="仿宋" w:eastAsia="仿宋" w:hAnsi="仿宋" w:hint="eastAsia"/>
          <w:sz w:val="32"/>
          <w:szCs w:val="32"/>
        </w:rPr>
        <w:t>元，日常公用经费</w:t>
      </w:r>
      <w:r>
        <w:rPr>
          <w:rFonts w:ascii="仿宋" w:eastAsia="仿宋" w:hAnsi="仿宋"/>
          <w:sz w:val="32"/>
          <w:szCs w:val="32"/>
          <w:lang w:val="en-US" w:eastAsia="zh-CN"/>
        </w:rPr>
        <w:t>9</w:t>
      </w:r>
      <w:r>
        <w:rPr>
          <w:rFonts w:ascii="仿宋" w:eastAsia="仿宋" w:hAnsi="仿宋" w:hint="eastAsia"/>
          <w:sz w:val="32"/>
          <w:szCs w:val="32"/>
        </w:rPr>
        <w:t>万元；项目支出</w:t>
      </w:r>
      <w:r>
        <w:rPr>
          <w:rFonts w:ascii="仿宋" w:eastAsia="仿宋" w:hAnsi="仿宋"/>
          <w:sz w:val="32"/>
          <w:szCs w:val="32"/>
          <w:lang w:val="en-US" w:eastAsia="zh-CN"/>
        </w:rPr>
        <w:t>220.01</w:t>
      </w:r>
      <w:r>
        <w:rPr>
          <w:rFonts w:ascii="仿宋" w:eastAsia="仿宋" w:hAnsi="仿宋" w:hint="eastAsia"/>
          <w:sz w:val="32"/>
          <w:szCs w:val="32"/>
        </w:rPr>
        <w:t>万元。</w:t>
      </w:r>
    </w:p>
    <w:p>
      <w:pPr>
        <w:adjustRightInd w:val="0"/>
        <w:snapToGrid w:val="0"/>
        <w:spacing w:line="560" w:lineRule="exact"/>
        <w:ind w:firstLineChars="200" w:firstLine="640"/>
        <w:rPr>
          <w:rFonts w:ascii="楷体" w:eastAsia="楷体" w:cs="楷体_GB2312" w:hAnsi="楷体"/>
          <w:bCs/>
          <w:sz w:val="32"/>
          <w:szCs w:val="32"/>
        </w:rPr>
      </w:pPr>
      <w:r>
        <w:rPr>
          <w:rFonts w:ascii="楷体" w:eastAsia="楷体" w:cs="楷体_GB2312" w:hAnsi="楷体" w:hint="eastAsia"/>
          <w:bCs/>
          <w:sz w:val="32"/>
          <w:szCs w:val="32"/>
        </w:rPr>
        <w:t>（三）部门整体支出绩效目标、指标</w:t>
      </w:r>
    </w:p>
    <w:p>
      <w:pPr>
        <w:widowControl w:val="0"/>
        <w:wordWrap/>
        <w:spacing w:line="560" w:lineRule="exact"/>
        <w:ind w:left="0" w:right="0" w:firstLineChars="200" w:firstLine="640"/>
        <w:textAlignment w:val="auto"/>
        <w:outlineLvl w:val="9"/>
        <w:rPr>
          <w:rFonts w:ascii="仿宋" w:eastAsia="仿宋" w:hAnsi="仿宋" w:hint="eastAsia"/>
          <w:sz w:val="32"/>
          <w:szCs w:val="32"/>
        </w:rPr>
      </w:pPr>
      <w:r>
        <w:rPr>
          <w:rFonts w:ascii="仿宋" w:eastAsia="仿宋" w:hAnsi="仿宋" w:hint="eastAsia"/>
          <w:sz w:val="32"/>
          <w:szCs w:val="32"/>
        </w:rPr>
        <w:t>坚持以习近平新时代中国特色社会主义思想为指导，深入贯彻落实新时代党的建设总要求和新时代党的组织路线，准确把握新发展阶段、新发展理念、新发展格局对组织工作的新要求，更加突出党的政治建设，更加突出高素质专业化干部队伍建设，更加突出创新核心地位与人才战略地位，更加突出党建引领基层治理，更加突出组织部门自身建设。</w:t>
      </w:r>
    </w:p>
    <w:p>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二、自评工作开展情况</w:t>
      </w:r>
    </w:p>
    <w:p>
      <w:pPr>
        <w:spacing w:line="560" w:lineRule="exact"/>
        <w:rPr>
          <w:rFonts w:ascii="楷体" w:eastAsia="楷体" w:cs="楷体_GB2312" w:hAnsi="楷体"/>
          <w:sz w:val="32"/>
          <w:szCs w:val="32"/>
        </w:rPr>
      </w:pPr>
      <w:r>
        <w:rPr>
          <w:rFonts w:ascii="仿宋" w:eastAsia="仿宋" w:cs="楷体_GB2312" w:hAnsi="仿宋" w:hint="eastAsia"/>
          <w:b/>
          <w:bCs/>
          <w:sz w:val="32"/>
          <w:szCs w:val="32"/>
        </w:rPr>
        <w:t xml:space="preserve">    </w:t>
      </w:r>
      <w:r>
        <w:rPr>
          <w:rFonts w:ascii="楷体" w:eastAsia="楷体" w:cs="楷体_GB2312" w:hAnsi="楷体" w:hint="eastAsia"/>
          <w:bCs/>
          <w:sz w:val="32"/>
          <w:szCs w:val="32"/>
        </w:rPr>
        <w:t>（一）自评的组织工作</w:t>
      </w:r>
    </w:p>
    <w:p>
      <w:pPr>
        <w:ind w:firstLine="640"/>
        <w:rPr>
          <w:rFonts w:ascii="仿宋" w:eastAsia="仿宋" w:hAnsi="仿宋"/>
          <w:sz w:val="32"/>
          <w:szCs w:val="32"/>
        </w:rPr>
      </w:pPr>
      <w:r>
        <w:rPr>
          <w:rFonts w:ascii="仿宋" w:eastAsia="仿宋" w:hAnsi="仿宋" w:hint="eastAsia"/>
          <w:sz w:val="32"/>
          <w:szCs w:val="32"/>
          <w:lang w:eastAsia="zh-CN"/>
        </w:rPr>
        <w:t>宣传部</w:t>
      </w:r>
      <w:r>
        <w:rPr>
          <w:rFonts w:ascii="仿宋" w:eastAsia="仿宋" w:hAnsi="仿宋" w:hint="eastAsia"/>
          <w:sz w:val="32"/>
          <w:szCs w:val="32"/>
        </w:rPr>
        <w:t>高度重视此项绩效自评工作，成立了绩效评价小组，组长由单位主管领导</w:t>
      </w:r>
      <w:r>
        <w:rPr>
          <w:rFonts w:ascii="仿宋" w:eastAsia="仿宋" w:hAnsi="仿宋" w:hint="eastAsia"/>
          <w:sz w:val="32"/>
          <w:szCs w:val="32"/>
          <w:lang w:val="en-US" w:eastAsia="zh-CN"/>
        </w:rPr>
        <w:t>吴涛</w:t>
      </w:r>
      <w:r>
        <w:rPr>
          <w:rFonts w:ascii="仿宋" w:eastAsia="仿宋" w:hAnsi="仿宋" w:hint="eastAsia"/>
          <w:sz w:val="32"/>
          <w:szCs w:val="32"/>
        </w:rPr>
        <w:t>担任，成员包括各业务科室、财务主管部门主要负责人，按照通知要求，评价组事先制定了自评工作方案，明确评价内容、评价程序及时间安排，并组织各委员会召开专题会议，要求各委员会提前准备相关资料，积极配合做好自评工作。</w:t>
      </w:r>
    </w:p>
    <w:p>
      <w:pPr>
        <w:numPr>
          <w:ilvl w:val="0"/>
          <w:numId w:val="2"/>
        </w:numPr>
        <w:spacing w:line="560" w:lineRule="exact"/>
        <w:rPr>
          <w:rFonts w:ascii="楷体" w:eastAsia="楷体" w:cs="楷体_GB2312" w:hAnsi="楷体"/>
          <w:bCs/>
          <w:sz w:val="32"/>
          <w:szCs w:val="32"/>
        </w:rPr>
      </w:pPr>
      <w:r>
        <w:rPr>
          <w:rFonts w:ascii="楷体" w:eastAsia="楷体" w:cs="楷体_GB2312" w:hAnsi="楷体" w:hint="eastAsia"/>
          <w:bCs/>
          <w:sz w:val="32"/>
          <w:szCs w:val="32"/>
        </w:rPr>
        <w:t>自评的方法和过程</w:t>
      </w:r>
    </w:p>
    <w:p>
      <w:pPr>
        <w:ind w:firstLine="640"/>
        <w:rPr>
          <w:rFonts w:ascii="仿宋" w:eastAsia="仿宋" w:hAnsi="仿宋"/>
          <w:sz w:val="32"/>
          <w:szCs w:val="32"/>
        </w:rPr>
      </w:pPr>
      <w:r>
        <w:rPr>
          <w:rFonts w:ascii="仿宋" w:eastAsia="仿宋" w:hAnsi="仿宋" w:hint="eastAsia"/>
          <w:sz w:val="32"/>
          <w:szCs w:val="32"/>
        </w:rPr>
        <w:t>评价以20</w:t>
      </w:r>
      <w:r>
        <w:rPr>
          <w:rFonts w:ascii="仿宋" w:eastAsia="仿宋" w:hAnsi="仿宋" w:hint="eastAsia"/>
          <w:sz w:val="32"/>
          <w:szCs w:val="32"/>
          <w:lang w:val="en-US" w:eastAsia="zh-CN"/>
        </w:rPr>
        <w:t>2</w:t>
      </w:r>
      <w:r>
        <w:rPr>
          <w:rFonts w:ascii="仿宋" w:eastAsia="仿宋" w:hAnsi="仿宋"/>
          <w:sz w:val="32"/>
          <w:szCs w:val="32"/>
          <w:lang w:val="en-US" w:eastAsia="zh-CN"/>
        </w:rPr>
        <w:t>5</w:t>
      </w:r>
      <w:r>
        <w:rPr>
          <w:rFonts w:ascii="仿宋" w:eastAsia="仿宋" w:hAnsi="仿宋" w:hint="eastAsia"/>
          <w:sz w:val="32"/>
          <w:szCs w:val="32"/>
        </w:rPr>
        <w:t>年初预算确定的项目绩效目标和绩效指标为依据，通过对相关账目进行核实，对比各绩效指标完成情况，进一步分析和总结，对</w:t>
      </w:r>
      <w:r>
        <w:rPr>
          <w:rFonts w:ascii="仿宋" w:eastAsia="仿宋" w:hAnsi="仿宋" w:hint="eastAsia"/>
          <w:sz w:val="32"/>
          <w:szCs w:val="32"/>
          <w:lang w:val="en-US" w:eastAsia="zh-CN"/>
        </w:rPr>
        <w:t>10</w:t>
      </w:r>
      <w:r>
        <w:rPr>
          <w:rFonts w:ascii="仿宋" w:eastAsia="仿宋" w:hAnsi="仿宋" w:hint="eastAsia"/>
          <w:sz w:val="32"/>
          <w:szCs w:val="32"/>
        </w:rPr>
        <w:t>个项目进行了自评价，并完成《部门专项项目绩效自评表》。</w:t>
      </w:r>
    </w:p>
    <w:p>
      <w:pPr>
        <w:spacing w:line="560" w:lineRule="exact"/>
        <w:rPr>
          <w:rFonts w:ascii="楷体" w:eastAsia="楷体" w:cs="楷体_GB2312" w:hAnsi="楷体"/>
          <w:bCs/>
          <w:sz w:val="32"/>
          <w:szCs w:val="32"/>
          <w:lang w:val="en-US" w:eastAsia="zh-CN"/>
        </w:rPr>
      </w:pPr>
    </w:p>
    <w:p>
      <w:pPr>
        <w:spacing w:line="560" w:lineRule="exact"/>
        <w:rPr>
          <w:rFonts w:ascii="黑体" w:eastAsia="黑体" w:hAnsi="黑体"/>
          <w:b/>
          <w:bCs/>
          <w:sz w:val="32"/>
          <w:szCs w:val="32"/>
        </w:rPr>
      </w:pPr>
      <w:r>
        <w:rPr>
          <w:rFonts w:ascii="黑体" w:eastAsia="黑体" w:hAnsi="黑体" w:hint="eastAsia"/>
          <w:sz w:val="32"/>
          <w:szCs w:val="32"/>
        </w:rPr>
        <w:t xml:space="preserve">    三、部门整体支出绩效目标实现情况及指标分析</w:t>
      </w:r>
    </w:p>
    <w:p>
      <w:pPr>
        <w:numPr>
          <w:ilvl w:val="0"/>
          <w:numId w:val="3"/>
        </w:numPr>
        <w:spacing w:line="560" w:lineRule="exact"/>
        <w:ind w:left="0" w:firstLineChars="200" w:firstLine="640"/>
        <w:rPr>
          <w:rFonts w:ascii="楷体" w:eastAsia="楷体" w:cs="楷体_GB2312" w:hAnsi="楷体"/>
          <w:bCs/>
          <w:sz w:val="32"/>
          <w:szCs w:val="32"/>
        </w:rPr>
      </w:pPr>
      <w:r>
        <w:rPr>
          <w:rFonts w:ascii="楷体" w:eastAsia="楷体" w:cs="楷体_GB2312" w:hAnsi="楷体" w:hint="eastAsia"/>
          <w:bCs/>
          <w:sz w:val="32"/>
          <w:szCs w:val="32"/>
        </w:rPr>
        <w:t>总体绩效目标实现情况</w:t>
      </w:r>
    </w:p>
    <w:p>
      <w:pPr>
        <w:pStyle w:val="18"/>
        <w:rPr>
          <w:rFonts w:ascii="仿宋" w:eastAsia="仿宋" w:cs="黑体" w:hAnsi="仿宋" w:hint="eastAsia"/>
          <w:kern w:val="2"/>
          <w:sz w:val="32"/>
          <w:szCs w:val="32"/>
          <w:lang w:val="en-US" w:eastAsia="zh-CN" w:bidi="ar-SA"/>
        </w:rPr>
      </w:pPr>
      <w:r>
        <w:rPr>
          <w:rFonts w:ascii="仿宋" w:eastAsia="仿宋" w:cs="黑体" w:hAnsi="仿宋" w:hint="eastAsia"/>
          <w:kern w:val="2"/>
          <w:sz w:val="32"/>
          <w:szCs w:val="32"/>
          <w:lang w:val="en-US" w:eastAsia="zh-CN" w:bidi="ar-SA"/>
        </w:rPr>
        <w:t>202</w:t>
      </w:r>
      <w:r>
        <w:rPr>
          <w:rFonts w:ascii="仿宋" w:eastAsia="仿宋" w:cs="黑体" w:hAnsi="仿宋"/>
          <w:kern w:val="2"/>
          <w:sz w:val="32"/>
          <w:szCs w:val="32"/>
          <w:lang w:val="en-US" w:eastAsia="zh-CN" w:bidi="ar-SA"/>
        </w:rPr>
        <w:t>5</w:t>
      </w:r>
      <w:r>
        <w:rPr>
          <w:rFonts w:ascii="仿宋" w:eastAsia="仿宋" w:cs="黑体" w:hAnsi="仿宋" w:hint="eastAsia"/>
          <w:kern w:val="2"/>
          <w:sz w:val="32"/>
          <w:szCs w:val="32"/>
          <w:lang w:val="en-US" w:eastAsia="zh-CN" w:bidi="ar-SA"/>
        </w:rPr>
        <w:t>年区委宣传部将认真贯彻落实党二十届全会，牢牢把握党在意识形态领域的领导权、话语权、管理权，为加快实现矿区“全面转型、绿色崛起”奋斗目标、争创国家级转型发展示范区，提供坚强思想保证、强大精神动力、有力舆论支持和良好文化条件。</w:t>
      </w:r>
    </w:p>
    <w:p>
      <w:pPr>
        <w:spacing w:line="560" w:lineRule="exact"/>
        <w:rPr>
          <w:rFonts w:ascii="楷体" w:eastAsia="楷体" w:hAnsi="楷体"/>
          <w:bCs/>
          <w:sz w:val="32"/>
          <w:szCs w:val="32"/>
        </w:rPr>
      </w:pPr>
      <w:r>
        <w:rPr>
          <w:rFonts w:ascii="仿宋" w:eastAsia="仿宋" w:cs="楷体_GB2312" w:hAnsi="仿宋" w:hint="eastAsia"/>
          <w:b/>
          <w:bCs/>
          <w:sz w:val="32"/>
          <w:szCs w:val="32"/>
        </w:rPr>
        <w:t xml:space="preserve">    </w:t>
      </w:r>
      <w:r>
        <w:rPr>
          <w:rFonts w:ascii="楷体" w:eastAsia="楷体" w:cs="楷体_GB2312" w:hAnsi="楷体" w:hint="eastAsia"/>
          <w:bCs/>
          <w:sz w:val="32"/>
          <w:szCs w:val="32"/>
        </w:rPr>
        <w:t>（二）分项绩效目标实现情况及指标分析</w:t>
      </w:r>
    </w:p>
    <w:p>
      <w:pPr>
        <w:widowControl w:val="0"/>
        <w:wordWrap/>
        <w:spacing w:line="560" w:lineRule="exact"/>
        <w:ind w:left="0" w:right="0" w:firstLineChars="200" w:firstLine="640"/>
        <w:textAlignment w:val="auto"/>
        <w:outlineLvl w:val="9"/>
        <w:rPr>
          <w:rFonts w:ascii="仿宋" w:eastAsia="仿宋" w:hAnsi="仿宋" w:hint="eastAsia"/>
          <w:b w:val="0"/>
          <w:bCs w:val="0"/>
          <w:sz w:val="32"/>
          <w:szCs w:val="32"/>
          <w:lang w:val="en-US" w:eastAsia="zh-CN"/>
        </w:rPr>
      </w:pPr>
      <w:r>
        <w:rPr>
          <w:rFonts w:ascii="仿宋" w:eastAsia="仿宋" w:hAnsi="仿宋" w:hint="eastAsia"/>
          <w:b w:val="0"/>
          <w:bCs w:val="0"/>
          <w:sz w:val="32"/>
          <w:szCs w:val="32"/>
          <w:lang w:val="en-US" w:eastAsia="zh-CN"/>
        </w:rPr>
        <w:t>组织部基本完成年初分项绩效目标：</w:t>
      </w:r>
    </w:p>
    <w:p>
      <w:pPr>
        <w:widowControl w:val="0"/>
        <w:wordWrap/>
        <w:spacing w:line="560" w:lineRule="exact"/>
        <w:ind w:left="0" w:right="0" w:firstLineChars="200" w:firstLine="640"/>
        <w:textAlignment w:val="auto"/>
        <w:outlineLvl w:val="9"/>
        <w:rPr>
          <w:rFonts w:ascii="仿宋" w:eastAsia="仿宋" w:hAnsi="仿宋" w:hint="eastAsia"/>
          <w:b w:val="0"/>
          <w:bCs w:val="0"/>
          <w:sz w:val="32"/>
          <w:szCs w:val="32"/>
          <w:lang w:val="en-US" w:eastAsia="zh-CN"/>
        </w:rPr>
      </w:pPr>
      <w:r>
        <w:rPr>
          <w:rFonts w:ascii="仿宋" w:eastAsia="仿宋" w:hAnsi="仿宋" w:hint="eastAsia"/>
          <w:b w:val="0"/>
          <w:bCs w:val="0"/>
          <w:sz w:val="32"/>
          <w:szCs w:val="32"/>
          <w:lang w:val="en-US" w:eastAsia="zh-CN"/>
        </w:rPr>
        <w:t>（一） 宣传思想理论武装工作</w:t>
      </w:r>
    </w:p>
    <w:p>
      <w:pPr>
        <w:widowControl w:val="0"/>
        <w:wordWrap/>
        <w:spacing w:line="560" w:lineRule="exact"/>
        <w:ind w:left="0" w:right="0" w:firstLineChars="200" w:firstLine="640"/>
        <w:textAlignment w:val="auto"/>
        <w:outlineLvl w:val="9"/>
        <w:rPr>
          <w:rFonts w:ascii="仿宋" w:eastAsia="仿宋" w:hAnsi="仿宋" w:hint="eastAsia"/>
          <w:b w:val="0"/>
          <w:bCs w:val="0"/>
          <w:sz w:val="32"/>
          <w:szCs w:val="32"/>
          <w:lang w:val="en-US" w:eastAsia="zh-CN"/>
        </w:rPr>
      </w:pPr>
      <w:r>
        <w:rPr>
          <w:rFonts w:ascii="仿宋" w:eastAsia="仿宋" w:hAnsi="仿宋" w:hint="eastAsia"/>
          <w:b w:val="0"/>
          <w:bCs w:val="0"/>
          <w:sz w:val="32"/>
          <w:szCs w:val="32"/>
          <w:lang w:val="en-US" w:eastAsia="zh-CN"/>
        </w:rPr>
        <w:t>绩效目标：高标准完成全年中心组学习及意识形态考核任务</w:t>
      </w:r>
    </w:p>
    <w:p>
      <w:pPr>
        <w:widowControl w:val="0"/>
        <w:wordWrap/>
        <w:spacing w:line="560" w:lineRule="exact"/>
        <w:ind w:left="0" w:right="0" w:firstLineChars="200" w:firstLine="640"/>
        <w:textAlignment w:val="auto"/>
        <w:outlineLvl w:val="9"/>
        <w:rPr>
          <w:rFonts w:ascii="仿宋" w:eastAsia="仿宋" w:hAnsi="仿宋" w:hint="eastAsia"/>
          <w:b w:val="0"/>
          <w:bCs w:val="0"/>
          <w:sz w:val="32"/>
          <w:szCs w:val="32"/>
          <w:lang w:val="en-US" w:eastAsia="zh-CN"/>
        </w:rPr>
      </w:pPr>
      <w:r>
        <w:rPr>
          <w:rFonts w:ascii="仿宋" w:eastAsia="仿宋" w:hAnsi="仿宋" w:hint="eastAsia"/>
          <w:b w:val="0"/>
          <w:bCs w:val="0"/>
          <w:sz w:val="32"/>
          <w:szCs w:val="32"/>
          <w:lang w:val="en-US" w:eastAsia="zh-CN"/>
        </w:rPr>
        <w:t>绩效指标：结合中央省市区重要精神部署和</w:t>
      </w:r>
      <w:bookmarkStart w:id="0" w:name="_GoBack"/>
      <w:r>
        <w:rPr>
          <w:rFonts w:ascii="仿宋" w:eastAsia="仿宋" w:hAnsi="仿宋" w:hint="eastAsia"/>
          <w:b w:val="0"/>
          <w:bCs w:val="0"/>
          <w:sz w:val="32"/>
          <w:szCs w:val="32"/>
          <w:lang w:val="en-US" w:eastAsia="zh-CN"/>
        </w:rPr>
        <w:t>“不忘初心、牢记使命”</w:t>
      </w:r>
      <w:r>
        <w:rPr>
          <w:rFonts w:ascii="仿宋" w:eastAsia="仿宋" w:hAnsi="仿宋"/>
          <w:b w:val="0"/>
          <w:bCs w:val="0"/>
          <w:sz w:val="32"/>
          <w:szCs w:val="32"/>
          <w:lang w:val="en-US" w:eastAsia="zh-CN"/>
        </w:rPr>
        <w:t>主</w:t>
      </w:r>
      <w:r>
        <w:rPr>
          <w:rFonts w:ascii="仿宋" w:eastAsia="仿宋" w:hAnsi="仿宋" w:hint="eastAsia"/>
          <w:b w:val="0"/>
          <w:bCs w:val="0"/>
          <w:sz w:val="32"/>
          <w:szCs w:val="32"/>
          <w:lang w:val="en-US" w:eastAsia="zh-CN"/>
        </w:rPr>
        <w:t>题教育</w:t>
      </w:r>
      <w:bookmarkEnd w:id="0"/>
      <w:r>
        <w:rPr>
          <w:rFonts w:ascii="仿宋" w:eastAsia="仿宋" w:hAnsi="仿宋" w:hint="eastAsia"/>
          <w:b w:val="0"/>
          <w:bCs w:val="0"/>
          <w:sz w:val="32"/>
          <w:szCs w:val="32"/>
          <w:lang w:val="en-US" w:eastAsia="zh-CN"/>
        </w:rPr>
        <w:t>等各类主题教育活动，高标准完成全年不低于24次中心组学习任务；按照时间节点完成全年百姓讲坛讲座10场；扎实开展宣传文化示范村、宣传思想文化工作示范社区的创建工作；撰写理论文章不少于3篇。统筹协调全区党的意识形态工作，贯彻落实区委关于意识形态工作决策部署，组织协调意识形态工作责任制落实和日常监督检查</w:t>
      </w:r>
    </w:p>
    <w:p>
      <w:pPr>
        <w:widowControl w:val="0"/>
        <w:wordWrap/>
        <w:spacing w:line="560" w:lineRule="exact"/>
        <w:ind w:left="0" w:right="0" w:firstLineChars="200" w:firstLine="640"/>
        <w:textAlignment w:val="auto"/>
        <w:outlineLvl w:val="9"/>
        <w:rPr>
          <w:rFonts w:ascii="仿宋" w:eastAsia="仿宋" w:hAnsi="仿宋" w:hint="eastAsia"/>
          <w:b w:val="0"/>
          <w:bCs w:val="0"/>
          <w:sz w:val="32"/>
          <w:szCs w:val="32"/>
          <w:lang w:val="en-US" w:eastAsia="zh-CN"/>
        </w:rPr>
      </w:pPr>
      <w:r>
        <w:rPr>
          <w:rFonts w:ascii="仿宋" w:eastAsia="仿宋" w:hAnsi="仿宋" w:hint="eastAsia"/>
          <w:b w:val="0"/>
          <w:bCs w:val="0"/>
          <w:sz w:val="32"/>
          <w:szCs w:val="32"/>
          <w:lang w:val="en-US" w:eastAsia="zh-CN"/>
        </w:rPr>
        <w:t>（二）新闻宣传工作</w:t>
      </w:r>
    </w:p>
    <w:p>
      <w:pPr>
        <w:widowControl w:val="0"/>
        <w:wordWrap/>
        <w:spacing w:line="560" w:lineRule="exact"/>
        <w:ind w:left="0" w:right="0" w:firstLineChars="200" w:firstLine="640"/>
        <w:textAlignment w:val="auto"/>
        <w:outlineLvl w:val="9"/>
        <w:rPr>
          <w:rFonts w:ascii="仿宋" w:eastAsia="仿宋" w:hAnsi="仿宋" w:hint="eastAsia"/>
          <w:b w:val="0"/>
          <w:bCs w:val="0"/>
          <w:sz w:val="32"/>
          <w:szCs w:val="32"/>
          <w:lang w:val="en-US" w:eastAsia="zh-CN"/>
        </w:rPr>
      </w:pPr>
      <w:r>
        <w:rPr>
          <w:rFonts w:ascii="仿宋" w:eastAsia="仿宋" w:hAnsi="仿宋" w:hint="eastAsia"/>
          <w:b w:val="0"/>
          <w:bCs w:val="0"/>
          <w:sz w:val="32"/>
          <w:szCs w:val="32"/>
          <w:lang w:val="en-US" w:eastAsia="zh-CN"/>
        </w:rPr>
        <w:t>绩效目标：加大媒体宣传力度，提高矿区知名度美誉度。</w:t>
      </w:r>
    </w:p>
    <w:p>
      <w:pPr>
        <w:widowControl w:val="0"/>
        <w:wordWrap/>
        <w:spacing w:line="560" w:lineRule="exact"/>
        <w:ind w:left="0" w:right="0" w:firstLineChars="200" w:firstLine="640"/>
        <w:textAlignment w:val="auto"/>
        <w:outlineLvl w:val="9"/>
        <w:rPr>
          <w:rFonts w:ascii="仿宋" w:eastAsia="仿宋" w:hAnsi="仿宋" w:hint="eastAsia"/>
          <w:b w:val="0"/>
          <w:bCs w:val="0"/>
          <w:sz w:val="32"/>
          <w:szCs w:val="32"/>
          <w:lang w:val="en-US" w:eastAsia="zh-CN"/>
        </w:rPr>
      </w:pPr>
      <w:r>
        <w:rPr>
          <w:rFonts w:ascii="仿宋" w:eastAsia="仿宋" w:hAnsi="仿宋" w:hint="eastAsia"/>
          <w:b w:val="0"/>
          <w:bCs w:val="0"/>
          <w:sz w:val="32"/>
          <w:szCs w:val="32"/>
          <w:lang w:val="en-US" w:eastAsia="zh-CN"/>
        </w:rPr>
        <w:t>绩效指标：争取202</w:t>
      </w:r>
      <w:r>
        <w:rPr>
          <w:rFonts w:ascii="仿宋" w:eastAsia="仿宋" w:hAnsi="仿宋"/>
          <w:b w:val="0"/>
          <w:bCs w:val="0"/>
          <w:sz w:val="32"/>
          <w:szCs w:val="32"/>
          <w:lang w:val="en-US" w:eastAsia="zh-CN"/>
        </w:rPr>
        <w:t>6</w:t>
      </w:r>
      <w:r>
        <w:rPr>
          <w:rFonts w:ascii="仿宋" w:eastAsia="仿宋" w:hAnsi="仿宋" w:hint="eastAsia"/>
          <w:b w:val="0"/>
          <w:bCs w:val="0"/>
          <w:sz w:val="32"/>
          <w:szCs w:val="32"/>
          <w:lang w:val="en-US" w:eastAsia="zh-CN"/>
        </w:rPr>
        <w:t xml:space="preserve">年在市级以上媒体尤其是中央媒体实现新的突破；通讯员轮训制度；加强新闻理论学习，与各级媒体记者加强交流，不断提升科室人员自身业务素质。指导协调有关部门研究拟订全区对外宣传事业发展规划，组织协调我区对外宣传文化交流工作，会同有关部门做好境外记者采访事务方面工作 。 </w:t>
      </w:r>
    </w:p>
    <w:p>
      <w:pPr>
        <w:widowControl w:val="0"/>
        <w:wordWrap/>
        <w:spacing w:line="560" w:lineRule="exact"/>
        <w:ind w:left="0" w:right="0" w:firstLineChars="200" w:firstLine="640"/>
        <w:textAlignment w:val="auto"/>
        <w:outlineLvl w:val="9"/>
        <w:rPr>
          <w:rFonts w:ascii="仿宋" w:eastAsia="仿宋" w:hAnsi="仿宋" w:hint="eastAsia"/>
          <w:b w:val="0"/>
          <w:bCs w:val="0"/>
          <w:sz w:val="32"/>
          <w:szCs w:val="32"/>
          <w:lang w:val="en-US" w:eastAsia="zh-CN"/>
        </w:rPr>
      </w:pPr>
      <w:r>
        <w:rPr>
          <w:rFonts w:ascii="仿宋" w:eastAsia="仿宋" w:hAnsi="仿宋" w:hint="eastAsia"/>
          <w:b w:val="0"/>
          <w:bCs w:val="0"/>
          <w:sz w:val="32"/>
          <w:szCs w:val="32"/>
          <w:lang w:val="en-US" w:eastAsia="zh-CN"/>
        </w:rPr>
        <w:t>（三）文化艺术工作及“扫黄打非”出版发行等工作</w:t>
      </w:r>
    </w:p>
    <w:p>
      <w:pPr>
        <w:widowControl w:val="0"/>
        <w:wordWrap/>
        <w:spacing w:line="560" w:lineRule="exact"/>
        <w:ind w:left="0" w:right="0" w:firstLineChars="200" w:firstLine="640"/>
        <w:textAlignment w:val="auto"/>
        <w:outlineLvl w:val="9"/>
        <w:rPr>
          <w:rFonts w:ascii="仿宋" w:eastAsia="仿宋" w:hAnsi="仿宋" w:hint="eastAsia"/>
          <w:b w:val="0"/>
          <w:bCs w:val="0"/>
          <w:sz w:val="32"/>
          <w:szCs w:val="32"/>
          <w:lang w:val="en-US" w:eastAsia="zh-CN"/>
        </w:rPr>
      </w:pPr>
      <w:r>
        <w:rPr>
          <w:rFonts w:ascii="仿宋" w:eastAsia="仿宋" w:hAnsi="仿宋" w:hint="eastAsia"/>
          <w:b w:val="0"/>
          <w:bCs w:val="0"/>
          <w:sz w:val="32"/>
          <w:szCs w:val="32"/>
          <w:lang w:val="en-US" w:eastAsia="zh-CN"/>
        </w:rPr>
        <w:t>绩效目标：组织开展好各类文化活动，圆满完成全区出版发行及“扫黄打非”各项工作任务。</w:t>
      </w:r>
    </w:p>
    <w:p>
      <w:pPr>
        <w:widowControl w:val="0"/>
        <w:wordWrap/>
        <w:spacing w:line="560" w:lineRule="exact"/>
        <w:ind w:left="0" w:right="0" w:firstLineChars="200" w:firstLine="640"/>
        <w:textAlignment w:val="auto"/>
        <w:outlineLvl w:val="9"/>
        <w:rPr>
          <w:rFonts w:ascii="仿宋" w:eastAsia="仿宋" w:hAnsi="仿宋" w:hint="eastAsia"/>
          <w:b w:val="0"/>
          <w:bCs w:val="0"/>
          <w:sz w:val="32"/>
          <w:szCs w:val="32"/>
          <w:lang w:val="en-US" w:eastAsia="zh-CN"/>
        </w:rPr>
      </w:pPr>
      <w:r>
        <w:rPr>
          <w:rFonts w:ascii="仿宋" w:eastAsia="仿宋" w:hAnsi="仿宋" w:hint="eastAsia"/>
          <w:b w:val="0"/>
          <w:bCs w:val="0"/>
          <w:sz w:val="32"/>
          <w:szCs w:val="32"/>
          <w:lang w:val="en-US" w:eastAsia="zh-CN"/>
        </w:rPr>
        <w:t>绩效指标：组织好“春节连庄会”、“彩色周末”、“社火文化街”等重大吉庆节日群众性文化活动；加大培育文艺精品生产创作；承指导监管全区电影制片、发行、放映工作，做好全区印刷、复制、出版物发行单位和业务的监督管理工作，对出版物发行单位进行年度核验，审核印刷复制企业年度报告，贯彻落实国家、省市“扫黄打非”工作方针政策，拟订全区“扫黄打非”行动方案并组织实施；组织、指导、协调全区“扫黄打非”工作，组织查处非法和违禁出版传播活动的大案要案。</w:t>
      </w:r>
    </w:p>
    <w:p>
      <w:pPr>
        <w:widowControl w:val="0"/>
        <w:wordWrap/>
        <w:spacing w:line="560" w:lineRule="exact"/>
        <w:ind w:left="0" w:right="0" w:firstLineChars="200" w:firstLine="640"/>
        <w:textAlignment w:val="auto"/>
        <w:outlineLvl w:val="9"/>
        <w:rPr>
          <w:rFonts w:ascii="仿宋" w:eastAsia="仿宋" w:hAnsi="仿宋" w:hint="eastAsia"/>
          <w:b w:val="0"/>
          <w:bCs w:val="0"/>
          <w:sz w:val="32"/>
          <w:szCs w:val="32"/>
          <w:lang w:val="en-US" w:eastAsia="zh-CN"/>
        </w:rPr>
      </w:pPr>
      <w:r>
        <w:rPr>
          <w:rFonts w:ascii="仿宋" w:eastAsia="仿宋" w:hAnsi="仿宋" w:hint="eastAsia"/>
          <w:b w:val="0"/>
          <w:bCs w:val="0"/>
          <w:sz w:val="32"/>
          <w:szCs w:val="32"/>
          <w:lang w:val="en-US" w:eastAsia="zh-CN"/>
        </w:rPr>
        <w:t>（四）精神文明建设工作</w:t>
      </w:r>
    </w:p>
    <w:p>
      <w:pPr>
        <w:widowControl w:val="0"/>
        <w:wordWrap/>
        <w:spacing w:line="560" w:lineRule="exact"/>
        <w:ind w:left="0" w:right="0" w:firstLineChars="200" w:firstLine="640"/>
        <w:textAlignment w:val="auto"/>
        <w:outlineLvl w:val="9"/>
        <w:rPr>
          <w:rFonts w:ascii="仿宋" w:eastAsia="仿宋" w:hAnsi="仿宋" w:hint="eastAsia"/>
          <w:b w:val="0"/>
          <w:bCs w:val="0"/>
          <w:sz w:val="32"/>
          <w:szCs w:val="32"/>
          <w:lang w:val="en-US" w:eastAsia="zh-CN"/>
        </w:rPr>
      </w:pPr>
      <w:r>
        <w:rPr>
          <w:rFonts w:ascii="仿宋" w:eastAsia="仿宋" w:hAnsi="仿宋" w:hint="eastAsia"/>
          <w:b w:val="0"/>
          <w:bCs w:val="0"/>
          <w:sz w:val="32"/>
          <w:szCs w:val="32"/>
          <w:lang w:val="en-US" w:eastAsia="zh-CN"/>
        </w:rPr>
        <w:t>绩效目标：圆满完成创建省级文明城区任务，组织开展好各行各业道德模范、身边好人等评选活动。</w:t>
      </w:r>
    </w:p>
    <w:p>
      <w:pPr>
        <w:widowControl w:val="0"/>
        <w:wordWrap/>
        <w:spacing w:line="560" w:lineRule="exact"/>
        <w:ind w:left="0" w:right="0" w:firstLineChars="200" w:firstLine="640"/>
        <w:textAlignment w:val="auto"/>
        <w:outlineLvl w:val="9"/>
        <w:rPr>
          <w:rFonts w:ascii="仿宋" w:eastAsia="仿宋" w:hAnsi="仿宋" w:hint="eastAsia"/>
          <w:b w:val="0"/>
          <w:bCs w:val="0"/>
          <w:sz w:val="32"/>
          <w:szCs w:val="32"/>
          <w:lang w:val="en-US" w:eastAsia="zh-CN"/>
        </w:rPr>
      </w:pPr>
      <w:r>
        <w:rPr>
          <w:rFonts w:ascii="仿宋" w:eastAsia="仿宋" w:hAnsi="仿宋" w:hint="eastAsia"/>
          <w:b w:val="0"/>
          <w:bCs w:val="0"/>
          <w:sz w:val="32"/>
          <w:szCs w:val="32"/>
          <w:lang w:val="en-US" w:eastAsia="zh-CN"/>
        </w:rPr>
        <w:t>绩效指标：加强道德模范选树宣传；做好家庭文明创建和文明家庭评选管理；组织道德模范、身边好人推荐评选和宣传、管理工作，协调推进全国文明城市、省级文明城区创建工作；组织行业和窗口单位精神文明创建；组织“讲文明、树新风”活动和文明创建公益广告宣传工作；协调推进文明旅游和诚信制度化工作。负责全区志愿服务活动的总体规划和协调指导工作；组织开展志愿服务活动，建设志愿服务站点，组织培训交流，宣传推介先进典型，推进志愿服务制度化建设；指导社会公益组织开展志愿服务活动。</w:t>
      </w:r>
    </w:p>
    <w:p>
      <w:pPr>
        <w:spacing w:line="560" w:lineRule="exact"/>
        <w:ind w:firstLineChars="200" w:firstLine="640"/>
        <w:rPr>
          <w:rFonts w:ascii="黑体" w:eastAsia="黑体" w:hAnsi="黑体"/>
          <w:sz w:val="32"/>
          <w:szCs w:val="32"/>
        </w:rPr>
      </w:pPr>
      <w:r>
        <w:rPr>
          <w:rFonts w:ascii="黑体" w:eastAsia="黑体" w:hAnsi="黑体" w:hint="eastAsia"/>
          <w:sz w:val="32"/>
          <w:szCs w:val="32"/>
        </w:rPr>
        <w:t>四、评价结论和评价等级</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根据</w:t>
      </w:r>
      <w:r>
        <w:rPr>
          <w:rFonts w:ascii="仿宋" w:eastAsia="仿宋" w:hAnsi="仿宋" w:hint="eastAsia"/>
          <w:sz w:val="32"/>
          <w:szCs w:val="32"/>
          <w:lang w:eastAsia="zh-CN"/>
        </w:rPr>
        <w:t>职责定位和各项工作履职情况进行综合评价</w:t>
      </w:r>
      <w:r>
        <w:rPr>
          <w:rFonts w:ascii="仿宋" w:eastAsia="仿宋" w:hAnsi="仿宋" w:hint="eastAsia"/>
          <w:sz w:val="32"/>
          <w:szCs w:val="32"/>
        </w:rPr>
        <w:t>，</w:t>
      </w:r>
      <w:r>
        <w:rPr>
          <w:rFonts w:ascii="仿宋" w:eastAsia="仿宋" w:hAnsi="仿宋" w:hint="eastAsia"/>
          <w:sz w:val="32"/>
          <w:szCs w:val="32"/>
          <w:lang w:eastAsia="zh-CN"/>
        </w:rPr>
        <w:t>我部整体支出</w:t>
      </w:r>
      <w:r>
        <w:rPr>
          <w:rFonts w:ascii="仿宋" w:eastAsia="仿宋" w:hAnsi="仿宋" w:hint="eastAsia"/>
          <w:sz w:val="32"/>
          <w:szCs w:val="32"/>
        </w:rPr>
        <w:t>综合绩效评价</w:t>
      </w:r>
      <w:r>
        <w:rPr>
          <w:rFonts w:ascii="仿宋" w:eastAsia="仿宋" w:hAnsi="仿宋" w:hint="eastAsia"/>
          <w:sz w:val="32"/>
          <w:szCs w:val="32"/>
          <w:lang w:eastAsia="zh-CN"/>
        </w:rPr>
        <w:t>为</w:t>
      </w:r>
      <w:r>
        <w:rPr>
          <w:rFonts w:ascii="仿宋" w:eastAsia="仿宋" w:hAnsi="仿宋" w:hint="eastAsia"/>
          <w:sz w:val="32"/>
          <w:szCs w:val="32"/>
          <w:lang w:val="en-US" w:eastAsia="zh-CN"/>
        </w:rPr>
        <w:t>优秀，得99分</w:t>
      </w:r>
    </w:p>
    <w:p>
      <w:pPr>
        <w:spacing w:line="560" w:lineRule="exact"/>
        <w:ind w:firstLineChars="200" w:firstLine="640"/>
        <w:rPr>
          <w:rFonts w:ascii="黑体" w:eastAsia="黑体" w:hAnsi="黑体"/>
          <w:sz w:val="32"/>
          <w:szCs w:val="32"/>
        </w:rPr>
      </w:pPr>
      <w:r>
        <w:rPr>
          <w:rFonts w:ascii="黑体" w:eastAsia="黑体" w:hAnsi="黑体" w:hint="eastAsia"/>
          <w:sz w:val="32"/>
          <w:szCs w:val="32"/>
        </w:rPr>
        <w:t>五、存在的问题及改进措施</w:t>
      </w:r>
    </w:p>
    <w:p>
      <w:pPr>
        <w:spacing w:line="560" w:lineRule="exact"/>
        <w:ind w:firstLineChars="200" w:firstLine="640"/>
        <w:rPr>
          <w:rFonts w:ascii="楷体" w:eastAsia="楷体" w:hAnsi="楷体" w:hint="eastAsia"/>
          <w:bCs/>
          <w:sz w:val="32"/>
          <w:szCs w:val="32"/>
        </w:rPr>
      </w:pPr>
      <w:r>
        <w:rPr>
          <w:rFonts w:ascii="楷体" w:eastAsia="楷体" w:hAnsi="楷体" w:hint="eastAsia"/>
          <w:bCs/>
          <w:sz w:val="32"/>
          <w:szCs w:val="32"/>
        </w:rPr>
        <w:t>（一）存在的主要问题</w:t>
      </w:r>
    </w:p>
    <w:p>
      <w:pPr>
        <w:widowControl w:val="0"/>
        <w:wordWrap/>
        <w:spacing w:line="560" w:lineRule="exact"/>
        <w:ind w:left="0" w:right="0" w:firstLineChars="200" w:firstLine="640"/>
        <w:textAlignment w:val="auto"/>
        <w:outlineLvl w:val="9"/>
        <w:rPr>
          <w:rFonts w:ascii="楷体" w:eastAsia="楷体" w:hAnsi="楷体" w:hint="eastAsia"/>
          <w:bCs/>
          <w:sz w:val="32"/>
          <w:szCs w:val="32"/>
        </w:rPr>
      </w:pPr>
      <w:r>
        <w:rPr>
          <w:rFonts w:ascii="仿宋" w:eastAsia="仿宋" w:hAnsi="仿宋" w:hint="eastAsia"/>
          <w:b w:val="0"/>
          <w:bCs w:val="0"/>
          <w:sz w:val="32"/>
          <w:szCs w:val="32"/>
          <w:lang w:val="en-US" w:eastAsia="zh-CN"/>
        </w:rPr>
        <w:t>受市委安排的临时性工作等不可抗力因素影响，宣传干部工作经费、文化活动补贴经费、创建文明城工作经费等存在不足，造成资金浪费或无法及时开展相关工作。下一步，我部将制定更精准的年初预算，提高资金使用效益，推动财政管理科学化、精细化水平。</w:t>
      </w:r>
    </w:p>
    <w:p>
      <w:pPr>
        <w:spacing w:line="560" w:lineRule="exact"/>
        <w:ind w:firstLineChars="200" w:firstLine="640"/>
        <w:rPr>
          <w:rFonts w:ascii="楷体" w:eastAsia="楷体" w:hAnsi="楷体"/>
          <w:bCs/>
          <w:sz w:val="32"/>
          <w:szCs w:val="32"/>
        </w:rPr>
      </w:pPr>
      <w:r>
        <w:rPr>
          <w:rFonts w:ascii="楷体" w:eastAsia="楷体" w:hAnsi="楷体" w:hint="eastAsia"/>
          <w:bCs/>
          <w:sz w:val="32"/>
          <w:szCs w:val="32"/>
        </w:rPr>
        <w:t>（二）针对问题提出具体的改进措施或建议</w:t>
      </w:r>
    </w:p>
    <w:p>
      <w:pPr>
        <w:adjustRightInd w:val="0"/>
        <w:snapToGrid w:val="0"/>
        <w:spacing w:line="560" w:lineRule="exact"/>
        <w:ind w:firstLineChars="200" w:firstLine="640"/>
        <w:rPr>
          <w:rFonts w:ascii="黑体" w:eastAsia="黑体" w:hAnsi="黑体" w:hint="eastAsia"/>
          <w:sz w:val="32"/>
          <w:szCs w:val="32"/>
        </w:rPr>
      </w:pPr>
      <w:r>
        <w:rPr>
          <w:rFonts w:ascii="黑体" w:eastAsia="黑体" w:hAnsi="黑体" w:hint="eastAsia"/>
          <w:sz w:val="32"/>
          <w:szCs w:val="32"/>
        </w:rPr>
        <w:t>六、评价工作组人员名单及签字</w:t>
      </w:r>
    </w:p>
    <w:p>
      <w:pPr>
        <w:adjustRightInd w:val="0"/>
        <w:snapToGrid w:val="0"/>
        <w:spacing w:line="560" w:lineRule="exact"/>
        <w:ind w:firstLineChars="200" w:firstLine="640"/>
        <w:rPr>
          <w:rFonts w:ascii="黑体" w:eastAsia="黑体" w:hAnsi="黑体" w:hint="eastAsia"/>
          <w:sz w:val="32"/>
          <w:szCs w:val="32"/>
        </w:rPr>
      </w:pPr>
    </w:p>
    <w:tbl>
      <w:tblPr>
        <w:jc w:val="center"/>
        <w:tblW w:w="9032"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CellMar>
          <w:top w:w="0" w:type="dxa"/>
          <w:left w:w="108" w:type="dxa"/>
          <w:bottom w:w="0" w:type="dxa"/>
          <w:right w:w="108" w:type="dxa"/>
        </w:tblCellMar>
        <w:tblLook w:val="0600" w:firstRow="0" w:lastRow="0" w:firstColumn="0" w:lastColumn="0" w:noHBand="1" w:noVBand="1"/>
      </w:tblPr>
      <w:tblGrid>
        <w:gridCol w:w="1363"/>
        <w:gridCol w:w="4485"/>
        <w:gridCol w:w="3184"/>
      </w:tblGrid>
      <w:tr>
        <w:tc>
          <w:tcPr>
            <w:tcW w:w="1363" w:type="dxa"/>
          </w:tcPr>
          <w:p>
            <w:pPr>
              <w:widowControl w:val="0"/>
              <w:wordWrap/>
              <w:spacing w:line="560" w:lineRule="exact"/>
              <w:ind w:right="0"/>
              <w:jc w:val="center"/>
              <w:textAlignment w:val="auto"/>
              <w:outlineLvl w:val="9"/>
              <w:rPr>
                <w:rFonts w:ascii="黑体" w:eastAsia="黑体" w:cs="黑体" w:hAnsi="黑体" w:hint="eastAsia"/>
                <w:color w:val="auto"/>
                <w:sz w:val="32"/>
                <w:szCs w:val="32"/>
                <w:lang w:eastAsia="zh-CN"/>
              </w:rPr>
            </w:pPr>
            <w:r>
              <w:rPr>
                <w:rFonts w:ascii="黑体" w:eastAsia="黑体" w:cs="黑体" w:hAnsi="黑体" w:hint="eastAsia"/>
                <w:color w:val="auto"/>
                <w:sz w:val="32"/>
                <w:szCs w:val="32"/>
                <w:lang w:eastAsia="zh-CN"/>
              </w:rPr>
              <w:t>姓名</w:t>
            </w:r>
          </w:p>
        </w:tc>
        <w:tc>
          <w:tcPr>
            <w:tcW w:w="4485" w:type="dxa"/>
          </w:tcPr>
          <w:p>
            <w:pPr>
              <w:widowControl w:val="0"/>
              <w:wordWrap/>
              <w:spacing w:line="560" w:lineRule="exact"/>
              <w:ind w:right="0"/>
              <w:jc w:val="center"/>
              <w:textAlignment w:val="auto"/>
              <w:outlineLvl w:val="9"/>
              <w:rPr>
                <w:rFonts w:ascii="黑体" w:eastAsia="黑体" w:cs="黑体" w:hAnsi="黑体" w:hint="eastAsia"/>
                <w:color w:val="auto"/>
                <w:sz w:val="32"/>
                <w:szCs w:val="32"/>
                <w:lang w:val="en-US" w:eastAsia="zh-CN"/>
              </w:rPr>
            </w:pPr>
            <w:r>
              <w:rPr>
                <w:rFonts w:ascii="黑体" w:eastAsia="黑体" w:cs="黑体" w:hAnsi="黑体" w:hint="eastAsia"/>
                <w:color w:val="auto"/>
                <w:sz w:val="32"/>
                <w:szCs w:val="32"/>
                <w:lang w:val="en-US" w:eastAsia="zh-CN"/>
              </w:rPr>
              <w:t>单位及职务</w:t>
            </w:r>
          </w:p>
        </w:tc>
        <w:tc>
          <w:tcPr>
            <w:tcW w:w="3184" w:type="dxa"/>
          </w:tcPr>
          <w:p>
            <w:pPr>
              <w:widowControl w:val="0"/>
              <w:wordWrap/>
              <w:spacing w:line="560" w:lineRule="exact"/>
              <w:ind w:left="0" w:right="0" w:firstLineChars="200" w:firstLine="640"/>
              <w:jc w:val="center"/>
              <w:textAlignment w:val="auto"/>
              <w:outlineLvl w:val="9"/>
              <w:rPr>
                <w:rFonts w:ascii="黑体" w:eastAsia="黑体" w:cs="黑体" w:hAnsi="黑体" w:hint="eastAsia"/>
                <w:color w:val="auto"/>
                <w:sz w:val="32"/>
                <w:szCs w:val="32"/>
                <w:lang w:val="en-US" w:eastAsia="zh-CN"/>
              </w:rPr>
            </w:pPr>
            <w:r>
              <w:rPr>
                <w:rFonts w:ascii="黑体" w:eastAsia="黑体" w:cs="黑体" w:hAnsi="黑体" w:hint="eastAsia"/>
                <w:color w:val="auto"/>
                <w:sz w:val="32"/>
                <w:szCs w:val="32"/>
                <w:lang w:val="en-US" w:eastAsia="zh-CN"/>
              </w:rPr>
              <w:t>签字</w:t>
            </w:r>
          </w:p>
        </w:tc>
      </w:tr>
      <w:tr>
        <w:trPr>
          <w:trHeight w:val="567"/>
        </w:trPr>
        <w:tc>
          <w:tcPr>
            <w:tcW w:w="1363" w:type="dxa"/>
            <w:vAlign w:val="center"/>
          </w:tcPr>
          <w:p>
            <w:pPr>
              <w:widowControl w:val="0"/>
              <w:wordWrap/>
              <w:spacing w:line="560" w:lineRule="exact"/>
              <w:ind w:right="0"/>
              <w:jc w:val="center"/>
              <w:textAlignment w:val="auto"/>
              <w:outlineLvl w:val="9"/>
              <w:rPr>
                <w:rFonts w:ascii="仿宋" w:eastAsia="仿宋" w:hAnsi="仿宋"/>
                <w:color w:val="auto"/>
                <w:sz w:val="32"/>
                <w:szCs w:val="32"/>
                <w:lang w:val="en-US" w:eastAsia="zh-CN"/>
              </w:rPr>
            </w:pPr>
            <w:r>
              <w:rPr>
                <w:rFonts w:ascii="仿宋" w:eastAsia="仿宋" w:hAnsi="仿宋" w:hint="eastAsia"/>
                <w:color w:val="auto"/>
                <w:sz w:val="32"/>
                <w:szCs w:val="32"/>
                <w:lang w:val="en-US" w:eastAsia="zh-CN"/>
              </w:rPr>
              <w:t>李永强</w:t>
            </w:r>
          </w:p>
        </w:tc>
        <w:tc>
          <w:tcPr>
            <w:tcW w:w="4485" w:type="dxa"/>
            <w:tcBorders>
              <w:left w:val="single" w:sz="4" w:space="0" w:color="auto"/>
            </w:tcBorders>
            <w:vAlign w:val="center"/>
          </w:tcPr>
          <w:p>
            <w:pPr>
              <w:widowControl w:val="0"/>
              <w:wordWrap/>
              <w:spacing w:line="560" w:lineRule="exact"/>
              <w:ind w:right="0"/>
              <w:jc w:val="center"/>
              <w:textAlignment w:val="auto"/>
              <w:outlineLvl w:val="9"/>
              <w:rPr>
                <w:rFonts w:ascii="仿宋" w:eastAsia="仿宋" w:hAnsi="仿宋" w:hint="eastAsia"/>
                <w:color w:val="auto"/>
                <w:sz w:val="32"/>
                <w:szCs w:val="32"/>
                <w:lang w:val="en-US" w:eastAsia="zh-CN"/>
              </w:rPr>
            </w:pPr>
            <w:r>
              <w:rPr>
                <w:rFonts w:ascii="仿宋" w:eastAsia="仿宋" w:hAnsi="仿宋" w:hint="eastAsia"/>
                <w:color w:val="auto"/>
                <w:sz w:val="32"/>
                <w:szCs w:val="32"/>
                <w:lang w:val="en-US" w:eastAsia="zh-CN"/>
              </w:rPr>
              <w:t>井陉矿区委宣传部常务副部长</w:t>
            </w:r>
          </w:p>
        </w:tc>
        <w:tc>
          <w:tcPr>
            <w:tcW w:w="3184" w:type="dxa"/>
            <w:tcBorders>
              <w:left w:val="single" w:sz="4" w:space="0" w:color="auto"/>
            </w:tcBorders>
          </w:tcPr>
          <w:p>
            <w:pPr>
              <w:widowControl w:val="0"/>
              <w:wordWrap/>
              <w:spacing w:line="560" w:lineRule="exact"/>
              <w:ind w:right="0"/>
              <w:jc w:val="center"/>
              <w:textAlignment w:val="auto"/>
              <w:outlineLvl w:val="9"/>
              <w:rPr>
                <w:rFonts w:ascii="仿宋" w:eastAsia="仿宋" w:hAnsi="仿宋" w:hint="eastAsia"/>
                <w:color w:val="auto"/>
                <w:sz w:val="32"/>
                <w:szCs w:val="32"/>
                <w:lang w:val="en-US" w:eastAsia="zh-CN"/>
              </w:rPr>
            </w:pPr>
          </w:p>
        </w:tc>
      </w:tr>
      <w:tr>
        <w:trPr>
          <w:trHeight w:val="567"/>
        </w:trPr>
        <w:tc>
          <w:tcPr>
            <w:tcW w:w="1363" w:type="dxa"/>
            <w:vAlign w:val="center"/>
          </w:tcPr>
          <w:p>
            <w:pPr>
              <w:widowControl w:val="0"/>
              <w:wordWrap/>
              <w:spacing w:line="560" w:lineRule="exact"/>
              <w:ind w:right="0"/>
              <w:jc w:val="center"/>
              <w:textAlignment w:val="auto"/>
              <w:outlineLvl w:val="9"/>
              <w:rPr>
                <w:rFonts w:ascii="仿宋" w:eastAsia="仿宋" w:hAnsi="仿宋" w:hint="eastAsia"/>
                <w:color w:val="auto"/>
                <w:sz w:val="32"/>
                <w:szCs w:val="32"/>
                <w:lang w:val="en-US" w:eastAsia="zh-CN"/>
              </w:rPr>
            </w:pPr>
            <w:r>
              <w:rPr>
                <w:rFonts w:ascii="仿宋" w:eastAsia="仿宋" w:hAnsi="仿宋" w:hint="eastAsia"/>
                <w:color w:val="auto"/>
                <w:sz w:val="32"/>
                <w:szCs w:val="32"/>
                <w:lang w:val="en-US" w:eastAsia="zh-CN"/>
              </w:rPr>
              <w:t>高</w:t>
            </w:r>
            <w:r>
              <w:rPr>
                <w:rFonts w:ascii="仿宋" w:eastAsia="仿宋" w:hAnsi="仿宋"/>
                <w:color w:val="auto"/>
                <w:sz w:val="32"/>
                <w:szCs w:val="32"/>
                <w:lang w:val="en-US" w:eastAsia="zh-CN"/>
              </w:rPr>
              <w:t xml:space="preserve"> </w:t>
            </w:r>
            <w:r>
              <w:rPr>
                <w:rFonts w:ascii="仿宋" w:eastAsia="仿宋" w:hAnsi="仿宋" w:hint="eastAsia"/>
                <w:color w:val="auto"/>
                <w:sz w:val="32"/>
                <w:szCs w:val="32"/>
                <w:lang w:val="en-US" w:eastAsia="zh-CN"/>
              </w:rPr>
              <w:t>敏</w:t>
            </w:r>
          </w:p>
        </w:tc>
        <w:tc>
          <w:tcPr>
            <w:tcW w:w="4485" w:type="dxa"/>
            <w:tcBorders>
              <w:left w:val="single" w:sz="4" w:space="0" w:color="auto"/>
            </w:tcBorders>
            <w:vAlign w:val="center"/>
          </w:tcPr>
          <w:p>
            <w:pPr>
              <w:widowControl w:val="0"/>
              <w:wordWrap/>
              <w:spacing w:line="560" w:lineRule="exact"/>
              <w:ind w:right="0"/>
              <w:jc w:val="center"/>
              <w:textAlignment w:val="auto"/>
              <w:outlineLvl w:val="9"/>
              <w:rPr>
                <w:rFonts w:ascii="仿宋" w:eastAsia="仿宋" w:hAnsi="仿宋" w:hint="eastAsia"/>
                <w:color w:val="auto"/>
                <w:sz w:val="32"/>
                <w:szCs w:val="32"/>
                <w:lang w:val="en-US" w:eastAsia="zh-CN"/>
              </w:rPr>
            </w:pPr>
            <w:r>
              <w:rPr>
                <w:rFonts w:ascii="仿宋" w:eastAsia="仿宋" w:hAnsi="仿宋" w:hint="eastAsia"/>
                <w:color w:val="auto"/>
                <w:sz w:val="32"/>
                <w:szCs w:val="32"/>
                <w:lang w:val="en-US" w:eastAsia="zh-CN"/>
              </w:rPr>
              <w:t>井陉矿区委宣传部副部长</w:t>
            </w:r>
          </w:p>
        </w:tc>
        <w:tc>
          <w:tcPr>
            <w:tcW w:w="3184" w:type="dxa"/>
            <w:tcBorders>
              <w:left w:val="single" w:sz="4" w:space="0" w:color="auto"/>
            </w:tcBorders>
          </w:tcPr>
          <w:p>
            <w:pPr>
              <w:widowControl w:val="0"/>
              <w:wordWrap/>
              <w:spacing w:line="560" w:lineRule="exact"/>
              <w:ind w:right="0"/>
              <w:jc w:val="center"/>
              <w:textAlignment w:val="auto"/>
              <w:outlineLvl w:val="9"/>
              <w:rPr>
                <w:rFonts w:ascii="仿宋" w:eastAsia="仿宋" w:hAnsi="仿宋" w:hint="eastAsia"/>
                <w:color w:val="auto"/>
                <w:sz w:val="32"/>
                <w:szCs w:val="32"/>
                <w:lang w:val="en-US" w:eastAsia="zh-CN"/>
              </w:rPr>
            </w:pPr>
          </w:p>
        </w:tc>
      </w:tr>
      <w:tr>
        <w:trPr>
          <w:trHeight w:val="567"/>
        </w:trPr>
        <w:tc>
          <w:tcPr>
            <w:tcW w:w="1363" w:type="dxa"/>
            <w:vAlign w:val="center"/>
          </w:tcPr>
          <w:p>
            <w:pPr>
              <w:widowControl w:val="0"/>
              <w:wordWrap/>
              <w:spacing w:line="560" w:lineRule="exact"/>
              <w:ind w:right="0"/>
              <w:jc w:val="center"/>
              <w:textAlignment w:val="auto"/>
              <w:outlineLvl w:val="9"/>
              <w:rPr>
                <w:rFonts w:ascii="仿宋" w:eastAsia="仿宋" w:cs="黑体" w:hAnsi="仿宋" w:hint="eastAsia"/>
                <w:color w:val="auto"/>
                <w:kern w:val="2"/>
                <w:sz w:val="32"/>
                <w:szCs w:val="32"/>
                <w:lang w:val="en-US" w:eastAsia="zh-CN" w:bidi="ar-SA"/>
              </w:rPr>
            </w:pPr>
            <w:r>
              <w:rPr>
                <w:rFonts w:ascii="仿宋" w:eastAsia="仿宋" w:hAnsi="仿宋" w:hint="eastAsia"/>
                <w:color w:val="auto"/>
                <w:sz w:val="32"/>
                <w:szCs w:val="32"/>
                <w:lang w:val="en-US" w:eastAsia="zh-CN"/>
              </w:rPr>
              <w:t>屈会明</w:t>
            </w:r>
          </w:p>
        </w:tc>
        <w:tc>
          <w:tcPr>
            <w:tcW w:w="4485" w:type="dxa"/>
            <w:tcBorders>
              <w:left w:val="single" w:sz="4" w:space="0" w:color="auto"/>
            </w:tcBorders>
            <w:vAlign w:val="center"/>
          </w:tcPr>
          <w:p>
            <w:pPr>
              <w:widowControl w:val="0"/>
              <w:wordWrap/>
              <w:spacing w:line="560" w:lineRule="exact"/>
              <w:ind w:right="0"/>
              <w:jc w:val="center"/>
              <w:textAlignment w:val="auto"/>
              <w:outlineLvl w:val="9"/>
              <w:rPr>
                <w:rFonts w:ascii="仿宋" w:eastAsia="仿宋" w:cs="黑体" w:hAnsi="仿宋" w:hint="eastAsia"/>
                <w:color w:val="auto"/>
                <w:kern w:val="2"/>
                <w:sz w:val="32"/>
                <w:szCs w:val="32"/>
                <w:lang w:val="en-US" w:eastAsia="zh-CN" w:bidi="ar-SA"/>
              </w:rPr>
            </w:pPr>
            <w:r>
              <w:rPr>
                <w:rFonts w:ascii="仿宋" w:eastAsia="仿宋" w:hAnsi="仿宋" w:hint="eastAsia"/>
                <w:color w:val="auto"/>
                <w:sz w:val="32"/>
                <w:szCs w:val="32"/>
                <w:lang w:val="en-US" w:eastAsia="zh-CN"/>
              </w:rPr>
              <w:t>井陉矿区委宣传部部务会成员</w:t>
            </w:r>
          </w:p>
        </w:tc>
        <w:tc>
          <w:tcPr>
            <w:tcW w:w="3184" w:type="dxa"/>
            <w:tcBorders>
              <w:left w:val="single" w:sz="4" w:space="0" w:color="auto"/>
            </w:tcBorders>
          </w:tcPr>
          <w:p>
            <w:pPr>
              <w:widowControl w:val="0"/>
              <w:wordWrap/>
              <w:spacing w:line="560" w:lineRule="exact"/>
              <w:ind w:right="0"/>
              <w:jc w:val="center"/>
              <w:textAlignment w:val="auto"/>
              <w:outlineLvl w:val="9"/>
              <w:rPr>
                <w:rFonts w:ascii="仿宋" w:eastAsia="仿宋" w:hAnsi="仿宋" w:hint="eastAsia"/>
                <w:color w:val="auto"/>
                <w:sz w:val="32"/>
                <w:szCs w:val="32"/>
                <w:lang w:val="en-US" w:eastAsia="zh-CN"/>
              </w:rPr>
            </w:pPr>
          </w:p>
        </w:tc>
      </w:tr>
      <w:tr>
        <w:trPr>
          <w:trHeight w:val="567"/>
        </w:trPr>
        <w:tc>
          <w:tcPr>
            <w:tcW w:w="1363" w:type="dxa"/>
            <w:vAlign w:val="center"/>
          </w:tcPr>
          <w:p>
            <w:pPr>
              <w:widowControl w:val="0"/>
              <w:wordWrap/>
              <w:spacing w:line="560" w:lineRule="exact"/>
              <w:ind w:right="0"/>
              <w:jc w:val="center"/>
              <w:textAlignment w:val="auto"/>
              <w:outlineLvl w:val="9"/>
              <w:rPr>
                <w:rFonts w:ascii="仿宋" w:eastAsia="仿宋" w:hAnsi="仿宋" w:hint="eastAsia"/>
                <w:color w:val="auto"/>
                <w:sz w:val="32"/>
                <w:szCs w:val="32"/>
                <w:lang w:val="en-US" w:eastAsia="zh-CN"/>
              </w:rPr>
            </w:pPr>
            <w:r>
              <w:rPr>
                <w:rFonts w:ascii="仿宋" w:eastAsia="仿宋" w:hAnsi="仿宋" w:hint="eastAsia"/>
                <w:color w:val="auto"/>
                <w:sz w:val="32"/>
                <w:szCs w:val="32"/>
                <w:lang w:val="en-US" w:eastAsia="zh-CN"/>
              </w:rPr>
              <w:t>王云霞</w:t>
            </w:r>
          </w:p>
        </w:tc>
        <w:tc>
          <w:tcPr>
            <w:tcW w:w="4485" w:type="dxa"/>
            <w:tcBorders>
              <w:left w:val="single" w:sz="4" w:space="0" w:color="auto"/>
            </w:tcBorders>
            <w:vAlign w:val="center"/>
          </w:tcPr>
          <w:p>
            <w:pPr>
              <w:widowControl w:val="0"/>
              <w:wordWrap/>
              <w:spacing w:line="560" w:lineRule="exact"/>
              <w:ind w:right="0"/>
              <w:jc w:val="center"/>
              <w:textAlignment w:val="auto"/>
              <w:outlineLvl w:val="9"/>
              <w:rPr>
                <w:rFonts w:ascii="仿宋" w:eastAsia="仿宋" w:hAnsi="仿宋" w:hint="eastAsia"/>
                <w:color w:val="auto"/>
                <w:sz w:val="32"/>
                <w:szCs w:val="32"/>
                <w:lang w:val="en-US" w:eastAsia="zh-CN"/>
              </w:rPr>
            </w:pPr>
            <w:r>
              <w:rPr>
                <w:rFonts w:ascii="仿宋" w:eastAsia="仿宋" w:hAnsi="仿宋" w:hint="eastAsia"/>
                <w:color w:val="auto"/>
                <w:sz w:val="32"/>
                <w:szCs w:val="32"/>
                <w:lang w:val="en-US" w:eastAsia="zh-CN"/>
              </w:rPr>
              <w:t>井陉矿区委宣传部科员</w:t>
            </w:r>
          </w:p>
        </w:tc>
        <w:tc>
          <w:tcPr>
            <w:tcW w:w="3184" w:type="dxa"/>
            <w:tcBorders>
              <w:left w:val="single" w:sz="4" w:space="0" w:color="auto"/>
            </w:tcBorders>
          </w:tcPr>
          <w:p>
            <w:pPr>
              <w:widowControl w:val="0"/>
              <w:wordWrap/>
              <w:spacing w:line="560" w:lineRule="exact"/>
              <w:ind w:right="0"/>
              <w:jc w:val="center"/>
              <w:textAlignment w:val="auto"/>
              <w:outlineLvl w:val="9"/>
              <w:rPr>
                <w:rFonts w:ascii="仿宋" w:eastAsia="仿宋" w:hAnsi="仿宋" w:hint="eastAsia"/>
                <w:color w:val="auto"/>
                <w:sz w:val="32"/>
                <w:szCs w:val="32"/>
                <w:lang w:val="en-US" w:eastAsia="zh-CN"/>
              </w:rPr>
            </w:pPr>
          </w:p>
        </w:tc>
      </w:tr>
    </w:tbl>
    <w:p>
      <w:pPr>
        <w:adjustRightInd w:val="0"/>
        <w:snapToGrid w:val="0"/>
        <w:spacing w:line="560" w:lineRule="exact"/>
        <w:ind w:firstLineChars="200" w:firstLine="640"/>
        <w:rPr>
          <w:rFonts w:ascii="黑体" w:eastAsia="黑体" w:hAnsi="黑体"/>
          <w:sz w:val="32"/>
          <w:szCs w:val="32"/>
        </w:rPr>
      </w:pPr>
    </w:p>
    <w:p>
      <w:pPr>
        <w:spacing w:line="560" w:lineRule="exact"/>
        <w:rPr>
          <w:rFonts w:ascii="仿宋" w:eastAsia="仿宋" w:hAnsi="仿宋"/>
        </w:rPr>
      </w:pPr>
    </w:p>
    <w:sectPr>
      <w:footerReference w:type="default" r:id="rId2"/>
      <w:pgSz w:w="11906" w:h="16838"/>
      <w:pgMar w:top="1440" w:right="1474" w:bottom="1440" w:left="1587" w:header="851" w:footer="992" w:gutter="0"/>
      <w:pgNumType w:fmt="numberInDash"/>
      <w:cols w:num="1" w:space="720"/>
      <w:docGrid w:type="lines" w:linePitch="312" w:charSpace="0"/>
    </w:sectPr>
  </w:body>
</w:document>
</file>

<file path=word/fontTable.xml><?xml version="1.0" encoding="utf-8"?>
<w:fonts xmlns:w="http://schemas.openxmlformats.org/wordprocessingml/2006/main" xmlns:r="http://schemas.openxmlformats.org/officeDocument/2006/relationships">
  <w:font w:name="黑体">
    <w:panose1 w:val="02010609060101010101"/>
    <w:charset w:val="86"/>
    <w:family w:val="auto"/>
    <w:pitch w:val="variable"/>
    <w:sig w:usb0="800002BF" w:usb1="38CF7CFA" w:usb2="00000016" w:usb3="00000000" w:csb0="00040001" w:csb1="00000000"/>
  </w:font>
  <w:font w:name="宋体">
    <w:panose1 w:val="02010600030101010101"/>
    <w:charset w:val="86"/>
    <w:family w:val="auto"/>
    <w:pitch w:val="variable"/>
    <w:sig w:usb0="00000003" w:usb1="288F0000" w:usb2="00000006" w:usb3="00000000" w:csb0="00040001" w:csb1="00000000"/>
  </w:font>
  <w:font w:name="华文楷体">
    <w:altName w:val="宋体"/>
    <w:panose1 w:val="02010600040101010101"/>
    <w:charset w:val="86"/>
    <w:family w:val="auto"/>
    <w:pitch w:val="variable"/>
    <w:sig w:usb0="00000000" w:usb1="00000000" w:usb2="00000000" w:usb3="00000000" w:csb0="0004009F" w:csb1="DFD70000"/>
  </w:font>
  <w:font w:name="仿宋">
    <w:panose1 w:val="02010609060101010101"/>
    <w:charset w:val="86"/>
    <w:family w:val="modern"/>
    <w:pitch w:val="variable"/>
    <w:sig w:usb0="800002BF" w:usb1="38CF7CFA" w:usb2="00000016" w:usb3="00000000" w:csb0="00040001" w:csb1="00000000"/>
  </w:font>
  <w:font w:name="楷体">
    <w:panose1 w:val="02010609060101010101"/>
    <w:charset w:val="86"/>
    <w:family w:val="modern"/>
    <w:pitch w:val="variable"/>
    <w:sig w:usb0="800002BF" w:usb1="38CF7CFA" w:usb2="00000016" w:usb3="00000000" w:csb0="00040001" w:csb1="00000000"/>
  </w:font>
  <w:font w:name="楷体_GB2312">
    <w:altName w:val="楷体"/>
    <w:panose1 w:val="02010609030101010101"/>
    <w:charset w:val="86"/>
    <w:family w:val="auto"/>
    <w:pitch w:val="variable"/>
    <w:sig w:usb0="00000000" w:usb1="00000000" w:usb2="00000000" w:usb3="00000000" w:csb0="00040000" w:csb1="00000000"/>
  </w:font>
  <w:font w:name="仿宋_GB2312">
    <w:altName w:val="仿宋"/>
    <w:panose1 w:val="02010609030101010101"/>
    <w:charset w:val="86"/>
    <w:family w:val="auto"/>
    <w:pitch w:val="variable"/>
    <w:sig w:usb0="00000000" w:usb1="00000000" w:usb2="00000000" w:usb3="00000000" w:csb0="00040000" w:csb1="00000000"/>
  </w:font>
  <w:font w:name="ArialUnicodeMS">
    <w:altName w:val="Malgun Gothic"/>
    <w:panose1 w:val="00000000000000000000"/>
    <w:charset w:val="81"/>
    <w:family w:val="auto"/>
    <w:pitch w:val="variable"/>
    <w:sig w:usb0="00000000" w:usb1="00000000" w:usb2="00000010" w:usb3="00000000" w:csb0="00080001" w:csb1="00000000"/>
  </w:font>
  <w:font w:name="Calibri">
    <w:panose1 w:val="020F0502020204030204"/>
    <w:charset w:val="00"/>
    <w:family w:val="swiss"/>
    <w:pitch w:val="variable"/>
    <w:sig w:usb0="E0002EFF" w:usb1="C000247B" w:usb2="00000009" w:usb3="00000000" w:csb0="200001FF" w:csb1="00000000"/>
  </w:font>
  <w:font w:name="Times New Roman">
    <w:panose1 w:val="02020603050405020304"/>
    <w:charset w:val="00"/>
    <w:family w:val="roman"/>
    <w:pitch w:val="variable"/>
    <w:sig w:usb0="20007A87" w:usb1="80000000" w:usb2="00000008" w:usb3="00000000" w:csb0="000001FF" w:csb1="00000000"/>
  </w:font>
  <w:font w:name="Arial">
    <w:panose1 w:val="020B0604020202020204"/>
    <w:charset w:val="01"/>
    <w:family w:val="swiss"/>
    <w:pitch w:val="variable"/>
    <w:sig w:usb0="E0002EFF" w:usb1="C000785B" w:usb2="00000009" w:usb3="00000000" w:csb0="400001FF" w:csb1="FFFF0000"/>
  </w:font>
  <w:font w:name="Cambria">
    <w:panose1 w:val="02040503050406030204"/>
    <w:charset w:val="00"/>
    <w:family w:val="roman"/>
    <w:pitch w:val="variable"/>
    <w:sig w:usb0="E00006FF" w:usb1="420024FF" w:usb2="02000000" w:usb3="00000000" w:csb0="2000019F" w:csb1="00000000"/>
  </w:font>
  <w:font w:name="方正仿宋_GBK">
    <w:altName w:val="宋体"/>
    <w:panose1 w:val="00000000000000000000"/>
    <w:charset w:val="86"/>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tabs>
        <w:tab w:val="center" w:pos="4153"/>
        <w:tab w:val="right" w:pos="8306"/>
      </w:tabs>
    </w:pPr>
    <w:r>
      <mc:AlternateContent>
        <mc:Choice Requires="wps">
          <w:drawing>
            <wp:anchor distT="0" distB="0" distL="90805" distR="90805" simplePos="0" relativeHeight="12" behindDoc="0" locked="0" layoutInCell="1" hidden="0" allowOverlap="1">
              <wp:simplePos x="0" y="0"/>
              <wp:positionH relativeFrom="margin">
                <wp:align>center</wp:align>
              </wp:positionH>
              <wp:positionV relativeFrom="paragraph">
                <wp:posOffset>0</wp:posOffset>
              </wp:positionV>
              <wp:extent cx="209550" cy="162560"/>
              <wp:effectExtent l="0" t="0" r="0" b="0"/>
              <wp:wrapNone/>
              <wp:docPr id="1" name="Quad Arrow 3073"/>
              <wp:cNvGraphicFramePr>
                <a:graphicFrameLocks noChangeAspect="0"/>
              </wp:cNvGraphicFramePr>
              <a:graphic>
                <a:graphicData uri="http://schemas.microsoft.com/office/word/2010/wordprocessingShape">
                  <wps:wsp>
                    <wps:cNvSpPr/>
                    <wps:spPr>
                      <a:xfrm rot="0">
                        <a:off x="0" y="0"/>
                        <a:ext cx="209550" cy="162560"/>
                      </a:xfrm>
                      <a:prstGeom prst="rect"/>
                      <a:noFill/>
                      <a:ln w="9525" cmpd="sng" cap="flat">
                        <a:noFill/>
                        <a:prstDash val="solid"/>
                        <a:miter/>
                      </a:ln>
                    </wps:spPr>
                    <wps:txbx id="1">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vert="horz" wrap="none" lIns="0" tIns="0" rIns="0" bIns="0" anchor="t" anchorCtr="0" upright="1">
                      <a:spAutoFit/>
                    </wps:bodyPr>
                  </wps:wsp>
                </a:graphicData>
              </a:graphic>
            </wp:anchor>
          </w:drawing>
        </mc:Choice>
        <mc:Fallback>
          <w:pict>
            <v:rect type="#_x0000_t1" id="Quad Arrow 3073" o:spid="_x0000_s2" filled="f" stroked="f" style="position:absolute;margin-left:0.0pt;margin-top:0.0pt;width:16.5pt;height:12.8pt;z-index:12;mso-position-horizontal:center;mso-position-horizontal-relative:margin;mso-position-vertical:absolute;mso-wrap-distance-left:7.15pt;mso-wrap-distance-right:7.15pt;mso-wrap-style:none;">
              <v:stroke/>
              <v:textbox id="848" inset="0mm,0mm,0mm,0mm" o:insetmode="custom" style="layout-flow:horizontal;v-text-anchor:top;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C078870"/>
    <w:multiLevelType w:val="singleLevel"/>
    <w:tmpl w:val="0C078870"/>
    <w:lvl w:ilvl="0">
      <w:start w:val="2"/>
      <w:numFmt w:val="chineseCounting"/>
      <w:lvlRestart w:val="0"/>
      <w:suff w:val="nothing"/>
      <w:lvlText w:val="（%1）"/>
      <w:lvlJc w:val="left"/>
      <w:pPr/>
      <w:rPr>
        <w:rFonts w:hint="eastAsia"/>
      </w:rPr>
    </w:lvl>
  </w:abstractNum>
  <w:abstractNum w:abstractNumId="1">
    <w:nsid w:val="0516AA81"/>
    <w:multiLevelType w:val="singleLevel"/>
    <w:tmpl w:val="0516AA81"/>
    <w:lvl w:ilvl="0">
      <w:start w:val="2"/>
      <w:numFmt w:val="chineseCounting"/>
      <w:lvlRestart w:val="0"/>
      <w:suff w:val="nothing"/>
      <w:lvlText w:val="（%1）"/>
      <w:lvlJc w:val="left"/>
      <w:pPr>
        <w:ind w:left="642" w:hanging="0"/>
      </w:pPr>
      <w:rPr>
        <w:rFonts w:hint="eastAsia"/>
      </w:rPr>
    </w:lvl>
  </w:abstractNum>
  <w:abstractNum w:abstractNumId="2">
    <w:nsid w:val="5E68489B"/>
    <w:multiLevelType w:val="singleLevel"/>
    <w:tmpl w:val="5E68489B"/>
    <w:lvl w:ilvl="0">
      <w:start w:val="1"/>
      <w:numFmt w:val="chineseCounting"/>
      <w:lvlRestart w:val="0"/>
      <w:suff w:val="nothing"/>
      <w:lvlText w:val="（%1）"/>
      <w:lvlJc w:val="left"/>
      <w:pPr>
        <w:ind w:left="0" w:hanging="0"/>
      </w:pPr>
      <w:rPr>
        <w:rFonts w:ascii="楷体" w:hAnsi="楷体" w:eastAsia="楷体"/>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ZjY4ZDM3MWZhNDg5YzFkODQwMjMzNmQwMjUwYzNjNzgifQ=="/>
  </w:docVars>
  <m:mathPr>
    <m:mathFont m:val="Cambria Math"/>
    <m:brkBin m:val="before"/>
    <m:brkBinSub m:val="--"/>
    <m:smallFrac m:val="0"/>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autoRedefine/>
    <w:pPr>
      <w:widowControl w:val="0"/>
      <w:jc w:val="both"/>
    </w:pPr>
    <w:rPr>
      <w:rFonts w:ascii="Calibri" w:eastAsia="宋体" w:cs="黑体" w:hAnsi="Calibri"/>
      <w:kern w:val="2"/>
      <w:sz w:val="21"/>
      <w:szCs w:val="22"/>
      <w:lang w:val="en-US" w:eastAsia="zh-CN" w:bidi="ar-SA"/>
    </w:rPr>
  </w:style>
  <w:style w:type="paragraph" w:styleId="1">
    <w:name w:val="heading 1"/>
    <w:qFormat/>
    <w:basedOn w:val="0"/>
    <w:autoRedefine/>
    <w:next w:val="0"/>
    <w:link w:val="1Char"/>
    <w:pPr>
      <w:keepNext/>
      <w:keepLines/>
      <w:spacing w:before="340" w:after="330" w:line="578" w:lineRule="auto"/>
      <w:outlineLvl w:val="0"/>
    </w:pPr>
    <w:rPr>
      <w:b/>
      <w:bCs/>
      <w:kern w:val="44"/>
      <w:sz w:val="44"/>
      <w:szCs w:val="44"/>
    </w:rPr>
  </w:style>
  <w:style w:type="character" w:customStyle="1" w:styleId="1Char">
    <w:name w:val="heading 1 Char"/>
    <w:basedOn w:val="10"/>
    <w:link w:val="1"/>
    <w:autoRedefine/>
    <w:rPr>
      <w:rFonts w:ascii="Calibri" w:eastAsia="宋体" w:cs="黑体" w:hAnsi="Calibri"/>
      <w:b/>
      <w:bCs/>
      <w:kern w:val="44"/>
      <w:sz w:val="44"/>
      <w:szCs w:val="44"/>
      <w:lang w:val="en-US" w:eastAsia="zh-CN" w:bidi="ar-SA"/>
    </w:rPr>
  </w:style>
  <w:style w:type="paragraph" w:styleId="2">
    <w:name w:val="heading 2"/>
    <w:qFormat/>
    <w:basedOn w:val="0"/>
    <w:autoRedefine/>
    <w:next w:val="0"/>
    <w:link w:val="2Char"/>
    <w:pPr>
      <w:keepNext/>
      <w:keepLines/>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autoRedefine/>
    <w:rPr>
      <w:rFonts w:ascii="Times New Roman" w:eastAsia="黑体" w:cs="黑体" w:hAnsi="Times New Roman"/>
      <w:b/>
      <w:bCs/>
      <w:kern w:val="2"/>
      <w:sz w:val="32"/>
      <w:szCs w:val="32"/>
      <w:lang w:val="en-US" w:eastAsia="zh-CN" w:bidi="ar-SA"/>
    </w:rPr>
  </w:style>
  <w:style w:type="paragraph" w:styleId="3">
    <w:name w:val="heading 3"/>
    <w:qFormat/>
    <w:basedOn w:val="0"/>
    <w:autoRedefine/>
    <w:next w:val="0"/>
    <w:link w:val="3Char"/>
    <w:pPr>
      <w:keepNext/>
      <w:keepLines/>
      <w:spacing w:before="260" w:after="260" w:line="415" w:lineRule="auto"/>
      <w:outlineLvl w:val="2"/>
    </w:pPr>
    <w:rPr>
      <w:b/>
      <w:bCs/>
      <w:sz w:val="32"/>
      <w:szCs w:val="32"/>
    </w:rPr>
  </w:style>
  <w:style w:type="character" w:customStyle="1" w:styleId="3Char">
    <w:name w:val="heading 3 Char"/>
    <w:basedOn w:val="10"/>
    <w:link w:val="3"/>
    <w:autoRedefine/>
    <w:rPr>
      <w:rFonts w:ascii="Calibri" w:eastAsia="宋体" w:cs="黑体" w:hAnsi="Calibri"/>
      <w:b/>
      <w:bCs/>
      <w:kern w:val="2"/>
      <w:sz w:val="32"/>
      <w:szCs w:val="32"/>
      <w:lang w:val="en-US" w:eastAsia="zh-CN" w:bidi="ar-SA"/>
    </w:rPr>
  </w:style>
  <w:style w:type="paragraph" w:styleId="6">
    <w:name w:val="heading 6"/>
    <w:qFormat/>
    <w:basedOn w:val="0"/>
    <w:next w:val="0"/>
    <w:link w:val="6Char"/>
    <w:pPr>
      <w:keepNext/>
      <w:keepLines/>
      <w:tabs>
        <w:tab w:val="left" w:pos="1151"/>
      </w:tabs>
      <w:spacing w:before="240" w:after="64" w:line="319" w:lineRule="auto"/>
      <w:ind w:left="1151" w:hanging="1151"/>
      <w:outlineLvl w:val="5"/>
    </w:pPr>
    <w:rPr>
      <w:rFonts w:ascii="Cambria" w:hAnsi="Cambria"/>
      <w:b/>
      <w:bCs/>
    </w:rPr>
  </w:style>
  <w:style w:type="character" w:customStyle="1" w:styleId="6Char">
    <w:name w:val="heading 6 Char"/>
    <w:basedOn w:val="10"/>
    <w:link w:val="6"/>
    <w:rPr>
      <w:rFonts w:ascii="Cambria" w:eastAsia="宋体" w:cs="黑体" w:hAnsi="Cambria"/>
      <w:b/>
      <w:bCs/>
      <w:kern w:val="2"/>
      <w:sz w:val="21"/>
      <w:szCs w:val="22"/>
      <w:lang w:val="en-US" w:eastAsia="zh-CN" w:bidi="ar-SA"/>
    </w:rPr>
  </w:style>
  <w:style w:type="character" w:default="1" w:styleId="10">
    <w:name w:val="Default Paragraph Font"/>
    <w:qFormat/>
    <w:autoRedefine/>
  </w:style>
  <w:style w:type="paragraph" w:styleId="15">
    <w:name w:val="footer"/>
    <w:qFormat/>
    <w:basedOn w:val="0"/>
    <w:autoRedefine/>
    <w:pPr>
      <w:tabs>
        <w:tab w:val="center" w:pos="4153"/>
        <w:tab w:val="right" w:pos="8306"/>
      </w:tabs>
      <w:snapToGrid w:val="0"/>
      <w:jc w:val="left"/>
    </w:pPr>
    <w:rPr>
      <w:sz w:val="18"/>
    </w:rPr>
  </w:style>
  <w:style w:type="paragraph" w:styleId="16">
    <w:name w:val="header"/>
    <w:qFormat/>
    <w:basedOn w:val="0"/>
    <w:autoRedefine/>
    <w:pPr>
      <w:pBdr>
        <w:top w:val="none" w:sz="0" w:space="0" w:color="auto"/>
        <w:left w:val="none" w:sz="0" w:space="0" w:color="auto"/>
        <w:bottom w:val="none" w:sz="0" w:space="0" w:color="auto"/>
        <w:right w:val="none" w:sz="0" w:space="0" w:color="auto"/>
      </w:pBdr>
      <w:tabs>
        <w:tab w:val="center" w:pos="4153"/>
        <w:tab w:val="right" w:pos="8306"/>
      </w:tabs>
      <w:snapToGrid w:val="0"/>
    </w:pPr>
    <w:rPr>
      <w:rFonts w:ascii="Times New Roman" w:hAnsi="Times New Roman"/>
      <w:sz w:val="18"/>
    </w:rPr>
  </w:style>
  <w:style w:type="paragraph" w:customStyle="1" w:styleId="17">
    <w:name w:val="插入文本样式-插入部门职责文件"/>
    <w:qFormat/>
    <w:basedOn w:val="0"/>
    <w:autoRedefine/>
    <w:pPr>
      <w:spacing w:line="500" w:lineRule="exact"/>
      <w:ind w:firstLine="560"/>
    </w:pPr>
    <w:rPr>
      <w:rFonts w:eastAsia="方正仿宋_GBK"/>
      <w:sz w:val="28"/>
    </w:rPr>
  </w:style>
  <w:style w:type="paragraph" w:customStyle="1" w:styleId="18">
    <w:name w:val="插入文本样式-插入总体目标文件"/>
    <w:qFormat/>
    <w:basedOn w:val="0"/>
    <w:autoRedefine/>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customXml" Target="../customXml/item1.xml"/><Relationship Id="rId7"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mpd="sng" cap="flat">
          <a:solidFill>
            <a:schemeClr val="phClr">
              <a:shade val="95000"/>
              <a:satMod val="105000"/>
            </a:schemeClr>
          </a:solidFill>
          <a:prstDash val="solid"/>
          <a:round/>
        </a:ln>
        <a:ln w="25400" cmpd="sng" cap="flat">
          <a:solidFill>
            <a:schemeClr val="phClr"/>
          </a:solidFill>
          <a:prstDash val="solid"/>
          <a:round/>
        </a:ln>
        <a:ln w="38100" cmpd="sng" cap="flat">
          <a:solidFill>
            <a:schemeClr val="phClr"/>
          </a:solidFill>
          <a:prstDash val="solid"/>
          <a:round/>
        </a:ln>
      </a:lnStyleLst>
      <a:effectStyleLst>
        <a:effectStyle>
          <a:effectLst>
            <a:outerShdw sx="100000" sy="100000" algn="b" rotWithShape="0" blurRad="40000" dist="20000" dir="5400000">
              <a:srgbClr val="000000">
                <a:alpha val="37647"/>
              </a:srgbClr>
            </a:outerShdw>
          </a:effectLst>
        </a:effectStyle>
        <a:effectStyle>
          <a:effectLst>
            <a:outerShdw sx="100000" sy="100000" algn="b" rotWithShape="0" blurRad="40000" dist="23000" dir="5400000">
              <a:srgbClr val="000000">
                <a:alpha val="34509"/>
              </a:srgbClr>
            </a:outerShdw>
          </a:effectLst>
        </a:effectStyle>
        <a:effectStyle>
          <a:effectLst>
            <a:outerShdw sx="100000" sy="100000" algn="b" rotWithShape="0" blurRad="40000" dist="23000" dir="540000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100000" t="100000"/>
          </a:path>
          <a:tileRect r="-100000" b="-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438B5A49-401E-4396-9E71-5564891B92D0}">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47</TotalTime>
  <Application>WPS_Yozo_Office9.0.4819.102ZH</Application>
  <Pages>7</Pages>
  <Words>0</Words>
  <Characters>2814</Characters>
  <Lines>0</Lines>
  <Paragraphs>68</Paragraphs>
  <CharactersWithSpaces>3752</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title>附件3：</dc:title>
  <dc:creator>欣欣大人</dc:creator>
  <cp:lastModifiedBy>Administrator</cp:lastModifiedBy>
  <cp:revision>3</cp:revision>
  <cp:lastPrinted>2026-09-17T02:43:12Z</cp:lastPrinted>
  <dcterms:created xsi:type="dcterms:W3CDTF">2020-02-04T03:46:00Z</dcterms:created>
  <dcterms:modified xsi:type="dcterms:W3CDTF">2026-09-17T02:43:26Z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2052-12.1.0.21915</vt:lpwstr>
  </property>
  <property fmtid="{D5CDD505-2E9C-101B-9397-08002B2CF9AE}" pid="3" name="ICV">
    <vt:lpwstr>655C36D13F534FDEBEAB100174EA6B0E_13</vt:lpwstr>
  </property>
  <property fmtid="{D5CDD505-2E9C-101B-9397-08002B2CF9AE}" pid="4" name="KSOTemplateDocerSaveRecord">
    <vt:lpwstr>eyJoZGlkIjoiZjY4ZDM3MWZhNDg5YzFkODQwMjMzNmQwMjUwYzNjNzgiLCJ1c2VySWQiOiIyOTMxNzkwMjAifQ==</vt:lpwstr>
  </property>
</Properties>
</file>