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beforeAutospacing="0" w:afterAutospacing="0" w:line="600" w:lineRule="exact"/>
        <w:rPr>
          <w:rFonts w:ascii="黑体" w:eastAsia="黑体" w:cs="黑体" w:hAnsi="黑体" w:hint="eastAsia"/>
          <w:color w:val="000000"/>
          <w:sz w:val="32"/>
          <w:szCs w:val="32"/>
        </w:rPr>
      </w:pPr>
      <w:r>
        <w:rPr>
          <w:rFonts w:ascii="黑体" w:eastAsia="黑体" w:cs="黑体" w:hAnsi="黑体" w:hint="eastAsia"/>
          <w:color w:val="000000"/>
          <w:sz w:val="32"/>
          <w:szCs w:val="32"/>
        </w:rPr>
        <w:t>附件4</w:t>
      </w:r>
    </w:p>
    <w:p>
      <w:pPr>
        <w:spacing w:beforeAutospacing="0" w:afterAutospacing="0" w:line="600" w:lineRule="exact"/>
        <w:jc w:val="center"/>
        <w:rPr>
          <w:rFonts w:ascii="宋体" w:cs="宋体" w:hAnsi="宋体"/>
          <w:b/>
          <w:bCs/>
          <w:color w:val="000000"/>
          <w:sz w:val="44"/>
          <w:szCs w:val="44"/>
        </w:rPr>
      </w:pPr>
    </w:p>
    <w:p>
      <w:pPr>
        <w:wordWrap/>
        <w:spacing w:beforeAutospacing="0" w:afterAutospacing="0" w:line="600" w:lineRule="exact"/>
        <w:ind w:left="0"/>
        <w:jc w:val="center"/>
        <w:rPr>
          <w:rFonts w:ascii="宋体" w:cs="宋体" w:hAnsi="宋体"/>
          <w:b/>
          <w:bCs/>
          <w:color w:val="000000"/>
          <w:sz w:val="44"/>
          <w:szCs w:val="44"/>
        </w:rPr>
      </w:pPr>
      <w:r>
        <w:rPr>
          <w:rFonts w:ascii="宋体" w:cs="宋体" w:hAnsi="宋体"/>
          <w:b/>
          <w:bCs/>
          <w:color w:val="000000"/>
          <w:sz w:val="44"/>
          <w:szCs w:val="44"/>
        </w:rPr>
        <w:t>矿区司法局</w:t>
      </w:r>
    </w:p>
    <w:p>
      <w:pPr>
        <w:spacing w:beforeAutospacing="0" w:afterAutospacing="0" w:line="600" w:lineRule="exact"/>
        <w:jc w:val="center"/>
        <w:rPr>
          <w:rFonts w:ascii="宋体" w:cs="宋体" w:hAnsi="宋体"/>
          <w:b/>
          <w:bCs/>
          <w:color w:val="000000"/>
          <w:sz w:val="44"/>
          <w:szCs w:val="44"/>
        </w:rPr>
      </w:pPr>
      <w:r>
        <w:rPr>
          <w:rFonts w:ascii="宋体" w:cs="宋体" w:hAnsi="宋体" w:hint="eastAsia"/>
          <w:b/>
          <w:bCs/>
          <w:color w:val="000000"/>
          <w:sz w:val="44"/>
          <w:szCs w:val="44"/>
        </w:rPr>
        <w:t>202</w:t>
      </w:r>
      <w:r>
        <w:rPr>
          <w:rFonts w:ascii="宋体" w:cs="宋体" w:hAnsi="宋体"/>
          <w:b/>
          <w:bCs/>
          <w:color w:val="000000"/>
          <w:sz w:val="44"/>
          <w:szCs w:val="44"/>
        </w:rPr>
        <w:t>4</w:t>
      </w:r>
      <w:r>
        <w:rPr>
          <w:rFonts w:ascii="宋体" w:cs="宋体" w:hAnsi="宋体" w:hint="eastAsia"/>
          <w:b/>
          <w:bCs/>
          <w:color w:val="000000"/>
          <w:sz w:val="44"/>
          <w:szCs w:val="44"/>
        </w:rPr>
        <w:t>年度整体支出绩效自评报告</w:t>
      </w:r>
    </w:p>
    <w:p>
      <w:pPr>
        <w:spacing w:beforeAutospacing="0" w:afterAutospacing="0" w:line="600" w:lineRule="exact"/>
        <w:jc w:val="center"/>
        <w:rPr>
          <w:rFonts w:ascii="华文楷体" w:eastAsia="华文楷体"/>
          <w:color w:val="000000"/>
          <w:sz w:val="32"/>
          <w:szCs w:val="32"/>
        </w:rPr>
      </w:pP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贯彻落实</w:t>
      </w:r>
      <w:r>
        <w:rPr>
          <w:rFonts w:ascii="仿宋" w:eastAsia="仿宋" w:hAnsi="仿宋"/>
          <w:color w:val="000000"/>
          <w:sz w:val="32"/>
          <w:szCs w:val="32"/>
        </w:rPr>
        <w:t>区委区政府</w:t>
      </w:r>
      <w:r>
        <w:rPr>
          <w:rFonts w:ascii="仿宋" w:eastAsia="仿宋" w:hAnsi="仿宋" w:hint="eastAsia"/>
          <w:color w:val="000000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color w:val="000000"/>
          <w:sz w:val="32"/>
          <w:szCs w:val="32"/>
        </w:rPr>
        <w:t>矿</w:t>
      </w:r>
      <w:r>
        <w:rPr>
          <w:rFonts w:ascii="仿宋" w:eastAsia="仿宋" w:hAnsi="仿宋" w:hint="eastAsia"/>
          <w:color w:val="000000"/>
          <w:sz w:val="32"/>
          <w:szCs w:val="32"/>
        </w:rPr>
        <w:t>发﹝2019﹞</w:t>
      </w:r>
      <w:r>
        <w:rPr>
          <w:rFonts w:ascii="仿宋" w:eastAsia="仿宋" w:hAnsi="仿宋"/>
          <w:color w:val="000000"/>
          <w:sz w:val="32"/>
          <w:szCs w:val="32"/>
        </w:rPr>
        <w:t>7</w:t>
      </w:r>
      <w:r>
        <w:rPr>
          <w:rFonts w:ascii="仿宋" w:eastAsia="仿宋" w:hAnsi="仿宋" w:hint="eastAsia"/>
          <w:color w:val="000000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/>
          <w:color w:val="000000"/>
          <w:sz w:val="32"/>
          <w:szCs w:val="32"/>
        </w:rPr>
        <w:t>矿区司法局</w:t>
      </w:r>
      <w:r>
        <w:rPr>
          <w:rFonts w:ascii="仿宋" w:eastAsia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hAnsi="仿宋"/>
          <w:color w:val="000000"/>
          <w:sz w:val="32"/>
          <w:szCs w:val="32"/>
        </w:rPr>
        <w:t>5</w:t>
      </w:r>
      <w:r>
        <w:rPr>
          <w:rFonts w:ascii="仿宋" w:eastAsia="仿宋" w:hAnsi="仿宋" w:hint="eastAsia"/>
          <w:color w:val="000000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beforeAutospacing="0" w:afterAutospacing="0" w:line="600" w:lineRule="exact"/>
        <w:jc w:val="both"/>
        <w:rPr>
          <w:rFonts w:ascii="黑体" w:eastAsia="黑体" w:hAnsi="黑体"/>
          <w:b/>
          <w:bCs/>
          <w:color w:val="000000"/>
          <w:sz w:val="32"/>
          <w:szCs w:val="36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color w:val="000000"/>
          <w:sz w:val="32"/>
          <w:szCs w:val="36"/>
        </w:rPr>
        <w:t>基本情况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（一）部门概况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jc w:val="both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1.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承担全面依法治区重大问题的政策研究。组织协调有关方面提出全面依法治区中长期规划建议，负责有关重大决策部署督察工作。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2.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负责区政府各部门政府规范性文件的备案审查工作。负责对区政府政策措施、规范性文件和合同协议的合法性审核工作；承办区政府交办的涉法事务。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3.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承担统筹推进井陉矿区法治政府建设的责任。指导、监督区政府各部门依法行政工作；负责综合协调行政执法，推进行政执法体制改革有关工作，推进严格规范公正文明执法；依法承办行政复议案件；受区政府委托，代理行政诉讼案件的应诉；受区政府委托，代理由市政府审理的行政复议裁决案件；指导、监督全区行政复议和行政应诉工作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4.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承担统筹规划全区法治社会建设的责任。负责拟订全区法治宣传教育规划，组织实施普法宣传工作；负责全区依法治理和法治创建工作，推动全区人民参与和促进法治建设，负责全区调解工作；负责全区人民陪审员、人民监督员选任管理工作；管理、指导全区司法所建设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5.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负责全区社区矫正工作，负责全区刑满释放人员的帮教安置工作。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6.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负责拟订全区公共法律服务体系建设规划并组织实施，统筹和布局全区法律服务资源；负责全区律师、公证、法律援助、司法鉴定、仲裁和基层法律服务管理工作。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7.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负责本系统警车等物资装备管理工作；指导、监督本系统财务、装备、设施、场所等保障工作。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8.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规划、协调、指导全区法治人才队伍建设相关工作；负责本系统队伍建设，负责本系统人事警务管理工作。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_GB2312" w:eastAsia="仿宋_GB2312" w:hAnsi="仿宋"/>
          <w:color w:val="000000"/>
          <w:kern w:val="2"/>
          <w:sz w:val="32"/>
          <w:szCs w:val="32"/>
          <w:lang w:val="en-US" w:eastAsia="zh-CN" w:bidi="ar-SA"/>
        </w:rPr>
        <w:t>9.</w:t>
      </w:r>
      <w:r>
        <w:rPr>
          <w:rFonts w:ascii="仿宋_GB2312" w:eastAsia="仿宋_GB2312" w:hAnsi="仿宋" w:hint="eastAsia"/>
          <w:color w:val="000000"/>
          <w:kern w:val="2"/>
          <w:sz w:val="32"/>
          <w:szCs w:val="32"/>
          <w:lang w:val="en-US" w:eastAsia="zh-CN" w:bidi="ar-SA"/>
        </w:rPr>
        <w:t>完成区委、区政府交办的其他任务。</w:t>
      </w:r>
    </w:p>
    <w:p>
      <w:pPr>
        <w:pStyle w:val="133"/>
        <w:spacing w:beforeAutospacing="0" w:afterAutospacing="0" w:line="600" w:lineRule="exact"/>
        <w:ind w:left="0"/>
        <w:jc w:val="both"/>
        <w:rPr>
          <w:rFonts w:ascii="仿宋" w:eastAsia="仿宋" w:cs="仿宋" w:hAnsi="仿宋" w:hint="eastAsia"/>
          <w:b/>
          <w:bCs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b/>
          <w:bCs/>
          <w:color w:val="000000"/>
          <w:kern w:val="2"/>
          <w:sz w:val="32"/>
          <w:szCs w:val="32"/>
          <w:lang w:val="en-US" w:eastAsia="zh-CN" w:bidi="ar-SA"/>
        </w:rPr>
        <w:t>（2）</w:t>
      </w:r>
      <w:r>
        <w:rPr>
          <w:rFonts w:ascii="仿宋" w:eastAsia="仿宋" w:cs="仿宋" w:hAnsi="仿宋" w:hint="eastAsia"/>
          <w:b/>
          <w:bCs/>
          <w:color w:val="000000"/>
          <w:sz w:val="32"/>
          <w:szCs w:val="32"/>
          <w:lang w:eastAsia="zh-CN"/>
        </w:rPr>
        <w:t>组织机构及人员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矿区司法局编制数18个，截至202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5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年底实际在编共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16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人。经费来源为财政拨款。下设石家庄市井陉矿区公证处（不单独核算），编制数3个，截至202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5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年底实际在编共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2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人。经费来源为财政拨款。202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5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年，我部门共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新增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3人，行政编制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1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人，事业编制</w:t>
      </w:r>
      <w:r>
        <w:rPr>
          <w:rFonts w:ascii="仿宋_GB2312" w:eastAsia="仿宋_GB2312" w:cs="仿宋_GB2312"/>
          <w:color w:val="000000"/>
          <w:sz w:val="32"/>
          <w:szCs w:val="32"/>
          <w:lang w:val="en-US" w:eastAsia="zh-CN" w:bidi="ar-SA"/>
        </w:rPr>
        <w:t>2</w:t>
      </w:r>
      <w:r>
        <w:rPr>
          <w:rFonts w:ascii="仿宋_GB2312" w:eastAsia="仿宋_GB2312" w:cs="仿宋_GB2312" w:hint="eastAsia"/>
          <w:color w:val="000000"/>
          <w:sz w:val="32"/>
          <w:szCs w:val="32"/>
          <w:lang w:val="en-US" w:eastAsia="zh-CN" w:bidi="ar-SA"/>
        </w:rPr>
        <w:t>人。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（二）部门收支预决算情况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2025年财政拨款收入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352.6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万元，其中一般公共预算财政拨款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321.1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万元，政府性基金预算财政拨款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4.5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万元；2025年支出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352.6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万元，其中：人员支出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282.23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万元；公用支出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16.19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万元；项目支出</w:t>
      </w:r>
      <w:r>
        <w:rPr>
          <w:rFonts w:ascii="仿宋_GB2312" w:eastAsia="仿宋_GB2312" w:cs="Times New Roman" w:hint="eastAsia"/>
          <w:color w:val="000000"/>
          <w:sz w:val="32"/>
          <w:szCs w:val="32"/>
          <w:lang w:val="en-US" w:eastAsia="zh-CN" w:bidi="ar-SA"/>
        </w:rPr>
        <w:t>27.18</w:t>
      </w:r>
      <w:r>
        <w:rPr>
          <w:rFonts w:ascii="仿宋_GB2312" w:eastAsia="仿宋_GB2312" w:cs="Times New Roman" w:hint="eastAsia"/>
          <w:color w:val="000000"/>
          <w:sz w:val="32"/>
          <w:szCs w:val="32"/>
          <w:lang w:bidi="ar-SA"/>
        </w:rPr>
        <w:t>万元。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（三）部门整体支出绩效目标、指标</w:t>
      </w:r>
    </w:p>
    <w:p>
      <w:pPr>
        <w:pStyle w:val="134"/>
        <w:spacing w:beforeAutospacing="0" w:afterAutospacing="0" w:line="600" w:lineRule="exact"/>
        <w:ind w:left="0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  <w:t>1.按照中央省、市要求，以维护公平正义为主线，在普法宣传、社区矫正、法律援助、公证业务上要有新突破，法律服务队伍管理、基层基础建设和机关自身建设要有新加强，实现司法行政整体工作进入取得先进位次，为建设科技特钢城，品质新矿区提供法律服务和法律保障。</w:t>
      </w:r>
    </w:p>
    <w:p>
      <w:pPr>
        <w:pStyle w:val="134"/>
        <w:spacing w:beforeAutospacing="0" w:afterAutospacing="0" w:line="600" w:lineRule="exact"/>
        <w:ind w:left="0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  <w:t>2.持续开展矛盾纠纷排查化解活动；充分发挥矿区民间疑难纠纷社区工作。充分发挥矿区民间疑难纠纷调解中心示范作用，探索培育新型调解组织。</w:t>
      </w:r>
    </w:p>
    <w:p>
      <w:pPr>
        <w:pStyle w:val="134"/>
        <w:spacing w:beforeAutospacing="0" w:afterAutospacing="0" w:line="600" w:lineRule="exact"/>
        <w:ind w:left="0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  <w:t>3.继续组织公证员、律师、法律服务人员深入开展“法律九进”和“法治九建”活动。全面落实“谁执法、谁普法”责任制，深入社区、机关、乡村、学校等地展开普法宣传活动。</w:t>
      </w:r>
    </w:p>
    <w:p>
      <w:pPr>
        <w:pStyle w:val="134"/>
        <w:spacing w:beforeAutospacing="0" w:afterAutospacing="0" w:line="600" w:lineRule="exact"/>
        <w:ind w:left="0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  <w:lang w:eastAsia="zh-CN"/>
        </w:rPr>
        <w:t>4.提升服务效能，加大法律援助工作力度。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Style w:val="0"/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5.着力完善社区矫正各项管理制度和工作制度，确保刑法的规范化执行，扎实做好法治矿区创建工作。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二、自评工作开展情况</w:t>
      </w:r>
    </w:p>
    <w:p>
      <w:pPr>
        <w:spacing w:beforeAutospacing="0" w:afterAutospacing="0" w:line="600" w:lineRule="exact"/>
        <w:ind w:left="0"/>
        <w:jc w:val="both"/>
        <w:rPr>
          <w:rFonts w:ascii="楷体" w:eastAsia="楷体" w:cs="楷体_GB2312" w:hAnsi="楷体"/>
          <w:color w:val="000000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color w:val="000000"/>
          <w:sz w:val="32"/>
          <w:szCs w:val="32"/>
        </w:rPr>
        <w:t xml:space="preserve">     </w:t>
      </w: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（一）自评的组织工作</w:t>
      </w:r>
    </w:p>
    <w:p>
      <w:pPr>
        <w:spacing w:beforeAutospacing="0" w:afterAutospacing="0" w:line="600" w:lineRule="exact"/>
        <w:ind w:left="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  </w:t>
      </w: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局党组将绩效自评作为重点工作进行部署，专门成立了绩效评价工作领导小组。领导小组由党组书记、局长史志强同志担任组长，成员涵盖办公室负责人、财务分管领导以及各业务股室负责人，为自评工作提供了有力的组织保障。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楷体" w:eastAsia="楷体" w:cs="楷体_GB2312" w:hAnsi="楷体"/>
          <w:bCs/>
          <w:color w:val="000000"/>
          <w:sz w:val="32"/>
          <w:szCs w:val="32"/>
        </w:rPr>
        <w:t>（二）</w:t>
      </w: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自评的方法和过程</w:t>
      </w:r>
    </w:p>
    <w:p>
      <w:pPr>
        <w:spacing w:beforeAutospacing="0" w:afterAutospacing="0" w:line="600" w:lineRule="exact"/>
        <w:jc w:val="both"/>
        <w:rPr>
          <w:rFonts w:ascii="仿宋_GB2312" w:eastAsia="仿宋_GB2312" w:cs="仿宋_GB2312" w:hAnsi="仿宋_GB2312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评价工作组预先制定了详细的自评实施方案，明确了评价范围、工作步骤及进度安排，有序推进自评工作。本次评价以202</w:t>
      </w:r>
      <w:r>
        <w:rPr>
          <w:rFonts w:ascii="仿宋_GB2312" w:eastAsia="仿宋_GB2312" w:cs="仿宋_GB2312" w:hAnsi="仿宋_GB2312"/>
          <w:bCs/>
          <w:color w:val="000000"/>
          <w:sz w:val="32"/>
          <w:szCs w:val="32"/>
        </w:rPr>
        <w:t>4</w:t>
      </w: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年度预算批复的项目绩效目标和考核指标为基准，通过核查财务凭证、比对各项绩效指标实际完成情况，开展综合分析评估，最终形成各项目的自评结果。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黑体" w:eastAsia="黑体" w:hAnsi="黑体"/>
          <w:b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 xml:space="preserve"> 三、部门整体支出绩效目标实现情况及指标分析</w:t>
      </w:r>
    </w:p>
    <w:p>
      <w:pPr>
        <w:numPr>
          <w:ilvl w:val="0"/>
          <w:numId w:val="1"/>
        </w:numPr>
        <w:spacing w:beforeAutospacing="0" w:afterAutospacing="0" w:line="600" w:lineRule="exact"/>
        <w:ind w:left="0" w:firstLineChars="200" w:firstLine="640"/>
        <w:jc w:val="both"/>
        <w:rPr>
          <w:rFonts w:ascii="楷体" w:eastAsia="楷体" w:cs="楷体_GB2312" w:hAnsi="楷体"/>
          <w:bCs/>
          <w:color w:val="000000"/>
          <w:sz w:val="32"/>
          <w:szCs w:val="32"/>
        </w:rPr>
      </w:pP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总体绩效目标实现情况</w:t>
      </w:r>
    </w:p>
    <w:p>
      <w:pPr>
        <w:spacing w:beforeAutospacing="0" w:afterAutospacing="0" w:line="600" w:lineRule="exact"/>
        <w:ind w:firstLineChars="250" w:firstLine="80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紧扣中央及省、市各项工作部署，以坚守和维护社会公平正义为核心主线，聚焦普法宣传、社区矫正、法律援助、公证服务四大核心业务攻坚突破，全力推动司法行政整体工作提档升级、争先创优</w:t>
      </w:r>
      <w:r>
        <w:rPr>
          <w:rFonts w:ascii="仿宋_GB2312" w:eastAsia="仿宋_GB2312" w:cs="仿宋_GB2312" w:hAnsi="仿宋_GB2312"/>
          <w:bCs/>
          <w:color w:val="000000"/>
          <w:sz w:val="32"/>
          <w:szCs w:val="32"/>
        </w:rPr>
        <w:t>。</w:t>
      </w: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常态化开展矛盾纠纷常态化排查、清单化化解工作，依托矿区民间疑难纠纷调解中心的示范引领优势，积极探索培育专业化、新型化基层调解组织，不断提升基层矛盾纠纷多元化解能力。持续组织公证、律师、基层法律服务工作者下沉一线，常态化开展专项法治服务活动，推动法治资源下沉基层、服务群众。严格落实“谁执法谁普法”普法责任制，精准面向城乡社区、党政机关、乡村院落、各级学校等重点领域、重点场所，开展常态化、全覆盖普法宣传教育，持续提升辖区群众法治素养和社会法治化治理水平。持续优化司法政务服务质效，扩容提质法律援助服务供给，拓宽援助覆盖面、提升援助精准度，切实保障困难群众合法权益。进一步健全细化社区矫正管理规范与工作运行制度，标准化、规范化推进社区矫正各项工作，保障刑罚执行严谨规范、落地见效，全方位、多层次推进法治矿区创建工作走深走实，持续擦亮辖区法治建设名片。</w:t>
      </w:r>
    </w:p>
    <w:p>
      <w:pPr>
        <w:spacing w:beforeAutospacing="0" w:afterAutospacing="0" w:line="600" w:lineRule="exact"/>
        <w:jc w:val="both"/>
        <w:rPr>
          <w:rFonts w:ascii="楷体" w:eastAsia="楷体" w:hAnsi="楷体"/>
          <w:bCs/>
          <w:color w:val="000000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color w:val="000000"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color w:val="000000"/>
          <w:sz w:val="32"/>
          <w:szCs w:val="32"/>
        </w:rPr>
        <w:t>（二）分项绩效目标实现情况及指标分析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1、劳务派遣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绩效目标：对本单位1名劳务派遣人员的工资做到按时发放。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绩效指标：每月按时发放工资。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2、法制办经费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绩效目标：按照法律法规做好执法监督、业务培训。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绩效指标：加强全区行政执法队伍建设，提高行政执法人员法律素养和执法水平。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3、社区矫正经费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绩效目标：减少矫正对象在犯罪行为，促进社会安全稳定。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绩效指标：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4、全面依法治区经费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绩效目标：统筹推进井陉矿区法治政府建设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bookmarkStart w:id="0" w:name="_GoBack"/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绩效指标：完成全面依法治区重大问题的政策研究，完成区政府各部门政府规范性文件的备案审查工作。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5、普法宣传经费</w:t>
      </w:r>
    </w:p>
    <w:p>
      <w:pPr>
        <w:pStyle w:val="135"/>
        <w:spacing w:beforeAutospacing="0" w:afterAutospacing="0" w:line="600" w:lineRule="exact"/>
        <w:jc w:val="both"/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绩效目标：提升全区人民尊法学法守法用法意识。</w:t>
      </w:r>
    </w:p>
    <w:p>
      <w:pPr>
        <w:spacing w:beforeAutospacing="0" w:afterAutospacing="0" w:line="600" w:lineRule="exact"/>
        <w:ind w:left="0" w:firstLineChars="200" w:firstLine="640"/>
        <w:jc w:val="both"/>
        <w:rPr>
          <w:rStyle w:val="0"/>
          <w:rFonts w:ascii="仿宋_GB2312" w:eastAsia="仿宋_GB2312" w:cs="仿宋_GB2312" w:hAnsi="仿宋_GB2312" w:hint="eastAsia"/>
          <w:bCs/>
          <w:color w:val="000000"/>
          <w:sz w:val="32"/>
          <w:szCs w:val="32"/>
        </w:rPr>
      </w:pPr>
      <w:r>
        <w:rPr>
          <w:rStyle w:val="0"/>
          <w:rFonts w:ascii="仿宋_GB2312" w:eastAsia="仿宋_GB2312" w:cs="仿宋_GB2312" w:hAnsi="仿宋_GB2312" w:hint="eastAsia"/>
          <w:bCs/>
          <w:color w:val="000000"/>
          <w:sz w:val="32"/>
          <w:szCs w:val="32"/>
        </w:rPr>
        <w:t>绩效指标：提供法律咨询，运用法律知识维护群众自身利益。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四、评价结论和评价等级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经综合评估我局职能定位及年度履职情况，部门整体绩效自评总分为85分（满分100分），绩效等级评定为“优秀”。202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5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年度部门整体绩效目标紧密契合部门职责和年度重点工作任务，为履职尽责提供了清晰导向；预算编制科学合理，重点任务资金保障到位；经费支出严格遵循财经纪律，未出现专项资金挤占、挪用或截留等违规情况；年度整体绩效目标总体完成情况良好。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五、存在的问题及改进措施</w:t>
      </w:r>
    </w:p>
    <w:p>
      <w:pPr>
        <w:spacing w:line="600" w:lineRule="exact"/>
        <w:ind w:firstLineChars="200" w:firstLine="640"/>
        <w:jc w:val="both"/>
        <w:rPr>
          <w:rFonts w:ascii="楷体" w:eastAsia="楷体" w:hAnsi="楷体"/>
          <w:bCs/>
          <w:color w:val="000000"/>
          <w:sz w:val="32"/>
          <w:szCs w:val="32"/>
        </w:rPr>
      </w:pPr>
      <w:r>
        <w:rPr>
          <w:rFonts w:ascii="楷体" w:eastAsia="楷体" w:hAnsi="楷体" w:hint="eastAsia"/>
          <w:bCs/>
          <w:color w:val="000000"/>
          <w:sz w:val="32"/>
          <w:szCs w:val="32"/>
        </w:rPr>
        <w:t>（一）项目存在的主要问题</w:t>
      </w:r>
    </w:p>
    <w:p>
      <w:pPr>
        <w:spacing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1.绩效指标设置不够完善。现有绩效目标的三级指标设计较为单一，部分二级指标仅对应一个三级指标，未能充分体现社区矫正各项细分工作内容和实施成效。</w:t>
      </w:r>
    </w:p>
    <w:p>
      <w:pPr>
        <w:spacing w:line="600" w:lineRule="exact"/>
        <w:ind w:firstLineChars="200" w:firstLine="640"/>
        <w:jc w:val="both"/>
        <w:rPr>
          <w:rFonts w:ascii="仿宋" w:eastAsia="仿宋" w:hAnsi="仿宋"/>
          <w:bCs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2.预算执行均衡性需进一步提升。资金支出节奏不均衡，存在年末集中支付现象，需优化资金支付流程，均衡推进预算执行进度，充分发挥财政资金使用效益。</w:t>
      </w:r>
    </w:p>
    <w:p>
      <w:pPr>
        <w:spacing w:line="600" w:lineRule="exact"/>
        <w:ind w:firstLineChars="200" w:firstLine="640"/>
        <w:jc w:val="both"/>
        <w:rPr>
          <w:rFonts w:ascii="楷体" w:eastAsia="楷体" w:hAnsi="楷体"/>
          <w:bCs/>
          <w:color w:val="000000"/>
          <w:sz w:val="32"/>
          <w:szCs w:val="32"/>
        </w:rPr>
      </w:pPr>
      <w:r>
        <w:rPr>
          <w:rFonts w:ascii="楷体" w:eastAsia="楷体" w:hAnsi="楷体" w:hint="eastAsia"/>
          <w:bCs/>
          <w:color w:val="000000"/>
          <w:sz w:val="32"/>
          <w:szCs w:val="32"/>
        </w:rPr>
        <w:t>（二）针对问题提出具体的改进措施或建议</w:t>
      </w:r>
    </w:p>
    <w:p>
      <w:pPr>
        <w:spacing w:line="600" w:lineRule="exact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1.完善绩效指标体系。从时效性、数量化、质量化三个维度着手，围绕社区矫正监管、教育、帮扶等工作科学设置多层次、可量化的绩效考评指标，构建更加系统、规范的绩效评价体系，切实提升指标设定的科学性和可操作性。</w:t>
      </w:r>
    </w:p>
    <w:p>
      <w:pPr>
        <w:spacing w:beforeAutospacing="0" w:afterAutospacing="0" w:line="600" w:lineRule="exact"/>
        <w:ind w:firstLineChars="200" w:firstLine="640"/>
        <w:jc w:val="both"/>
        <w:rPr>
          <w:rFonts w:ascii="楷体" w:eastAsia="楷体" w:hAnsi="楷体"/>
          <w:bCs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2.强化预算执行管理。建立健全预算执行监督管理机制，按季度跟踪专项资金使用进度，加强对预算编制、执行全过程的监督管理，优化资金支付流程，着力提升预算执行均衡性和资金使用效益。</w:t>
      </w:r>
    </w:p>
    <w:p>
      <w:pPr>
        <w:adjustRightInd w:val="0"/>
        <w:snapToGrid w:val="0"/>
        <w:spacing w:beforeAutospacing="0" w:afterAutospacing="0"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六、评价工作组人员名单及签字（姓名、工作</w:t>
      </w:r>
      <w:bookmarkEnd w:id="0"/>
      <w:r>
        <w:rPr>
          <w:rFonts w:ascii="黑体" w:eastAsia="黑体" w:hAnsi="黑体" w:hint="eastAsia"/>
          <w:color w:val="000000"/>
          <w:sz w:val="32"/>
          <w:szCs w:val="32"/>
        </w:rPr>
        <w:t>单位、职务、职称）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 w:hint="eastAsia"/>
          <w:color w:val="000000"/>
          <w:sz w:val="32"/>
          <w:szCs w:val="32"/>
        </w:rPr>
        <w:t xml:space="preserve">组长：矿区司法局 党组书记、局长  </w:t>
      </w:r>
      <w:r>
        <w:rPr>
          <w:rFonts w:ascii="仿宋" w:eastAsia="仿宋" w:cs="仿宋" w:hAnsi="黑体"/>
          <w:color w:val="000000"/>
          <w:sz w:val="32"/>
          <w:szCs w:val="32"/>
        </w:rPr>
        <w:t xml:space="preserve">           </w:t>
      </w:r>
      <w:r>
        <w:rPr>
          <w:rFonts w:ascii="仿宋" w:eastAsia="仿宋" w:cs="仿宋" w:hAnsi="黑体" w:hint="eastAsia"/>
          <w:color w:val="000000"/>
          <w:sz w:val="32"/>
          <w:szCs w:val="32"/>
        </w:rPr>
        <w:t>史志强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>成员：矿区司法局 党组成员、副局长           高秋生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矿区司法局 党组成员、副局长           杨忠毅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矿区司法局 办公室主任                 郑  希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200" w:firstLine="64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矿区司法局 法制股                     吴  炜</w:t>
      </w:r>
    </w:p>
    <w:p>
      <w:pPr>
        <w:wordWrap/>
        <w:adjustRightInd w:val="0"/>
        <w:snapToGrid w:val="0"/>
        <w:spacing w:beforeAutospacing="0" w:afterAutospacing="0" w:line="600" w:lineRule="exact"/>
        <w:ind w:left="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    矿区司法局 行政执法管理股             赵艳萍 </w:t>
      </w:r>
    </w:p>
    <w:p>
      <w:pPr>
        <w:wordWrap/>
        <w:adjustRightInd w:val="0"/>
        <w:snapToGrid w:val="0"/>
        <w:spacing w:beforeAutospacing="0" w:afterAutospacing="0" w:line="600" w:lineRule="exact"/>
        <w:ind w:left="0" w:firstLineChars="500" w:firstLine="160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>矿区司法局 人民参与和促进法治股负责人 胡春洁</w:t>
      </w:r>
    </w:p>
    <w:p>
      <w:pPr>
        <w:wordWrap/>
        <w:adjustRightInd w:val="0"/>
        <w:snapToGrid w:val="0"/>
        <w:spacing w:beforeAutospacing="0" w:afterAutospacing="0" w:line="600" w:lineRule="exact"/>
        <w:ind w:left="0"/>
        <w:rPr>
          <w:rFonts w:ascii="仿宋" w:eastAsia="仿宋" w:cs="仿宋" w:hAnsi="黑体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    矿区司法局 社区矫正管理股负责人       乔计林</w:t>
      </w:r>
    </w:p>
    <w:p>
      <w:pPr>
        <w:wordWrap/>
        <w:adjustRightInd w:val="0"/>
        <w:snapToGrid w:val="0"/>
        <w:spacing w:beforeAutospacing="0" w:afterAutospacing="0" w:line="600" w:lineRule="exact"/>
        <w:ind w:left="0"/>
        <w:rPr>
          <w:rFonts w:ascii="仿宋" w:eastAsia="仿宋" w:cs="仿宋" w:hAnsi="黑体" w:hint="eastAsia"/>
          <w:color w:val="000000"/>
          <w:sz w:val="32"/>
          <w:szCs w:val="32"/>
        </w:rPr>
      </w:pPr>
      <w:r>
        <w:rPr>
          <w:rFonts w:ascii="仿宋" w:eastAsia="仿宋" w:cs="仿宋" w:hAnsi="黑体"/>
          <w:color w:val="000000"/>
          <w:sz w:val="32"/>
          <w:szCs w:val="32"/>
        </w:rPr>
        <w:t xml:space="preserve">          矿区司法局 普法办负责人               张  琦</w:t>
      </w: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方正仿宋_GBK">
    <w:altName w:val="宋体"/>
    <w:panose1 w:val="00000000000000000000"/>
    <w:charset w:val="86"/>
    <w:family w:val="swiss"/>
    <w:pitch w:val="variable"/>
    <w:sig w:usb0="00000000" w:usb1="00000000" w:usb2="00000000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1437" distR="9143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492" cy="16282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492" cy="16282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5434pt;height:12.820473pt;z-index:12;mso-position-horizontal:center;mso-position-horizontal-relative:margin;mso-position-vertical:absolute;mso-wrap-distance-left:7.199764pt;mso-wrap-distance-right:7.199764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20">
    <w:name w:val="index 8"/>
    <w:qFormat/>
    <w:basedOn w:val="0"/>
    <w:autoRedefine/>
    <w:next w:val="0"/>
    <w:pPr>
      <w:ind w:left="2940"/>
    </w:pPr>
  </w:style>
  <w:style w:type="paragraph" w:styleId="21">
    <w:name w:val="index 9"/>
    <w:qFormat/>
    <w:basedOn w:val="0"/>
    <w:autoRedefine/>
    <w:next w:val="0"/>
    <w:pPr>
      <w:ind w:left="3360"/>
    </w:pPr>
  </w:style>
  <w:style w:type="paragraph" w:styleId="30">
    <w:name w:val="toc 9"/>
    <w:qFormat/>
    <w:basedOn w:val="0"/>
    <w:autoRedefine/>
    <w:next w:val="0"/>
    <w:pPr>
      <w:ind w:left="3360"/>
    </w:pPr>
  </w:style>
  <w:style w:type="paragraph" w:customStyle="1" w:styleId="133">
    <w:name w:val="插入文本样式-插入部门职责文件"/>
    <w:qFormat/>
    <w:basedOn w:val="0"/>
    <w:pPr>
      <w:widowControl w:val="0"/>
      <w:spacing w:line="500" w:lineRule="exact"/>
      <w:ind w:firstLine="560"/>
      <w:jc w:val="both"/>
    </w:pPr>
    <w:rPr>
      <w:rFonts w:ascii="Times New Roman" w:eastAsia="方正仿宋_GBK" w:cs="Times New Roman" w:hAnsi="Times New Roman"/>
      <w:kern w:val="2"/>
      <w:sz w:val="28"/>
      <w:szCs w:val="24"/>
      <w:lang w:val="en-US" w:eastAsia="zh-CN" w:bidi="ar-SA"/>
    </w:rPr>
  </w:style>
  <w:style w:type="paragraph" w:customStyle="1" w:styleId="134">
    <w:name w:val="插入文本样式-插入总体目标文件"/>
    <w:qFormat/>
    <w:basedOn w:val="0"/>
    <w:pPr>
      <w:widowControl w:val="0"/>
      <w:spacing w:before="0" w:after="0" w:line="500" w:lineRule="exact"/>
      <w:ind w:firstLine="560"/>
      <w:jc w:val="left"/>
      <w:outlineLvl w:val="9"/>
    </w:pPr>
    <w:rPr>
      <w:rFonts w:ascii="Times New Roman" w:eastAsia="方正仿宋_GBK" w:cs="Times New Roman" w:hAnsi="Times New Roman"/>
      <w:kern w:val="2"/>
      <w:sz w:val="28"/>
      <w:szCs w:val="24"/>
      <w:lang w:val="en-US" w:eastAsia="uk-UA" w:bidi="ar-SA"/>
    </w:rPr>
  </w:style>
  <w:style w:type="paragraph" w:customStyle="1" w:styleId="135">
    <w:name w:val="插入文本样式-插入职责分类绩效目标文件"/>
    <w:qFormat/>
    <w:basedOn w:val="0"/>
    <w:pPr>
      <w:spacing w:line="500" w:lineRule="exact"/>
      <w:ind w:firstLine="560"/>
    </w:pPr>
    <w:rPr>
      <w:rFonts w:ascii="Times New Roman" w:eastAsia="方正仿宋_GBK" w:cs="Times New Roman" w:hAnsi="Times New Roman"/>
      <w:sz w:val="28"/>
      <w:szCs w:val="24"/>
      <w:lang w:val="en-US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097946E-0E19-4AE9-846F-63BFCA216980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125</TotalTime>
  <Application>Yozo_Office9.0.4819.102ZH</Application>
  <Pages>7</Pages>
  <Words>0</Words>
  <Characters>2553</Characters>
  <Lines>0</Lines>
  <Paragraphs>70</Paragraphs>
  <CharactersWithSpaces>3404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2024-03-06T07:40:18Z</cp:lastPrinted>
  <dcterms:created xsi:type="dcterms:W3CDTF">2020-02-04T03:46:00Z</dcterms:created>
  <dcterms:modified xsi:type="dcterms:W3CDTF">2026-07-17T17:46:12Z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2052-12.1.0.16388</vt:lpwstr>
  </property>
  <property fmtid="{D5CDD505-2E9C-101B-9397-08002B2CF9AE}" pid="3" name="ICV">
    <vt:lpwstr>96934721B1514D3FBAA28020338CE855_12</vt:lpwstr>
  </property>
</Properties>
</file>