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ackground w:color="FFFFFF"/>
  <w:body>
    <w:p>
      <w:pPr>
        <w:adjustRightInd w:val="0"/>
        <w:snapToGrid w:val="0"/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4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</w:rPr>
        <w:t>石家庄市井陉矿区医疗保障局部门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</w:rPr>
        <w:t>20</w:t>
      </w:r>
      <w:r>
        <w:rPr>
          <w:rFonts w:ascii="宋体" w:cs="宋体" w:hAnsi="宋体"/>
          <w:b/>
          <w:bCs/>
          <w:sz w:val="44"/>
          <w:szCs w:val="44"/>
        </w:rPr>
        <w:t>25</w:t>
      </w:r>
      <w:r>
        <w:rPr>
          <w:rFonts w:ascii="宋体" w:cs="宋体" w:hAnsi="宋体" w:hint="eastAsia"/>
          <w:b/>
          <w:bCs/>
          <w:sz w:val="44"/>
          <w:szCs w:val="44"/>
        </w:rPr>
        <w:t>年度整体支出绩效自评报告</w:t>
      </w:r>
    </w:p>
    <w:p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为</w:t>
      </w:r>
      <w:r>
        <w:rPr>
          <w:rFonts w:ascii="仿宋" w:eastAsia="仿宋" w:hAnsi="仿宋" w:hint="eastAsia"/>
          <w:sz w:val="32"/>
          <w:szCs w:val="32"/>
        </w:rPr>
        <w:t>贯彻落实</w:t>
      </w:r>
      <w:r>
        <w:rPr>
          <w:rFonts w:ascii="仿宋" w:eastAsia="仿宋" w:hAnsi="仿宋"/>
          <w:sz w:val="32"/>
          <w:szCs w:val="32"/>
        </w:rPr>
        <w:t>区委区政府</w:t>
      </w:r>
      <w:r>
        <w:rPr>
          <w:rFonts w:ascii="仿宋" w:eastAsia="仿宋" w:hAnsi="仿宋" w:hint="eastAsia"/>
          <w:sz w:val="32"/>
          <w:szCs w:val="32"/>
        </w:rPr>
        <w:t>《关于全面落实预算绩效管理的实施意见》（</w:t>
      </w:r>
      <w:r>
        <w:rPr>
          <w:rFonts w:ascii="仿宋" w:eastAsia="仿宋" w:hAnsi="仿宋"/>
          <w:sz w:val="32"/>
          <w:szCs w:val="32"/>
        </w:rPr>
        <w:t>矿</w:t>
      </w:r>
      <w:r>
        <w:rPr>
          <w:rFonts w:ascii="仿宋" w:eastAsia="仿宋" w:hAnsi="仿宋" w:hint="eastAsia"/>
          <w:sz w:val="32"/>
          <w:szCs w:val="32"/>
        </w:rPr>
        <w:t>发﹝2019﹞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号）文件精神要求和《井陉矿区区级部门项目自评管理办法》（矿财[2021]12号）规定，遵循“科学性、规范性、客观性</w:t>
      </w: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和公正性”的原则，对石家庄市井陉矿区医疗保障局部门202</w:t>
      </w:r>
      <w:r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年整体支出情况实施了财政支出绩效自评价，形成本评价报告。</w:t>
      </w:r>
    </w:p>
    <w:p>
      <w:pPr>
        <w:adjustRightInd w:val="0"/>
        <w:snapToGrid w:val="0"/>
        <w:spacing w:line="560" w:lineRule="exact"/>
        <w:rPr>
          <w:rFonts w:ascii="黑体" w:eastAsia="黑体" w:hAnsi="黑体"/>
          <w:b/>
          <w:bCs/>
          <w:sz w:val="32"/>
          <w:szCs w:val="36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黑体" w:eastAsia="黑体" w:hAnsi="黑体" w:hint="eastAsia"/>
          <w:sz w:val="32"/>
          <w:szCs w:val="32"/>
        </w:rPr>
        <w:t>一、部门</w:t>
      </w:r>
      <w:r>
        <w:rPr>
          <w:rFonts w:ascii="黑体" w:eastAsia="黑体" w:hAnsi="黑体" w:hint="eastAsia"/>
          <w:sz w:val="32"/>
          <w:szCs w:val="36"/>
        </w:rPr>
        <w:t>基本情况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楷体_GB2312" w:hAnsi="仿宋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>（一）部门概况</w:t>
      </w:r>
    </w:p>
    <w:p>
      <w:pPr>
        <w:snapToGrid w:val="0"/>
        <w:spacing w:line="560" w:lineRule="exact"/>
        <w:ind w:firstLineChars="300" w:firstLine="9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1．主要职能。</w:t>
      </w:r>
    </w:p>
    <w:p>
      <w:pPr>
        <w:pStyle w:val="19"/>
        <w:spacing w:line="560" w:lineRule="exact"/>
        <w:rPr>
          <w:rFonts w:ascii="仿宋" w:eastAsia="仿宋" w:cs="黑体" w:hAnsi="仿宋"/>
          <w:kern w:val="2"/>
          <w:sz w:val="32"/>
          <w:szCs w:val="32"/>
          <w:lang w:eastAsia="zh-CN"/>
        </w:rPr>
      </w:pPr>
      <w:r>
        <w:rPr>
          <w:rFonts w:ascii="仿宋" w:eastAsia="仿宋" w:cs="黑体" w:hAnsi="仿宋"/>
          <w:kern w:val="2"/>
          <w:sz w:val="32"/>
          <w:szCs w:val="32"/>
          <w:lang w:eastAsia="zh-CN"/>
        </w:rPr>
        <w:t xml:space="preserve"> (</w:t>
      </w:r>
      <w:r>
        <w:rPr>
          <w:rFonts w:ascii="仿宋" w:eastAsia="仿宋" w:cs="黑体" w:hAnsi="仿宋" w:hint="eastAsia"/>
          <w:kern w:val="2"/>
          <w:sz w:val="32"/>
          <w:szCs w:val="32"/>
          <w:lang w:eastAsia="zh-CN"/>
        </w:rPr>
        <w:t>一</w:t>
      </w:r>
      <w:r>
        <w:rPr>
          <w:rFonts w:ascii="仿宋" w:eastAsia="仿宋" w:cs="黑体" w:hAnsi="仿宋"/>
          <w:kern w:val="2"/>
          <w:sz w:val="32"/>
          <w:szCs w:val="32"/>
          <w:lang w:eastAsia="zh-CN"/>
        </w:rPr>
        <w:t>)</w:t>
      </w:r>
      <w:r>
        <w:rPr>
          <w:rFonts w:ascii="仿宋" w:eastAsia="仿宋" w:cs="黑体" w:hAnsi="仿宋" w:hint="eastAsia"/>
          <w:kern w:val="2"/>
          <w:sz w:val="32"/>
          <w:szCs w:val="32"/>
          <w:lang w:eastAsia="zh-CN"/>
        </w:rPr>
        <w:t>贯彻落实国家、省、市关于城镇职工和城乡居民</w:t>
      </w:r>
      <w:r>
        <w:rPr>
          <w:rFonts w:ascii="仿宋" w:eastAsia="仿宋" w:cs="黑体" w:hAnsi="仿宋"/>
          <w:kern w:val="2"/>
          <w:sz w:val="32"/>
          <w:szCs w:val="32"/>
          <w:lang w:eastAsia="zh-CN"/>
        </w:rPr>
        <w:t>基本</w:t>
      </w:r>
      <w:r>
        <w:rPr>
          <w:rFonts w:ascii="仿宋" w:eastAsia="仿宋" w:cs="黑体" w:hAnsi="仿宋" w:hint="eastAsia"/>
          <w:kern w:val="2"/>
          <w:sz w:val="32"/>
          <w:szCs w:val="32"/>
          <w:lang w:eastAsia="zh-CN"/>
        </w:rPr>
        <w:t>医疗保险、生育保险、长期护理保险、医疗救助等医疗保障法规、政府规章以及政策、制度、规划和标准。按照政策规定拟订本辖区具体医疗保障政策，并组织实施。</w:t>
      </w:r>
    </w:p>
    <w:p>
      <w:pPr>
        <w:pStyle w:val="19"/>
        <w:spacing w:line="560" w:lineRule="exact"/>
        <w:rPr>
          <w:rFonts w:ascii="仿宋" w:eastAsia="仿宋" w:cs="黑体" w:hAnsi="仿宋"/>
          <w:kern w:val="2"/>
          <w:sz w:val="32"/>
          <w:szCs w:val="32"/>
          <w:lang w:eastAsia="zh-CN"/>
        </w:rPr>
      </w:pPr>
      <w:r>
        <w:rPr>
          <w:rFonts w:ascii="仿宋" w:eastAsia="仿宋" w:cs="黑体" w:hAnsi="仿宋" w:hint="eastAsia"/>
          <w:kern w:val="2"/>
          <w:sz w:val="32"/>
          <w:szCs w:val="32"/>
          <w:lang w:eastAsia="zh-CN"/>
        </w:rPr>
        <w:t>（二）贯彻落实国家、省、市医疗保障基金监督管理规定，建立健全医疗保障基金安全防控机制，建设维护网络信息系统。</w:t>
      </w:r>
    </w:p>
    <w:p>
      <w:pPr>
        <w:pStyle w:val="19"/>
        <w:spacing w:line="560" w:lineRule="exact"/>
        <w:rPr>
          <w:rFonts w:ascii="仿宋" w:eastAsia="仿宋" w:cs="黑体" w:hAnsi="仿宋"/>
          <w:kern w:val="2"/>
          <w:sz w:val="32"/>
          <w:szCs w:val="32"/>
          <w:lang w:eastAsia="zh-CN"/>
        </w:rPr>
      </w:pPr>
      <w:r>
        <w:rPr>
          <w:rFonts w:ascii="仿宋" w:eastAsia="仿宋" w:cs="黑体" w:hAnsi="仿宋" w:hint="eastAsia"/>
          <w:kern w:val="2"/>
          <w:sz w:val="32"/>
          <w:szCs w:val="32"/>
          <w:lang w:eastAsia="zh-CN"/>
        </w:rPr>
        <w:t>（三）贯彻落实全市城镇职工和城乡居民参保筹资和保障待遇政策。</w:t>
      </w:r>
    </w:p>
    <w:p>
      <w:pPr>
        <w:pStyle w:val="19"/>
        <w:spacing w:line="560" w:lineRule="exact"/>
        <w:rPr>
          <w:rFonts w:ascii="仿宋" w:eastAsia="仿宋" w:cs="黑体" w:hAnsi="仿宋"/>
          <w:kern w:val="2"/>
          <w:sz w:val="32"/>
          <w:szCs w:val="32"/>
          <w:lang w:eastAsia="zh-CN"/>
        </w:rPr>
      </w:pPr>
      <w:r>
        <w:rPr>
          <w:rFonts w:ascii="仿宋" w:eastAsia="仿宋" w:cs="黑体" w:hAnsi="仿宋" w:hint="eastAsia"/>
          <w:kern w:val="2"/>
          <w:sz w:val="32"/>
          <w:szCs w:val="32"/>
          <w:lang w:eastAsia="zh-CN"/>
        </w:rPr>
        <w:t>（四）按照政策规定制定和调整区级公立基层医疗机构医疗服务价格。贯彻落实上级医保支付医药服务价格政策。依法管理药品、医用耗材、医疗服务价格政策执行情况。组织实施药品、医用耗材和医疗服务价格监测信息发布工作。</w:t>
      </w:r>
    </w:p>
    <w:p>
      <w:pPr>
        <w:pStyle w:val="19"/>
        <w:spacing w:line="560" w:lineRule="exact"/>
        <w:rPr>
          <w:rFonts w:ascii="仿宋_GB2312" w:eastAsia="仿宋_GB2312" w:cs="黑体" w:hAnsi="仿宋"/>
          <w:kern w:val="2"/>
          <w:sz w:val="32"/>
          <w:szCs w:val="32"/>
          <w:lang w:eastAsia="zh-CN"/>
        </w:rPr>
      </w:pPr>
      <w:r>
        <w:rPr>
          <w:rFonts w:ascii="仿宋_GB2312" w:eastAsia="仿宋_GB2312" w:cs="黑体" w:hAnsi="仿宋" w:hint="eastAsia"/>
          <w:kern w:val="2"/>
          <w:sz w:val="32"/>
          <w:szCs w:val="32"/>
          <w:lang w:eastAsia="zh-CN"/>
        </w:rPr>
        <w:t>（五）落实全市定点医药机构协议和支付管理办法。建立健全医疗保障信用评价体系和信息披露制度，监督管理定点医药机构的医疗服务行为、医疗费用和医药价格，依法查处医疗保障领域违法违规行为。</w:t>
      </w:r>
    </w:p>
    <w:p>
      <w:pPr>
        <w:pStyle w:val="19"/>
        <w:spacing w:line="560" w:lineRule="exact"/>
        <w:rPr>
          <w:rFonts w:ascii="仿宋_GB2312" w:eastAsia="仿宋_GB2312" w:cs="黑体" w:hAnsi="仿宋"/>
          <w:kern w:val="2"/>
          <w:sz w:val="32"/>
          <w:szCs w:val="32"/>
          <w:lang w:eastAsia="zh-CN"/>
        </w:rPr>
      </w:pPr>
      <w:r>
        <w:rPr>
          <w:rFonts w:ascii="仿宋_GB2312" w:eastAsia="仿宋_GB2312" w:cs="黑体" w:hAnsi="仿宋" w:hint="eastAsia"/>
          <w:kern w:val="2"/>
          <w:sz w:val="32"/>
          <w:szCs w:val="32"/>
          <w:lang w:eastAsia="zh-CN"/>
        </w:rPr>
        <w:t>（六）负责医疗保障经办管理、公共服务体系和信息化建设。贯彻落实异地就医管理和费用结算政策、医疗保障关系转移接续制度。</w:t>
      </w:r>
    </w:p>
    <w:p>
      <w:pPr>
        <w:pStyle w:val="19"/>
        <w:spacing w:line="560" w:lineRule="exact"/>
        <w:rPr>
          <w:rFonts w:ascii="仿宋_GB2312" w:eastAsia="仿宋_GB2312" w:cs="黑体" w:hAnsi="仿宋"/>
          <w:kern w:val="2"/>
          <w:sz w:val="32"/>
          <w:szCs w:val="32"/>
          <w:lang w:eastAsia="zh-CN"/>
        </w:rPr>
      </w:pPr>
      <w:r>
        <w:rPr>
          <w:rFonts w:ascii="仿宋_GB2312" w:eastAsia="仿宋_GB2312" w:cs="黑体" w:hAnsi="仿宋"/>
          <w:kern w:val="2"/>
          <w:sz w:val="32"/>
          <w:szCs w:val="32"/>
          <w:lang w:eastAsia="zh-CN"/>
        </w:rPr>
        <w:t>(</w:t>
      </w:r>
      <w:r>
        <w:rPr>
          <w:rFonts w:ascii="仿宋_GB2312" w:eastAsia="仿宋_GB2312" w:cs="黑体" w:hAnsi="仿宋" w:hint="eastAsia"/>
          <w:kern w:val="2"/>
          <w:sz w:val="32"/>
          <w:szCs w:val="32"/>
          <w:lang w:eastAsia="zh-CN"/>
        </w:rPr>
        <w:t>七）贯彻落实全市统一的城镇职工和城乡居民的多层次医疗保障制度，确保医保资金稳定可持续、合理使用、安全可控。推进医疗、医保、医药、医价</w:t>
      </w:r>
      <w:r>
        <w:rPr>
          <w:rFonts w:ascii="仿宋_GB2312" w:eastAsia="仿宋_GB2312" w:cs="黑体" w:hAnsi="仿宋"/>
          <w:kern w:val="2"/>
          <w:sz w:val="32"/>
          <w:szCs w:val="32"/>
          <w:lang w:eastAsia="zh-CN"/>
        </w:rPr>
        <w:t>“</w:t>
      </w:r>
      <w:r>
        <w:rPr>
          <w:rFonts w:ascii="仿宋_GB2312" w:eastAsia="仿宋_GB2312" w:cs="黑体" w:hAnsi="仿宋" w:hint="eastAsia"/>
          <w:kern w:val="2"/>
          <w:sz w:val="32"/>
          <w:szCs w:val="32"/>
          <w:lang w:eastAsia="zh-CN"/>
        </w:rPr>
        <w:t>四医联动</w:t>
      </w:r>
      <w:r>
        <w:rPr>
          <w:rFonts w:ascii="仿宋_GB2312" w:eastAsia="仿宋_GB2312" w:cs="黑体" w:hAnsi="仿宋"/>
          <w:kern w:val="2"/>
          <w:sz w:val="32"/>
          <w:szCs w:val="32"/>
          <w:lang w:eastAsia="zh-CN"/>
        </w:rPr>
        <w:t>”</w:t>
      </w:r>
      <w:r>
        <w:rPr>
          <w:rFonts w:ascii="仿宋_GB2312" w:eastAsia="仿宋_GB2312" w:cs="黑体" w:hAnsi="仿宋" w:hint="eastAsia"/>
          <w:kern w:val="2"/>
          <w:sz w:val="32"/>
          <w:szCs w:val="32"/>
          <w:lang w:eastAsia="zh-CN"/>
        </w:rPr>
        <w:t>改革，更好保障人民群众就医需求、减轻医药费用负担。</w:t>
      </w:r>
    </w:p>
    <w:p>
      <w:pPr>
        <w:pStyle w:val="19"/>
        <w:spacing w:line="560" w:lineRule="exact"/>
        <w:rPr>
          <w:rFonts w:ascii="仿宋_GB2312" w:eastAsia="仿宋_GB2312" w:cs="黑体" w:hAnsi="仿宋"/>
          <w:kern w:val="2"/>
          <w:sz w:val="32"/>
          <w:szCs w:val="32"/>
          <w:lang w:eastAsia="zh-CN"/>
        </w:rPr>
      </w:pPr>
      <w:r>
        <w:rPr>
          <w:rFonts w:ascii="仿宋_GB2312" w:eastAsia="仿宋_GB2312" w:cs="黑体" w:hAnsi="仿宋" w:hint="eastAsia"/>
          <w:kern w:val="2"/>
          <w:sz w:val="32"/>
          <w:szCs w:val="32"/>
          <w:lang w:eastAsia="zh-CN"/>
        </w:rPr>
        <w:t>（八）完成区委、区政府交办的其他任务。</w:t>
      </w:r>
    </w:p>
    <w:p>
      <w:pPr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</w:t>
      </w:r>
      <w:r>
        <w:rPr>
          <w:rFonts w:ascii="仿宋" w:eastAsia="仿宋" w:hAnsi="仿宋" w:hint="eastAsia"/>
          <w:sz w:val="32"/>
          <w:szCs w:val="32"/>
        </w:rPr>
        <w:t>．</w:t>
      </w:r>
      <w:r>
        <w:rPr>
          <w:rFonts w:ascii="仿宋_GB2312" w:eastAsia="仿宋_GB2312" w:hAnsi="仿宋" w:hint="eastAsia"/>
          <w:sz w:val="32"/>
          <w:szCs w:val="32"/>
        </w:rPr>
        <w:t>机构情况。</w:t>
      </w:r>
    </w:p>
    <w:tbl>
      <w:tblPr>
        <w:jc w:val="left"/>
        <w:tblInd w:w="0" w:type="dxa"/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2259"/>
        <w:gridCol w:w="2001"/>
        <w:gridCol w:w="2131"/>
        <w:gridCol w:w="2506"/>
      </w:tblGrid>
      <w:tr>
        <w:tc>
          <w:tcPr>
            <w:tcW w:w="2259" w:type="dxa"/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单位名称</w:t>
            </w:r>
          </w:p>
        </w:tc>
        <w:tc>
          <w:tcPr>
            <w:tcW w:w="2001" w:type="dxa"/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单位性质</w:t>
            </w:r>
          </w:p>
        </w:tc>
        <w:tc>
          <w:tcPr>
            <w:tcW w:w="2131" w:type="dxa"/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单位规格</w:t>
            </w:r>
          </w:p>
        </w:tc>
        <w:tc>
          <w:tcPr>
            <w:tcW w:w="2506" w:type="dxa"/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经费保障形势</w:t>
            </w:r>
          </w:p>
        </w:tc>
      </w:tr>
      <w:tr>
        <w:tc>
          <w:tcPr>
            <w:tcW w:w="2259" w:type="dxa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矿区医疗保障局本级</w:t>
            </w:r>
          </w:p>
        </w:tc>
        <w:tc>
          <w:tcPr>
            <w:tcW w:w="20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行政</w:t>
            </w: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正科级</w:t>
            </w:r>
          </w:p>
        </w:tc>
        <w:tc>
          <w:tcPr>
            <w:tcW w:w="2506" w:type="dxa"/>
            <w:tcBorders>
              <w:left w:val="single" w:sz="4" w:space="0" w:color="00000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财政拨款</w:t>
            </w:r>
          </w:p>
        </w:tc>
      </w:tr>
      <w:tr>
        <w:tc>
          <w:tcPr>
            <w:tcW w:w="2259" w:type="dxa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矿区医疗保险管理中心</w:t>
            </w:r>
          </w:p>
        </w:tc>
        <w:tc>
          <w:tcPr>
            <w:tcW w:w="20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事业</w:t>
            </w: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正科级</w:t>
            </w:r>
          </w:p>
        </w:tc>
        <w:tc>
          <w:tcPr>
            <w:tcW w:w="2506" w:type="dxa"/>
            <w:tcBorders>
              <w:left w:val="single" w:sz="4" w:space="0" w:color="00000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财政性资金基本保证</w:t>
            </w:r>
          </w:p>
        </w:tc>
      </w:tr>
    </w:tbl>
    <w:p>
      <w:pPr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</w:t>
      </w:r>
      <w:r>
        <w:rPr>
          <w:rFonts w:ascii="仿宋" w:eastAsia="仿宋" w:hAnsi="仿宋" w:hint="eastAsia"/>
          <w:sz w:val="32"/>
          <w:szCs w:val="32"/>
        </w:rPr>
        <w:t>．</w:t>
      </w:r>
      <w:r>
        <w:rPr>
          <w:rFonts w:ascii="仿宋_GB2312" w:eastAsia="仿宋_GB2312" w:hAnsi="仿宋" w:hint="eastAsia"/>
          <w:sz w:val="32"/>
          <w:szCs w:val="32"/>
        </w:rPr>
        <w:t>人员情况，包括当年变动情况及原因。</w:t>
      </w:r>
    </w:p>
    <w:p>
      <w:pPr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截止到202</w:t>
      </w:r>
      <w:r>
        <w:rPr>
          <w:rFonts w:ascii="仿宋" w:eastAsia="仿宋" w:cs="仿宋" w:hAnsi="仿宋"/>
          <w:sz w:val="32"/>
          <w:szCs w:val="32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年12月</w:t>
      </w:r>
      <w:r>
        <w:rPr>
          <w:rFonts w:ascii="仿宋" w:eastAsia="仿宋" w:hAnsi="仿宋" w:hint="eastAsia"/>
          <w:sz w:val="32"/>
          <w:szCs w:val="32"/>
        </w:rPr>
        <w:t>矿区医疗保障局本级</w:t>
      </w:r>
      <w:r>
        <w:rPr>
          <w:rFonts w:ascii="仿宋" w:eastAsia="仿宋" w:cs="仿宋" w:hAnsi="仿宋" w:hint="eastAsia"/>
          <w:sz w:val="32"/>
          <w:szCs w:val="32"/>
        </w:rPr>
        <w:t>在职</w:t>
      </w:r>
      <w:r>
        <w:rPr>
          <w:rFonts w:ascii="仿宋" w:eastAsia="仿宋" w:cs="仿宋" w:hAnsi="仿宋"/>
          <w:sz w:val="32"/>
          <w:szCs w:val="32"/>
        </w:rPr>
        <w:t>3</w:t>
      </w:r>
      <w:r>
        <w:rPr>
          <w:rFonts w:ascii="仿宋" w:eastAsia="仿宋" w:cs="仿宋" w:hAnsi="仿宋" w:hint="eastAsia"/>
          <w:sz w:val="32"/>
          <w:szCs w:val="32"/>
        </w:rPr>
        <w:t>人，</w:t>
      </w:r>
      <w:r>
        <w:rPr>
          <w:rFonts w:ascii="仿宋" w:eastAsia="仿宋" w:hAnsi="仿宋" w:hint="eastAsia"/>
          <w:sz w:val="32"/>
          <w:szCs w:val="32"/>
        </w:rPr>
        <w:t>矿区医疗保险管理中心</w:t>
      </w:r>
      <w:r>
        <w:rPr>
          <w:rFonts w:ascii="仿宋" w:eastAsia="仿宋" w:cs="仿宋" w:hAnsi="仿宋" w:hint="eastAsia"/>
          <w:sz w:val="32"/>
          <w:szCs w:val="32"/>
        </w:rPr>
        <w:t>在职</w:t>
      </w:r>
      <w:r>
        <w:rPr>
          <w:rFonts w:ascii="仿宋" w:eastAsia="仿宋" w:cs="仿宋" w:hAnsi="仿宋"/>
          <w:color w:val="000000"/>
          <w:sz w:val="32"/>
          <w:szCs w:val="32"/>
        </w:rPr>
        <w:t>7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人</w:t>
      </w:r>
      <w:r>
        <w:rPr>
          <w:rFonts w:ascii="仿宋" w:eastAsia="仿宋" w:cs="仿宋" w:hAnsi="仿宋" w:hint="eastAsia"/>
          <w:sz w:val="32"/>
          <w:szCs w:val="32"/>
        </w:rPr>
        <w:t>，退休</w:t>
      </w:r>
      <w:r>
        <w:rPr>
          <w:rFonts w:ascii="仿宋" w:eastAsia="仿宋" w:cs="仿宋" w:hAnsi="仿宋"/>
          <w:sz w:val="32"/>
          <w:szCs w:val="32"/>
        </w:rPr>
        <w:t>2</w:t>
      </w:r>
      <w:r>
        <w:rPr>
          <w:rFonts w:ascii="仿宋" w:eastAsia="仿宋" w:cs="仿宋" w:hAnsi="仿宋" w:hint="eastAsia"/>
          <w:sz w:val="32"/>
          <w:szCs w:val="32"/>
        </w:rPr>
        <w:t>人。</w:t>
      </w:r>
    </w:p>
    <w:p>
      <w:pPr>
        <w:snapToGrid w:val="0"/>
        <w:spacing w:line="56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>
        <w:rPr>
          <w:rFonts w:ascii="仿宋" w:eastAsia="仿宋" w:cs="楷体_GB2312" w:hAnsi="仿宋" w:hint="eastAsia"/>
          <w:color w:val="000000"/>
          <w:sz w:val="32"/>
          <w:szCs w:val="32"/>
        </w:rPr>
        <w:t>4</w:t>
      </w:r>
      <w:r>
        <w:rPr>
          <w:rFonts w:ascii="仿宋" w:eastAsia="仿宋" w:hAnsi="仿宋" w:hint="eastAsia"/>
          <w:color w:val="000000"/>
          <w:sz w:val="32"/>
          <w:szCs w:val="32"/>
        </w:rPr>
        <w:t>．</w:t>
      </w:r>
      <w:r>
        <w:rPr>
          <w:rFonts w:ascii="仿宋" w:eastAsia="仿宋" w:cs="楷体_GB2312" w:hAnsi="仿宋" w:hint="eastAsia"/>
          <w:color w:val="000000"/>
          <w:sz w:val="32"/>
          <w:szCs w:val="32"/>
        </w:rPr>
        <w:t>资产情况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，包括当年变动情况及原因。</w:t>
      </w:r>
    </w:p>
    <w:p>
      <w:pPr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202</w:t>
      </w:r>
      <w:r>
        <w:rPr>
          <w:rFonts w:ascii="仿宋" w:eastAsia="仿宋" w:cs="仿宋" w:hAnsi="仿宋"/>
          <w:color w:val="000000"/>
          <w:sz w:val="32"/>
          <w:szCs w:val="32"/>
        </w:rPr>
        <w:t>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年年初</w:t>
      </w:r>
      <w:r>
        <w:rPr>
          <w:rFonts w:ascii="仿宋" w:eastAsia="仿宋" w:hAnsi="仿宋" w:hint="eastAsia"/>
          <w:color w:val="000000"/>
          <w:sz w:val="32"/>
          <w:szCs w:val="32"/>
        </w:rPr>
        <w:t>矿区医疗保障局本级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资产7.</w:t>
      </w:r>
      <w:r>
        <w:rPr>
          <w:rFonts w:ascii="仿宋" w:eastAsia="仿宋" w:cs="仿宋" w:hAnsi="仿宋"/>
          <w:color w:val="000000"/>
          <w:sz w:val="32"/>
          <w:szCs w:val="32"/>
        </w:rPr>
        <w:t>5045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万元，年末7.</w:t>
      </w:r>
      <w:r>
        <w:rPr>
          <w:rFonts w:ascii="仿宋" w:eastAsia="仿宋" w:cs="仿宋" w:hAnsi="仿宋"/>
          <w:color w:val="000000"/>
          <w:sz w:val="32"/>
          <w:szCs w:val="32"/>
        </w:rPr>
        <w:t>5045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</w:t>
      </w:r>
      <w:r>
        <w:rPr>
          <w:rFonts w:ascii="仿宋" w:eastAsia="仿宋" w:hAnsi="仿宋" w:hint="eastAsia"/>
          <w:color w:val="000000"/>
          <w:sz w:val="32"/>
          <w:szCs w:val="32"/>
        </w:rPr>
        <w:t>与202</w:t>
      </w:r>
      <w:r>
        <w:rPr>
          <w:rFonts w:ascii="仿宋" w:eastAsia="仿宋" w:hAnsi="仿宋"/>
          <w:color w:val="000000"/>
          <w:sz w:val="32"/>
          <w:szCs w:val="32"/>
        </w:rPr>
        <w:t>4</w:t>
      </w:r>
      <w:r>
        <w:rPr>
          <w:rFonts w:ascii="仿宋" w:eastAsia="仿宋" w:hAnsi="仿宋" w:hint="eastAsia"/>
          <w:color w:val="000000"/>
          <w:sz w:val="32"/>
          <w:szCs w:val="32"/>
        </w:rPr>
        <w:t>年相比</w:t>
      </w:r>
      <w:r>
        <w:rPr>
          <w:rFonts w:ascii="仿宋" w:eastAsia="仿宋" w:hAnsi="仿宋"/>
          <w:color w:val="000000"/>
          <w:sz w:val="32"/>
          <w:szCs w:val="32"/>
        </w:rPr>
        <w:t>无增减变化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；202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年年初</w:t>
      </w:r>
      <w:r>
        <w:rPr>
          <w:rFonts w:ascii="仿宋" w:eastAsia="仿宋" w:hAnsi="仿宋" w:hint="eastAsia"/>
          <w:color w:val="000000"/>
          <w:sz w:val="32"/>
          <w:szCs w:val="32"/>
        </w:rPr>
        <w:t>矿区医疗保险管理中心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资产</w:t>
      </w: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39.001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万元，年末</w:t>
      </w: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39.001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</w:t>
      </w:r>
      <w:r>
        <w:rPr>
          <w:rFonts w:ascii="仿宋" w:eastAsia="仿宋" w:hAnsi="仿宋" w:hint="eastAsia"/>
          <w:color w:val="000000"/>
          <w:sz w:val="32"/>
          <w:szCs w:val="32"/>
        </w:rPr>
        <w:t>与202</w:t>
      </w:r>
      <w:r>
        <w:rPr>
          <w:rFonts w:ascii="仿宋" w:eastAsia="仿宋" w:hAnsi="仿宋"/>
          <w:color w:val="000000"/>
          <w:sz w:val="32"/>
          <w:szCs w:val="32"/>
        </w:rPr>
        <w:t>4</w:t>
      </w:r>
      <w:r>
        <w:rPr>
          <w:rFonts w:ascii="仿宋" w:eastAsia="仿宋" w:hAnsi="仿宋" w:hint="eastAsia"/>
          <w:color w:val="000000"/>
          <w:sz w:val="32"/>
          <w:szCs w:val="32"/>
        </w:rPr>
        <w:t>年相比</w:t>
      </w:r>
      <w:r>
        <w:rPr>
          <w:rFonts w:ascii="仿宋" w:eastAsia="仿宋" w:hAnsi="仿宋"/>
          <w:color w:val="000000"/>
          <w:sz w:val="32"/>
          <w:szCs w:val="32"/>
        </w:rPr>
        <w:t>无增减变化。</w:t>
      </w:r>
    </w:p>
    <w:p>
      <w:pPr>
        <w:ind w:firstLineChars="200" w:firstLine="640"/>
        <w:rPr>
          <w:rFonts w:ascii="仿宋" w:eastAsia="仿宋" w:cs="楷体_GB2312" w:hAnsi="仿宋" w:hint="eastAsia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>（二）部门收支预决算情况</w:t>
      </w:r>
    </w:p>
    <w:p>
      <w:pPr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202</w:t>
      </w:r>
      <w:r>
        <w:rPr>
          <w:rFonts w:ascii="仿宋" w:eastAsia="仿宋" w:cs="仿宋" w:hAnsi="仿宋"/>
          <w:color w:val="000000"/>
          <w:sz w:val="32"/>
          <w:szCs w:val="32"/>
        </w:rPr>
        <w:t>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年部门年初预算收入</w:t>
      </w:r>
      <w:r>
        <w:rPr>
          <w:rFonts w:ascii="仿宋" w:eastAsia="仿宋" w:cs="仿宋" w:hAnsi="仿宋"/>
          <w:color w:val="000000"/>
          <w:sz w:val="32"/>
          <w:szCs w:val="32"/>
        </w:rPr>
        <w:t>954.70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万元，上年结转结余</w:t>
      </w:r>
      <w:r>
        <w:rPr>
          <w:rFonts w:ascii="仿宋" w:eastAsia="仿宋" w:cs="仿宋" w:hAnsi="仿宋"/>
          <w:color w:val="000000"/>
          <w:sz w:val="32"/>
          <w:szCs w:val="32"/>
        </w:rPr>
        <w:t>0万元，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202</w:t>
      </w:r>
      <w:r>
        <w:rPr>
          <w:rFonts w:ascii="仿宋" w:eastAsia="仿宋" w:cs="仿宋" w:hAnsi="仿宋"/>
          <w:color w:val="000000"/>
          <w:sz w:val="32"/>
          <w:szCs w:val="32"/>
        </w:rPr>
        <w:t>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年部门预算支出</w:t>
      </w:r>
      <w:r>
        <w:rPr>
          <w:rFonts w:ascii="仿宋" w:eastAsia="仿宋" w:cs="仿宋" w:hAnsi="仿宋"/>
          <w:color w:val="000000"/>
          <w:sz w:val="32"/>
          <w:szCs w:val="32"/>
        </w:rPr>
        <w:t>954.70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万元，其中：基本支出</w:t>
      </w:r>
      <w:r>
        <w:rPr>
          <w:rFonts w:ascii="仿宋" w:eastAsia="仿宋" w:cs="仿宋" w:hAnsi="仿宋"/>
          <w:color w:val="000000"/>
          <w:sz w:val="32"/>
          <w:szCs w:val="32"/>
        </w:rPr>
        <w:t>198.64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万元，项目支出</w:t>
      </w:r>
      <w:r>
        <w:rPr>
          <w:rFonts w:ascii="仿宋" w:eastAsia="仿宋" w:cs="仿宋" w:hAnsi="仿宋"/>
          <w:color w:val="000000"/>
          <w:sz w:val="32"/>
          <w:szCs w:val="32"/>
        </w:rPr>
        <w:t>756.06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万元。202</w:t>
      </w:r>
      <w:r>
        <w:rPr>
          <w:rFonts w:ascii="仿宋" w:eastAsia="仿宋" w:cs="仿宋" w:hAnsi="仿宋"/>
          <w:color w:val="000000"/>
          <w:sz w:val="32"/>
          <w:szCs w:val="32"/>
        </w:rPr>
        <w:t>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年实际收入</w:t>
      </w:r>
      <w:r>
        <w:rPr>
          <w:rFonts w:ascii="仿宋_GB2312" w:eastAsia="仿宋_GB2312" w:cs="Times New Roman"/>
          <w:color w:val="000000"/>
          <w:sz w:val="32"/>
          <w:szCs w:val="32"/>
          <w:lang w:val="en-US" w:eastAsia="zh-CN" w:bidi="ar-SA"/>
        </w:rPr>
        <w:t>906.48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万元,实际支出</w:t>
      </w:r>
      <w:r>
        <w:rPr>
          <w:rFonts w:ascii="仿宋_GB2312" w:eastAsia="仿宋_GB2312" w:cs="Times New Roman"/>
          <w:color w:val="000000"/>
          <w:sz w:val="32"/>
          <w:szCs w:val="32"/>
          <w:lang w:val="en-US" w:eastAsia="zh-CN" w:bidi="ar-SA"/>
        </w:rPr>
        <w:t>906.47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万元，其中：基本支出</w:t>
      </w:r>
      <w:r>
        <w:rPr>
          <w:rFonts w:ascii="仿宋" w:eastAsia="仿宋" w:cs="仿宋" w:hAnsi="仿宋"/>
          <w:color w:val="000000"/>
          <w:sz w:val="32"/>
          <w:szCs w:val="32"/>
        </w:rPr>
        <w:t>198.99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万元，项目支出</w:t>
      </w:r>
      <w:r>
        <w:rPr>
          <w:rFonts w:ascii="仿宋_GB2312" w:eastAsia="仿宋_GB2312" w:cs="Times New Roman"/>
          <w:color w:val="000000"/>
          <w:sz w:val="32"/>
          <w:szCs w:val="32"/>
          <w:lang w:val="en-US" w:eastAsia="zh-CN" w:bidi="ar-SA"/>
        </w:rPr>
        <w:t>707.48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rPr>
          <w:rFonts w:ascii="仿宋" w:eastAsia="仿宋" w:cs="楷体_GB2312" w:hAnsi="仿宋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（三）部门整体支出绩效目标、指标</w:t>
      </w:r>
    </w:p>
    <w:p>
      <w:pPr>
        <w:pStyle w:val="20"/>
        <w:spacing w:line="560" w:lineRule="exact"/>
        <w:rPr>
          <w:rFonts w:ascii="仿宋" w:eastAsia="仿宋" w:cs="仿宋" w:hAnsi="仿宋" w:hint="eastAsia"/>
          <w:kern w:val="2"/>
          <w:sz w:val="32"/>
          <w:szCs w:val="32"/>
          <w:lang w:eastAsia="zh-CN"/>
        </w:rPr>
      </w:pPr>
      <w:r>
        <w:rPr>
          <w:rFonts w:ascii="仿宋" w:eastAsia="仿宋" w:cs="黑体" w:hAnsi="仿宋" w:hint="eastAsia"/>
          <w:kern w:val="2"/>
          <w:sz w:val="32"/>
          <w:szCs w:val="32"/>
          <w:lang w:eastAsia="zh-CN"/>
        </w:rPr>
        <w:t>（</w:t>
      </w:r>
      <w:r>
        <w:rPr>
          <w:rFonts w:ascii="仿宋" w:eastAsia="仿宋" w:cs="仿宋" w:hAnsi="仿宋" w:hint="eastAsia"/>
          <w:kern w:val="2"/>
          <w:sz w:val="32"/>
          <w:szCs w:val="32"/>
          <w:lang w:eastAsia="zh-CN"/>
        </w:rPr>
        <w:t>1）拟订全区医疗保障工作规划；负责全区医疗保障综合统计工作，负责编制全区医疗保险、生育保险和长期护理保险基金、医疗救助资金预决算工作和年度财务报告，负责推进全区医疗保障信息化建设，组织建设信息网络系统。贯彻落实长期护理保险制度改革方案；落实医疗保障筹资、待遇政策，贯彻落实慢性病、特种病等病种和特殊规定药品管理规定，统筹推进医疗保险、生育保险、医疗救助等多层次医疗体系建设，贯彻落实医疗保障关系转移接续制度，组织实施定点医药机构医保协议和支付管理、异地就医管理办法和结算政策，组织开展药品、医用耗材、医疗技术的经济性评价。按照职责权限，贯彻落实药品、医用耗材、医疗服务价格管理办法，制定和调整公立医疗服务机构价格。</w:t>
      </w:r>
    </w:p>
    <w:p>
      <w:pPr>
        <w:pStyle w:val="20"/>
        <w:spacing w:line="560" w:lineRule="exact"/>
        <w:rPr>
          <w:rFonts w:ascii="仿宋" w:eastAsia="仿宋" w:cs="仿宋" w:hAnsi="仿宋" w:hint="eastAsia"/>
          <w:kern w:val="2"/>
          <w:sz w:val="32"/>
          <w:szCs w:val="32"/>
          <w:lang w:eastAsia="zh-CN"/>
        </w:rPr>
      </w:pPr>
      <w:r>
        <w:rPr>
          <w:rFonts w:ascii="仿宋" w:eastAsia="仿宋" w:cs="仿宋" w:hAnsi="仿宋" w:hint="eastAsia"/>
          <w:kern w:val="2"/>
          <w:sz w:val="32"/>
          <w:szCs w:val="32"/>
          <w:lang w:eastAsia="zh-CN"/>
        </w:rPr>
        <w:t>（2）贯彻落实医疗保障基金监督管理规定并组织实施；建立健全医疗保障基金安全防控机制、医疗保障信用评价体系和信息披露制度；监督管理纳入医保支付范围的医疗服务行为和医疗费用；规范医保经办，依法查处医疗保障领域违法违规行为。依法管理药品、医用耗材、医疗服务价格政策法规执行情况；组织实施全区医疗服务价格项目规范、一次性医用耗材目录。</w:t>
      </w:r>
    </w:p>
    <w:tbl>
      <w:tblPr>
        <w:jc w:val="left"/>
        <w:tblInd w:w="0" w:type="dxa"/>
        <w:tblW w:w="99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71"/>
        <w:gridCol w:w="1535"/>
        <w:gridCol w:w="1371"/>
        <w:gridCol w:w="939"/>
        <w:gridCol w:w="659"/>
        <w:gridCol w:w="939"/>
        <w:gridCol w:w="792"/>
        <w:gridCol w:w="1045"/>
        <w:gridCol w:w="1319"/>
      </w:tblGrid>
      <w:tr>
        <w:trPr>
          <w:trHeight w:val="750"/>
        </w:trPr>
        <w:tc>
          <w:tcPr>
            <w:tcW w:w="9970" w:type="dxa"/>
            <w:gridSpan w:val="9"/>
            <w:shd w:val="clear" w:color="auto" w:fill="D3DCE9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color w:val="000000"/>
                <w:sz w:val="43"/>
                <w:szCs w:val="43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43"/>
                <w:szCs w:val="43"/>
              </w:rPr>
              <w:t>预算项目绩效信息表</w:t>
            </w:r>
          </w:p>
        </w:tc>
      </w:tr>
      <w:tr>
        <w:trPr>
          <w:trHeight w:val="465"/>
        </w:trPr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绩效指标描述</w:t>
            </w:r>
          </w:p>
        </w:tc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评（扣）分标准</w:t>
            </w:r>
          </w:p>
        </w:tc>
        <w:tc>
          <w:tcPr>
            <w:tcW w:w="2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指标值确定依据</w:t>
            </w:r>
          </w:p>
        </w:tc>
      </w:tr>
      <w:tr>
        <w:trPr>
          <w:trHeight w:val="465"/>
        </w:trPr>
        <w:tc>
          <w:tcPr>
            <w:tcW w:w="1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符号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值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单位（文字描述）</w:t>
            </w:r>
          </w:p>
        </w:tc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</w:tr>
      <w:tr>
        <w:trPr>
          <w:trHeight w:val="645"/>
        </w:trPr>
        <w:tc>
          <w:tcPr>
            <w:tcW w:w="1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开展医保宣传次数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/>
                <w:color w:val="000000"/>
                <w:kern w:val="0"/>
                <w:sz w:val="18"/>
                <w:szCs w:val="18"/>
              </w:rPr>
              <w:t>加强对医保政策的宣传活动，使老百姓真正了解医保政策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widowControl/>
              <w:spacing w:line="560" w:lineRule="exact"/>
              <w:jc w:val="left"/>
              <w:textAlignment w:val="top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righ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6.00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次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工作要求</w:t>
            </w:r>
          </w:p>
        </w:tc>
      </w:tr>
      <w:tr>
        <w:trPr>
          <w:trHeight w:val="465"/>
        </w:trPr>
        <w:tc>
          <w:tcPr>
            <w:tcW w:w="1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/>
                <w:color w:val="000000"/>
                <w:kern w:val="0"/>
                <w:sz w:val="18"/>
                <w:szCs w:val="18"/>
              </w:rPr>
              <w:t>加强对两定点医疗机构检查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Ansi="宋体"/>
                <w:color w:val="000000"/>
                <w:kern w:val="0"/>
                <w:sz w:val="18"/>
                <w:szCs w:val="18"/>
              </w:rPr>
              <w:t>加强对两定点医疗机构检查，保证医保基金安全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righ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95.00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工作要求</w:t>
            </w:r>
          </w:p>
        </w:tc>
      </w:tr>
      <w:tr>
        <w:trPr>
          <w:trHeight w:val="675"/>
        </w:trPr>
        <w:tc>
          <w:tcPr>
            <w:tcW w:w="1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/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检查完成率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spacing w:line="560" w:lineRule="exact"/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按要求完成互查任务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widowControl/>
              <w:spacing w:line="560" w:lineRule="exact"/>
              <w:jc w:val="left"/>
              <w:textAlignment w:val="top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righ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90.00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工作要求</w:t>
            </w:r>
          </w:p>
        </w:tc>
      </w:tr>
      <w:tr>
        <w:trPr>
          <w:trHeight w:val="1050"/>
        </w:trPr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检查定点医药机构存在问题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按要求完成互查任务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widowControl/>
              <w:spacing w:line="560" w:lineRule="exact"/>
              <w:jc w:val="left"/>
              <w:textAlignment w:val="top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spacing w:line="560" w:lineRule="exact"/>
              <w:jc w:val="right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90.00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工作要求</w:t>
            </w:r>
          </w:p>
        </w:tc>
      </w:tr>
      <w:tr>
        <w:trPr>
          <w:trHeight w:val="840"/>
        </w:trPr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宋体" w:cs="宋体" w:hAnsi="宋体"/>
                <w:b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b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受益对象的满意度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受益对象的满意度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widowControl/>
              <w:spacing w:line="560" w:lineRule="exact"/>
              <w:jc w:val="left"/>
              <w:textAlignment w:val="top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righ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95.00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left"/>
              <w:textAlignment w:val="center"/>
              <w:rPr>
                <w:rFonts w:ascii="宋体" w:cs="宋体" w:hAnsi="宋体"/>
                <w:color w:val="000000"/>
                <w:sz w:val="18"/>
                <w:szCs w:val="18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18"/>
                <w:szCs w:val="18"/>
              </w:rPr>
              <w:t>意见反馈</w:t>
            </w:r>
          </w:p>
        </w:tc>
      </w:tr>
    </w:tbl>
    <w:p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二、自评工作开展情况</w:t>
      </w:r>
    </w:p>
    <w:p>
      <w:pPr>
        <w:spacing w:line="560" w:lineRule="exact"/>
        <w:rPr>
          <w:rFonts w:ascii="仿宋" w:eastAsia="仿宋" w:cs="楷体_GB2312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>
        <w:rPr>
          <w:rFonts w:ascii="仿宋" w:eastAsia="仿宋" w:cs="楷体_GB2312" w:hAnsi="仿宋" w:hint="eastAsia"/>
          <w:b/>
          <w:bCs/>
          <w:sz w:val="32"/>
          <w:szCs w:val="32"/>
        </w:rPr>
        <w:t>（一）自评的组织工作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贯彻落实</w:t>
      </w:r>
      <w:r>
        <w:rPr>
          <w:rFonts w:ascii="仿宋" w:eastAsia="仿宋" w:hAnsi="仿宋"/>
          <w:sz w:val="32"/>
          <w:szCs w:val="32"/>
        </w:rPr>
        <w:t>区委区政府</w:t>
      </w:r>
      <w:r>
        <w:rPr>
          <w:rFonts w:ascii="仿宋" w:eastAsia="仿宋" w:hAnsi="仿宋" w:hint="eastAsia"/>
          <w:sz w:val="32"/>
          <w:szCs w:val="32"/>
        </w:rPr>
        <w:t>《关于全面落实预算绩效管理的实施意见》（</w:t>
      </w:r>
      <w:r>
        <w:rPr>
          <w:rFonts w:ascii="仿宋" w:eastAsia="仿宋" w:hAnsi="仿宋"/>
          <w:sz w:val="32"/>
          <w:szCs w:val="32"/>
        </w:rPr>
        <w:t>矿</w:t>
      </w:r>
      <w:r>
        <w:rPr>
          <w:rFonts w:ascii="仿宋" w:eastAsia="仿宋" w:hAnsi="仿宋" w:hint="eastAsia"/>
          <w:sz w:val="32"/>
          <w:szCs w:val="32"/>
        </w:rPr>
        <w:t>发﹝2019﹞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号）文件精神要求和《井陉矿区区级部门项目自评管理办法》（矿财[2021]12号）规定</w:t>
      </w:r>
      <w:r>
        <w:rPr>
          <w:rFonts w:ascii="仿宋" w:eastAsia="仿宋" w:cs="仿宋" w:hAnsi="仿宋" w:hint="eastAsia"/>
          <w:sz w:val="32"/>
          <w:szCs w:val="32"/>
        </w:rPr>
        <w:t>，成立绩效评价工作组，对我局所有的资金项目，开展202</w:t>
      </w:r>
      <w:r>
        <w:rPr>
          <w:rFonts w:ascii="仿宋" w:eastAsia="仿宋" w:cs="仿宋" w:hAnsi="仿宋"/>
          <w:sz w:val="32"/>
          <w:szCs w:val="32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年度部门整体绩效自评工作。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绩效评价工作组根据工作方案，明确任务分工，确定评价程序及时间安排。根据202</w:t>
      </w:r>
      <w:r>
        <w:rPr>
          <w:rFonts w:ascii="仿宋" w:eastAsia="仿宋" w:cs="仿宋" w:hAnsi="仿宋"/>
          <w:sz w:val="32"/>
          <w:szCs w:val="32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年初设定的绩效目标完成情况和各绩效指标完成情况进行核实分析，填报《202</w:t>
      </w:r>
      <w:r>
        <w:rPr>
          <w:rFonts w:ascii="仿宋" w:eastAsia="仿宋" w:cs="仿宋" w:hAnsi="仿宋"/>
          <w:sz w:val="32"/>
          <w:szCs w:val="32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年区级项目绩效自评表》，并撰写绩效自评报告。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楷体_GB2312" w:hAnsi="仿宋"/>
          <w:color w:val="000000"/>
          <w:sz w:val="32"/>
          <w:szCs w:val="32"/>
        </w:rPr>
      </w:pPr>
      <w:r>
        <w:rPr>
          <w:rFonts w:ascii="仿宋" w:eastAsia="仿宋" w:cs="楷体_GB2312" w:hAnsi="仿宋" w:hint="eastAsia"/>
          <w:color w:val="000000"/>
          <w:sz w:val="32"/>
          <w:szCs w:val="32"/>
        </w:rPr>
        <w:t>石家庄市井陉矿区医疗保障局202</w:t>
      </w:r>
      <w:r>
        <w:rPr>
          <w:rFonts w:ascii="仿宋" w:eastAsia="仿宋" w:cs="楷体_GB2312" w:hAnsi="仿宋"/>
          <w:color w:val="000000"/>
          <w:sz w:val="32"/>
          <w:szCs w:val="32"/>
        </w:rPr>
        <w:t>5</w:t>
      </w:r>
      <w:r>
        <w:rPr>
          <w:rFonts w:ascii="仿宋" w:eastAsia="仿宋" w:cs="楷体_GB2312" w:hAnsi="仿宋" w:hint="eastAsia"/>
          <w:color w:val="000000"/>
          <w:sz w:val="32"/>
          <w:szCs w:val="32"/>
        </w:rPr>
        <w:t>年度项目</w:t>
      </w:r>
      <w:r>
        <w:rPr>
          <w:rFonts w:ascii="仿宋" w:eastAsia="仿宋" w:cs="楷体_GB2312" w:hAnsi="仿宋"/>
          <w:color w:val="000000"/>
          <w:sz w:val="32"/>
          <w:szCs w:val="32"/>
        </w:rPr>
        <w:t>13</w:t>
      </w:r>
      <w:r>
        <w:rPr>
          <w:rFonts w:ascii="仿宋" w:eastAsia="仿宋" w:cs="楷体_GB2312" w:hAnsi="仿宋" w:hint="eastAsia"/>
          <w:color w:val="000000"/>
          <w:sz w:val="32"/>
          <w:szCs w:val="32"/>
        </w:rPr>
        <w:t>个</w:t>
      </w:r>
      <w:r>
        <w:rPr>
          <w:rFonts w:ascii="仿宋" w:eastAsia="仿宋" w:cs="楷体_GB2312" w:hAnsi="仿宋"/>
          <w:color w:val="000000"/>
          <w:sz w:val="32"/>
          <w:szCs w:val="32"/>
        </w:rPr>
        <w:t>调整</w:t>
      </w:r>
      <w:r>
        <w:rPr>
          <w:rFonts w:ascii="仿宋" w:eastAsia="仿宋" w:cs="楷体_GB2312" w:hAnsi="仿宋" w:hint="eastAsia"/>
          <w:color w:val="000000"/>
          <w:sz w:val="32"/>
          <w:szCs w:val="32"/>
        </w:rPr>
        <w:t>预算</w:t>
      </w:r>
      <w:r>
        <w:rPr>
          <w:rFonts w:ascii="仿宋" w:eastAsia="仿宋" w:cs="楷体_GB2312" w:hAnsi="仿宋"/>
          <w:color w:val="000000"/>
          <w:sz w:val="32"/>
          <w:szCs w:val="32"/>
        </w:rPr>
        <w:t>数739.483265</w:t>
      </w:r>
      <w:r>
        <w:rPr>
          <w:rFonts w:ascii="仿宋" w:eastAsia="仿宋" w:cs="楷体_GB2312" w:hAnsi="仿宋" w:hint="eastAsia"/>
          <w:color w:val="000000"/>
          <w:sz w:val="32"/>
          <w:szCs w:val="32"/>
        </w:rPr>
        <w:t>万元具体为：</w:t>
      </w:r>
      <w:r>
        <w:rPr>
          <w:rFonts w:ascii="仿宋" w:eastAsia="仿宋" w:cs="楷体_GB2312" w:hAnsi="仿宋"/>
          <w:color w:val="000000"/>
          <w:sz w:val="32"/>
          <w:szCs w:val="32"/>
        </w:rPr>
        <w:t>骨干网络建设经费预算0.96万元，医保经办业务网络租赁费预算0.6万元，劳务派遣经费预算5.05477万元，医保业务专项经费预算0.75万元，石财社[2024]117号关于提前下达2025年中央财政医疗服务与保障能力提升补助资金(基金监管经费)预算6万元，石财社[2024]117号关于提前下达2025年中央财政医疗服务与保障能力提升补助资金(经办管理服务体系建设经费)预算1万元，石财社[2024]117号关于提前下达2025年中央财政医疗服务与保障能力提升补助资金(宣传引导经费)预算4万元，石财社[2024]117号关于提前下达2025年中央财政医疗服务与保障能力提升补助资金(药品和医用耗材集中带量采购经费)预算1万元，医保专网网络租赁费预算0.24万元，综合业务工作经费预算0.247万元，城乡居民基本医疗保险区级配套资金预算676.466万元，劳务派遣经费预算39.855652万元，离休人员医疗费预算3.309843万元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楷体_GB2312" w:hAnsi="仿宋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>（二）自评的方法和过程</w:t>
      </w:r>
    </w:p>
    <w:p>
      <w:pPr>
        <w:pStyle w:val="15"/>
        <w:spacing w:line="560" w:lineRule="exact"/>
        <w:rPr>
          <w:rFonts w:eastAsia="仿宋"/>
          <w:sz w:val="32"/>
          <w:szCs w:val="32"/>
        </w:rPr>
      </w:pPr>
      <w:r>
        <w:rPr>
          <w:rFonts w:ascii="仿宋" w:eastAsia="仿宋" w:cs="楷体_GB2312" w:hAnsi="仿宋" w:hint="eastAsia"/>
          <w:sz w:val="32"/>
          <w:szCs w:val="32"/>
        </w:rPr>
        <w:t>本次绩效评价证据收集方法包括了：研究、分析项目预算股室提供的相关文件；整理汇总项目预算股室提供的项目资料、工作总结和合同；根据预算股室提供的基础数据表逐项进行核实；根据项目服务对象填写的问卷调查结果汇总满意度情况。项目在前期的调研基础上，完成了项目绩效评价工作方案，设计了指标体系、评价标准、问卷调查方案等，明确了评价的目的、方法，评价原则。项目严格按照工作方案，通过调研、相关文件的解读、数据采集、文件调查、数据分析、指标评分和撰写的环节，顺利完成了本次绩效评价工作。</w:t>
      </w:r>
    </w:p>
    <w:p>
      <w:pPr>
        <w:spacing w:line="560" w:lineRule="exac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 </w:t>
      </w:r>
      <w:r>
        <w:rPr>
          <w:rFonts w:ascii="仿宋" w:eastAsia="仿宋" w:hAnsi="仿宋" w:hint="eastAsia"/>
          <w:b/>
          <w:bCs/>
          <w:sz w:val="32"/>
          <w:szCs w:val="32"/>
        </w:rPr>
        <w:t xml:space="preserve"> </w:t>
      </w:r>
      <w:r>
        <w:rPr>
          <w:rFonts w:ascii="黑体" w:eastAsia="黑体" w:hAnsi="黑体" w:hint="eastAsia"/>
          <w:sz w:val="32"/>
          <w:szCs w:val="32"/>
        </w:rPr>
        <w:t>三、部门整体支出绩效目标实现情况及指标分析</w:t>
      </w:r>
    </w:p>
    <w:p>
      <w:pPr>
        <w:numPr>
          <w:ilvl w:val="0"/>
          <w:numId w:val="1"/>
        </w:numPr>
        <w:spacing w:line="560" w:lineRule="exact"/>
        <w:ind w:left="0" w:firstLineChars="200" w:firstLine="640"/>
        <w:rPr>
          <w:rFonts w:ascii="仿宋" w:eastAsia="仿宋" w:cs="楷体_GB2312" w:hAnsi="仿宋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>总体绩效目标实现情况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绩效目标是贯穿预算绩效管理始终的一条主线，是预算资金安排、事中绩效跟踪和事后绩效评价的重要依据。根据相关文件要求，我局所有年初项目均设定了绩效目标，涉及产出指标和效果指标，但存在绩效指标不够全面、可评性不高、具体指标缺乏量化等问题。主要原因是对绩效目标的认识不够，制定多样化和细化的评价指标和标准需要在实践中不断完</w:t>
      </w:r>
    </w:p>
    <w:p>
      <w:pPr>
        <w:spacing w:line="560" w:lineRule="exact"/>
        <w:ind w:firstLine="645"/>
        <w:rPr>
          <w:rFonts w:ascii="仿宋" w:eastAsia="仿宋" w:cs="楷体_GB2312" w:hAnsi="仿宋"/>
          <w:b/>
          <w:bCs/>
          <w:vanish w:val="0"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>（二）分项绩效目标实现情况及指标分析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（</w:t>
      </w:r>
      <w:r>
        <w:rPr>
          <w:rFonts w:ascii="仿宋" w:eastAsia="仿宋" w:cs="仿宋" w:hAnsi="仿宋"/>
          <w:sz w:val="32"/>
          <w:szCs w:val="32"/>
        </w:rPr>
        <w:t>1</w:t>
      </w:r>
      <w:r>
        <w:rPr>
          <w:rFonts w:ascii="仿宋" w:eastAsia="仿宋" w:cs="仿宋" w:hAnsi="仿宋" w:hint="eastAsia"/>
          <w:sz w:val="32"/>
          <w:szCs w:val="32"/>
        </w:rPr>
        <w:t>）</w:t>
      </w:r>
      <w:r>
        <w:rPr>
          <w:rFonts w:ascii="仿宋" w:eastAsia="仿宋" w:cs="仿宋" w:hAnsi="仿宋"/>
          <w:sz w:val="32"/>
          <w:szCs w:val="32"/>
        </w:rPr>
        <w:t>骨干网络建设经费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该项目年初预算为</w:t>
      </w:r>
      <w:r>
        <w:rPr>
          <w:rFonts w:ascii="仿宋" w:eastAsia="仿宋" w:cs="仿宋" w:hAnsi="仿宋"/>
          <w:sz w:val="32"/>
          <w:szCs w:val="32"/>
        </w:rPr>
        <w:t>0.96</w:t>
      </w:r>
      <w:r>
        <w:rPr>
          <w:rFonts w:ascii="仿宋" w:eastAsia="仿宋" w:cs="仿宋" w:hAnsi="仿宋" w:hint="eastAsia"/>
          <w:sz w:val="32"/>
          <w:szCs w:val="32"/>
        </w:rPr>
        <w:t>万元，支出</w:t>
      </w:r>
      <w:r>
        <w:rPr>
          <w:rFonts w:ascii="仿宋" w:eastAsia="仿宋" w:cs="仿宋" w:hAnsi="仿宋"/>
          <w:sz w:val="32"/>
          <w:szCs w:val="32"/>
        </w:rPr>
        <w:t>0.96</w:t>
      </w:r>
      <w:r>
        <w:rPr>
          <w:rFonts w:ascii="仿宋" w:eastAsia="仿宋" w:cs="仿宋" w:hAnsi="仿宋" w:hint="eastAsia"/>
          <w:sz w:val="32"/>
          <w:szCs w:val="32"/>
        </w:rPr>
        <w:t>万元，总体支出进度为100%。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2.产出指标和效果指标完成情况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Times New Roman" w:hAnsi="宋体" w:hint="eastAsia"/>
          <w:bCs/>
          <w:sz w:val="32"/>
          <w:szCs w:val="32"/>
        </w:rPr>
        <w:t>为了推动机关单位工作的有序进行，根据区财政局</w:t>
      </w:r>
      <w:r>
        <w:rPr>
          <w:rFonts w:ascii="仿宋_GB2312" w:eastAsia="仿宋_GB2312" w:cs="仿宋_GB2312" w:hAnsi="仿宋_GB2312" w:hint="eastAsia"/>
          <w:sz w:val="32"/>
          <w:szCs w:val="32"/>
        </w:rPr>
        <w:t>有关要求，我单位</w:t>
      </w:r>
      <w:r>
        <w:rPr>
          <w:rFonts w:ascii="仿宋" w:eastAsia="仿宋" w:cs="仿宋" w:hAnsi="仿宋"/>
          <w:sz w:val="32"/>
          <w:szCs w:val="32"/>
        </w:rPr>
        <w:t>骨干网络建设经费</w:t>
      </w:r>
      <w:r>
        <w:rPr>
          <w:rFonts w:ascii="仿宋_GB2312" w:eastAsia="仿宋_GB2312" w:cs="仿宋_GB2312" w:hAnsi="仿宋_GB2312" w:hint="eastAsia"/>
          <w:sz w:val="32"/>
          <w:szCs w:val="32"/>
        </w:rPr>
        <w:t>项目资金</w:t>
      </w:r>
      <w:r>
        <w:rPr>
          <w:rFonts w:ascii="仿宋_GB2312" w:eastAsia="仿宋_GB2312" w:cs="仿宋_GB2312" w:hAnsi="仿宋_GB2312"/>
          <w:sz w:val="32"/>
          <w:szCs w:val="32"/>
        </w:rPr>
        <w:t>0.96</w:t>
      </w:r>
      <w:r>
        <w:rPr>
          <w:rFonts w:ascii="仿宋_GB2312" w:eastAsia="仿宋_GB2312" w:cs="仿宋_GB2312" w:hAnsi="仿宋_GB2312" w:hint="eastAsia"/>
          <w:sz w:val="32"/>
          <w:szCs w:val="32"/>
        </w:rPr>
        <w:t>万元</w:t>
      </w:r>
      <w:r>
        <w:rPr>
          <w:rFonts w:ascii="仿宋_GB2312" w:eastAsia="仿宋_GB2312" w:cs="Times New Roman" w:hAnsi="宋体"/>
          <w:bCs/>
          <w:sz w:val="32"/>
          <w:szCs w:val="32"/>
        </w:rPr>
        <w:t>，用于保障乡（镇、办事处）医保业务有序开展，加快完善核心业务区骨干网络建设，</w:t>
      </w:r>
      <w:r>
        <w:rPr>
          <w:rFonts w:ascii="仿宋_GB2312" w:eastAsia="仿宋_GB2312" w:cs="仿宋_GB2312" w:hAnsi="仿宋_GB2312"/>
          <w:sz w:val="32"/>
          <w:szCs w:val="32"/>
        </w:rPr>
        <w:t>保证全区医保业务正常运行。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绩效指标为4个，评价等级为优。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（</w:t>
      </w:r>
      <w:r>
        <w:rPr>
          <w:rFonts w:ascii="仿宋" w:eastAsia="仿宋" w:cs="仿宋" w:hAnsi="仿宋"/>
          <w:sz w:val="32"/>
          <w:szCs w:val="32"/>
        </w:rPr>
        <w:t>2</w:t>
      </w:r>
      <w:r>
        <w:rPr>
          <w:rFonts w:ascii="仿宋" w:eastAsia="仿宋" w:cs="仿宋" w:hAnsi="仿宋" w:hint="eastAsia"/>
          <w:sz w:val="32"/>
          <w:szCs w:val="32"/>
        </w:rPr>
        <w:t>）</w:t>
      </w:r>
      <w:r>
        <w:rPr>
          <w:rFonts w:ascii="仿宋" w:eastAsia="仿宋" w:cs="仿宋" w:hAnsi="仿宋"/>
          <w:sz w:val="32"/>
          <w:szCs w:val="32"/>
        </w:rPr>
        <w:t>医保经办业务网络租赁费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该项目年初预算为0.6万元，支出</w:t>
      </w:r>
      <w:r>
        <w:rPr>
          <w:rFonts w:ascii="仿宋" w:eastAsia="仿宋" w:cs="仿宋" w:hAnsi="仿宋"/>
          <w:sz w:val="32"/>
          <w:szCs w:val="32"/>
        </w:rPr>
        <w:t>0.6</w:t>
      </w:r>
      <w:r>
        <w:rPr>
          <w:rFonts w:ascii="仿宋" w:eastAsia="仿宋" w:cs="仿宋" w:hAnsi="仿宋" w:hint="eastAsia"/>
          <w:sz w:val="32"/>
          <w:szCs w:val="32"/>
        </w:rPr>
        <w:t>万元，总体支出进度为</w:t>
      </w:r>
      <w:r>
        <w:rPr>
          <w:rFonts w:ascii="仿宋" w:eastAsia="仿宋" w:cs="仿宋" w:hAnsi="仿宋"/>
          <w:sz w:val="32"/>
          <w:szCs w:val="32"/>
        </w:rPr>
        <w:t>100%</w:t>
      </w:r>
      <w:r>
        <w:rPr>
          <w:rFonts w:ascii="仿宋" w:eastAsia="仿宋" w:cs="仿宋" w:hAnsi="仿宋" w:hint="eastAsia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2.产出指标和效果指标完成情况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Times New Roman" w:hAnsi="宋体" w:hint="eastAsia"/>
          <w:bCs/>
          <w:sz w:val="32"/>
          <w:szCs w:val="32"/>
        </w:rPr>
        <w:t>为了推动机关单位工作的有序进行，根据区财政局</w:t>
      </w:r>
      <w:r>
        <w:rPr>
          <w:rFonts w:ascii="仿宋_GB2312" w:eastAsia="仿宋_GB2312" w:cs="仿宋_GB2312" w:hAnsi="仿宋_GB2312" w:hint="eastAsia"/>
          <w:sz w:val="32"/>
          <w:szCs w:val="32"/>
        </w:rPr>
        <w:t>有关要求，我单位</w:t>
      </w:r>
      <w:r>
        <w:rPr>
          <w:rFonts w:ascii="仿宋" w:eastAsia="仿宋" w:cs="仿宋" w:hAnsi="仿宋"/>
          <w:sz w:val="32"/>
          <w:szCs w:val="32"/>
        </w:rPr>
        <w:t>医保经办业务网络租赁费</w:t>
      </w:r>
      <w:r>
        <w:rPr>
          <w:rFonts w:ascii="仿宋_GB2312" w:eastAsia="仿宋_GB2312" w:cs="仿宋_GB2312" w:hAnsi="仿宋_GB2312" w:hint="eastAsia"/>
          <w:sz w:val="32"/>
          <w:szCs w:val="32"/>
        </w:rPr>
        <w:t>项目资金0.6万元，</w:t>
      </w:r>
      <w:r>
        <w:rPr>
          <w:rFonts w:ascii="仿宋_GB2312" w:eastAsia="仿宋_GB2312" w:cs="Times New Roman" w:hAnsi="宋体" w:hint="eastAsia"/>
          <w:bCs/>
          <w:sz w:val="32"/>
          <w:szCs w:val="32"/>
        </w:rPr>
        <w:t>用于开</w:t>
      </w:r>
      <w:r>
        <w:rPr>
          <w:rFonts w:ascii="仿宋_GB2312" w:eastAsia="仿宋_GB2312" w:cs="仿宋_GB2312" w:hAnsi="仿宋_GB2312" w:hint="eastAsia"/>
          <w:sz w:val="32"/>
          <w:szCs w:val="32"/>
        </w:rPr>
        <w:t>展</w:t>
      </w:r>
      <w:r>
        <w:rPr>
          <w:rFonts w:ascii="仿宋_GB2312" w:eastAsia="仿宋_GB2312" w:cs="仿宋_GB2312" w:hAnsi="仿宋_GB2312"/>
          <w:sz w:val="32"/>
          <w:szCs w:val="32"/>
        </w:rPr>
        <w:t>租用联通公司专线</w:t>
      </w:r>
      <w:r>
        <w:rPr>
          <w:rFonts w:ascii="仿宋_GB2312" w:eastAsia="仿宋_GB2312" w:cs="仿宋_GB2312" w:hAnsi="仿宋_GB2312" w:hint="eastAsia"/>
          <w:sz w:val="32"/>
          <w:szCs w:val="32"/>
        </w:rPr>
        <w:t>支出</w:t>
      </w:r>
      <w:r>
        <w:rPr>
          <w:rFonts w:ascii="仿宋_GB2312" w:eastAsia="仿宋_GB2312" w:cs="仿宋_GB2312" w:hAnsi="仿宋_GB2312"/>
          <w:sz w:val="32"/>
          <w:szCs w:val="32"/>
        </w:rPr>
        <w:t>，保证全区医保业务正常运行。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绩效指标为4个，评价等级为优。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（</w:t>
      </w:r>
      <w:r>
        <w:rPr>
          <w:rFonts w:ascii="仿宋" w:eastAsia="仿宋" w:cs="仿宋" w:hAnsi="仿宋"/>
          <w:sz w:val="32"/>
          <w:szCs w:val="32"/>
        </w:rPr>
        <w:t>3</w:t>
      </w:r>
      <w:r>
        <w:rPr>
          <w:rFonts w:ascii="仿宋" w:eastAsia="仿宋" w:cs="仿宋" w:hAnsi="仿宋" w:hint="eastAsia"/>
          <w:sz w:val="32"/>
          <w:szCs w:val="32"/>
        </w:rPr>
        <w:t>）劳务派遣经费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该项目预算为</w:t>
      </w:r>
      <w:r>
        <w:rPr>
          <w:rFonts w:ascii="仿宋" w:eastAsia="仿宋" w:cs="仿宋" w:hAnsi="仿宋"/>
          <w:sz w:val="32"/>
          <w:szCs w:val="32"/>
        </w:rPr>
        <w:t>5.05477</w:t>
      </w:r>
      <w:r>
        <w:rPr>
          <w:rFonts w:ascii="仿宋" w:eastAsia="仿宋" w:cs="仿宋" w:hAnsi="仿宋" w:hint="eastAsia"/>
          <w:sz w:val="32"/>
          <w:szCs w:val="32"/>
        </w:rPr>
        <w:t>万元，支出</w:t>
      </w:r>
      <w:r>
        <w:rPr>
          <w:rFonts w:ascii="仿宋" w:eastAsia="仿宋" w:cs="仿宋" w:hAnsi="仿宋"/>
          <w:sz w:val="32"/>
          <w:szCs w:val="32"/>
        </w:rPr>
        <w:t>2.395612</w:t>
      </w:r>
      <w:r>
        <w:rPr>
          <w:rFonts w:ascii="仿宋" w:eastAsia="仿宋" w:cs="仿宋" w:hAnsi="仿宋" w:hint="eastAsia"/>
          <w:sz w:val="32"/>
          <w:szCs w:val="32"/>
        </w:rPr>
        <w:t>万元，总体支出进度为</w:t>
      </w:r>
      <w:r>
        <w:rPr>
          <w:rFonts w:ascii="仿宋" w:eastAsia="仿宋" w:cs="仿宋" w:hAnsi="仿宋"/>
          <w:sz w:val="32"/>
          <w:szCs w:val="32"/>
        </w:rPr>
        <w:t>47.39%</w:t>
      </w:r>
      <w:r>
        <w:rPr>
          <w:rFonts w:ascii="仿宋" w:eastAsia="仿宋" w:cs="仿宋" w:hAnsi="仿宋" w:hint="eastAsia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为了推动机关单位工作的有序进行，根据区财政局有关要求，我单位劳务派遣经费项目资金</w:t>
      </w:r>
      <w:r>
        <w:rPr>
          <w:rFonts w:ascii="仿宋" w:eastAsia="仿宋" w:cs="仿宋" w:hAnsi="仿宋"/>
          <w:sz w:val="32"/>
          <w:szCs w:val="32"/>
        </w:rPr>
        <w:t>5.05477</w:t>
      </w:r>
      <w:r>
        <w:rPr>
          <w:rFonts w:ascii="仿宋" w:eastAsia="仿宋" w:cs="仿宋" w:hAnsi="仿宋" w:hint="eastAsia"/>
          <w:sz w:val="32"/>
          <w:szCs w:val="32"/>
        </w:rPr>
        <w:t>万元，用于</w:t>
      </w:r>
      <w:r>
        <w:rPr>
          <w:rFonts w:ascii="仿宋" w:eastAsia="仿宋" w:cs="仿宋" w:hAnsi="仿宋"/>
          <w:sz w:val="32"/>
          <w:szCs w:val="32"/>
        </w:rPr>
        <w:t>发放劳务派遣人员工资及缴纳保险。</w:t>
      </w:r>
    </w:p>
    <w:p>
      <w:pPr>
        <w:pStyle w:val="15"/>
        <w:ind w:firstLineChars="0" w:firstLine="645"/>
      </w:pPr>
      <w:r>
        <w:rPr>
          <w:rFonts w:ascii="仿宋" w:eastAsia="仿宋" w:cs="仿宋" w:hAnsi="仿宋" w:hint="eastAsia"/>
          <w:sz w:val="32"/>
          <w:szCs w:val="32"/>
        </w:rPr>
        <w:t>绩效指标为4个，评价等级为优</w:t>
      </w:r>
      <w:r>
        <w:rPr>
          <w:rFonts w:ascii="仿宋" w:eastAsia="仿宋" w:cs="仿宋" w:hAnsi="仿宋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B05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（</w:t>
      </w:r>
      <w:r>
        <w:rPr>
          <w:rFonts w:ascii="仿宋" w:eastAsia="仿宋" w:cs="仿宋" w:hAnsi="仿宋"/>
          <w:color w:val="000000"/>
          <w:sz w:val="32"/>
          <w:szCs w:val="32"/>
        </w:rPr>
        <w:t>4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）</w:t>
      </w:r>
      <w:r>
        <w:rPr>
          <w:rFonts w:ascii="仿宋" w:eastAsia="仿宋" w:cs="仿宋" w:hAnsi="仿宋"/>
          <w:color w:val="000000"/>
          <w:sz w:val="32"/>
          <w:szCs w:val="32"/>
        </w:rPr>
        <w:t>医保业务专项经费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该项目预算数是</w:t>
      </w:r>
      <w:r>
        <w:rPr>
          <w:rFonts w:ascii="仿宋" w:eastAsia="仿宋" w:cs="仿宋" w:hAnsi="仿宋"/>
          <w:sz w:val="32"/>
          <w:szCs w:val="32"/>
        </w:rPr>
        <w:t>0.75</w:t>
      </w:r>
      <w:r>
        <w:rPr>
          <w:rFonts w:ascii="仿宋" w:eastAsia="仿宋" w:cs="仿宋" w:hAnsi="仿宋" w:hint="eastAsia"/>
          <w:sz w:val="32"/>
          <w:szCs w:val="32"/>
        </w:rPr>
        <w:t>万元，支出</w:t>
      </w:r>
      <w:r>
        <w:rPr>
          <w:rFonts w:ascii="仿宋" w:eastAsia="仿宋" w:cs="仿宋" w:hAnsi="仿宋"/>
          <w:sz w:val="32"/>
          <w:szCs w:val="32"/>
        </w:rPr>
        <w:t>0.75</w:t>
      </w:r>
      <w:r>
        <w:rPr>
          <w:rFonts w:ascii="仿宋" w:eastAsia="仿宋" w:cs="仿宋" w:hAnsi="仿宋" w:hint="eastAsia"/>
          <w:sz w:val="32"/>
          <w:szCs w:val="32"/>
        </w:rPr>
        <w:t>万元，总体支出进度为</w:t>
      </w:r>
      <w:r>
        <w:rPr>
          <w:rFonts w:ascii="仿宋" w:eastAsia="仿宋" w:cs="仿宋" w:hAnsi="仿宋"/>
          <w:sz w:val="32"/>
          <w:szCs w:val="32"/>
        </w:rPr>
        <w:t>100</w:t>
      </w:r>
      <w:r>
        <w:rPr>
          <w:rFonts w:ascii="仿宋" w:eastAsia="仿宋" w:cs="仿宋" w:hAnsi="仿宋" w:hint="eastAsia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_GB2312" w:eastAsia="仿宋_GB2312" w:cs="Times New Roman" w:hAnsi="宋体"/>
          <w:bCs/>
          <w:color w:val="FF0000"/>
          <w:sz w:val="32"/>
          <w:szCs w:val="32"/>
        </w:rPr>
      </w:pPr>
      <w:r>
        <w:rPr>
          <w:rFonts w:ascii="仿宋_GB2312" w:eastAsia="仿宋_GB2312" w:cs="Times New Roman" w:hAnsi="宋体" w:hint="eastAsia"/>
          <w:bCs/>
          <w:sz w:val="32"/>
          <w:szCs w:val="32"/>
        </w:rPr>
        <w:t>为了推动全市医保工作的有序进行，根据区财政局</w:t>
      </w:r>
      <w:r>
        <w:rPr>
          <w:rFonts w:ascii="仿宋_GB2312" w:eastAsia="仿宋_GB2312" w:cs="仿宋_GB2312" w:hAnsi="仿宋_GB2312" w:hint="eastAsia"/>
          <w:sz w:val="32"/>
          <w:szCs w:val="32"/>
        </w:rPr>
        <w:t>有关要求，我单位业务专项经费项目资金</w:t>
      </w:r>
      <w:r>
        <w:rPr>
          <w:rFonts w:ascii="仿宋_GB2312" w:eastAsia="仿宋_GB2312" w:cs="仿宋_GB2312" w:hAnsi="仿宋_GB2312"/>
          <w:sz w:val="32"/>
          <w:szCs w:val="32"/>
        </w:rPr>
        <w:t>0.75</w:t>
      </w:r>
      <w:r>
        <w:rPr>
          <w:rFonts w:ascii="仿宋_GB2312" w:eastAsia="仿宋_GB2312" w:cs="仿宋_GB2312" w:hAnsi="仿宋_GB2312" w:hint="eastAsia"/>
          <w:sz w:val="32"/>
          <w:szCs w:val="32"/>
        </w:rPr>
        <w:t>万元，</w:t>
      </w:r>
      <w:r>
        <w:rPr>
          <w:rFonts w:ascii="仿宋_GB2312" w:eastAsia="仿宋_GB2312" w:cs="Times New Roman" w:hAnsi="宋体" w:hint="eastAsia"/>
          <w:bCs/>
          <w:color w:val="000000"/>
          <w:sz w:val="32"/>
          <w:szCs w:val="32"/>
        </w:rPr>
        <w:t>用于</w:t>
      </w:r>
      <w:r>
        <w:rPr>
          <w:rFonts w:ascii="仿宋_GB2312" w:eastAsia="仿宋_GB2312" w:cs="Times New Roman" w:hAnsi="宋体"/>
          <w:bCs/>
          <w:color w:val="000000"/>
          <w:sz w:val="32"/>
          <w:szCs w:val="32"/>
        </w:rPr>
        <w:t>发放医保宣传材料，提高老百姓对我区医保相关政策的了解，按时参加省市会议及培训，问计相关医保政策，保障医保工作正常开展。</w:t>
      </w:r>
    </w:p>
    <w:p>
      <w:pPr>
        <w:adjustRightInd w:val="0"/>
        <w:snapToGrid w:val="0"/>
        <w:spacing w:line="560" w:lineRule="exact"/>
        <w:ind w:firstLineChars="250" w:firstLine="80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绩效指标为 4 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（</w:t>
      </w:r>
      <w:r>
        <w:rPr>
          <w:rFonts w:ascii="仿宋" w:eastAsia="仿宋" w:cs="仿宋" w:hAnsi="仿宋"/>
          <w:color w:val="000000"/>
          <w:sz w:val="32"/>
          <w:szCs w:val="32"/>
        </w:rPr>
        <w:t>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）</w:t>
      </w:r>
      <w:r>
        <w:rPr>
          <w:rFonts w:ascii="仿宋" w:eastAsia="仿宋" w:cs="仿宋" w:hAnsi="仿宋"/>
          <w:color w:val="000000"/>
          <w:sz w:val="32"/>
          <w:szCs w:val="32"/>
        </w:rPr>
        <w:t>石财社[2024]117号关于提前下达2025年中央财政医疗服务与保障能力提升补助资金(基金监管经费)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该项目预算为</w:t>
      </w:r>
      <w:r>
        <w:rPr>
          <w:rFonts w:ascii="仿宋" w:eastAsia="仿宋" w:cs="仿宋" w:hAnsi="仿宋"/>
          <w:color w:val="000000"/>
          <w:sz w:val="32"/>
          <w:szCs w:val="32"/>
        </w:rPr>
        <w:t>6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万元，支出</w:t>
      </w:r>
      <w:r>
        <w:rPr>
          <w:rFonts w:ascii="仿宋" w:eastAsia="仿宋" w:cs="仿宋" w:hAnsi="仿宋"/>
          <w:color w:val="000000"/>
          <w:sz w:val="32"/>
          <w:szCs w:val="32"/>
        </w:rPr>
        <w:t>6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万元，总体支出进度为</w:t>
      </w:r>
      <w:r>
        <w:rPr>
          <w:rFonts w:ascii="仿宋" w:eastAsia="仿宋" w:cs="仿宋" w:hAnsi="仿宋"/>
          <w:color w:val="000000"/>
          <w:sz w:val="32"/>
          <w:szCs w:val="32"/>
        </w:rPr>
        <w:t>100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Times New Roman" w:hAnsi="宋体" w:hint="eastAsia"/>
          <w:bCs/>
          <w:sz w:val="32"/>
          <w:szCs w:val="32"/>
        </w:rPr>
        <w:t>为了推动全市医保重点工作的有序进行，</w:t>
      </w: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根据</w:t>
      </w:r>
      <w:r>
        <w:rPr>
          <w:rFonts w:ascii="仿宋_GB2312" w:eastAsia="仿宋_GB2312" w:hAnsi="宋体"/>
          <w:bCs/>
          <w:color w:val="000000"/>
          <w:sz w:val="32"/>
          <w:szCs w:val="32"/>
        </w:rPr>
        <w:t>石财社[2024]117号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《</w:t>
      </w:r>
      <w:r>
        <w:rPr>
          <w:rFonts w:ascii="仿宋_GB2312" w:eastAsia="仿宋_GB2312" w:cs="仿宋_GB2312" w:hAnsi="仿宋_GB2312"/>
          <w:color w:val="000000"/>
          <w:sz w:val="32"/>
          <w:szCs w:val="32"/>
        </w:rPr>
        <w:t>石家庄市财政局 石家庄市医疗保障局关于提前下达2025年中央财政医疗服务与保障能力提升补助资金预算的通知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》的要求，</w:t>
      </w:r>
      <w:r>
        <w:rPr>
          <w:rFonts w:ascii="仿宋_GB2312" w:eastAsia="仿宋_GB2312" w:cs="仿宋_GB2312" w:hAnsi="仿宋_GB2312" w:hint="eastAsia"/>
          <w:sz w:val="32"/>
          <w:szCs w:val="32"/>
        </w:rPr>
        <w:t>我单位</w:t>
      </w:r>
      <w:r>
        <w:rPr>
          <w:rFonts w:ascii="仿宋" w:eastAsia="仿宋" w:cs="仿宋" w:hAnsi="仿宋"/>
          <w:color w:val="000000"/>
          <w:sz w:val="32"/>
          <w:szCs w:val="32"/>
        </w:rPr>
        <w:t>石财社[2024]117号关于提前下达2025年中央财政医疗服务与保障能力提升补助资金(基金监管经费)</w:t>
      </w:r>
      <w:r>
        <w:rPr>
          <w:rFonts w:ascii="仿宋_GB2312" w:eastAsia="仿宋_GB2312" w:cs="仿宋_GB2312" w:hAnsi="仿宋_GB2312"/>
          <w:sz w:val="32"/>
          <w:szCs w:val="32"/>
        </w:rPr>
        <w:t>6</w:t>
      </w:r>
      <w:r>
        <w:rPr>
          <w:rFonts w:ascii="仿宋_GB2312" w:eastAsia="仿宋_GB2312" w:cs="仿宋_GB2312" w:hAnsi="仿宋_GB2312" w:hint="eastAsia"/>
          <w:sz w:val="32"/>
          <w:szCs w:val="32"/>
        </w:rPr>
        <w:t>万元，</w:t>
      </w:r>
      <w:r>
        <w:rPr>
          <w:rFonts w:ascii="仿宋_GB2312" w:eastAsia="仿宋_GB2312" w:cs="仿宋_GB2312" w:hAnsi="仿宋_GB2312"/>
          <w:sz w:val="32"/>
          <w:szCs w:val="32"/>
        </w:rPr>
        <w:t>用于医保基金日常监管、医保基金监管宣传等方面的支出，保障医保基金监管工作顺利开展。</w:t>
      </w:r>
    </w:p>
    <w:p>
      <w:pPr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b w:val="0"/>
          <w:kern w:val="2"/>
          <w:sz w:val="32"/>
          <w:szCs w:val="32"/>
        </w:rPr>
        <w:t>绩效指标为 4 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（</w:t>
      </w:r>
      <w:r>
        <w:rPr>
          <w:rFonts w:ascii="仿宋" w:eastAsia="仿宋" w:cs="仿宋" w:hAnsi="仿宋"/>
          <w:color w:val="000000"/>
          <w:sz w:val="32"/>
          <w:szCs w:val="32"/>
        </w:rPr>
        <w:t>6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）</w:t>
      </w:r>
      <w:r>
        <w:rPr>
          <w:rFonts w:ascii="仿宋" w:eastAsia="仿宋" w:cs="仿宋" w:hAnsi="仿宋"/>
          <w:color w:val="000000"/>
          <w:sz w:val="32"/>
          <w:szCs w:val="32"/>
        </w:rPr>
        <w:t>石财社[2024]117号关于提前下达2025年中央财政医疗服务与保障能力提升补助资金(经办管理服务体系建设经费)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该项目预算为</w:t>
      </w:r>
      <w:r>
        <w:rPr>
          <w:rFonts w:ascii="仿宋" w:eastAsia="仿宋" w:cs="仿宋" w:hAnsi="仿宋"/>
          <w:color w:val="000000"/>
          <w:sz w:val="32"/>
          <w:szCs w:val="32"/>
        </w:rPr>
        <w:t>1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万元，支出</w:t>
      </w:r>
      <w:r>
        <w:rPr>
          <w:rFonts w:ascii="仿宋" w:eastAsia="仿宋" w:cs="仿宋" w:hAnsi="仿宋"/>
          <w:color w:val="000000"/>
          <w:sz w:val="32"/>
          <w:szCs w:val="32"/>
        </w:rPr>
        <w:t>1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万元，总体支出进度为</w:t>
      </w:r>
      <w:r>
        <w:rPr>
          <w:rFonts w:ascii="仿宋" w:eastAsia="仿宋" w:cs="仿宋" w:hAnsi="仿宋"/>
          <w:color w:val="000000"/>
          <w:sz w:val="32"/>
          <w:szCs w:val="32"/>
        </w:rPr>
        <w:t>100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Times New Roman" w:hAnsi="宋体" w:hint="eastAsia"/>
          <w:bCs/>
          <w:sz w:val="32"/>
          <w:szCs w:val="32"/>
        </w:rPr>
        <w:t>为了推动全市医保重点工作的有序进行，</w:t>
      </w: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根据</w:t>
      </w:r>
      <w:r>
        <w:rPr>
          <w:rFonts w:ascii="仿宋_GB2312" w:eastAsia="仿宋_GB2312" w:hAnsi="宋体"/>
          <w:bCs/>
          <w:color w:val="000000"/>
          <w:sz w:val="32"/>
          <w:szCs w:val="32"/>
        </w:rPr>
        <w:t>石财社[2024]117号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《</w:t>
      </w:r>
      <w:r>
        <w:rPr>
          <w:rFonts w:ascii="仿宋_GB2312" w:eastAsia="仿宋_GB2312" w:cs="仿宋_GB2312" w:hAnsi="仿宋_GB2312"/>
          <w:color w:val="000000"/>
          <w:sz w:val="32"/>
          <w:szCs w:val="32"/>
        </w:rPr>
        <w:t>石家庄市财政局 石家庄市医疗保障局关于提前下达2025年中央财政医疗服务与保障能力提升补助资金预算的通知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》的要求，</w:t>
      </w:r>
      <w:r>
        <w:rPr>
          <w:rFonts w:ascii="仿宋_GB2312" w:eastAsia="仿宋_GB2312" w:cs="仿宋_GB2312" w:hAnsi="仿宋_GB2312" w:hint="eastAsia"/>
          <w:sz w:val="32"/>
          <w:szCs w:val="32"/>
        </w:rPr>
        <w:t>我单位</w:t>
      </w:r>
      <w:r>
        <w:rPr>
          <w:rFonts w:ascii="仿宋" w:eastAsia="仿宋" w:cs="仿宋" w:hAnsi="仿宋"/>
          <w:color w:val="000000"/>
          <w:sz w:val="32"/>
          <w:szCs w:val="32"/>
        </w:rPr>
        <w:t>石财社[2024]117号关于提前下达2025年中央财政医疗服务与保障能力提升补助资金(经办管理服务体系建设经费)</w:t>
      </w:r>
      <w:r>
        <w:rPr>
          <w:rFonts w:ascii="仿宋_GB2312" w:eastAsia="仿宋_GB2312" w:cs="仿宋_GB2312" w:hAnsi="仿宋_GB2312"/>
          <w:sz w:val="32"/>
          <w:szCs w:val="32"/>
        </w:rPr>
        <w:t>1</w:t>
      </w:r>
      <w:r>
        <w:rPr>
          <w:rFonts w:ascii="仿宋_GB2312" w:eastAsia="仿宋_GB2312" w:cs="仿宋_GB2312" w:hAnsi="仿宋_GB2312" w:hint="eastAsia"/>
          <w:sz w:val="32"/>
          <w:szCs w:val="32"/>
        </w:rPr>
        <w:t>万元，</w:t>
      </w:r>
      <w:r>
        <w:rPr>
          <w:rFonts w:ascii="仿宋_GB2312" w:eastAsia="仿宋_GB2312" w:cs="仿宋_GB2312" w:hAnsi="仿宋_GB2312"/>
          <w:sz w:val="32"/>
          <w:szCs w:val="32"/>
        </w:rPr>
        <w:t>通过提升经办管理服务体系建设等方面的支出，提高经办管理体系建设水平。</w:t>
      </w:r>
    </w:p>
    <w:p>
      <w:pPr>
        <w:pStyle w:val="16"/>
        <w:ind w:firstLineChars="200" w:firstLine="640"/>
        <w:jc w:val="both"/>
        <w:rPr>
          <w:rFonts w:ascii="仿宋" w:eastAsia="仿宋" w:cs="仿宋" w:hAnsi="仿宋"/>
          <w:b w:val="0"/>
          <w:color w:val="000000"/>
          <w:kern w:val="2"/>
          <w:sz w:val="32"/>
          <w:szCs w:val="32"/>
        </w:rPr>
      </w:pPr>
      <w:r>
        <w:rPr>
          <w:rFonts w:ascii="仿宋" w:eastAsia="仿宋" w:cs="仿宋" w:hAnsi="仿宋" w:hint="eastAsia"/>
          <w:b w:val="0"/>
          <w:color w:val="000000"/>
          <w:kern w:val="2"/>
          <w:sz w:val="32"/>
          <w:szCs w:val="32"/>
        </w:rPr>
        <w:t>绩效指标为 4 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（</w:t>
      </w:r>
      <w:r>
        <w:rPr>
          <w:rFonts w:ascii="仿宋" w:eastAsia="仿宋" w:cs="仿宋" w:hAnsi="仿宋"/>
          <w:color w:val="000000"/>
          <w:sz w:val="32"/>
          <w:szCs w:val="32"/>
        </w:rPr>
        <w:t>7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）</w:t>
      </w:r>
      <w:r>
        <w:rPr>
          <w:rFonts w:ascii="仿宋" w:eastAsia="仿宋" w:cs="仿宋" w:hAnsi="仿宋"/>
          <w:color w:val="000000"/>
          <w:sz w:val="32"/>
          <w:szCs w:val="32"/>
        </w:rPr>
        <w:t>石财社[2024]117号关于提前下达2025年中央财政医疗服务与保障能力提升补助资金(宣传引导经费)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该项目预算为</w:t>
      </w:r>
      <w:r>
        <w:rPr>
          <w:rFonts w:ascii="仿宋" w:eastAsia="仿宋" w:cs="仿宋" w:hAnsi="仿宋"/>
          <w:color w:val="000000"/>
          <w:sz w:val="32"/>
          <w:szCs w:val="32"/>
        </w:rPr>
        <w:t>4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万元，支出</w:t>
      </w:r>
      <w:r>
        <w:rPr>
          <w:rFonts w:ascii="仿宋" w:eastAsia="仿宋" w:cs="仿宋" w:hAnsi="仿宋"/>
          <w:color w:val="000000"/>
          <w:sz w:val="32"/>
          <w:szCs w:val="32"/>
        </w:rPr>
        <w:t>4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万元，总体支出进度为</w:t>
      </w:r>
      <w:r>
        <w:rPr>
          <w:rFonts w:ascii="仿宋" w:eastAsia="仿宋" w:cs="仿宋" w:hAnsi="仿宋"/>
          <w:color w:val="000000"/>
          <w:sz w:val="32"/>
          <w:szCs w:val="32"/>
        </w:rPr>
        <w:t>100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2.产出指标和效果指标完成情况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_GB2312" w:eastAsia="仿宋_GB2312" w:cs="Times New Roman" w:hAnsi="宋体" w:hint="eastAsia"/>
          <w:bCs/>
          <w:sz w:val="32"/>
          <w:szCs w:val="32"/>
        </w:rPr>
        <w:t>为了推动全市医保重点工作的有序进行，</w:t>
      </w: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根据</w:t>
      </w:r>
      <w:r>
        <w:rPr>
          <w:rFonts w:ascii="仿宋_GB2312" w:eastAsia="仿宋_GB2312" w:hAnsi="宋体"/>
          <w:bCs/>
          <w:color w:val="000000"/>
          <w:sz w:val="32"/>
          <w:szCs w:val="32"/>
        </w:rPr>
        <w:t>石财社[2024]117号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《</w:t>
      </w:r>
      <w:r>
        <w:rPr>
          <w:rFonts w:ascii="仿宋_GB2312" w:eastAsia="仿宋_GB2312" w:cs="仿宋_GB2312" w:hAnsi="仿宋_GB2312"/>
          <w:color w:val="000000"/>
          <w:sz w:val="32"/>
          <w:szCs w:val="32"/>
        </w:rPr>
        <w:t>石家庄市财政局 石家庄市医疗保障局关于提前下达2025年中央财政医疗服务与保障能力提升补助资金预算的通知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》的要求，</w:t>
      </w:r>
      <w:r>
        <w:rPr>
          <w:rFonts w:ascii="仿宋_GB2312" w:eastAsia="仿宋_GB2312" w:cs="仿宋_GB2312" w:hAnsi="仿宋_GB2312" w:hint="eastAsia"/>
          <w:sz w:val="32"/>
          <w:szCs w:val="32"/>
        </w:rPr>
        <w:t>我单位</w:t>
      </w:r>
      <w:r>
        <w:rPr>
          <w:rFonts w:ascii="仿宋" w:eastAsia="仿宋" w:cs="仿宋" w:hAnsi="仿宋"/>
          <w:color w:val="000000"/>
          <w:sz w:val="32"/>
          <w:szCs w:val="32"/>
        </w:rPr>
        <w:t>石财社[2024]117号关于提前下达2025年中央财政医疗服务与保障能力提升补助资金(宣传引导经费)</w:t>
      </w:r>
      <w:r>
        <w:rPr>
          <w:rFonts w:ascii="仿宋_GB2312" w:eastAsia="仿宋_GB2312" w:cs="仿宋_GB2312" w:hAnsi="仿宋_GB2312"/>
          <w:sz w:val="32"/>
          <w:szCs w:val="32"/>
        </w:rPr>
        <w:t>4</w:t>
      </w:r>
      <w:r>
        <w:rPr>
          <w:rFonts w:ascii="仿宋_GB2312" w:eastAsia="仿宋_GB2312" w:cs="仿宋_GB2312" w:hAnsi="仿宋_GB2312" w:hint="eastAsia"/>
          <w:sz w:val="32"/>
          <w:szCs w:val="32"/>
        </w:rPr>
        <w:t>万元，</w:t>
      </w:r>
      <w:r>
        <w:rPr>
          <w:rFonts w:ascii="仿宋" w:eastAsia="仿宋" w:cs="仿宋" w:hAnsi="仿宋"/>
          <w:color w:val="000000"/>
          <w:sz w:val="32"/>
          <w:szCs w:val="32"/>
        </w:rPr>
        <w:t>通过医保政策法规的宣传贯彻，保障医保工作顺利开展。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绩效指标为 4 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（</w:t>
      </w:r>
      <w:r>
        <w:rPr>
          <w:rFonts w:ascii="仿宋" w:eastAsia="仿宋" w:cs="仿宋" w:hAnsi="仿宋"/>
          <w:color w:val="000000"/>
          <w:sz w:val="32"/>
          <w:szCs w:val="32"/>
        </w:rPr>
        <w:t>8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）</w:t>
      </w:r>
      <w:r>
        <w:rPr>
          <w:rFonts w:ascii="仿宋" w:eastAsia="仿宋" w:cs="仿宋" w:hAnsi="仿宋"/>
          <w:color w:val="000000"/>
          <w:sz w:val="32"/>
          <w:szCs w:val="32"/>
        </w:rPr>
        <w:t>石财社[2024]117号关于提前下达2025年中央财政医疗服务与保障能力提升补助资金(药品和医用耗材集中带量采购经费)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该项目预算为</w:t>
      </w:r>
      <w:r>
        <w:rPr>
          <w:rFonts w:ascii="仿宋" w:eastAsia="仿宋" w:cs="仿宋" w:hAnsi="仿宋"/>
          <w:color w:val="000000"/>
          <w:sz w:val="32"/>
          <w:szCs w:val="32"/>
        </w:rPr>
        <w:t>1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万元，支出</w:t>
      </w:r>
      <w:r>
        <w:rPr>
          <w:rFonts w:ascii="仿宋" w:eastAsia="仿宋" w:cs="仿宋" w:hAnsi="仿宋"/>
          <w:color w:val="000000"/>
          <w:sz w:val="32"/>
          <w:szCs w:val="32"/>
        </w:rPr>
        <w:t>1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万元，总体支出进度为</w:t>
      </w:r>
      <w:r>
        <w:rPr>
          <w:rFonts w:ascii="仿宋" w:eastAsia="仿宋" w:cs="仿宋" w:hAnsi="仿宋"/>
          <w:color w:val="000000"/>
          <w:sz w:val="32"/>
          <w:szCs w:val="32"/>
        </w:rPr>
        <w:t>100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2.产出指标和效果指标完成情况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Times New Roman" w:hAnsi="宋体" w:hint="eastAsia"/>
          <w:bCs/>
          <w:sz w:val="32"/>
          <w:szCs w:val="32"/>
        </w:rPr>
        <w:t>为了推动全市医保重点工作的有序进行，</w:t>
      </w: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根据</w:t>
      </w:r>
      <w:r>
        <w:rPr>
          <w:rFonts w:ascii="仿宋_GB2312" w:eastAsia="仿宋_GB2312" w:hAnsi="宋体"/>
          <w:bCs/>
          <w:color w:val="000000"/>
          <w:sz w:val="32"/>
          <w:szCs w:val="32"/>
        </w:rPr>
        <w:t>石财社[2024]117号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《</w:t>
      </w:r>
      <w:r>
        <w:rPr>
          <w:rFonts w:ascii="仿宋_GB2312" w:eastAsia="仿宋_GB2312" w:cs="仿宋_GB2312" w:hAnsi="仿宋_GB2312"/>
          <w:color w:val="000000"/>
          <w:sz w:val="32"/>
          <w:szCs w:val="32"/>
        </w:rPr>
        <w:t>石家庄市财政局 石家庄市医疗保障局关于提前下达2025年中央财政医疗服务与保障能力提升补助资金预算的通知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》的要求，</w:t>
      </w:r>
      <w:r>
        <w:rPr>
          <w:rFonts w:ascii="仿宋_GB2312" w:eastAsia="仿宋_GB2312" w:cs="仿宋_GB2312" w:hAnsi="仿宋_GB2312" w:hint="eastAsia"/>
          <w:sz w:val="32"/>
          <w:szCs w:val="32"/>
        </w:rPr>
        <w:t>我单位</w:t>
      </w:r>
      <w:r>
        <w:rPr>
          <w:rFonts w:ascii="仿宋_GB2312" w:eastAsia="仿宋_GB2312" w:cs="仿宋_GB2312" w:hAnsi="仿宋_GB2312"/>
          <w:sz w:val="32"/>
          <w:szCs w:val="32"/>
        </w:rPr>
        <w:t>石财社[2024]117号关于提前下达2025年中央财政医疗服务与保障能力提升补助资金(药品和医用耗材集中带量采购经费)1</w:t>
      </w:r>
      <w:r>
        <w:rPr>
          <w:rFonts w:ascii="仿宋_GB2312" w:eastAsia="仿宋_GB2312" w:cs="仿宋_GB2312" w:hAnsi="仿宋_GB2312" w:hint="eastAsia"/>
          <w:sz w:val="32"/>
          <w:szCs w:val="32"/>
        </w:rPr>
        <w:t>万元，</w:t>
      </w:r>
      <w:r>
        <w:rPr>
          <w:rFonts w:ascii="仿宋_GB2312" w:eastAsia="仿宋_GB2312" w:cs="仿宋_GB2312" w:hAnsi="仿宋_GB2312"/>
          <w:sz w:val="32"/>
          <w:szCs w:val="32"/>
        </w:rPr>
        <w:t>通过药品和医用耗材集中带量采购宣传以及日常监督等方面的支出，保障集中带量采购工作顺利开展。</w:t>
      </w:r>
    </w:p>
    <w:p>
      <w:pPr>
        <w:pStyle w:val="15"/>
      </w:pPr>
      <w:r>
        <w:rPr>
          <w:rFonts w:ascii="仿宋" w:eastAsia="仿宋" w:cs="仿宋" w:hAnsi="仿宋" w:hint="eastAsia"/>
          <w:sz w:val="32"/>
          <w:szCs w:val="32"/>
        </w:rPr>
        <w:t>绩效指标为 4 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（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9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）</w:t>
      </w:r>
      <w:r>
        <w:rPr>
          <w:rFonts w:ascii="仿宋" w:eastAsia="仿宋" w:cs="仿宋" w:hAnsi="仿宋"/>
          <w:color w:val="000000"/>
          <w:sz w:val="32"/>
          <w:szCs w:val="32"/>
        </w:rPr>
        <w:t>医保专网网络租赁费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该项目预算为</w:t>
      </w:r>
      <w:r>
        <w:rPr>
          <w:rFonts w:ascii="仿宋" w:eastAsia="仿宋" w:cs="仿宋" w:hAnsi="仿宋"/>
          <w:color w:val="000000"/>
          <w:sz w:val="32"/>
          <w:szCs w:val="32"/>
        </w:rPr>
        <w:t>0.24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万元，支出</w:t>
      </w:r>
      <w:r>
        <w:rPr>
          <w:rFonts w:ascii="仿宋" w:eastAsia="仿宋" w:cs="仿宋" w:hAnsi="仿宋" w:hint="eastAsia"/>
          <w:color w:val="000000"/>
          <w:sz w:val="32"/>
          <w:szCs w:val="32"/>
          <w:lang w:val="en-US" w:eastAsia="zh-CN"/>
        </w:rPr>
        <w:t>0.24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万元，总体支出进度为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100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2.产出指标和效果指标完成情况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_GB2312" w:eastAsia="仿宋_GB2312" w:cs="Times New Roman" w:hAnsi="宋体" w:hint="eastAsia"/>
          <w:bCs/>
          <w:color w:val="000000"/>
          <w:sz w:val="32"/>
          <w:szCs w:val="32"/>
        </w:rPr>
        <w:t>为了推动单位工作的有序进行，根据区财政局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有关要求，</w:t>
      </w:r>
      <w:r>
        <w:rPr>
          <w:rFonts w:ascii="仿宋_GB2312" w:eastAsia="仿宋_GB2312" w:cs="仿宋_GB2312" w:hAnsi="仿宋_GB2312" w:hint="eastAsia"/>
          <w:sz w:val="32"/>
          <w:szCs w:val="32"/>
        </w:rPr>
        <w:t>我单位</w:t>
      </w:r>
      <w:r>
        <w:rPr>
          <w:rFonts w:ascii="仿宋" w:eastAsia="仿宋" w:cs="仿宋" w:hAnsi="仿宋"/>
          <w:color w:val="000000"/>
          <w:sz w:val="32"/>
          <w:szCs w:val="32"/>
        </w:rPr>
        <w:t>医保专网网络租赁费</w:t>
      </w:r>
      <w:r>
        <w:rPr>
          <w:rFonts w:ascii="仿宋" w:eastAsia="仿宋" w:cs="黑体" w:hAnsi="仿宋" w:hint="eastAsia"/>
          <w:color w:val="000000"/>
          <w:sz w:val="32"/>
          <w:szCs w:val="32"/>
        </w:rPr>
        <w:t>项目</w:t>
      </w:r>
      <w:r>
        <w:rPr>
          <w:rFonts w:ascii="仿宋" w:eastAsia="仿宋" w:cs="黑体" w:hAnsi="仿宋"/>
          <w:color w:val="000000"/>
          <w:sz w:val="32"/>
          <w:szCs w:val="32"/>
          <w:lang w:val="en-US" w:eastAsia="zh-CN"/>
        </w:rPr>
        <w:t>0.24</w:t>
      </w:r>
      <w:r>
        <w:rPr>
          <w:rFonts w:ascii="仿宋" w:eastAsia="仿宋" w:cs="黑体" w:hAnsi="仿宋" w:hint="eastAsia"/>
          <w:color w:val="000000"/>
          <w:sz w:val="32"/>
          <w:szCs w:val="32"/>
          <w:lang w:val="en-US" w:eastAsia="zh-CN"/>
        </w:rPr>
        <w:t>万元，</w:t>
      </w:r>
      <w:r>
        <w:rPr>
          <w:rFonts w:ascii="仿宋" w:eastAsia="仿宋" w:cs="黑体" w:hAnsi="仿宋" w:hint="eastAsia"/>
          <w:color w:val="000000"/>
          <w:sz w:val="32"/>
          <w:szCs w:val="32"/>
        </w:rPr>
        <w:t>用于</w:t>
      </w:r>
      <w:r>
        <w:rPr>
          <w:rFonts w:ascii="仿宋" w:eastAsia="仿宋" w:cs="黑体" w:hAnsi="仿宋"/>
          <w:color w:val="000000"/>
          <w:sz w:val="32"/>
          <w:szCs w:val="32"/>
        </w:rPr>
        <w:t>医保专网网络费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，</w:t>
      </w:r>
      <w:r>
        <w:rPr>
          <w:rFonts w:ascii="仿宋_GB2312" w:eastAsia="仿宋_GB2312" w:cs="仿宋_GB2312" w:hAnsi="仿宋_GB2312"/>
          <w:color w:val="000000"/>
          <w:sz w:val="32"/>
          <w:szCs w:val="32"/>
        </w:rPr>
        <w:t>保证医疗保险业务的正常运行</w:t>
      </w:r>
      <w:r>
        <w:rPr>
          <w:rFonts w:ascii="仿宋" w:eastAsia="仿宋" w:cs="黑体" w:hAnsi="仿宋" w:hint="eastAsia"/>
          <w:color w:val="000000"/>
          <w:sz w:val="32"/>
          <w:szCs w:val="32"/>
        </w:rPr>
        <w:t>。</w:t>
      </w:r>
    </w:p>
    <w:p>
      <w:pPr>
        <w:pStyle w:val="15"/>
        <w:ind w:firstLineChars="200" w:firstLine="640"/>
        <w:rPr>
          <w:rFonts w:hint="eastAsia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绩效指标为4个，评价等级为优。</w:t>
      </w:r>
    </w:p>
    <w:p>
      <w:pPr>
        <w:adjustRightInd w:val="0"/>
        <w:snapToGrid w:val="0"/>
        <w:spacing w:line="560" w:lineRule="exact"/>
        <w:ind w:left="0" w:firstLineChars="100" w:firstLine="32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（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10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）</w:t>
      </w:r>
      <w:r>
        <w:rPr>
          <w:rFonts w:ascii="仿宋" w:eastAsia="仿宋" w:cs="楷体_GB2312" w:hAnsi="仿宋"/>
          <w:color w:val="000000"/>
          <w:sz w:val="32"/>
          <w:szCs w:val="32"/>
        </w:rPr>
        <w:t>综合业务工作经费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该项目预算为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0.247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万元，支出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0.247</w:t>
      </w:r>
      <w:r>
        <w:rPr>
          <w:rFonts w:ascii="仿宋" w:eastAsia="仿宋" w:hAnsi="仿宋" w:hint="eastAsia"/>
          <w:color w:val="000000"/>
          <w:sz w:val="32"/>
          <w:szCs w:val="32"/>
        </w:rPr>
        <w:t>万元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，总体支出进度为</w:t>
      </w:r>
      <w:r>
        <w:rPr>
          <w:rFonts w:ascii="仿宋" w:eastAsia="仿宋" w:cs="仿宋" w:hAnsi="仿宋"/>
          <w:color w:val="000000"/>
          <w:sz w:val="32"/>
          <w:szCs w:val="32"/>
        </w:rPr>
        <w:t>100%。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2.产出指标和效果指标完成情况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仿宋" w:eastAsia="仿宋" w:cs="楷体_GB2312" w:hAnsi="仿宋"/>
          <w:color w:val="000000"/>
          <w:sz w:val="32"/>
          <w:szCs w:val="32"/>
        </w:rPr>
      </w:pPr>
      <w:r>
        <w:rPr>
          <w:rFonts w:ascii="仿宋_GB2312" w:eastAsia="仿宋_GB2312" w:cs="Times New Roman" w:hAnsi="宋体" w:hint="eastAsia"/>
          <w:bCs/>
          <w:color w:val="000000"/>
          <w:sz w:val="32"/>
          <w:szCs w:val="32"/>
        </w:rPr>
        <w:t>为了推动单位工作的有序进行，根据区财政局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有关要求，</w:t>
      </w:r>
      <w:r>
        <w:rPr>
          <w:rFonts w:ascii="仿宋" w:eastAsia="仿宋" w:cs="楷体_GB2312" w:hAnsi="仿宋"/>
          <w:color w:val="000000"/>
          <w:sz w:val="32"/>
          <w:szCs w:val="32"/>
        </w:rPr>
        <w:t>综合业务工作经费</w:t>
      </w:r>
      <w:r>
        <w:rPr>
          <w:rFonts w:ascii="仿宋" w:eastAsia="仿宋" w:cs="楷体_GB2312" w:hAnsi="仿宋"/>
          <w:color w:val="000000"/>
          <w:sz w:val="32"/>
          <w:szCs w:val="32"/>
          <w:lang w:val="en-US" w:eastAsia="zh-CN"/>
        </w:rPr>
        <w:t>0.247</w:t>
      </w:r>
      <w:r>
        <w:rPr>
          <w:rFonts w:ascii="仿宋" w:eastAsia="仿宋" w:cs="楷体_GB2312" w:hAnsi="仿宋" w:hint="eastAsia"/>
          <w:color w:val="000000"/>
          <w:sz w:val="32"/>
          <w:szCs w:val="32"/>
          <w:lang w:val="en-US" w:eastAsia="zh-CN"/>
        </w:rPr>
        <w:t>万元，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负责全区城镇职工和城乡居民基本医疗保险的正常运行，</w:t>
      </w:r>
      <w:r>
        <w:rPr>
          <w:rFonts w:ascii="仿宋" w:eastAsia="仿宋" w:cs="黑体" w:hAnsi="仿宋" w:hint="eastAsia"/>
          <w:color w:val="000000"/>
          <w:sz w:val="32"/>
          <w:szCs w:val="32"/>
        </w:rPr>
        <w:t>保障医保工作顺利开展。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绩效指标为4个，评价等级为优。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（</w:t>
      </w:r>
      <w:r>
        <w:rPr>
          <w:rFonts w:ascii="仿宋" w:eastAsia="仿宋" w:cs="仿宋" w:hAnsi="仿宋"/>
          <w:color w:val="000000"/>
          <w:sz w:val="32"/>
          <w:szCs w:val="32"/>
          <w:lang w:eastAsia="zh-CN"/>
        </w:rPr>
        <w:t>1</w:t>
      </w:r>
      <w:r>
        <w:rPr>
          <w:rFonts w:ascii="仿宋" w:eastAsia="仿宋" w:cs="仿宋" w:hAnsi="仿宋"/>
          <w:sz w:val="32"/>
          <w:szCs w:val="32"/>
          <w:lang w:eastAsia="zh-CN"/>
        </w:rPr>
        <w:t>1</w:t>
      </w:r>
      <w:r>
        <w:rPr>
          <w:rFonts w:ascii="仿宋" w:eastAsia="仿宋" w:cs="仿宋" w:hAnsi="仿宋" w:hint="eastAsia"/>
          <w:sz w:val="32"/>
          <w:szCs w:val="32"/>
        </w:rPr>
        <w:t>）</w:t>
      </w:r>
      <w:r>
        <w:rPr>
          <w:rFonts w:ascii="仿宋" w:eastAsia="仿宋" w:cs="仿宋" w:hAnsi="仿宋"/>
          <w:sz w:val="32"/>
          <w:szCs w:val="32"/>
        </w:rPr>
        <w:t>城乡居民基本医疗保险区级补助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该项目预算为</w:t>
      </w:r>
      <w:r>
        <w:rPr>
          <w:rFonts w:ascii="仿宋" w:eastAsia="仿宋" w:cs="仿宋" w:hAnsi="仿宋"/>
          <w:sz w:val="32"/>
          <w:szCs w:val="32"/>
        </w:rPr>
        <w:t>676.466</w:t>
      </w:r>
      <w:r>
        <w:rPr>
          <w:rFonts w:ascii="仿宋" w:eastAsia="仿宋" w:cs="黑体" w:hAnsi="仿宋" w:hint="eastAsia"/>
          <w:sz w:val="32"/>
          <w:szCs w:val="32"/>
        </w:rPr>
        <w:t>万</w:t>
      </w:r>
      <w:r>
        <w:rPr>
          <w:rFonts w:ascii="仿宋" w:eastAsia="仿宋" w:cs="仿宋" w:hAnsi="仿宋" w:hint="eastAsia"/>
          <w:sz w:val="32"/>
          <w:szCs w:val="32"/>
        </w:rPr>
        <w:t>元，支出</w:t>
      </w:r>
      <w:r>
        <w:rPr>
          <w:rFonts w:ascii="仿宋" w:eastAsia="仿宋" w:cs="仿宋" w:hAnsi="仿宋"/>
          <w:sz w:val="32"/>
          <w:szCs w:val="32"/>
        </w:rPr>
        <w:t>676.466</w:t>
      </w:r>
      <w:r>
        <w:rPr>
          <w:rFonts w:ascii="仿宋" w:eastAsia="仿宋" w:cs="仿宋" w:hAnsi="仿宋" w:hint="eastAsia"/>
          <w:sz w:val="32"/>
          <w:szCs w:val="32"/>
        </w:rPr>
        <w:t>万元，总体支出进度为</w:t>
      </w:r>
      <w:r>
        <w:rPr>
          <w:rFonts w:ascii="仿宋" w:eastAsia="仿宋" w:cs="仿宋" w:hAnsi="仿宋"/>
          <w:sz w:val="32"/>
          <w:szCs w:val="32"/>
        </w:rPr>
        <w:t>100</w:t>
      </w:r>
      <w:r>
        <w:rPr>
          <w:rFonts w:ascii="仿宋" w:eastAsia="仿宋" w:cs="仿宋" w:hAnsi="仿宋" w:hint="eastAsia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jc w:val="left"/>
        <w:rPr>
          <w:rFonts w:ascii="仿宋_GB2312" w:eastAsia="仿宋_GB2312" w:cs="仿宋_GB2312" w:hAnsi="仿宋_GB2312"/>
          <w:color w:val="000000"/>
          <w:sz w:val="32"/>
          <w:szCs w:val="32"/>
        </w:rPr>
      </w:pPr>
      <w:r>
        <w:rPr>
          <w:rFonts w:ascii="仿宋_GB2312" w:eastAsia="仿宋_GB2312" w:cs="黑体" w:hAnsi="仿宋" w:hint="eastAsia"/>
          <w:sz w:val="32"/>
          <w:szCs w:val="32"/>
        </w:rPr>
        <w:t>用于</w:t>
      </w:r>
      <w:r>
        <w:rPr>
          <w:rFonts w:ascii="仿宋_GB2312" w:eastAsia="仿宋_GB2312" w:cs="仿宋_GB2312" w:hAnsi="仿宋_GB2312" w:hint="eastAsia"/>
          <w:sz w:val="32"/>
          <w:szCs w:val="32"/>
        </w:rPr>
        <w:t>对城乡居民</w:t>
      </w:r>
      <w:r>
        <w:rPr>
          <w:rFonts w:ascii="仿宋_GB2312" w:eastAsia="仿宋_GB2312" w:cs="仿宋_GB2312" w:hAnsi="仿宋_GB2312"/>
          <w:sz w:val="32"/>
          <w:szCs w:val="32"/>
        </w:rPr>
        <w:t>基本</w:t>
      </w:r>
      <w:r>
        <w:rPr>
          <w:rFonts w:ascii="仿宋_GB2312" w:eastAsia="仿宋_GB2312" w:cs="仿宋_GB2312" w:hAnsi="仿宋_GB2312" w:hint="eastAsia"/>
          <w:sz w:val="32"/>
          <w:szCs w:val="32"/>
        </w:rPr>
        <w:t>医疗保险区级补助，减轻参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保人员的经济负担，提升城乡居民的参保率，</w:t>
      </w:r>
      <w:r>
        <w:rPr>
          <w:rFonts w:ascii="仿宋" w:eastAsia="仿宋" w:cs="黑体" w:hAnsi="仿宋" w:hint="eastAsia"/>
          <w:color w:val="000000"/>
          <w:sz w:val="32"/>
          <w:szCs w:val="32"/>
        </w:rPr>
        <w:t>保障医保工作顺利开展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。</w:t>
      </w:r>
    </w:p>
    <w:p>
      <w:pPr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绩效指标为4个，评价等级为优。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（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12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）</w:t>
      </w:r>
      <w:r>
        <w:rPr>
          <w:rFonts w:ascii="仿宋" w:eastAsia="仿宋" w:cs="黑体" w:hAnsi="仿宋" w:hint="eastAsia"/>
          <w:color w:val="000000"/>
          <w:sz w:val="32"/>
          <w:szCs w:val="32"/>
        </w:rPr>
        <w:t>劳务派遣经费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该项目预算为</w:t>
      </w:r>
      <w:r>
        <w:rPr>
          <w:rFonts w:ascii="仿宋" w:eastAsia="仿宋" w:cs="仿宋" w:hAnsi="仿宋"/>
          <w:color w:val="000000"/>
          <w:sz w:val="32"/>
          <w:szCs w:val="32"/>
        </w:rPr>
        <w:t>39.855652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万元，支出</w:t>
      </w:r>
      <w:r>
        <w:rPr>
          <w:rFonts w:ascii="仿宋" w:eastAsia="仿宋" w:cs="仿宋" w:hAnsi="仿宋"/>
          <w:color w:val="000000"/>
          <w:sz w:val="32"/>
          <w:szCs w:val="32"/>
        </w:rPr>
        <w:t>18.672308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万元，总体支出进度为</w:t>
      </w:r>
      <w:r>
        <w:rPr>
          <w:rFonts w:ascii="仿宋" w:eastAsia="仿宋" w:cs="仿宋" w:hAnsi="仿宋"/>
          <w:color w:val="000000"/>
          <w:sz w:val="32"/>
          <w:szCs w:val="32"/>
          <w:lang w:val="en-US" w:eastAsia="zh-CN"/>
        </w:rPr>
        <w:t>46.85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2.产出指标和效果指标完成情况</w:t>
      </w:r>
    </w:p>
    <w:p>
      <w:pPr>
        <w:pStyle w:val="15"/>
        <w:ind w:firstLineChars="200" w:firstLine="640"/>
        <w:rPr>
          <w:rFonts w:ascii="仿宋" w:eastAsia="仿宋" w:cs="黑体" w:hAnsi="仿宋"/>
          <w:b w:val="0"/>
          <w:color w:val="000000"/>
          <w:kern w:val="2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为了推动</w:t>
      </w:r>
      <w:r>
        <w:rPr>
          <w:rFonts w:ascii="仿宋" w:eastAsia="仿宋" w:cs="仿宋" w:hAnsi="仿宋"/>
          <w:sz w:val="32"/>
          <w:szCs w:val="32"/>
        </w:rPr>
        <w:t>事业</w:t>
      </w:r>
      <w:r>
        <w:rPr>
          <w:rFonts w:ascii="仿宋" w:eastAsia="仿宋" w:cs="仿宋" w:hAnsi="仿宋" w:hint="eastAsia"/>
          <w:sz w:val="32"/>
          <w:szCs w:val="32"/>
        </w:rPr>
        <w:t>单位工作的有序进行，根据区财政局有关要求，我单位劳务派遣经费项目资金</w:t>
      </w:r>
      <w:r>
        <w:rPr>
          <w:rFonts w:ascii="仿宋" w:eastAsia="仿宋" w:cs="仿宋" w:hAnsi="仿宋"/>
          <w:sz w:val="32"/>
          <w:szCs w:val="32"/>
        </w:rPr>
        <w:t>18.672308</w:t>
      </w:r>
      <w:r>
        <w:rPr>
          <w:rFonts w:ascii="仿宋" w:eastAsia="仿宋" w:cs="仿宋" w:hAnsi="仿宋" w:hint="eastAsia"/>
          <w:sz w:val="32"/>
          <w:szCs w:val="32"/>
        </w:rPr>
        <w:t>万元，用于</w:t>
      </w:r>
      <w:r>
        <w:rPr>
          <w:rFonts w:ascii="仿宋" w:eastAsia="仿宋" w:cs="仿宋" w:hAnsi="仿宋"/>
          <w:sz w:val="32"/>
          <w:szCs w:val="32"/>
        </w:rPr>
        <w:t>发放劳务派遣人员工资及缴纳保险，</w:t>
      </w:r>
      <w:r>
        <w:rPr>
          <w:rFonts w:ascii="仿宋" w:eastAsia="仿宋" w:cs="黑体" w:hAnsi="仿宋" w:hint="eastAsia"/>
          <w:color w:val="000000"/>
          <w:sz w:val="32"/>
          <w:szCs w:val="32"/>
        </w:rPr>
        <w:t>弥补中心工作人员严重不足的情况，为顺利完成医保工作提供了</w:t>
      </w:r>
      <w:r>
        <w:rPr>
          <w:rFonts w:ascii="仿宋" w:eastAsia="仿宋" w:cs="黑体" w:hAnsi="仿宋" w:hint="eastAsia"/>
          <w:color w:val="FF0000"/>
          <w:sz w:val="32"/>
          <w:szCs w:val="32"/>
        </w:rPr>
        <w:t>有</w:t>
      </w:r>
      <w:r>
        <w:rPr>
          <w:rFonts w:ascii="仿宋" w:eastAsia="仿宋" w:cs="黑体" w:hAnsi="仿宋"/>
          <w:color w:val="FF0000"/>
          <w:sz w:val="32"/>
          <w:szCs w:val="32"/>
        </w:rPr>
        <w:t>力</w:t>
      </w:r>
      <w:r>
        <w:rPr>
          <w:rFonts w:ascii="仿宋" w:eastAsia="仿宋" w:cs="黑体" w:hAnsi="仿宋" w:hint="eastAsia"/>
          <w:color w:val="FF0000"/>
          <w:sz w:val="32"/>
          <w:szCs w:val="32"/>
        </w:rPr>
        <w:t>保障</w:t>
      </w:r>
      <w:r>
        <w:rPr>
          <w:rFonts w:ascii="仿宋" w:eastAsia="仿宋" w:cs="黑体" w:hAnsi="仿宋"/>
          <w:color w:val="000000"/>
          <w:sz w:val="32"/>
          <w:szCs w:val="32"/>
        </w:rPr>
        <w:t>。</w:t>
      </w:r>
    </w:p>
    <w:p>
      <w:pPr>
        <w:pStyle w:val="15"/>
        <w:ind w:firstLineChars="200" w:firstLine="640"/>
      </w:pPr>
      <w:r>
        <w:rPr>
          <w:rFonts w:ascii="仿宋" w:eastAsia="仿宋" w:cs="黑体" w:hAnsi="仿宋" w:hint="eastAsia"/>
          <w:b w:val="0"/>
          <w:color w:val="000000"/>
          <w:kern w:val="2"/>
          <w:sz w:val="32"/>
          <w:szCs w:val="32"/>
        </w:rPr>
        <w:t>绩效指标为4个，评价等级为优。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（</w:t>
      </w:r>
      <w:r>
        <w:rPr>
          <w:rFonts w:ascii="仿宋" w:eastAsia="仿宋" w:cs="仿宋" w:hAnsi="仿宋"/>
          <w:color w:val="000000"/>
          <w:sz w:val="32"/>
          <w:szCs w:val="32"/>
          <w:lang w:eastAsia="zh-CN"/>
        </w:rPr>
        <w:t>13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）</w:t>
      </w:r>
      <w:r>
        <w:rPr>
          <w:rFonts w:ascii="仿宋" w:eastAsia="仿宋" w:cs="黑体" w:hAnsi="仿宋" w:hint="eastAsia"/>
          <w:color w:val="000000"/>
          <w:sz w:val="32"/>
          <w:szCs w:val="32"/>
        </w:rPr>
        <w:t>离休人员医疗费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该项目预算为</w:t>
      </w:r>
      <w:r>
        <w:rPr>
          <w:rFonts w:ascii="仿宋" w:eastAsia="仿宋" w:cs="仿宋" w:hAnsi="仿宋"/>
          <w:color w:val="000000"/>
          <w:sz w:val="32"/>
          <w:szCs w:val="32"/>
        </w:rPr>
        <w:t>3.309843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万元，支出</w:t>
      </w:r>
      <w:r>
        <w:rPr>
          <w:rFonts w:ascii="仿宋" w:eastAsia="仿宋" w:cs="仿宋" w:hAnsi="仿宋"/>
          <w:color w:val="000000"/>
          <w:sz w:val="32"/>
          <w:szCs w:val="32"/>
        </w:rPr>
        <w:t>3.309843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万元，总体支出进度为</w:t>
      </w:r>
      <w:r>
        <w:rPr>
          <w:rFonts w:ascii="仿宋" w:eastAsia="仿宋" w:hAnsi="仿宋"/>
          <w:color w:val="000000"/>
          <w:sz w:val="32"/>
          <w:szCs w:val="32"/>
          <w:lang w:val="en-US" w:eastAsia="zh-CN"/>
        </w:rPr>
        <w:t>100</w:t>
      </w:r>
      <w:r>
        <w:rPr>
          <w:rFonts w:ascii="仿宋" w:eastAsia="仿宋" w:cs="仿宋" w:hAnsi="仿宋" w:hint="eastAsia"/>
          <w:color w:val="000000"/>
          <w:sz w:val="32"/>
          <w:szCs w:val="32"/>
        </w:rPr>
        <w:t>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_GB2312" w:eastAsia="仿宋_GB2312" w:cs="仿宋_GB2312" w:hAnsi="仿宋_GB2312"/>
          <w:color w:val="000000"/>
          <w:sz w:val="32"/>
          <w:szCs w:val="32"/>
        </w:rPr>
      </w:pPr>
      <w:r>
        <w:rPr>
          <w:rFonts w:ascii="仿宋_GB2312" w:eastAsia="仿宋_GB2312" w:cs="Times New Roman" w:hAnsi="宋体" w:hint="eastAsia"/>
          <w:bCs/>
          <w:color w:val="000000"/>
          <w:sz w:val="32"/>
          <w:szCs w:val="32"/>
        </w:rPr>
        <w:t>为了推动单位工作的有序进行，根据区财政局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有关要求，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  <w:lang w:eastAsia="zh-CN"/>
        </w:rPr>
        <w:t>离休人员医疗费</w:t>
      </w:r>
      <w:r>
        <w:rPr>
          <w:rFonts w:ascii="仿宋_GB2312" w:eastAsia="仿宋_GB2312" w:cs="仿宋_GB2312" w:hAnsi="仿宋_GB2312"/>
          <w:color w:val="000000"/>
          <w:sz w:val="32"/>
          <w:szCs w:val="32"/>
          <w:lang w:val="en-US" w:eastAsia="zh-CN"/>
        </w:rPr>
        <w:t>3.309843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  <w:lang w:val="en-US" w:eastAsia="zh-CN"/>
        </w:rPr>
        <w:t>万元，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  <w:lang w:eastAsia="zh-CN"/>
        </w:rPr>
        <w:t>用于</w:t>
      </w:r>
      <w:r>
        <w:rPr>
          <w:rFonts w:ascii="仿宋_GB2312" w:eastAsia="仿宋_GB2312" w:cs="仿宋_GB2312" w:hAnsi="仿宋_GB2312" w:hint="eastAsia"/>
          <w:color w:val="000000"/>
          <w:sz w:val="32"/>
          <w:szCs w:val="32"/>
        </w:rPr>
        <w:t>全区离休人员</w:t>
      </w:r>
      <w:r>
        <w:rPr>
          <w:rFonts w:ascii="仿宋_GB2312" w:eastAsia="仿宋_GB2312" w:cs="仿宋_GB2312" w:hAnsi="仿宋_GB2312"/>
          <w:color w:val="000000"/>
          <w:sz w:val="32"/>
          <w:szCs w:val="32"/>
        </w:rPr>
        <w:t>医疗费支出。</w:t>
      </w:r>
    </w:p>
    <w:p>
      <w:pPr>
        <w:spacing w:line="560" w:lineRule="exact"/>
        <w:ind w:firstLineChars="200" w:firstLine="640"/>
        <w:rPr>
          <w:rFonts w:ascii="仿宋" w:eastAsia="仿宋" w:cs="仿宋" w:hAnsi="仿宋"/>
          <w:color w:val="000000"/>
          <w:sz w:val="32"/>
          <w:szCs w:val="32"/>
        </w:rPr>
      </w:pPr>
      <w:r>
        <w:rPr>
          <w:rFonts w:ascii="仿宋" w:eastAsia="仿宋" w:cs="仿宋" w:hAnsi="仿宋" w:hint="eastAsia"/>
          <w:color w:val="000000"/>
          <w:sz w:val="32"/>
          <w:szCs w:val="32"/>
        </w:rPr>
        <w:t>绩效指标为4个，评价等级为优。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四、评价结论和评价等级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根据部门职责定位和各项工作履职情况进行综合评价，给出总得分，满分100分，得出综合绩效评价等级。部门整体支出综合绩效评价分98分为优秀。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五、存在的问题及改进措施</w:t>
      </w:r>
    </w:p>
    <w:p>
      <w:pPr>
        <w:spacing w:line="560" w:lineRule="exact"/>
        <w:ind w:firstLineChars="200" w:firstLine="640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（一）存在的主要问题</w:t>
      </w:r>
    </w:p>
    <w:p>
      <w:pPr>
        <w:spacing w:line="560" w:lineRule="exact"/>
        <w:ind w:firstLineChars="200" w:firstLine="640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绩效评价在目标设定上过于简单，对于绩效考核来讲，目标就是方向，如果在绩效考核目标设定上出现问题、或者是设计不合理势必要影响到绩效考核的全局。当前绩效考核在目标设定上不能实现多元化的目标。绩效评价在指标设定上存在偏离的现象。在当前绩效考核指标设定上，德能勤绩这种传统的固化思维模式依旧存在，不能紧紧围绕工作重点、偏离实际的现象依旧凸显。 </w:t>
      </w:r>
      <w:r>
        <w:rPr>
          <w:rFonts w:ascii="仿宋" w:eastAsia="仿宋" w:hAnsi="仿宋" w:hint="eastAsia"/>
          <w:b/>
          <w:bCs/>
          <w:sz w:val="32"/>
          <w:szCs w:val="32"/>
        </w:rPr>
        <w:t xml:space="preserve"> </w:t>
      </w:r>
    </w:p>
    <w:p>
      <w:pPr>
        <w:spacing w:line="560" w:lineRule="exact"/>
        <w:ind w:firstLineChars="200" w:firstLine="640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（二）针对问题提出具体的改进措施或建议</w:t>
      </w:r>
    </w:p>
    <w:p>
      <w:pPr>
        <w:adjustRightInd w:val="0"/>
        <w:snapToGrid w:val="0"/>
        <w:spacing w:line="560" w:lineRule="exact"/>
        <w:ind w:firstLineChars="200" w:firstLine="640"/>
      </w:pPr>
      <w:r>
        <w:rPr>
          <w:rFonts w:ascii="仿宋" w:eastAsia="仿宋" w:cs="仿宋" w:hAnsi="仿宋" w:hint="eastAsia"/>
          <w:sz w:val="32"/>
          <w:szCs w:val="32"/>
        </w:rPr>
        <w:t>针对绩效指标设定中存在的问题，从实际出发，在</w:t>
      </w:r>
      <w:r>
        <w:rPr>
          <w:rFonts w:ascii="仿宋" w:eastAsia="仿宋" w:cs="仿宋" w:hAnsi="仿宋"/>
          <w:sz w:val="32"/>
          <w:szCs w:val="32"/>
        </w:rPr>
        <w:t>2026</w:t>
      </w:r>
      <w:r>
        <w:rPr>
          <w:rFonts w:ascii="仿宋" w:eastAsia="仿宋" w:cs="仿宋" w:hAnsi="仿宋" w:hint="eastAsia"/>
          <w:sz w:val="32"/>
          <w:szCs w:val="32"/>
        </w:rPr>
        <w:t>年项目绩效目标填报中增强指标的可评价性和可量化性，合理如实的反映资金使用的绩效成果，审核</w:t>
      </w:r>
      <w:r>
        <w:rPr>
          <w:rFonts w:ascii="仿宋" w:eastAsia="仿宋" w:cs="仿宋" w:hAnsi="仿宋"/>
          <w:sz w:val="32"/>
          <w:szCs w:val="32"/>
        </w:rPr>
        <w:t>实现绩效目标所需资金的合理性以及填报的规范性、完整性</w:t>
      </w:r>
      <w:r>
        <w:rPr>
          <w:rFonts w:ascii="仿宋" w:eastAsia="仿宋" w:cs="仿宋" w:hAnsi="仿宋" w:hint="eastAsia"/>
          <w:sz w:val="32"/>
          <w:szCs w:val="32"/>
        </w:rPr>
        <w:t>，提高财政支出产生的社会效益和经济效益，重点考虑项目的外界因素对年度任务的影响。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在以后的工作中，</w:t>
      </w:r>
      <w:r>
        <w:rPr>
          <w:rFonts w:ascii="仿宋" w:eastAsia="仿宋" w:cs="仿宋" w:hAnsi="仿宋"/>
          <w:sz w:val="32"/>
          <w:szCs w:val="32"/>
        </w:rPr>
        <w:t>要根据年度工作计划制定具体、可衡量、可实现的绩效目标，明确支出的必要性、可行性和有效性，并围绕绩效目标编制清晰、量化、便于考核的绩效指标。</w:t>
      </w:r>
      <w:r>
        <w:rPr>
          <w:rFonts w:ascii="仿宋" w:eastAsia="仿宋" w:cs="仿宋" w:hAnsi="仿宋" w:hint="eastAsia"/>
          <w:sz w:val="32"/>
          <w:szCs w:val="32"/>
        </w:rPr>
        <w:t>要重视绩效评价工作，切实发挥绩效评价结果应用的作用，通过绩效评价应用实践，积累连续的数据库，优化对比分析，总结实践中的经验和教训，强化财政资金管理水平、提高财政资金使用效益，在更高层次上实现财政资源配置的公平性和合理性。</w:t>
      </w:r>
    </w:p>
    <w:p>
      <w:pPr>
        <w:numPr>
          <w:ilvl w:val="0"/>
          <w:numId w:val="2"/>
        </w:numPr>
        <w:adjustRightInd w:val="0"/>
        <w:snapToGrid w:val="0"/>
        <w:spacing w:line="560" w:lineRule="exact"/>
        <w:ind w:left="0"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评价工作组人员名单及签字</w:t>
      </w:r>
    </w:p>
    <w:p>
      <w:pPr>
        <w:spacing w:line="560" w:lineRule="exact"/>
        <w:jc w:val="center"/>
        <w:rPr>
          <w:rFonts w:ascii="宋体" w:cs="宋体" w:hAnsi="宋体"/>
          <w:sz w:val="44"/>
          <w:szCs w:val="44"/>
        </w:rPr>
      </w:pPr>
      <w:r>
        <w:rPr>
          <w:rFonts w:ascii="宋体" w:cs="宋体" w:hAnsi="宋体" w:hint="eastAsia"/>
          <w:sz w:val="44"/>
          <w:szCs w:val="44"/>
        </w:rPr>
        <w:t>评价工作组人员名单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1951"/>
        <w:gridCol w:w="1843"/>
        <w:gridCol w:w="2268"/>
        <w:gridCol w:w="2693"/>
      </w:tblGrid>
      <w:tr>
        <w:trPr>
          <w:trHeight w:val="621"/>
        </w:trPr>
        <w:tc>
          <w:tcPr>
            <w:tcW w:w="1951" w:type="dxa"/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1843" w:type="dxa"/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工作单位</w:t>
            </w:r>
          </w:p>
        </w:tc>
        <w:tc>
          <w:tcPr>
            <w:tcW w:w="2268" w:type="dxa"/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职务</w:t>
            </w:r>
          </w:p>
        </w:tc>
        <w:tc>
          <w:tcPr>
            <w:tcW w:w="2693" w:type="dxa"/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签字</w:t>
            </w:r>
          </w:p>
        </w:tc>
      </w:tr>
      <w:tr>
        <w:trPr>
          <w:trHeight w:val="701"/>
        </w:trPr>
        <w:tc>
          <w:tcPr>
            <w:tcW w:w="1951" w:type="dxa"/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刘志军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医保局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局长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>
        <w:trPr>
          <w:trHeight w:val="696"/>
        </w:trPr>
        <w:tc>
          <w:tcPr>
            <w:tcW w:w="1951" w:type="dxa"/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樊红玉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医保局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/>
                <w:sz w:val="32"/>
                <w:szCs w:val="32"/>
              </w:rPr>
              <w:t>二级主任科员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>
        <w:trPr>
          <w:trHeight w:val="706"/>
        </w:trPr>
        <w:tc>
          <w:tcPr>
            <w:tcW w:w="1951" w:type="dxa"/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刘谦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医保局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财务人员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>
        <w:trPr>
          <w:trHeight w:val="6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line="560" w:lineRule="exact"/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>
      <w:pPr>
        <w:spacing w:line="560" w:lineRule="exact"/>
        <w:rPr>
          <w:rFonts w:ascii="仿宋" w:eastAsia="仿宋" w:hAnsi="仿宋"/>
        </w:rPr>
      </w:pPr>
    </w:p>
    <w:sectPr>
      <w:footerReference w:type="default" r:id="rId2"/>
      <w:pgSz w:w="11906" w:h="16838"/>
      <w:pgMar w:top="1440" w:right="1474" w:bottom="1440" w:left="1587" w:header="851" w:footer="992" w:gutter="0"/>
      <w:pgNumType w:fmt="numberInDash"/>
      <w:cols w:num="1" w:space="72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仿宋_GB2312">
    <w:altName w:val="仿宋"/>
    <w:panose1 w:val="02010609030101010101"/>
    <w:charset w:val="86"/>
    <w:family w:val="modern"/>
    <w:pitch w:val="variable"/>
    <w:sig w:usb0="00000000" w:usb1="00000000" w:usb2="0000001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variable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0" w:usb1="00000000" w:usb2="00000010" w:usb3="00000000" w:csb0="00040000" w:csb1="00000000"/>
  </w:font>
  <w:font w:name="方正仿宋_GBK">
    <w:panose1 w:val="02000000000000000000"/>
    <w:charset w:val="86"/>
    <w:family w:val="roman"/>
    <w:pitch w:val="variable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variable"/>
    <w:sig w:usb0="A00002BF" w:usb1="38CF7CFA" w:usb2="00082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7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103505" distR="103505" simplePos="0" relativeHeight="12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31" cy="162780"/>
              <wp:effectExtent l="0" t="0" r="0" b="0"/>
              <wp:wrapNone/>
              <wp:docPr id="1" name="Quad Arrow 3073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09531" cy="162780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round/>
                      </a:ln>
                    </wps:spPr>
                    <wps:txbx id="1"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- 7 -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Quad Arrow 3073" o:spid="_x0000_s2" filled="f" stroked="f" style="position:absolute;margin-left:0.0pt;margin-top:0.0pt;width:16.498535pt;height:12.817383pt;z-index:12;mso-position-horizontal:center;mso-position-horizontal-relative:margin;mso-position-vertical:absolute;mso-wrap-distance-left:8.15pt;mso-wrap-distance-right:8.15pt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- 7 -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5E68489B"/>
    <w:multiLevelType w:val="singleLevel"/>
    <w:tmpl w:val="5E68489B"/>
    <w:lvl w:ilvl="0">
      <w:start w:val="1"/>
      <w:numFmt w:val="chineseCounting"/>
      <w:lvlRestart w:val="0"/>
      <w:suff w:val="nothing"/>
      <w:lvlText w:val="（%1）"/>
      <w:lvlJc w:val="left"/>
      <w:pPr>
        <w:ind w:left="0" w:hanging="0"/>
      </w:pPr>
    </w:lvl>
  </w:abstractNum>
  <w:abstractNum w:abstractNumId="1">
    <w:nsid w:val="62329866"/>
    <w:multiLevelType w:val="singleLevel"/>
    <w:tmpl w:val="62329866"/>
    <w:lvl w:ilvl="0">
      <w:start w:val="6"/>
      <w:numFmt w:val="chineseCounting"/>
      <w:lvlRestart w:val="0"/>
      <w:suff w:val="nothing"/>
      <w:lvlText w:val="%1、"/>
      <w:lvlJc w:val="left"/>
      <w:pPr>
        <w:ind w:left="0" w:hanging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doNotExpandShiftReturn/>
    <w:adjustLineHeightInTable/>
    <w:doNotUseIndentAsNumberingTabStop/>
    <w:useAltKinsokuLineBreakRules/>
    <w:compatSetting w:name="compatibilityMode" w:uri="http://schemas.microsoft.com/office/word" w:val="14"/>
  </w:compat>
  <w:docVars>
    <w:docVar w:name="commondata" w:val="eyJoZGlkIjoiMTgxY2M5OTY5NjQzYWI4ZjNjMGUyNTc4YmQ5YTk2YmQ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next w:val="15"/>
    <w:pPr>
      <w:widowControl w:val="0"/>
      <w:jc w:val="both"/>
    </w:pPr>
    <w:rPr>
      <w:rFonts w:ascii="Calibri" w:eastAsia="宋体" w:cs="黑体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黑体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黑体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黑体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Normal Indent"/>
    <w:qFormat/>
    <w:basedOn w:val="0"/>
    <w:next w:val="16"/>
    <w:pPr>
      <w:ind w:firstLineChars="200" w:firstLine="200"/>
    </w:pPr>
    <w:rPr>
      <w:rFonts w:eastAsia="仿宋_GB2312"/>
      <w:sz w:val="30"/>
    </w:rPr>
  </w:style>
  <w:style w:type="paragraph" w:styleId="16">
    <w:name w:val="Subtitle"/>
    <w:qFormat/>
    <w:basedOn w:val="0"/>
    <w:pPr>
      <w:spacing w:line="700" w:lineRule="exact"/>
      <w:jc w:val="center"/>
      <w:outlineLvl w:val="1"/>
    </w:pPr>
    <w:rPr>
      <w:rFonts w:ascii="Arial" w:eastAsia="方正小标宋简体" w:cs="Arial" w:hAnsi="Arial"/>
      <w:b/>
      <w:bCs/>
      <w:kern w:val="28"/>
      <w:sz w:val="44"/>
      <w:szCs w:val="44"/>
    </w:rPr>
  </w:style>
  <w:style w:type="paragraph" w:styleId="17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qFormat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customStyle="1" w:styleId="19">
    <w:name w:val="插入文本样式-插入部门职责文件"/>
    <w:qFormat/>
    <w:basedOn w:val="0"/>
    <w:pPr>
      <w:widowControl/>
      <w:spacing w:line="500" w:lineRule="exact"/>
      <w:ind w:firstLine="560"/>
      <w:jc w:val="left"/>
    </w:pPr>
    <w:rPr>
      <w:rFonts w:ascii="Times New Roman" w:eastAsia="方正仿宋_GBK" w:cs="Times New Roman" w:hAnsi="Times New Roman"/>
      <w:kern w:val="0"/>
      <w:sz w:val="28"/>
      <w:szCs w:val="24"/>
      <w:lang w:eastAsia="uk-UA"/>
    </w:rPr>
  </w:style>
  <w:style w:type="paragraph" w:customStyle="1" w:styleId="20">
    <w:name w:val="插入文本样式-插入总体目标文件"/>
    <w:qFormat/>
    <w:basedOn w:val="0"/>
    <w:pPr>
      <w:widowControl/>
      <w:spacing w:line="500" w:lineRule="exact"/>
      <w:ind w:firstLine="560"/>
      <w:jc w:val="left"/>
    </w:pPr>
    <w:rPr>
      <w:rFonts w:ascii="Times New Roman" w:eastAsia="方正仿宋_GBK" w:cs="Times New Roman" w:hAnsi="Times New Roman"/>
      <w:kern w:val="0"/>
      <w:sz w:val="28"/>
      <w:szCs w:val="24"/>
      <w:lang w:eastAsia="uk-UA"/>
    </w:rPr>
  </w:style>
  <w:style w:type="paragraph" w:customStyle="1" w:styleId="21">
    <w:name w:val="插入文本样式-插入职责分类绩效目标文件"/>
    <w:qFormat/>
    <w:basedOn w:val="0"/>
    <w:pPr>
      <w:widowControl/>
      <w:spacing w:line="500" w:lineRule="exact"/>
      <w:ind w:firstLine="560"/>
      <w:jc w:val="left"/>
    </w:pPr>
    <w:rPr>
      <w:rFonts w:ascii="Times New Roman" w:eastAsia="方正仿宋_GBK" w:cs="Times New Roman" w:hAnsi="Times New Roman"/>
      <w:kern w:val="0"/>
      <w:sz w:val="28"/>
      <w:szCs w:val="24"/>
      <w:lang w:eastAsia="uk-UA"/>
    </w:rPr>
  </w:style>
  <w:style w:type="paragraph" w:customStyle="1" w:styleId="22">
    <w:name w:val="插入文本样式-插入实现年度发展规划目标的保障措施文件"/>
    <w:qFormat/>
    <w:basedOn w:val="0"/>
    <w:pPr>
      <w:widowControl/>
      <w:spacing w:line="500" w:lineRule="exact"/>
      <w:ind w:firstLine="560"/>
      <w:jc w:val="left"/>
    </w:pPr>
    <w:rPr>
      <w:rFonts w:ascii="Times New Roman" w:eastAsia="方正仿宋_GBK" w:cs="Times New Roman" w:hAnsi="Times New Roman"/>
      <w:kern w:val="0"/>
      <w:sz w:val="28"/>
      <w:szCs w:val="24"/>
      <w:lang w:eastAsia="uk-UA"/>
    </w:rPr>
  </w:style>
  <w:style w:type="paragraph" w:customStyle="1" w:styleId="23">
    <w:name w:val="单元格样式2"/>
    <w:qFormat/>
    <w:basedOn w:val="0"/>
    <w:pPr>
      <w:spacing w:before="0" w:after="0"/>
      <w:ind w:firstLine="0"/>
      <w:jc w:val="left"/>
      <w:outlineLvl w:val="9"/>
    </w:pPr>
    <w:rPr>
      <w:rFonts w:ascii="方正书宋_GBK" w:eastAsia="方正书宋_GBK" w:cs="方正书宋_GBK" w:hAnsi="方正书宋_GBK"/>
      <w:sz w:val="21"/>
      <w:szCs w:val="24"/>
      <w:lang w:val="en-US" w:eastAsia="uk-UA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32119750-7F2A-4173-8A80-1B71D47C5DCA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1028</TotalTime>
  <Application>WPS_Yozo_Office9.0.4819.102ZH</Application>
  <Pages>13</Pages>
  <Words>0</Words>
  <Characters>5075</Characters>
  <Lines>0</Lines>
  <Paragraphs>130</Paragraphs>
  <CharactersWithSpaces>6767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附件3：</dc:title>
  <dc:creator>欣欣大人</dc:creator>
  <cp:lastModifiedBy>Administrator</cp:lastModifiedBy>
  <cp:revision>3</cp:revision>
  <cp:lastPrinted>2026-09-17T08:04:38Z</cp:lastPrinted>
  <dcterms:created xsi:type="dcterms:W3CDTF">2023-05-04T00:58:00Z</dcterms:created>
  <dcterms:modified xsi:type="dcterms:W3CDTF">2026-09-17T08:05:27Z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2052-12.1.0.21915</vt:lpwstr>
  </property>
  <property fmtid="{D5CDD505-2E9C-101B-9397-08002B2CF9AE}" pid="3" name="ICV">
    <vt:lpwstr>14C5DA8972104B84949AD7A7467302EC</vt:lpwstr>
  </property>
  <property fmtid="{D5CDD505-2E9C-101B-9397-08002B2CF9AE}" pid="4" name="KSOTemplateDocerSaveRecord">
    <vt:lpwstr>eyJoZGlkIjoiZTM0YjkzNTQ1M2Y4MzAwZjdiZDRkZGE0ZTliZTM0MDUifQ==</vt:lpwstr>
  </property>
</Properties>
</file>