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cs="黑体" w:hAnsi="黑体" w:hint="eastAsia"/>
          <w:sz w:val="32"/>
          <w:szCs w:val="32"/>
        </w:rPr>
      </w:pPr>
      <w:r>
        <w:rPr>
          <w:rFonts w:ascii="黑体" w:eastAsia="黑体" w:cs="黑体" w:hAnsi="黑体" w:hint="eastAsia"/>
          <w:sz w:val="32"/>
          <w:szCs w:val="32"/>
        </w:rPr>
        <w:t>附件4</w:t>
      </w:r>
    </w:p>
    <w:p>
      <w:pPr>
        <w:spacing w:line="560" w:lineRule="exact"/>
        <w:jc w:val="center"/>
        <w:rPr>
          <w:rFonts w:ascii="宋体" w:cs="宋体" w:hAnsi="宋体"/>
          <w:b/>
          <w:bCs/>
          <w:sz w:val="44"/>
          <w:szCs w:val="44"/>
        </w:rPr>
      </w:pPr>
    </w:p>
    <w:p>
      <w:pPr>
        <w:spacing w:line="560" w:lineRule="exact"/>
        <w:jc w:val="center"/>
        <w:rPr>
          <w:rFonts w:ascii="宋体" w:cs="宋体" w:hAnsi="宋体" w:hint="eastAsia"/>
          <w:b/>
          <w:bCs/>
          <w:sz w:val="44"/>
          <w:szCs w:val="44"/>
        </w:rPr>
      </w:pPr>
      <w:r>
        <w:rPr>
          <w:rFonts w:ascii="宋体" w:cs="宋体" w:hAnsi="宋体" w:hint="eastAsia"/>
          <w:b/>
          <w:bCs/>
          <w:sz w:val="44"/>
          <w:szCs w:val="44"/>
          <w:lang w:eastAsia="zh-CN"/>
        </w:rPr>
        <w:t>井陉矿区农业农村局</w:t>
      </w:r>
      <w:r>
        <w:rPr>
          <w:rFonts w:ascii="宋体" w:cs="宋体" w:hAnsi="宋体" w:hint="eastAsia"/>
          <w:b/>
          <w:bCs/>
          <w:sz w:val="44"/>
          <w:szCs w:val="44"/>
        </w:rPr>
        <w:t>部门</w:t>
      </w:r>
    </w:p>
    <w:p>
      <w:pPr>
        <w:spacing w:line="560" w:lineRule="exact"/>
        <w:jc w:val="center"/>
        <w:rPr>
          <w:rFonts w:ascii="宋体" w:cs="宋体" w:hAnsi="宋体"/>
          <w:b/>
          <w:bCs/>
          <w:sz w:val="44"/>
          <w:szCs w:val="44"/>
        </w:rPr>
      </w:pPr>
      <w:r>
        <w:rPr>
          <w:rFonts w:ascii="宋体" w:cs="宋体" w:hAnsi="宋体" w:hint="eastAsia"/>
          <w:b/>
          <w:bCs/>
          <w:sz w:val="44"/>
          <w:szCs w:val="44"/>
        </w:rPr>
        <w:t>202</w:t>
      </w:r>
      <w:r>
        <w:rPr>
          <w:rFonts w:ascii="宋体" w:cs="宋体" w:hAnsi="宋体" w:hint="eastAsia"/>
          <w:b/>
          <w:bCs/>
          <w:sz w:val="44"/>
          <w:szCs w:val="44"/>
          <w:lang w:val="en-US" w:eastAsia="zh-CN"/>
        </w:rPr>
        <w:t>5</w:t>
      </w:r>
      <w:r>
        <w:rPr>
          <w:rFonts w:ascii="宋体" w:cs="宋体" w:hAnsi="宋体" w:hint="eastAsia"/>
          <w:b/>
          <w:bCs/>
          <w:sz w:val="44"/>
          <w:szCs w:val="44"/>
        </w:rPr>
        <w:t>年度整体支出绩效自评报告</w:t>
      </w:r>
    </w:p>
    <w:p>
      <w:pPr>
        <w:spacing w:line="560" w:lineRule="exact"/>
        <w:jc w:val="center"/>
        <w:rPr>
          <w:rFonts w:ascii="华文楷体" w:eastAsia="华文楷体"/>
          <w:sz w:val="32"/>
          <w:szCs w:val="32"/>
        </w:rPr>
      </w:pPr>
    </w:p>
    <w:p>
      <w:pPr>
        <w:adjustRightInd w:val="0"/>
        <w:snapToGrid w:val="0"/>
        <w:spacing w:line="560" w:lineRule="exact"/>
        <w:ind w:firstLineChars="200" w:firstLine="640"/>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贯彻落实区委区政府《关于全面落实预算绩效管理的实施意见》（矿发﹝2019﹞7号）文件精神，遵循“科学性、规范性、客观性和公正性”的原则，对</w:t>
      </w:r>
      <w:r>
        <w:rPr>
          <w:rFonts w:ascii="仿宋_GB2312" w:eastAsia="仿宋_GB2312" w:cs="仿宋_GB2312" w:hAnsi="仿宋_GB2312" w:hint="eastAsia"/>
          <w:sz w:val="32"/>
          <w:szCs w:val="32"/>
          <w:lang w:eastAsia="zh-CN"/>
        </w:rPr>
        <w:t>井陉矿区农业农村局</w:t>
      </w:r>
      <w:r>
        <w:rPr>
          <w:rFonts w:ascii="仿宋_GB2312" w:eastAsia="仿宋_GB2312" w:cs="仿宋_GB2312" w:hAnsi="仿宋_GB2312" w:hint="eastAsia"/>
          <w:sz w:val="32"/>
          <w:szCs w:val="32"/>
        </w:rPr>
        <w:t>部门202</w:t>
      </w:r>
      <w:r>
        <w:rPr>
          <w:rFonts w:ascii="仿宋_GB2312" w:eastAsia="仿宋_GB2312" w:cs="仿宋_GB2312" w:hAnsi="仿宋_GB2312" w:hint="eastAsia"/>
          <w:sz w:val="32"/>
          <w:szCs w:val="32"/>
          <w:lang w:val="en-US" w:eastAsia="zh-CN"/>
        </w:rPr>
        <w:t>5</w:t>
      </w:r>
      <w:r>
        <w:rPr>
          <w:rFonts w:ascii="仿宋_GB2312" w:eastAsia="仿宋_GB2312" w:cs="仿宋_GB2312" w:hAnsi="仿宋_GB2312" w:hint="eastAsia"/>
          <w:sz w:val="32"/>
          <w:szCs w:val="32"/>
        </w:rPr>
        <w:t>年整体支出情况实施了财政支出绩效自评价，形成本评价报告。</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w:t>
      </w:r>
      <w:r>
        <w:rPr>
          <w:rFonts w:ascii="黑体" w:eastAsia="黑体" w:hAnsi="黑体" w:hint="eastAsia"/>
          <w:b/>
          <w:bCs/>
          <w:sz w:val="32"/>
          <w:szCs w:val="32"/>
        </w:rPr>
        <w:t xml:space="preserve">    一、部门</w:t>
      </w:r>
      <w:r>
        <w:rPr>
          <w:rFonts w:ascii="黑体" w:eastAsia="黑体" w:hAnsi="黑体" w:hint="eastAsia"/>
          <w:b/>
          <w:bCs/>
          <w:sz w:val="32"/>
          <w:szCs w:val="36"/>
        </w:rPr>
        <w:t>基本情况</w:t>
      </w:r>
    </w:p>
    <w:p>
      <w:pPr>
        <w:adjustRightInd w:val="0"/>
        <w:snapToGrid w:val="0"/>
        <w:spacing w:line="560" w:lineRule="exact"/>
        <w:ind w:firstLineChars="200" w:firstLine="640"/>
        <w:rPr>
          <w:rFonts w:ascii="楷体" w:eastAsia="楷体" w:cs="楷体_GB2312" w:hAnsi="楷体"/>
          <w:b/>
          <w:bCs w:val="0"/>
          <w:sz w:val="32"/>
          <w:szCs w:val="32"/>
        </w:rPr>
      </w:pPr>
      <w:r>
        <w:rPr>
          <w:rFonts w:ascii="楷体" w:eastAsia="楷体" w:cs="楷体_GB2312" w:hAnsi="楷体" w:hint="eastAsia"/>
          <w:b/>
          <w:bCs w:val="0"/>
          <w:sz w:val="32"/>
          <w:szCs w:val="32"/>
        </w:rPr>
        <w:t>（一）部门概况</w:t>
      </w:r>
    </w:p>
    <w:p>
      <w:pPr>
        <w:keepNext w:val="0"/>
        <w:keepLines w:val="0"/>
        <w:pageBreakBefore w:val="0"/>
        <w:widowControl w:val="0"/>
        <w:kinsoku/>
        <w:wordWrap/>
        <w:overflowPunct/>
        <w:topLinePunct w:val="0"/>
        <w:autoSpaceDE/>
        <w:autoSpaceDN/>
        <w:bidi w:val="0"/>
        <w:snapToGrid w:val="0"/>
        <w:spacing w:line="540" w:lineRule="exact"/>
        <w:ind w:firstLineChars="200" w:firstLine="640"/>
        <w:textAlignment w:val="auto"/>
        <w:rPr>
          <w:rFonts w:ascii="仿宋_GB2312" w:eastAsia="仿宋_GB2312" w:hAnsi="仿宋" w:hint="eastAsia"/>
          <w:b/>
          <w:bCs/>
          <w:sz w:val="32"/>
          <w:szCs w:val="32"/>
        </w:rPr>
      </w:pPr>
      <w:r>
        <w:rPr>
          <w:rFonts w:ascii="仿宋_GB2312" w:eastAsia="仿宋_GB2312" w:hAnsi="仿宋" w:hint="eastAsia"/>
          <w:b/>
          <w:bCs/>
          <w:sz w:val="32"/>
          <w:szCs w:val="32"/>
        </w:rPr>
        <w:t>1．主要职能</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贯彻落实中央和省、市、区委关于“三农”、水利工作的方针政策和决策部署，坚持和加强党对“三农”、水利工作的集中统一领导。主要职责是：</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一）统筹研究和组织实施全区“三农”工作的发展战略、中长期规划、重大政策。贯彻落实农业农村有关地方性法规，组织起草政府规章草案，负责全区农业综合执法。参与涉农的财税、价格、收储、金融保险、进出口等政策制定。</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（二）协调推动发展全区农村社会事业、农村公共服务、农村文化、农村基础设施和乡村治理。牵头组织改善农村人居环境。协调推进乡村文明和优秀农耕文化建设。指导农业行业安全生产工作。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三）拟订区级深化农村经济体制改革和巩固完善农村基本经营制度的政策措施。负责农民承包地改革和管理有关工作。负责农村集体产权制度改革，指导农村集体经济组织发展和集体资产管理工作。指导农民合作经济组织、农业社会化服务体系、新型农业经营主体建设与发展。</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四）指导全区乡村产业、农产品加工业和休闲农业发展工作。提出促进大宗农产品流通的建议，培育、保护农业品牌。发布农业农村经济信息，监测分析农业农村经济运行。承担农业统计和农业农村信息化有关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五）负责全区种植业、畜牧业、渔业、农垦、农业机械化等农业各产业的监督管理。指导粮、棉、油、菜、水果、肉、蛋、奶、蜜、渔等农产品生产。组织构建现代农业产业体系、生产体系、经营体系，指导农业标准化生产。负责渔业管理和渔政监督管理。</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（六）负责全区农产品质量安全监督管理。组织开展农产品质量安全监测、追溯、风险评估和监督抽查。指导农业检验监测体系建设。</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七）负责全区农业资源保护、开发与利用。指导农用地、渔业水域以及农业生物物种资源的保护与管理，负责水生野生动植物保护、耕地及永久基本农田质量保护工作。指导农产品产地环境管理和农业清洁生产。指导设施农业、生态循环农业、节水农业发展以及农村可再生能源综合开发利用、农业生物质产业发展。牵头管理外来物种。</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八）负责有关农业生产资料和农业投入品的监督管理。组织农业生产资料市场体系建设，执行有关农业生产资料市级标准并监督实施。执行兽药残留限量和残留检测方法市级标准。组织兽医医政、兽药药政药检工作，负责执业兽医和畜禽屠宰行业管理。</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（九）负责农业防灾减灾、农作物重大病虫害预测预报及防治工作。指导动植物防疫检疫体系建设，组织、监督全区动植物防疫检疫工作，依法发布疫情并组织扑灭。</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（十）负责农业投资管理。提出农业投融资体制机制改革建议。编制区级投资安排的农业投资项目建设规划，提出农业投资规模和方向、扶持农业农村发展财政项目的建议， 按规定权限审批农业投资项目，负责农业投资项目资金安排和监督管理。</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一）推动农业科技体制改革和农业科技创新体系建设。负责农业产业技术体系和农技推广体系建设，组织开展农业领域的高新技术和应用技术研究、科技成果转化和技术推广。负责农业转基因生物安全监督管理和农业植物新品种保护。</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（十二）负责农业农村人才工作。拟订农业农村人才队伍建设规划并组织实施，指导农业教育和农业职业技能开发，指导新型职业农民培育、农业科技人才培养和农村实用人才培训工作。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（十三）牵头开展农业对外合作工作。组织开展对外农业贸易和有关交流合作。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（十四）负责保障水资源合理开发利用，贯彻落实上级水利政策法规，拟订水利战略规划，起草有关政府规章草案,组织编制全区水资源战略规划、重要河流湖泊流域综合规划、防洪规划等重大水利规划。</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五）负责生活、生产经营和生态环境用水的统筹和保障。组织实施最严格水资源管理制度,实施水资源的统一监督管理，拟订全区水中长期供求规划、水量分配方案并监督实施。负责重要流域、区域以及重大调水工程的水资源调度。指导开展水资源有偿使用工作。指导水利行业供水和乡（镇）供水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六）按规定制定水利工程建设有关制度并组织实施,负责提出区级水利固定资产投资规模、方向、具体安排建议并组织指导实施,按规定权限审核区规划内和年度计划规模内固定资产投资项目,提出区级水利资金安排建议并负责项目实施的监督管理。</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七）负责水资源保护工作。组织编制并实施水资源保护规划。按规定开展饮用水水源保护有关工作,负责地下水开发利用和地下水资源管理保护。负责地下水超采区综合治理。负责组织对河流湖库和地下水实施监测,发布水资源信息和水资源公报,按规定组织开展水资源、水能资源调查评价和水资源承载能力监测预警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（十八）负责节约用水工作。贯彻落实节约用水政策,组织编制节约用水规划并监督实施。组织实施用水总量控制等管理制度,指导和推动节水型社会建设工作。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十九）指导水利设施、水域及其岸线的管理、保护与综合利用。负责水利基础设施网络建设。负责主要河流湖泊及河口的治理、开发和保护。负责河湖水生态保护与修复、河湖生态流量水量管理以及河湖水系连通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（二十）负责监督水利工程建设与运行管理。组织实施重要水利工程建设与运行管理。指导监督工程安全运行,按规定负责工程验收有关工作。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（二十一）负责水土保持工作。拟订水土保持规划并监督实施，组织实施水土流失的综合防治、监测预报。负责建设项目水土保持监督管理工作。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（二十二）指导农村水利工作。指导农村饮水安全工程建设管理工作,指导节水灌溉有关工作。指导农村水利改革创新和社会化服务体系建设。指导农村水能资源开发、小水电改造和水电农村电气化工作。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（二十三）负责水库、水电工程移民管理工作。负责贯彻落实水库、水电工程移民有关政策并监督实施,按规定组织实施移民安置验收、监督评估等工作。指导监督水库移民后期扶持政策的实施。</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二十四）负责重大涉水违法事件的查处,协调和仲裁水事纠纷,指导水政监察和水行政执法。依法负责水利行业安全生产工作,负责水库、水电站大坝、农村水电站的安全监管。负责水利建设市场的监督管理,组织实施水利工程建设的监督。</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（二十五）组织开展水利行业质量监督工作。监督实施水利行业的技术标准、规程规范。组织指导水利科学研究、技术引进和科技推广,开展水利交流与合作。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二十六）负责落实综合防灾减灾规划相关要求,组织编制洪水干旱灾害防治规划。承担水情旱情监测预警工作。组织编制重要河道和重要水工程的防御洪水抗御旱灾调度及应急水量调度方案,按程序报批并组织实施。承担防御洪水应急抢险的技术支撑工作。</w:t>
      </w:r>
    </w:p>
    <w:p>
      <w:pPr>
        <w:keepNext w:val="0"/>
        <w:keepLines w:val="0"/>
        <w:pageBreakBefore w:val="0"/>
        <w:widowControl w:val="0"/>
        <w:kinsoku/>
        <w:wordWrap/>
        <w:overflowPunct/>
        <w:topLinePunct w:val="0"/>
        <w:autoSpaceDE/>
        <w:autoSpaceDN/>
        <w:bidi w:val="0"/>
        <w:spacing w:line="540" w:lineRule="exact"/>
        <w:ind w:firstLineChars="200" w:firstLine="640"/>
        <w:jc w:val="left"/>
        <w:textAlignment w:val="auto"/>
        <w:outlineLvl w:val="9"/>
        <w:rPr>
          <w:rFonts w:ascii="仿宋_GB2312" w:eastAsia="仿宋_GB2312" w:cs="仿宋_GB2312" w:hAnsi="仿宋_GB2312" w:hint="eastAsia"/>
          <w:sz w:val="32"/>
          <w:szCs w:val="32"/>
          <w:u w:val="none"/>
        </w:rPr>
      </w:pPr>
      <w:r>
        <w:rPr>
          <w:rFonts w:ascii="仿宋_GB2312" w:eastAsia="仿宋_GB2312" w:cs="仿宋_GB2312" w:hAnsi="仿宋_GB2312" w:hint="eastAsia"/>
          <w:sz w:val="32"/>
          <w:szCs w:val="32"/>
          <w:u w:val="none"/>
        </w:rPr>
        <w:t>（二十七）完成区委、区政府和区委农村工作领导小组交办的其他任务。</w:t>
      </w:r>
    </w:p>
    <w:p>
      <w:pPr>
        <w:keepNext w:val="0"/>
        <w:keepLines w:val="0"/>
        <w:pageBreakBefore w:val="0"/>
        <w:widowControl w:val="0"/>
        <w:numPr>
          <w:ilvl w:val="0"/>
          <w:numId w:val="1"/>
        </w:numPr>
        <w:kinsoku/>
        <w:wordWrap/>
        <w:overflowPunct/>
        <w:topLinePunct w:val="0"/>
        <w:autoSpaceDE/>
        <w:autoSpaceDN/>
        <w:bidi w:val="0"/>
        <w:snapToGrid w:val="0"/>
        <w:spacing w:line="540" w:lineRule="exact"/>
        <w:ind w:left="0" w:firstLineChars="200" w:firstLine="640"/>
        <w:textAlignment w:val="auto"/>
        <w:rPr>
          <w:rFonts w:ascii="仿宋_GB2312" w:eastAsia="仿宋_GB2312" w:cs="仿宋_GB2312" w:hAnsi="仿宋_GB2312" w:hint="eastAsia"/>
          <w:b/>
          <w:bCs/>
          <w:sz w:val="32"/>
          <w:szCs w:val="32"/>
        </w:rPr>
      </w:pPr>
      <w:r>
        <w:rPr>
          <w:rFonts w:ascii="仿宋_GB2312" w:eastAsia="仿宋_GB2312" w:cs="仿宋_GB2312" w:hAnsi="仿宋_GB2312" w:hint="eastAsia"/>
          <w:b/>
          <w:bCs/>
          <w:sz w:val="32"/>
          <w:szCs w:val="32"/>
        </w:rPr>
        <w:t>机构</w:t>
      </w:r>
      <w:r>
        <w:rPr>
          <w:rFonts w:ascii="仿宋_GB2312" w:eastAsia="仿宋_GB2312" w:cs="仿宋_GB2312" w:hAnsi="仿宋_GB2312" w:hint="eastAsia"/>
          <w:b/>
          <w:bCs/>
          <w:sz w:val="32"/>
          <w:szCs w:val="32"/>
          <w:lang w:eastAsia="zh-CN"/>
        </w:rPr>
        <w:t>及人员</w:t>
      </w:r>
      <w:r>
        <w:rPr>
          <w:rFonts w:ascii="仿宋_GB2312" w:eastAsia="仿宋_GB2312" w:cs="仿宋_GB2312" w:hAnsi="仿宋_GB2312" w:hint="eastAsia"/>
          <w:b/>
          <w:bCs/>
          <w:sz w:val="32"/>
          <w:szCs w:val="32"/>
        </w:rPr>
        <w:t>情况</w:t>
      </w:r>
    </w:p>
    <w:p>
      <w:pPr>
        <w:spacing w:line="560" w:lineRule="exact"/>
        <w:ind w:firstLine="630"/>
        <w:rPr>
          <w:rFonts w:ascii="仿宋_GB2312" w:hAnsi="仿宋_GB2312" w:hint="eastAsia"/>
          <w:color w:val="auto"/>
          <w:sz w:val="32"/>
          <w:szCs w:val="32"/>
          <w:highlight w:val="auto"/>
        </w:rPr>
      </w:pPr>
      <w:r>
        <w:rPr>
          <w:rFonts w:ascii="仿宋_GB2312" w:eastAsia="仿宋_GB2312" w:cs="仿宋_GB2312" w:hint="eastAsia"/>
          <w:color w:val="auto"/>
          <w:sz w:val="32"/>
          <w:szCs w:val="32"/>
          <w:lang w:eastAsia="zh-CN" w:bidi="ar-SA"/>
        </w:rPr>
        <w:t>区农业农村</w:t>
      </w:r>
      <w:r>
        <w:rPr>
          <w:rFonts w:ascii="仿宋_GB2312" w:eastAsia="仿宋_GB2312" w:cs="仿宋_GB2312" w:hint="eastAsia"/>
          <w:color w:val="auto"/>
          <w:sz w:val="32"/>
          <w:szCs w:val="32"/>
          <w:lang w:bidi="ar-SA"/>
        </w:rPr>
        <w:t>局机关内设</w:t>
      </w:r>
      <w:r>
        <w:rPr>
          <w:rFonts w:ascii="仿宋_GB2312" w:eastAsia="仿宋_GB2312" w:cs="仿宋_GB2312" w:hint="eastAsia"/>
          <w:color w:val="auto"/>
          <w:sz w:val="32"/>
          <w:szCs w:val="32"/>
          <w:lang w:eastAsia="zh-CN" w:bidi="ar-SA"/>
        </w:rPr>
        <w:t>农业工作办公室</w:t>
      </w:r>
      <w:r>
        <w:rPr>
          <w:rFonts w:ascii="仿宋_GB2312" w:eastAsia="仿宋_GB2312" w:cs="仿宋_GB2312" w:hint="eastAsia"/>
          <w:color w:val="auto"/>
          <w:sz w:val="32"/>
          <w:szCs w:val="32"/>
          <w:lang w:bidi="ar-SA"/>
        </w:rPr>
        <w:t>等</w:t>
      </w:r>
      <w:r>
        <w:rPr>
          <w:rFonts w:ascii="仿宋_GB2312" w:eastAsia="仿宋_GB2312" w:cs="仿宋_GB2312" w:hint="eastAsia"/>
          <w:color w:val="auto"/>
          <w:sz w:val="32"/>
          <w:szCs w:val="32"/>
          <w:lang w:val="en-US" w:eastAsia="zh-CN" w:bidi="ar-SA"/>
        </w:rPr>
        <w:t>7</w:t>
      </w:r>
      <w:r>
        <w:rPr>
          <w:rFonts w:ascii="仿宋_GB2312" w:eastAsia="仿宋_GB2312" w:cs="仿宋_GB2312" w:hint="eastAsia"/>
          <w:color w:val="auto"/>
          <w:sz w:val="32"/>
          <w:szCs w:val="32"/>
          <w:lang w:bidi="ar-SA"/>
        </w:rPr>
        <w:t>个职能</w:t>
      </w:r>
      <w:r>
        <w:rPr>
          <w:rFonts w:ascii="仿宋_GB2312" w:eastAsia="仿宋_GB2312" w:cs="仿宋_GB2312" w:hint="eastAsia"/>
          <w:color w:val="auto"/>
          <w:sz w:val="32"/>
          <w:szCs w:val="32"/>
          <w:lang w:eastAsia="zh-CN" w:bidi="ar-SA"/>
        </w:rPr>
        <w:t>科</w:t>
      </w:r>
      <w:r>
        <w:rPr>
          <w:rFonts w:ascii="仿宋_GB2312" w:eastAsia="仿宋_GB2312" w:cs="仿宋_GB2312" w:hint="eastAsia"/>
          <w:color w:val="auto"/>
          <w:sz w:val="32"/>
          <w:szCs w:val="32"/>
          <w:lang w:bidi="ar-SA"/>
        </w:rPr>
        <w:t>室，</w:t>
      </w:r>
      <w:r>
        <w:rPr>
          <w:rFonts w:ascii="仿宋_GB2312" w:eastAsia="仿宋_GB2312" w:cs="仿宋_GB2312" w:hint="eastAsia"/>
          <w:b w:val="0"/>
          <w:bCs w:val="0"/>
          <w:color w:val="auto"/>
          <w:sz w:val="32"/>
          <w:szCs w:val="32"/>
          <w:lang w:eastAsia="zh-CN" w:bidi="ar-SA"/>
        </w:rPr>
        <w:t>行政</w:t>
      </w:r>
      <w:r>
        <w:rPr>
          <w:rFonts w:ascii="仿宋_GB2312" w:eastAsia="仿宋_GB2312" w:cs="仿宋_GB2312" w:hint="eastAsia"/>
          <w:b w:val="0"/>
          <w:bCs w:val="0"/>
          <w:color w:val="auto"/>
          <w:sz w:val="32"/>
          <w:szCs w:val="32"/>
          <w:lang w:bidi="ar-SA"/>
        </w:rPr>
        <w:t>编制</w:t>
      </w:r>
      <w:r>
        <w:rPr>
          <w:rFonts w:ascii="仿宋_GB2312" w:eastAsia="仿宋_GB2312" w:cs="仿宋_GB2312" w:hint="eastAsia"/>
          <w:b w:val="0"/>
          <w:bCs w:val="0"/>
          <w:color w:val="auto"/>
          <w:sz w:val="32"/>
          <w:szCs w:val="32"/>
          <w:lang w:val="en-US" w:eastAsia="zh-CN" w:bidi="ar-SA"/>
        </w:rPr>
        <w:t>8</w:t>
      </w:r>
      <w:r>
        <w:rPr>
          <w:rFonts w:ascii="仿宋_GB2312" w:eastAsia="仿宋_GB2312" w:cs="仿宋_GB2312" w:hint="eastAsia"/>
          <w:b w:val="0"/>
          <w:bCs w:val="0"/>
          <w:color w:val="auto"/>
          <w:sz w:val="32"/>
          <w:szCs w:val="32"/>
          <w:lang w:bidi="ar-SA"/>
        </w:rPr>
        <w:t>人，</w:t>
      </w:r>
      <w:r>
        <w:rPr>
          <w:rFonts w:ascii="仿宋_GB2312" w:eastAsia="仿宋_GB2312" w:cs="仿宋_GB2312" w:hint="eastAsia"/>
          <w:b w:val="0"/>
          <w:bCs w:val="0"/>
          <w:color w:val="auto"/>
          <w:sz w:val="32"/>
          <w:szCs w:val="32"/>
          <w:lang w:eastAsia="zh-CN" w:bidi="ar-SA"/>
        </w:rPr>
        <w:t>事业编制</w:t>
      </w:r>
      <w:r>
        <w:rPr>
          <w:rFonts w:ascii="仿宋_GB2312" w:eastAsia="仿宋_GB2312" w:cs="仿宋_GB2312" w:hint="eastAsia"/>
          <w:b w:val="0"/>
          <w:bCs w:val="0"/>
          <w:color w:val="auto"/>
          <w:sz w:val="32"/>
          <w:szCs w:val="32"/>
          <w:lang w:val="en-US" w:eastAsia="zh-CN" w:bidi="ar-SA"/>
        </w:rPr>
        <w:t>41人，</w:t>
      </w:r>
      <w:r>
        <w:rPr>
          <w:rFonts w:ascii="仿宋_GB2312" w:eastAsia="仿宋_GB2312" w:cs="仿宋_GB2312" w:hint="eastAsia"/>
          <w:color w:val="auto"/>
          <w:sz w:val="32"/>
          <w:szCs w:val="32"/>
          <w:lang w:bidi="ar-SA"/>
        </w:rPr>
        <w:t>202</w:t>
      </w:r>
      <w:r>
        <w:rPr>
          <w:rFonts w:ascii="仿宋_GB2312" w:eastAsia="仿宋_GB2312" w:cs="仿宋_GB2312" w:hint="eastAsia"/>
          <w:color w:val="auto"/>
          <w:sz w:val="32"/>
          <w:szCs w:val="32"/>
          <w:lang w:val="en-US" w:eastAsia="zh-CN" w:bidi="ar-SA"/>
        </w:rPr>
        <w:t>5</w:t>
      </w:r>
      <w:r>
        <w:rPr>
          <w:rFonts w:ascii="仿宋_GB2312" w:eastAsia="仿宋_GB2312" w:cs="仿宋_GB2312" w:hint="eastAsia"/>
          <w:color w:val="auto"/>
          <w:sz w:val="32"/>
          <w:szCs w:val="32"/>
          <w:lang w:bidi="ar-SA"/>
        </w:rPr>
        <w:t>年末实有</w:t>
      </w:r>
      <w:r>
        <w:rPr>
          <w:rFonts w:ascii="仿宋_GB2312" w:eastAsia="仿宋_GB2312" w:cs="仿宋_GB2312" w:hint="eastAsia"/>
          <w:color w:val="auto"/>
          <w:sz w:val="32"/>
          <w:szCs w:val="32"/>
          <w:lang w:val="en-US" w:eastAsia="zh-CN" w:bidi="ar-SA"/>
        </w:rPr>
        <w:t>37</w:t>
      </w:r>
      <w:r>
        <w:rPr>
          <w:rFonts w:ascii="仿宋_GB2312" w:eastAsia="仿宋_GB2312" w:cs="仿宋_GB2312" w:hint="eastAsia"/>
          <w:color w:val="auto"/>
          <w:sz w:val="32"/>
          <w:szCs w:val="32"/>
          <w:lang w:bidi="ar-SA"/>
        </w:rPr>
        <w:t>人</w:t>
      </w:r>
      <w:r>
        <w:rPr>
          <w:rFonts w:ascii="仿宋_GB2312" w:eastAsia="仿宋_GB2312" w:cs="仿宋_GB2312" w:hint="eastAsia"/>
          <w:color w:val="auto"/>
          <w:sz w:val="32"/>
          <w:szCs w:val="32"/>
          <w:lang w:eastAsia="zh-CN" w:bidi="ar-SA"/>
        </w:rPr>
        <w:t>（行政</w:t>
      </w:r>
      <w:r>
        <w:rPr>
          <w:rFonts w:ascii="仿宋_GB2312" w:eastAsia="仿宋_GB2312" w:cs="仿宋_GB2312" w:hint="eastAsia"/>
          <w:color w:val="auto"/>
          <w:sz w:val="32"/>
          <w:szCs w:val="32"/>
          <w:lang w:val="en-US" w:eastAsia="zh-CN" w:bidi="ar-SA"/>
        </w:rPr>
        <w:t>6人、事业31人</w:t>
      </w:r>
      <w:r>
        <w:rPr>
          <w:rFonts w:ascii="仿宋_GB2312" w:eastAsia="仿宋_GB2312" w:cs="仿宋_GB2312" w:hint="eastAsia"/>
          <w:color w:val="auto"/>
          <w:sz w:val="32"/>
          <w:szCs w:val="32"/>
          <w:lang w:eastAsia="zh-CN" w:bidi="ar-SA"/>
        </w:rPr>
        <w:t>），其中</w:t>
      </w:r>
      <w:r>
        <w:rPr>
          <w:rFonts w:ascii="仿宋_GB2312" w:eastAsia="仿宋_GB2312" w:cs="仿宋_GB2312" w:hint="eastAsia"/>
          <w:color w:val="auto"/>
          <w:sz w:val="32"/>
          <w:szCs w:val="32"/>
          <w:lang w:bidi="ar-SA"/>
        </w:rPr>
        <w:t>下属</w:t>
      </w:r>
      <w:r>
        <w:rPr>
          <w:rFonts w:ascii="仿宋_GB2312" w:eastAsia="仿宋_GB2312" w:cs="仿宋_GB2312" w:hint="eastAsia"/>
          <w:color w:val="auto"/>
          <w:sz w:val="32"/>
          <w:szCs w:val="32"/>
          <w:lang w:val="en-US" w:eastAsia="zh-CN" w:bidi="ar-SA"/>
        </w:rPr>
        <w:t>1</w:t>
      </w:r>
      <w:r>
        <w:rPr>
          <w:rFonts w:ascii="仿宋_GB2312" w:eastAsia="仿宋_GB2312" w:cs="仿宋_GB2312" w:hint="eastAsia"/>
          <w:color w:val="auto"/>
          <w:sz w:val="32"/>
          <w:szCs w:val="32"/>
          <w:lang w:bidi="ar-SA"/>
        </w:rPr>
        <w:t>个二级预算单位</w:t>
      </w:r>
      <w:r>
        <w:rPr>
          <w:rFonts w:ascii="仿宋_GB2312" w:eastAsia="仿宋_GB2312" w:cs="仿宋_GB2312" w:hint="eastAsia"/>
          <w:color w:val="auto"/>
          <w:sz w:val="32"/>
          <w:szCs w:val="32"/>
          <w:lang w:eastAsia="zh-CN" w:bidi="ar-SA"/>
        </w:rPr>
        <w:t>区水土保持监督站</w:t>
      </w:r>
      <w:r>
        <w:rPr>
          <w:rFonts w:ascii="仿宋_GB2312" w:eastAsia="仿宋_GB2312" w:cs="仿宋_GB2312" w:hint="eastAsia"/>
          <w:color w:val="auto"/>
          <w:sz w:val="32"/>
          <w:szCs w:val="32"/>
          <w:lang w:bidi="ar-SA"/>
        </w:rPr>
        <w:t>，</w:t>
      </w:r>
      <w:r>
        <w:rPr>
          <w:rFonts w:ascii="仿宋_GB2312" w:eastAsia="仿宋_GB2312" w:cs="仿宋_GB2312" w:hint="eastAsia"/>
          <w:color w:val="auto"/>
          <w:sz w:val="32"/>
          <w:szCs w:val="32"/>
          <w:lang w:eastAsia="zh-CN" w:bidi="ar-SA"/>
        </w:rPr>
        <w:t>单位性质为自收自支事业单位，经费来源为财政全额拨款，</w:t>
      </w:r>
      <w:r>
        <w:rPr>
          <w:rFonts w:ascii="仿宋_GB2312" w:eastAsia="仿宋_GB2312" w:cs="仿宋_GB2312" w:hint="eastAsia"/>
          <w:color w:val="auto"/>
          <w:sz w:val="32"/>
          <w:szCs w:val="32"/>
          <w:lang w:bidi="ar-SA"/>
        </w:rPr>
        <w:t>编制共计</w:t>
      </w:r>
      <w:r>
        <w:rPr>
          <w:rFonts w:ascii="仿宋_GB2312" w:eastAsia="仿宋_GB2312" w:cs="仿宋_GB2312" w:hint="eastAsia"/>
          <w:color w:val="auto"/>
          <w:sz w:val="32"/>
          <w:szCs w:val="32"/>
          <w:lang w:val="en-US" w:eastAsia="zh-CN" w:bidi="ar-SA"/>
        </w:rPr>
        <w:t>6</w:t>
      </w:r>
      <w:r>
        <w:rPr>
          <w:rFonts w:ascii="仿宋_GB2312" w:eastAsia="仿宋_GB2312" w:cs="仿宋_GB2312" w:hint="eastAsia"/>
          <w:color w:val="auto"/>
          <w:sz w:val="32"/>
          <w:szCs w:val="32"/>
          <w:lang w:bidi="ar-SA"/>
        </w:rPr>
        <w:t>人，202</w:t>
      </w:r>
      <w:r>
        <w:rPr>
          <w:rFonts w:ascii="仿宋_GB2312" w:eastAsia="仿宋_GB2312" w:cs="仿宋_GB2312" w:hint="eastAsia"/>
          <w:color w:val="auto"/>
          <w:sz w:val="32"/>
          <w:szCs w:val="32"/>
          <w:lang w:val="en-US" w:eastAsia="zh-CN" w:bidi="ar-SA"/>
        </w:rPr>
        <w:t>5</w:t>
      </w:r>
      <w:r>
        <w:rPr>
          <w:rFonts w:ascii="仿宋_GB2312" w:eastAsia="仿宋_GB2312" w:cs="仿宋_GB2312" w:hint="eastAsia"/>
          <w:color w:val="auto"/>
          <w:sz w:val="32"/>
          <w:szCs w:val="32"/>
          <w:lang w:bidi="ar-SA"/>
        </w:rPr>
        <w:t>年末实有</w:t>
      </w:r>
      <w:r>
        <w:rPr>
          <w:rFonts w:ascii="仿宋_GB2312" w:eastAsia="仿宋_GB2312" w:cs="仿宋_GB2312" w:hint="eastAsia"/>
          <w:color w:val="auto"/>
          <w:sz w:val="32"/>
          <w:szCs w:val="32"/>
          <w:lang w:val="en-US" w:eastAsia="zh-CN" w:bidi="ar-SA"/>
        </w:rPr>
        <w:t>5</w:t>
      </w:r>
      <w:r>
        <w:rPr>
          <w:rFonts w:ascii="仿宋_GB2312" w:eastAsia="仿宋_GB2312" w:cs="仿宋_GB2312" w:hint="eastAsia"/>
          <w:color w:val="auto"/>
          <w:sz w:val="32"/>
          <w:szCs w:val="32"/>
          <w:lang w:bidi="ar-SA"/>
        </w:rPr>
        <w:t>人。</w:t>
      </w:r>
    </w:p>
    <w:p>
      <w:pPr>
        <w:keepNext w:val="0"/>
        <w:keepLines w:val="0"/>
        <w:pageBreakBefore w:val="0"/>
        <w:widowControl w:val="0"/>
        <w:kinsoku/>
        <w:wordWrap/>
        <w:overflowPunct/>
        <w:topLinePunct w:val="0"/>
        <w:autoSpaceDE/>
        <w:autoSpaceDN/>
        <w:bidi w:val="0"/>
        <w:adjustRightInd/>
        <w:snapToGrid w:val="0"/>
        <w:spacing w:line="540" w:lineRule="exact"/>
        <w:ind w:left="0" w:firstLineChars="200" w:firstLine="640"/>
        <w:textAlignment w:val="auto"/>
        <w:outlineLvl w:val="9"/>
        <w:rPr>
          <w:rFonts w:ascii="仿宋_GB2312" w:eastAsia="仿宋_GB2312" w:cs="仿宋_GB2312" w:hAnsi="仿宋_GB2312" w:hint="eastAsia"/>
          <w:b/>
          <w:bCs/>
          <w:sz w:val="32"/>
          <w:szCs w:val="32"/>
        </w:rPr>
      </w:pPr>
      <w:r>
        <w:rPr>
          <w:rFonts w:ascii="仿宋_GB2312" w:eastAsia="仿宋_GB2312" w:cs="仿宋_GB2312" w:hAnsi="仿宋_GB2312" w:hint="eastAsia"/>
          <w:b/>
          <w:bCs/>
          <w:sz w:val="32"/>
          <w:szCs w:val="32"/>
          <w:lang w:val="en-US" w:eastAsia="zh-CN"/>
        </w:rPr>
        <w:t>3、</w:t>
      </w:r>
      <w:r>
        <w:rPr>
          <w:rFonts w:ascii="仿宋_GB2312" w:eastAsia="仿宋_GB2312" w:cs="仿宋_GB2312" w:hAnsi="仿宋_GB2312" w:hint="eastAsia"/>
          <w:b/>
          <w:bCs/>
          <w:sz w:val="32"/>
          <w:szCs w:val="32"/>
        </w:rPr>
        <w:t>资产情况</w:t>
      </w:r>
    </w:p>
    <w:p>
      <w:pPr>
        <w:spacing w:line="560" w:lineRule="exact"/>
        <w:ind w:firstLineChars="200" w:firstLine="640"/>
        <w:jc w:val="left"/>
        <w:rPr>
          <w:rFonts w:ascii="仿宋_GB2312" w:eastAsia="仿宋_GB2312" w:cs="仿宋_GB2312" w:hint="eastAsia"/>
          <w:sz w:val="32"/>
          <w:szCs w:val="32"/>
          <w:lang w:bidi="ar-SA"/>
        </w:rPr>
      </w:pPr>
      <w:r>
        <w:rPr>
          <w:rFonts w:ascii="仿宋_GB2312" w:eastAsia="仿宋_GB2312" w:cs="仿宋_GB2312" w:hint="eastAsia"/>
          <w:sz w:val="32"/>
          <w:szCs w:val="32"/>
          <w:lang w:bidi="ar-SA"/>
        </w:rPr>
        <w:t>202</w:t>
      </w:r>
      <w:r>
        <w:rPr>
          <w:rFonts w:ascii="仿宋_GB2312" w:eastAsia="仿宋_GB2312" w:cs="仿宋_GB2312" w:hint="eastAsia"/>
          <w:sz w:val="32"/>
          <w:szCs w:val="32"/>
          <w:lang w:val="en-US" w:eastAsia="zh-CN" w:bidi="ar-SA"/>
        </w:rPr>
        <w:t>5</w:t>
      </w:r>
      <w:r>
        <w:rPr>
          <w:rFonts w:ascii="仿宋_GB2312" w:eastAsia="仿宋_GB2312" w:cs="仿宋_GB2312" w:hint="eastAsia"/>
          <w:sz w:val="32"/>
          <w:szCs w:val="32"/>
          <w:lang w:bidi="ar-SA"/>
        </w:rPr>
        <w:t>年底，</w:t>
      </w:r>
      <w:r>
        <w:rPr>
          <w:rFonts w:ascii="仿宋_GB2312" w:eastAsia="仿宋_GB2312" w:cs="仿宋_GB2312" w:hint="eastAsia"/>
          <w:sz w:val="32"/>
          <w:szCs w:val="32"/>
          <w:lang w:eastAsia="zh-CN" w:bidi="ar-SA"/>
        </w:rPr>
        <w:t>区农业农村</w:t>
      </w:r>
      <w:r>
        <w:rPr>
          <w:rFonts w:ascii="仿宋_GB2312" w:eastAsia="仿宋_GB2312" w:cs="仿宋_GB2312" w:hint="eastAsia"/>
          <w:sz w:val="32"/>
          <w:szCs w:val="32"/>
          <w:lang w:bidi="ar-SA"/>
        </w:rPr>
        <w:t>局部门资产合计</w:t>
      </w:r>
      <w:r>
        <w:rPr>
          <w:rFonts w:ascii="仿宋_GB2312" w:eastAsia="仿宋_GB2312" w:hint="eastAsia"/>
          <w:color w:val="auto"/>
          <w:sz w:val="32"/>
          <w:szCs w:val="32"/>
          <w:lang w:val="en-US" w:eastAsia="zh-CN"/>
        </w:rPr>
        <w:t>295.88</w:t>
      </w:r>
      <w:r>
        <w:rPr>
          <w:rFonts w:ascii="仿宋_GB2312" w:eastAsia="仿宋_GB2312" w:cs="仿宋_GB2312" w:hint="eastAsia"/>
          <w:color w:val="auto"/>
          <w:sz w:val="32"/>
          <w:szCs w:val="32"/>
          <w:lang w:bidi="ar-SA"/>
        </w:rPr>
        <w:t>万</w:t>
      </w:r>
      <w:r>
        <w:rPr>
          <w:rFonts w:ascii="仿宋_GB2312" w:eastAsia="仿宋_GB2312" w:cs="仿宋_GB2312" w:hint="eastAsia"/>
          <w:sz w:val="32"/>
          <w:szCs w:val="32"/>
          <w:lang w:bidi="ar-SA"/>
        </w:rPr>
        <w:t>元，其中流动资产</w:t>
      </w:r>
      <w:r>
        <w:rPr>
          <w:rFonts w:ascii="仿宋_GB2312" w:eastAsia="仿宋_GB2312" w:hint="eastAsia"/>
          <w:color w:val="auto"/>
          <w:sz w:val="32"/>
          <w:szCs w:val="32"/>
          <w:lang w:val="en-US" w:eastAsia="zh-CN"/>
        </w:rPr>
        <w:t>34.22</w:t>
      </w:r>
      <w:r>
        <w:rPr>
          <w:rFonts w:ascii="仿宋_GB2312" w:eastAsia="仿宋_GB2312" w:cs="仿宋_GB2312" w:hint="eastAsia"/>
          <w:sz w:val="32"/>
          <w:szCs w:val="32"/>
          <w:lang w:bidi="ar-SA"/>
        </w:rPr>
        <w:t>万元、非流动资产</w:t>
      </w:r>
      <w:r>
        <w:rPr>
          <w:rFonts w:ascii="仿宋_GB2312" w:eastAsia="仿宋_GB2312" w:hint="eastAsia"/>
          <w:color w:val="auto"/>
          <w:sz w:val="32"/>
          <w:szCs w:val="32"/>
          <w:lang w:val="en-US" w:eastAsia="zh-CN"/>
        </w:rPr>
        <w:t>261.66</w:t>
      </w:r>
      <w:r>
        <w:rPr>
          <w:rFonts w:ascii="仿宋_GB2312" w:eastAsia="仿宋_GB2312" w:cs="仿宋_GB2312" w:hint="eastAsia"/>
          <w:sz w:val="32"/>
          <w:szCs w:val="32"/>
          <w:lang w:bidi="ar-SA"/>
        </w:rPr>
        <w:t>万元;负债合计</w:t>
      </w:r>
      <w:r>
        <w:rPr>
          <w:rFonts w:ascii="仿宋_GB2312" w:eastAsia="仿宋_GB2312" w:hint="eastAsia"/>
          <w:color w:val="auto"/>
          <w:sz w:val="32"/>
          <w:szCs w:val="32"/>
          <w:lang w:val="en-US" w:eastAsia="zh-CN"/>
        </w:rPr>
        <w:t>23.84</w:t>
      </w:r>
      <w:r>
        <w:rPr>
          <w:rFonts w:ascii="仿宋_GB2312" w:eastAsia="仿宋_GB2312" w:cs="仿宋_GB2312" w:hint="eastAsia"/>
          <w:sz w:val="32"/>
          <w:szCs w:val="32"/>
          <w:lang w:bidi="ar-SA"/>
        </w:rPr>
        <w:t>万元，其中:流动负债</w:t>
      </w:r>
      <w:r>
        <w:rPr>
          <w:rFonts w:ascii="仿宋_GB2312" w:eastAsia="仿宋_GB2312" w:hint="eastAsia"/>
          <w:color w:val="auto"/>
          <w:sz w:val="32"/>
          <w:szCs w:val="32"/>
          <w:lang w:val="en-US" w:eastAsia="zh-CN"/>
        </w:rPr>
        <w:t>23.84</w:t>
      </w:r>
      <w:r>
        <w:rPr>
          <w:rFonts w:ascii="仿宋_GB2312" w:eastAsia="仿宋_GB2312" w:cs="仿宋_GB2312" w:hint="eastAsia"/>
          <w:sz w:val="32"/>
          <w:szCs w:val="32"/>
          <w:lang w:bidi="ar-SA"/>
        </w:rPr>
        <w:t>万元;净资产合计</w:t>
      </w:r>
      <w:r>
        <w:rPr>
          <w:rFonts w:ascii="仿宋_GB2312" w:eastAsia="仿宋_GB2312" w:cs="仿宋_GB2312" w:hint="eastAsia"/>
          <w:sz w:val="32"/>
          <w:szCs w:val="32"/>
          <w:lang w:val="en-US" w:eastAsia="zh-CN" w:bidi="ar-SA"/>
        </w:rPr>
        <w:t>272.04</w:t>
      </w:r>
      <w:r>
        <w:rPr>
          <w:rFonts w:ascii="仿宋_GB2312" w:eastAsia="仿宋_GB2312" w:cs="仿宋_GB2312" w:hint="eastAsia"/>
          <w:sz w:val="32"/>
          <w:szCs w:val="32"/>
          <w:lang w:bidi="ar-SA"/>
        </w:rPr>
        <w:t>万元,其中:累计盈余</w:t>
      </w:r>
      <w:r>
        <w:rPr>
          <w:rFonts w:ascii="仿宋_GB2312" w:eastAsia="仿宋_GB2312" w:cs="仿宋_GB2312" w:hint="eastAsia"/>
          <w:sz w:val="32"/>
          <w:szCs w:val="32"/>
          <w:lang w:val="en-US" w:eastAsia="zh-CN" w:bidi="ar-SA"/>
        </w:rPr>
        <w:t>272.04</w:t>
      </w:r>
      <w:r>
        <w:rPr>
          <w:rFonts w:ascii="仿宋_GB2312" w:eastAsia="仿宋_GB2312" w:cs="仿宋_GB2312" w:hint="eastAsia"/>
          <w:sz w:val="32"/>
          <w:szCs w:val="32"/>
          <w:lang w:bidi="ar-SA"/>
        </w:rPr>
        <w:t>万元、专用基金</w:t>
      </w:r>
      <w:r>
        <w:rPr>
          <w:rFonts w:ascii="仿宋_GB2312" w:eastAsia="仿宋_GB2312" w:cs="仿宋_GB2312" w:hint="eastAsia"/>
          <w:sz w:val="32"/>
          <w:szCs w:val="32"/>
          <w:lang w:val="en-US" w:eastAsia="zh-CN" w:bidi="ar-SA"/>
        </w:rPr>
        <w:t>0</w:t>
      </w:r>
      <w:r>
        <w:rPr>
          <w:rFonts w:ascii="仿宋_GB2312" w:eastAsia="仿宋_GB2312" w:cs="仿宋_GB2312" w:hint="eastAsia"/>
          <w:sz w:val="32"/>
          <w:szCs w:val="32"/>
          <w:lang w:bidi="ar-SA"/>
        </w:rPr>
        <w:t>万元。</w:t>
      </w:r>
    </w:p>
    <w:p>
      <w:pPr>
        <w:numPr>
          <w:ilvl w:val="0"/>
          <w:numId w:val="2"/>
        </w:numPr>
        <w:adjustRightInd w:val="0"/>
        <w:snapToGrid w:val="0"/>
        <w:spacing w:line="560" w:lineRule="exact"/>
        <w:ind w:left="0" w:firstLineChars="200" w:firstLine="640"/>
        <w:rPr>
          <w:rFonts w:ascii="楷体" w:eastAsia="楷体" w:cs="楷体_GB2312" w:hAnsi="楷体" w:hint="eastAsia"/>
          <w:b/>
          <w:bCs w:val="0"/>
          <w:sz w:val="32"/>
          <w:szCs w:val="32"/>
        </w:rPr>
      </w:pPr>
      <w:r>
        <w:rPr>
          <w:rFonts w:ascii="楷体" w:eastAsia="楷体" w:cs="楷体_GB2312" w:hAnsi="楷体" w:hint="eastAsia"/>
          <w:b/>
          <w:bCs w:val="0"/>
          <w:sz w:val="32"/>
          <w:szCs w:val="32"/>
        </w:rPr>
        <w:t>部门收支预决算情况</w:t>
      </w:r>
    </w:p>
    <w:p>
      <w:pPr>
        <w:spacing w:line="560" w:lineRule="exact"/>
        <w:ind w:firstLineChars="200" w:firstLine="640"/>
        <w:rPr>
          <w:rFonts w:ascii="仿宋_GB2312" w:eastAsia="仿宋_GB2312" w:cs="仿宋_GB2312" w:hint="eastAsia"/>
          <w:color w:val="auto"/>
          <w:sz w:val="32"/>
          <w:szCs w:val="32"/>
          <w:lang w:bidi="ar-SA"/>
        </w:rPr>
      </w:pPr>
      <w:r>
        <w:rPr>
          <w:rFonts w:ascii="仿宋_GB2312" w:eastAsia="仿宋_GB2312" w:cs="仿宋_GB2312" w:hint="eastAsia"/>
          <w:color w:val="auto"/>
          <w:sz w:val="32"/>
          <w:szCs w:val="32"/>
          <w:lang w:eastAsia="zh-CN" w:bidi="ar-SA"/>
        </w:rPr>
        <w:t>区农业农村</w:t>
      </w:r>
      <w:r>
        <w:rPr>
          <w:rFonts w:ascii="仿宋_GB2312" w:eastAsia="仿宋_GB2312" w:cs="仿宋_GB2312" w:hint="eastAsia"/>
          <w:color w:val="auto"/>
          <w:sz w:val="32"/>
          <w:szCs w:val="32"/>
          <w:lang w:bidi="ar-SA"/>
        </w:rPr>
        <w:t>局部门（汇总）预算执行情况。</w:t>
      </w:r>
      <w:r>
        <w:rPr>
          <w:rFonts w:ascii="仿宋_GB2312" w:eastAsia="仿宋_GB2312" w:cs="仿宋_GB2312" w:hint="eastAsia"/>
          <w:color w:val="auto"/>
          <w:sz w:val="32"/>
          <w:szCs w:val="32"/>
          <w:lang w:eastAsia="zh-CN" w:bidi="ar-SA"/>
        </w:rPr>
        <w:t>区农业农村</w:t>
      </w:r>
      <w:r>
        <w:rPr>
          <w:rFonts w:ascii="仿宋_GB2312" w:eastAsia="仿宋_GB2312" w:cs="仿宋_GB2312" w:hint="eastAsia"/>
          <w:color w:val="auto"/>
          <w:sz w:val="32"/>
          <w:szCs w:val="32"/>
          <w:lang w:bidi="ar-SA"/>
        </w:rPr>
        <w:t>局部门（汇总）年初收入预算</w:t>
      </w:r>
      <w:r>
        <w:rPr>
          <w:rFonts w:ascii="仿宋_GB2312" w:eastAsia="仿宋_GB2312" w:hint="eastAsia"/>
          <w:color w:val="auto"/>
          <w:sz w:val="32"/>
          <w:szCs w:val="32"/>
          <w:lang w:val="en-US" w:eastAsia="zh-CN"/>
        </w:rPr>
        <w:t>3153.49</w:t>
      </w:r>
      <w:r>
        <w:rPr>
          <w:rFonts w:ascii="仿宋_GB2312" w:eastAsia="仿宋_GB2312" w:cs="仿宋_GB2312" w:hint="eastAsia"/>
          <w:color w:val="auto"/>
          <w:sz w:val="32"/>
          <w:szCs w:val="32"/>
          <w:lang w:bidi="ar-SA"/>
        </w:rPr>
        <w:t>万元，其中：一般公共预算拨款收入</w:t>
      </w:r>
      <w:r>
        <w:rPr>
          <w:rFonts w:ascii="仿宋_GB2312" w:eastAsia="仿宋_GB2312" w:hint="eastAsia"/>
          <w:color w:val="auto"/>
          <w:sz w:val="32"/>
          <w:szCs w:val="32"/>
          <w:lang w:val="en-US" w:eastAsia="zh-CN"/>
        </w:rPr>
        <w:t>2467.15</w:t>
      </w:r>
      <w:r>
        <w:rPr>
          <w:rFonts w:ascii="仿宋_GB2312" w:eastAsia="仿宋_GB2312" w:cs="仿宋_GB2312" w:hint="eastAsia"/>
          <w:color w:val="auto"/>
          <w:sz w:val="32"/>
          <w:szCs w:val="32"/>
          <w:lang w:bidi="ar-SA"/>
        </w:rPr>
        <w:t>万元、</w:t>
      </w:r>
      <w:r>
        <w:rPr>
          <w:rFonts w:ascii="仿宋_GB2312" w:eastAsia="仿宋_GB2312" w:cs="仿宋_GB2312" w:hint="eastAsia"/>
          <w:color w:val="auto"/>
          <w:sz w:val="32"/>
          <w:szCs w:val="32"/>
          <w:lang w:eastAsia="zh-CN" w:bidi="ar-SA"/>
        </w:rPr>
        <w:t>政府性基金预算财政拨款</w:t>
      </w:r>
      <w:r>
        <w:rPr>
          <w:rFonts w:ascii="仿宋_GB2312" w:eastAsia="仿宋_GB2312" w:cs="仿宋_GB2312" w:hint="eastAsia"/>
          <w:color w:val="auto"/>
          <w:sz w:val="32"/>
          <w:szCs w:val="32"/>
          <w:lang w:bidi="ar-SA"/>
        </w:rPr>
        <w:t>收入</w:t>
      </w:r>
      <w:r>
        <w:rPr>
          <w:rFonts w:ascii="仿宋_GB2312" w:eastAsia="仿宋_GB2312" w:cs="仿宋_GB2312" w:hint="eastAsia"/>
          <w:color w:val="auto"/>
          <w:sz w:val="32"/>
          <w:szCs w:val="32"/>
          <w:lang w:val="en-US" w:eastAsia="zh-CN" w:bidi="ar-SA"/>
        </w:rPr>
        <w:t>686.34</w:t>
      </w:r>
      <w:r>
        <w:rPr>
          <w:rFonts w:ascii="仿宋_GB2312" w:eastAsia="仿宋_GB2312" w:cs="仿宋_GB2312" w:hint="eastAsia"/>
          <w:color w:val="auto"/>
          <w:sz w:val="32"/>
          <w:szCs w:val="32"/>
          <w:lang w:bidi="ar-SA"/>
        </w:rPr>
        <w:t>万元；年终收入预算调整为</w:t>
      </w:r>
      <w:r>
        <w:rPr>
          <w:rFonts w:ascii="仿宋_GB2312" w:eastAsia="仿宋_GB2312" w:cs="DengXian-Regular" w:hint="eastAsia"/>
          <w:color w:val="auto"/>
          <w:sz w:val="32"/>
          <w:szCs w:val="32"/>
          <w:lang w:val="en-US" w:eastAsia="zh-CN" w:bidi="ar-SA"/>
        </w:rPr>
        <w:t>2103.81</w:t>
      </w:r>
      <w:r>
        <w:rPr>
          <w:rFonts w:ascii="仿宋_GB2312" w:eastAsia="仿宋_GB2312" w:cs="仿宋_GB2312" w:hint="eastAsia"/>
          <w:color w:val="auto"/>
          <w:sz w:val="32"/>
          <w:szCs w:val="32"/>
          <w:lang w:bidi="ar-SA"/>
        </w:rPr>
        <w:t>万元，其中：一般公共预算拨款收入</w:t>
      </w:r>
      <w:r>
        <w:rPr>
          <w:rFonts w:ascii="仿宋_GB2312" w:eastAsia="仿宋_GB2312" w:cs="DengXian-Regular" w:hint="eastAsia"/>
          <w:color w:val="auto"/>
          <w:sz w:val="32"/>
          <w:szCs w:val="32"/>
          <w:lang w:val="en-US" w:eastAsia="zh-CN" w:bidi="ar-SA"/>
        </w:rPr>
        <w:t>1678.90</w:t>
      </w:r>
      <w:r>
        <w:rPr>
          <w:rFonts w:ascii="仿宋_GB2312" w:eastAsia="仿宋_GB2312" w:cs="仿宋_GB2312" w:hint="eastAsia"/>
          <w:color w:val="auto"/>
          <w:sz w:val="32"/>
          <w:szCs w:val="32"/>
          <w:lang w:bidi="ar-SA"/>
        </w:rPr>
        <w:t>万元、</w:t>
      </w:r>
      <w:r>
        <w:rPr>
          <w:rFonts w:ascii="仿宋_GB2312" w:eastAsia="仿宋_GB2312" w:cs="仿宋_GB2312" w:hint="eastAsia"/>
          <w:color w:val="auto"/>
          <w:sz w:val="32"/>
          <w:szCs w:val="32"/>
          <w:lang w:eastAsia="zh-CN" w:bidi="ar-SA"/>
        </w:rPr>
        <w:t>政府性基金预算财政拨款</w:t>
      </w:r>
      <w:r>
        <w:rPr>
          <w:rFonts w:ascii="仿宋_GB2312" w:eastAsia="仿宋_GB2312" w:cs="仿宋_GB2312" w:hint="eastAsia"/>
          <w:color w:val="auto"/>
          <w:sz w:val="32"/>
          <w:szCs w:val="32"/>
          <w:lang w:bidi="ar-SA"/>
        </w:rPr>
        <w:t>收入</w:t>
      </w:r>
      <w:r>
        <w:rPr>
          <w:rFonts w:ascii="仿宋_GB2312" w:eastAsia="仿宋_GB2312" w:cs="DengXian-Regular" w:hint="eastAsia"/>
          <w:color w:val="auto"/>
          <w:sz w:val="32"/>
          <w:szCs w:val="32"/>
          <w:lang w:val="en-US" w:eastAsia="zh-CN" w:bidi="ar-SA"/>
        </w:rPr>
        <w:t>424.91</w:t>
      </w:r>
      <w:r>
        <w:rPr>
          <w:rFonts w:ascii="仿宋_GB2312" w:eastAsia="仿宋_GB2312" w:cs="仿宋_GB2312" w:hint="eastAsia"/>
          <w:color w:val="auto"/>
          <w:sz w:val="32"/>
          <w:szCs w:val="32"/>
          <w:lang w:bidi="ar-SA"/>
        </w:rPr>
        <w:t>万元。年初支出预算</w:t>
      </w:r>
      <w:r>
        <w:rPr>
          <w:rFonts w:ascii="仿宋_GB2312" w:eastAsia="仿宋_GB2312" w:hint="eastAsia"/>
          <w:color w:val="auto"/>
          <w:sz w:val="32"/>
          <w:szCs w:val="32"/>
          <w:lang w:val="en-US" w:eastAsia="zh-CN"/>
        </w:rPr>
        <w:t>3153.49</w:t>
      </w:r>
      <w:r>
        <w:rPr>
          <w:rFonts w:ascii="仿宋_GB2312" w:eastAsia="仿宋_GB2312" w:cs="仿宋_GB2312" w:hint="eastAsia"/>
          <w:color w:val="auto"/>
          <w:sz w:val="32"/>
          <w:szCs w:val="32"/>
          <w:lang w:bidi="ar-SA"/>
        </w:rPr>
        <w:t>万元，其中：基本支出</w:t>
      </w:r>
      <w:r>
        <w:rPr>
          <w:rFonts w:ascii="仿宋_GB2312" w:eastAsia="仿宋_GB2312" w:cs="仿宋_GB2312" w:hint="eastAsia"/>
          <w:color w:val="auto"/>
          <w:sz w:val="32"/>
          <w:szCs w:val="32"/>
          <w:lang w:val="en-US" w:eastAsia="zh-CN" w:bidi="ar-SA"/>
        </w:rPr>
        <w:t>834.56</w:t>
      </w:r>
      <w:r>
        <w:rPr>
          <w:rFonts w:ascii="仿宋_GB2312" w:eastAsia="仿宋_GB2312" w:cs="仿宋_GB2312" w:hint="eastAsia"/>
          <w:color w:val="auto"/>
          <w:sz w:val="32"/>
          <w:szCs w:val="32"/>
          <w:lang w:bidi="ar-SA"/>
        </w:rPr>
        <w:t>万元、项目支出</w:t>
      </w:r>
      <w:r>
        <w:rPr>
          <w:rFonts w:ascii="仿宋_GB2312" w:eastAsia="仿宋_GB2312" w:cs="仿宋_GB2312" w:hint="eastAsia"/>
          <w:color w:val="auto"/>
          <w:sz w:val="32"/>
          <w:szCs w:val="32"/>
          <w:lang w:val="en-US" w:eastAsia="zh-CN" w:bidi="ar-SA"/>
        </w:rPr>
        <w:t>2318.93</w:t>
      </w:r>
      <w:r>
        <w:rPr>
          <w:rFonts w:ascii="仿宋_GB2312" w:eastAsia="仿宋_GB2312" w:cs="仿宋_GB2312" w:hint="eastAsia"/>
          <w:color w:val="auto"/>
          <w:sz w:val="32"/>
          <w:szCs w:val="32"/>
          <w:lang w:bidi="ar-SA"/>
        </w:rPr>
        <w:t>万元；年终支出预算调整为</w:t>
      </w:r>
      <w:r>
        <w:rPr>
          <w:rFonts w:ascii="仿宋_GB2312" w:eastAsia="仿宋_GB2312" w:cs="DengXian-Regular" w:hint="eastAsia"/>
          <w:color w:val="auto"/>
          <w:sz w:val="32"/>
          <w:szCs w:val="32"/>
          <w:lang w:val="en-US" w:eastAsia="zh-CN" w:bidi="ar-SA"/>
        </w:rPr>
        <w:t>2103.81</w:t>
      </w:r>
      <w:r>
        <w:rPr>
          <w:rFonts w:ascii="仿宋_GB2312" w:eastAsia="仿宋_GB2312" w:cs="仿宋_GB2312" w:hint="eastAsia"/>
          <w:color w:val="auto"/>
          <w:sz w:val="32"/>
          <w:szCs w:val="32"/>
          <w:lang w:bidi="ar-SA"/>
        </w:rPr>
        <w:t>万元，其中：基本支出</w:t>
      </w:r>
      <w:r>
        <w:rPr>
          <w:rFonts w:ascii="仿宋_GB2312" w:eastAsia="仿宋_GB2312" w:cs="DengXian-Regular" w:hint="eastAsia"/>
          <w:color w:val="auto"/>
          <w:sz w:val="32"/>
          <w:szCs w:val="32"/>
          <w:lang w:val="en-US" w:eastAsia="zh-CN" w:bidi="ar-SA"/>
        </w:rPr>
        <w:t>859.40</w:t>
      </w:r>
      <w:r>
        <w:rPr>
          <w:rFonts w:ascii="仿宋_GB2312" w:eastAsia="仿宋_GB2312" w:cs="仿宋_GB2312" w:hint="eastAsia"/>
          <w:color w:val="auto"/>
          <w:sz w:val="32"/>
          <w:szCs w:val="32"/>
          <w:lang w:bidi="ar-SA"/>
        </w:rPr>
        <w:t>万元、项目支出</w:t>
      </w:r>
      <w:r>
        <w:rPr>
          <w:rFonts w:ascii="仿宋_GB2312" w:eastAsia="仿宋_GB2312" w:cs="DengXian-Regular" w:hint="eastAsia"/>
          <w:color w:val="auto"/>
          <w:sz w:val="32"/>
          <w:szCs w:val="32"/>
          <w:lang w:val="en-US" w:eastAsia="zh-CN" w:bidi="ar-SA"/>
        </w:rPr>
        <w:t>1244.41</w:t>
      </w:r>
      <w:r>
        <w:rPr>
          <w:rFonts w:ascii="仿宋_GB2312" w:eastAsia="仿宋_GB2312" w:cs="仿宋_GB2312" w:hint="eastAsia"/>
          <w:color w:val="auto"/>
          <w:sz w:val="32"/>
          <w:szCs w:val="32"/>
          <w:lang w:bidi="ar-SA"/>
        </w:rPr>
        <w:t>万元。</w:t>
      </w:r>
    </w:p>
    <w:p>
      <w:pPr>
        <w:spacing w:line="560" w:lineRule="exact"/>
        <w:ind w:firstLineChars="200" w:firstLine="640"/>
        <w:rPr>
          <w:rFonts w:ascii="仿宋_GB2312" w:eastAsia="仿宋_GB2312" w:cs="仿宋_GB2312" w:hint="eastAsia"/>
          <w:color w:val="auto"/>
          <w:sz w:val="32"/>
          <w:szCs w:val="32"/>
          <w:lang w:eastAsia="zh-CN" w:bidi="ar-SA"/>
        </w:rPr>
      </w:pPr>
      <w:r>
        <w:rPr>
          <w:rFonts w:ascii="仿宋_GB2312" w:eastAsia="仿宋_GB2312" w:cs="仿宋_GB2312" w:hint="eastAsia"/>
          <w:color w:val="auto"/>
          <w:sz w:val="32"/>
          <w:szCs w:val="32"/>
          <w:lang w:eastAsia="zh-CN" w:bidi="ar-SA"/>
        </w:rPr>
        <w:t>区农业农村</w:t>
      </w:r>
      <w:r>
        <w:rPr>
          <w:rFonts w:ascii="仿宋_GB2312" w:eastAsia="仿宋_GB2312" w:cs="仿宋_GB2312" w:hint="eastAsia"/>
          <w:color w:val="auto"/>
          <w:sz w:val="32"/>
          <w:szCs w:val="32"/>
          <w:lang w:bidi="ar-SA"/>
        </w:rPr>
        <w:t>局部门（汇总）决算草案情况。年末收入总计</w:t>
      </w:r>
      <w:r>
        <w:rPr>
          <w:rFonts w:ascii="仿宋_GB2312" w:eastAsia="仿宋_GB2312" w:cs="DengXian-Regular" w:hint="eastAsia"/>
          <w:color w:val="auto"/>
          <w:sz w:val="32"/>
          <w:szCs w:val="32"/>
          <w:lang w:val="en-US" w:eastAsia="zh-CN" w:bidi="ar-SA"/>
        </w:rPr>
        <w:t>2059.66</w:t>
      </w:r>
      <w:r>
        <w:rPr>
          <w:rFonts w:ascii="仿宋_GB2312" w:eastAsia="仿宋_GB2312" w:cs="仿宋_GB2312" w:hint="eastAsia"/>
          <w:color w:val="auto"/>
          <w:sz w:val="32"/>
          <w:szCs w:val="32"/>
          <w:lang w:bidi="ar-SA"/>
        </w:rPr>
        <w:t>万元，</w:t>
      </w:r>
      <w:r>
        <w:rPr>
          <w:rFonts w:ascii="仿宋_GB2312" w:eastAsia="仿宋_GB2312" w:cs="仿宋_GB2312" w:hint="eastAsia"/>
          <w:color w:val="auto"/>
          <w:sz w:val="32"/>
          <w:szCs w:val="32"/>
          <w:lang w:eastAsia="zh-CN" w:bidi="ar-SA"/>
        </w:rPr>
        <w:t>均为</w:t>
      </w:r>
      <w:r>
        <w:rPr>
          <w:rFonts w:ascii="仿宋_GB2312" w:eastAsia="仿宋_GB2312" w:cs="仿宋_GB2312" w:hint="eastAsia"/>
          <w:color w:val="auto"/>
          <w:sz w:val="32"/>
          <w:szCs w:val="32"/>
          <w:lang w:bidi="ar-SA"/>
        </w:rPr>
        <w:t>本年收入；年末支出总计</w:t>
      </w:r>
      <w:r>
        <w:rPr>
          <w:rFonts w:ascii="仿宋_GB2312" w:eastAsia="仿宋_GB2312" w:cs="DengXian-Regular" w:hint="eastAsia"/>
          <w:color w:val="auto"/>
          <w:sz w:val="32"/>
          <w:szCs w:val="32"/>
          <w:lang w:val="en-US" w:eastAsia="zh-CN" w:bidi="ar-SA"/>
        </w:rPr>
        <w:t>2059.66</w:t>
      </w:r>
      <w:r>
        <w:rPr>
          <w:rFonts w:ascii="仿宋_GB2312" w:eastAsia="仿宋_GB2312" w:cs="仿宋_GB2312" w:hint="eastAsia"/>
          <w:color w:val="auto"/>
          <w:sz w:val="32"/>
          <w:szCs w:val="32"/>
          <w:lang w:bidi="ar-SA"/>
        </w:rPr>
        <w:t>万元，其中：本年支出</w:t>
      </w:r>
      <w:r>
        <w:rPr>
          <w:rFonts w:ascii="仿宋_GB2312" w:eastAsia="仿宋_GB2312" w:cs="DengXian-Regular" w:hint="eastAsia"/>
          <w:color w:val="auto"/>
          <w:sz w:val="32"/>
          <w:szCs w:val="32"/>
          <w:lang w:val="en-US" w:eastAsia="zh-CN" w:bidi="ar-SA"/>
        </w:rPr>
        <w:t>2059.66</w:t>
      </w:r>
      <w:r>
        <w:rPr>
          <w:rFonts w:ascii="仿宋_GB2312" w:eastAsia="仿宋_GB2312" w:cs="仿宋_GB2312" w:hint="eastAsia"/>
          <w:color w:val="auto"/>
          <w:sz w:val="32"/>
          <w:szCs w:val="32"/>
          <w:lang w:bidi="ar-SA"/>
        </w:rPr>
        <w:t>万元。</w:t>
      </w:r>
    </w:p>
    <w:p>
      <w:pPr>
        <w:adjustRightInd w:val="0"/>
        <w:snapToGrid w:val="0"/>
        <w:spacing w:line="560" w:lineRule="exact"/>
        <w:ind w:firstLineChars="200" w:firstLine="640"/>
        <w:rPr>
          <w:rFonts w:ascii="楷体" w:eastAsia="楷体" w:cs="楷体_GB2312" w:hAnsi="楷体"/>
          <w:b/>
          <w:bCs w:val="0"/>
          <w:sz w:val="32"/>
          <w:szCs w:val="32"/>
        </w:rPr>
      </w:pPr>
      <w:r>
        <w:rPr>
          <w:rFonts w:ascii="楷体" w:eastAsia="楷体" w:cs="楷体_GB2312" w:hAnsi="楷体" w:hint="eastAsia"/>
          <w:b/>
          <w:bCs w:val="0"/>
          <w:sz w:val="32"/>
          <w:szCs w:val="32"/>
        </w:rPr>
        <w:t>（三）部门整体支出绩效目标、指标</w:t>
      </w:r>
    </w:p>
    <w:p>
      <w:pPr>
        <w:pStyle w:val="22"/>
        <w:rPr>
          <w:rFonts w:ascii="仿宋_GB2312" w:eastAsia="仿宋_GB2312" w:cs="仿宋_GB2312" w:hAnsi="仿宋_GB2312" w:hint="eastAsia"/>
          <w:color w:val="auto"/>
          <w:sz w:val="32"/>
          <w:szCs w:val="32"/>
        </w:rPr>
      </w:pPr>
      <w:r>
        <w:rPr>
          <w:rFonts w:ascii="仿宋_GB2312" w:eastAsia="仿宋_GB2312" w:cs="仿宋_GB2312" w:hAnsi="仿宋_GB2312" w:hint="eastAsia"/>
          <w:color w:val="auto"/>
          <w:sz w:val="32"/>
          <w:szCs w:val="32"/>
          <w:lang w:val="en-US" w:eastAsia="zh-CN"/>
        </w:rPr>
        <w:t>1</w:t>
      </w:r>
      <w:r>
        <w:rPr>
          <w:rFonts w:ascii="仿宋_GB2312" w:eastAsia="仿宋_GB2312" w:cs="仿宋_GB2312" w:hAnsi="仿宋_GB2312" w:hint="eastAsia"/>
          <w:color w:val="auto"/>
          <w:sz w:val="32"/>
          <w:szCs w:val="32"/>
        </w:rPr>
        <w:t>、总体绩效目标</w:t>
      </w:r>
    </w:p>
    <w:p>
      <w:pPr>
        <w:pStyle w:val="22"/>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2025年，坚定不移的以落实习近平全面推进乡村振兴战略思想为引领，深入贯彻落实全国乡村建设现场会部署要求，对标先进地区，聚焦三个重点，守牢三个底线，以全面推进乡村振兴为目标，加快建设宜居宜业和美乡村。具体是实现“12334”年度工作目标，即2025年要努力创建1家省级龙头企业、实现2个零突破即省级龙头企业零突破、县域节水型社会标准化建设零突破、打造3个农文旅融合片区、培育3家村集体企业、抓好和美乡村建设4项重点工作，力争实现一产增加值、一产固投和农村集体经济收入三个增速均不低于5%，做到“三聚焦、三提升”。</w:t>
      </w:r>
    </w:p>
    <w:p>
      <w:pPr>
        <w:pStyle w:val="23"/>
        <w:rPr>
          <w:rFonts w:ascii="仿宋_GB2312" w:eastAsia="仿宋_GB2312" w:cs="仿宋_GB2312" w:hAnsi="仿宋_GB2312" w:hint="eastAsia"/>
          <w:color w:val="auto"/>
          <w:sz w:val="32"/>
          <w:szCs w:val="32"/>
        </w:rPr>
      </w:pPr>
      <w:r>
        <w:rPr>
          <w:rFonts w:ascii="仿宋_GB2312" w:eastAsia="仿宋_GB2312" w:cs="仿宋_GB2312" w:hAnsi="仿宋_GB2312" w:hint="eastAsia"/>
          <w:color w:val="auto"/>
          <w:sz w:val="32"/>
          <w:szCs w:val="32"/>
          <w:lang w:val="en-US" w:eastAsia="zh-CN"/>
        </w:rPr>
        <w:t>2</w:t>
      </w:r>
      <w:r>
        <w:rPr>
          <w:rFonts w:ascii="仿宋_GB2312" w:eastAsia="仿宋_GB2312" w:cs="仿宋_GB2312" w:hAnsi="仿宋_GB2312" w:hint="eastAsia"/>
          <w:color w:val="auto"/>
          <w:sz w:val="32"/>
          <w:szCs w:val="32"/>
        </w:rPr>
        <w:t>、分项绩效目标</w:t>
      </w:r>
    </w:p>
    <w:p>
      <w:pPr>
        <w:pStyle w:val="23"/>
        <w:keepNext w:val="0"/>
        <w:keepLines w:val="0"/>
        <w:pageBreakBefore w:val="0"/>
        <w:widowControl w:val="0"/>
        <w:kinsoku/>
        <w:wordWrap/>
        <w:overflowPunct/>
        <w:topLinePunct w:val="0"/>
        <w:autoSpaceDE/>
        <w:autoSpaceDN/>
        <w:bidi w:val="0"/>
        <w:adjustRightInd/>
        <w:snapToGrid/>
        <w:spacing w:before="0" w:after="0" w:line="540" w:lineRule="exact"/>
        <w:ind w:left="0" w:right="0" w:firstLine="560"/>
        <w:jc w:val="left"/>
        <w:textAlignment w:val="auto"/>
        <w:outlineLvl w:val="9"/>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一要聚焦农田水利基础，提升农业生产水平。一是抓牢“米袋子”“菜篮子”基础民生。坚决贯彻落实中央、省市农村工作会议精神和重要工作部署，坚决完成粮食生产、畜牧生产和果品生产任务。持续推进现代农业园区、农民专业合作社、家庭农场等新型经营主体建设，有效扩大农业产业化经营，千方百计上项目、扩规模、提档次，努力实现农业产值和固投等主要经济指标运行持续向好，为乡村振兴和经济发展提供有力基础保障。二是抓实果菜比较优势农产品生产。发挥好中央、省市惠农项目资金拉动作用，支持现代农业园区提挡提效，争取榆林河综合整治提升工程,有效改善了我区农业生产水利条件。大力扶持设施农业生产，有效拉动农业提效。三是稳住生猪为主的畜牧产能。加强动物疫病防治宣传教育，严防重大动物疫病,指导天苑种猪场扩大生产规模，提高畜牧品种，带动周边散户共同发展。</w:t>
      </w:r>
    </w:p>
    <w:p>
      <w:pPr>
        <w:pStyle w:val="23"/>
        <w:keepNext w:val="0"/>
        <w:keepLines w:val="0"/>
        <w:pageBreakBefore w:val="0"/>
        <w:widowControl w:val="0"/>
        <w:kinsoku/>
        <w:wordWrap/>
        <w:overflowPunct/>
        <w:topLinePunct w:val="0"/>
        <w:autoSpaceDE/>
        <w:autoSpaceDN/>
        <w:bidi w:val="0"/>
        <w:adjustRightInd/>
        <w:snapToGrid/>
        <w:spacing w:before="0" w:after="0" w:line="540" w:lineRule="exact"/>
        <w:ind w:left="0" w:right="0" w:firstLine="560"/>
        <w:jc w:val="left"/>
        <w:textAlignment w:val="auto"/>
        <w:outlineLvl w:val="9"/>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二要聚焦农村街巷治理，提升和美乡村建设水平。一是全域实施乡村建设提质工程，持续深入开展农村人居环境整治，以农村街巷为主，持续开展农村私搭乱建清理整治，村庄空闲地边角地建设小花园、小菜园、小果园和停车场，以常态化开展村庄环境容貌督导检查和拉练评比为激励机制，组织开展观摩拉练不少于4次，不断提升全区全域乡村建设整体质量水平。二是以人居环境整治提升和和美乡村创建为抓手，鼓励和引导有条件的村持续实施水冲厕所升级改造，不断完善农村基础设施建设，积极打造美丽宜居乡村。同时，加强日常管护，进一步建立健全后续管护机制，发现问题立即反应处置，确保问题厕所动态清零。持续落实好农村公厕长效管护，不断巩固提升农村厕所革命成果。三是坚持集中人力物力财力深度打造贾庄、天户峪、中南凤山、台阳特色村，全方位建设美丽乡村，多渠道扶持发展“美丽经济”，打造矿区美丽乡村和美丽经济特色品牌，年底前争取创建省级和美乡村示范村1个。四是用好“清单制”“积分制”乡村治理模式，坚持和发展新时代“枫桥经验”，健全完善现代乡村治理体系，全域推广贾庄积分制经验。</w:t>
      </w:r>
    </w:p>
    <w:p>
      <w:pPr>
        <w:pStyle w:val="23"/>
        <w:keepNext w:val="0"/>
        <w:keepLines w:val="0"/>
        <w:pageBreakBefore w:val="0"/>
        <w:widowControl w:val="0"/>
        <w:kinsoku/>
        <w:wordWrap/>
        <w:overflowPunct/>
        <w:topLinePunct w:val="0"/>
        <w:autoSpaceDE/>
        <w:autoSpaceDN/>
        <w:bidi w:val="0"/>
        <w:adjustRightInd/>
        <w:snapToGrid/>
        <w:spacing w:before="0" w:after="0" w:line="540" w:lineRule="exact"/>
        <w:ind w:left="0" w:right="0" w:firstLine="560"/>
        <w:jc w:val="left"/>
        <w:textAlignment w:val="auto"/>
        <w:outlineLvl w:val="9"/>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三要聚焦乡村产业发展，提升三个片区建设水平。坚持以农文旅深度融合助推乡村全面振兴思路，积极争取上级政策、资金，持续培育打造正丰左岸艺术片区、山地苹果品牌片区和道地中药种植片区，大力发展高效农业、品牌农业。一是充分依托资源禀赋，梳理建立矿区农业农村产业发展的“四梁八柱”，要把传统的优质山地苹果产业和新引入的中药材高效产业，以及有一定基础的美丽乡村文旅产业和积极培育发展的数字乡村产业作为四大支撑，形成四轮驱动，打造极具矿区特色的农业农村产业发展模式。二是强化园区建设和品牌建设，重点支持以昊源苹果为龙头的“矿区苹果”，举办山地苹果采摘节，不断扩大影响力，形成规模效益。支持以锦翘、银旺为龙头的“矿区药材”创建省市级龙头企业，不断提升产业化水平。三是聚焦大文旅、大康养与乡村深度融合，充分整合正丰左岸艺术村、段家楼工业遗产、清凉山风景区、贾庄古镇等文旅项目、特色农业、休闲民宿等资源，举办正丰左岸文化艺术节，正丰左岸艺术村游客突破1万人。指导各村积极盘活现有闲置资源、场地等，培育村级集体企业不少于3家。持续加大省市农广校对接，天户峪田间学校培训人数突破2万人，不断实现农民致富，村集体经济收入增加。</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keepNext w:val="0"/>
        <w:keepLines w:val="0"/>
        <w:pageBreakBefore w:val="0"/>
        <w:widowControl w:val="0"/>
        <w:kinsoku/>
        <w:wordWrap/>
        <w:overflowPunct/>
        <w:topLinePunct w:val="0"/>
        <w:autoSpaceDE/>
        <w:autoSpaceDN/>
        <w:bidi w:val="0"/>
        <w:adjustRightInd w:val="0"/>
        <w:snapToGrid w:val="0"/>
        <w:spacing w:line="540" w:lineRule="exact"/>
        <w:ind w:firstLineChars="200" w:firstLine="640"/>
        <w:textAlignment w:val="auto"/>
        <w:outlineLvl w:val="9"/>
        <w:rPr>
          <w:rFonts w:ascii="仿宋_GB2312" w:eastAsia="仿宋_GB2312" w:cs="仿宋_GB2312" w:hAnsi="仿宋_GB2312" w:hint="eastAsia"/>
          <w:color w:val="auto"/>
          <w:sz w:val="32"/>
          <w:szCs w:val="32"/>
          <w:lang w:eastAsia="zh-CN"/>
        </w:rPr>
      </w:pPr>
      <w:r>
        <w:rPr>
          <w:rFonts w:ascii="仿宋_GB2312" w:eastAsia="仿宋_GB2312" w:cs="仿宋_GB2312" w:hAnsi="仿宋_GB2312" w:hint="eastAsia"/>
          <w:color w:val="auto"/>
          <w:sz w:val="32"/>
          <w:szCs w:val="32"/>
        </w:rPr>
        <w:t>为进一步提高我</w:t>
      </w:r>
      <w:r>
        <w:rPr>
          <w:rFonts w:ascii="仿宋_GB2312" w:eastAsia="仿宋_GB2312" w:cs="仿宋_GB2312" w:hAnsi="仿宋_GB2312" w:hint="eastAsia"/>
          <w:color w:val="auto"/>
          <w:sz w:val="32"/>
          <w:szCs w:val="32"/>
          <w:lang w:eastAsia="zh-CN"/>
        </w:rPr>
        <w:t>部门</w:t>
      </w:r>
      <w:r>
        <w:rPr>
          <w:rFonts w:ascii="仿宋_GB2312" w:eastAsia="仿宋_GB2312" w:cs="仿宋_GB2312" w:hAnsi="仿宋_GB2312" w:hint="eastAsia"/>
          <w:color w:val="auto"/>
          <w:sz w:val="32"/>
          <w:szCs w:val="32"/>
        </w:rPr>
        <w:t>绩效预算管理工作，根据《</w:t>
      </w:r>
      <w:r>
        <w:rPr>
          <w:rFonts w:ascii="仿宋_GB2312" w:eastAsia="仿宋_GB2312" w:cs="仿宋_GB2312" w:hAnsi="仿宋_GB2312" w:hint="eastAsia"/>
          <w:color w:val="auto"/>
          <w:sz w:val="32"/>
          <w:szCs w:val="32"/>
          <w:lang w:eastAsia="zh-CN"/>
        </w:rPr>
        <w:t>石家庄市井陉矿区财政局关于开展</w:t>
      </w:r>
      <w:r>
        <w:rPr>
          <w:rFonts w:ascii="仿宋_GB2312" w:eastAsia="仿宋_GB2312" w:cs="仿宋_GB2312" w:hAnsi="仿宋_GB2312" w:hint="eastAsia"/>
          <w:color w:val="auto"/>
          <w:sz w:val="32"/>
          <w:szCs w:val="32"/>
          <w:lang w:val="en-US" w:eastAsia="zh-CN"/>
        </w:rPr>
        <w:t>2026年绩效自评工作的通知》和《井陉矿区区级部门项目自评管理办法》</w:t>
      </w:r>
      <w:r>
        <w:rPr>
          <w:rFonts w:ascii="仿宋_GB2312" w:eastAsia="仿宋_GB2312" w:cs="仿宋_GB2312" w:hAnsi="仿宋_GB2312" w:hint="eastAsia"/>
          <w:color w:val="auto"/>
          <w:sz w:val="32"/>
          <w:szCs w:val="32"/>
        </w:rPr>
        <w:t>（矿</w:t>
      </w:r>
      <w:r>
        <w:rPr>
          <w:rFonts w:ascii="仿宋_GB2312" w:eastAsia="仿宋_GB2312" w:cs="仿宋_GB2312" w:hAnsi="仿宋_GB2312" w:hint="eastAsia"/>
          <w:color w:val="auto"/>
          <w:sz w:val="32"/>
          <w:szCs w:val="32"/>
          <w:lang w:eastAsia="zh-CN"/>
        </w:rPr>
        <w:t>财</w:t>
      </w:r>
      <w:r>
        <w:rPr>
          <w:rFonts w:ascii="仿宋_GB2312" w:eastAsia="仿宋_GB2312" w:cs="仿宋_GB2312" w:hAnsi="仿宋_GB2312" w:hint="eastAsia"/>
          <w:color w:val="auto"/>
          <w:sz w:val="32"/>
          <w:szCs w:val="32"/>
          <w:lang w:val="en-US" w:eastAsia="zh-CN"/>
        </w:rPr>
        <w:t>[2021]12</w:t>
      </w:r>
      <w:r>
        <w:rPr>
          <w:rFonts w:ascii="仿宋_GB2312" w:eastAsia="仿宋_GB2312" w:cs="仿宋_GB2312" w:hAnsi="仿宋_GB2312" w:hint="eastAsia"/>
          <w:color w:val="auto"/>
          <w:sz w:val="32"/>
          <w:szCs w:val="32"/>
        </w:rPr>
        <w:t>号）要求，成立</w:t>
      </w:r>
      <w:r>
        <w:rPr>
          <w:rFonts w:ascii="仿宋_GB2312" w:eastAsia="仿宋_GB2312" w:cs="仿宋_GB2312" w:hAnsi="仿宋_GB2312" w:hint="eastAsia"/>
          <w:color w:val="auto"/>
          <w:sz w:val="32"/>
          <w:szCs w:val="32"/>
          <w:lang w:eastAsia="zh-CN"/>
        </w:rPr>
        <w:t>部门</w:t>
      </w:r>
      <w:r>
        <w:rPr>
          <w:rFonts w:ascii="仿宋_GB2312" w:eastAsia="仿宋_GB2312" w:cs="仿宋_GB2312" w:hAnsi="仿宋_GB2312" w:hint="eastAsia"/>
          <w:color w:val="auto"/>
          <w:sz w:val="32"/>
          <w:szCs w:val="32"/>
        </w:rPr>
        <w:t>绩效评价工作</w:t>
      </w:r>
      <w:r>
        <w:rPr>
          <w:rFonts w:ascii="仿宋_GB2312" w:eastAsia="仿宋_GB2312" w:cs="仿宋_GB2312" w:hAnsi="仿宋_GB2312" w:hint="eastAsia"/>
          <w:color w:val="auto"/>
          <w:sz w:val="32"/>
          <w:szCs w:val="32"/>
          <w:lang w:eastAsia="zh-CN"/>
        </w:rPr>
        <w:t>小</w:t>
      </w:r>
      <w:r>
        <w:rPr>
          <w:rFonts w:ascii="仿宋_GB2312" w:eastAsia="仿宋_GB2312" w:cs="仿宋_GB2312" w:hAnsi="仿宋_GB2312" w:hint="eastAsia"/>
          <w:color w:val="auto"/>
          <w:sz w:val="32"/>
          <w:szCs w:val="32"/>
        </w:rPr>
        <w:t>组，对</w:t>
      </w:r>
      <w:r>
        <w:rPr>
          <w:rFonts w:ascii="仿宋_GB2312" w:eastAsia="仿宋_GB2312" w:cs="仿宋_GB2312" w:hAnsi="仿宋_GB2312" w:hint="eastAsia"/>
          <w:color w:val="auto"/>
          <w:sz w:val="32"/>
          <w:szCs w:val="32"/>
          <w:lang w:eastAsia="zh-CN"/>
        </w:rPr>
        <w:t>部门</w:t>
      </w:r>
      <w:r>
        <w:rPr>
          <w:rFonts w:ascii="仿宋_GB2312" w:eastAsia="仿宋_GB2312" w:cs="仿宋_GB2312" w:hAnsi="仿宋_GB2312" w:hint="eastAsia"/>
          <w:color w:val="auto"/>
          <w:sz w:val="32"/>
          <w:szCs w:val="32"/>
          <w:lang w:val="en-US" w:eastAsia="zh-CN"/>
        </w:rPr>
        <w:t>2025年度</w:t>
      </w:r>
      <w:r>
        <w:rPr>
          <w:rFonts w:ascii="仿宋_GB2312" w:eastAsia="仿宋_GB2312" w:cs="仿宋_GB2312" w:hAnsi="仿宋_GB2312" w:hint="eastAsia"/>
          <w:color w:val="auto"/>
          <w:sz w:val="32"/>
          <w:szCs w:val="32"/>
        </w:rPr>
        <w:t>所有</w:t>
      </w:r>
      <w:r>
        <w:rPr>
          <w:rFonts w:ascii="仿宋_GB2312" w:eastAsia="仿宋_GB2312" w:cs="仿宋_GB2312" w:hAnsi="仿宋_GB2312" w:hint="eastAsia"/>
          <w:color w:val="auto"/>
          <w:sz w:val="32"/>
          <w:szCs w:val="32"/>
          <w:lang w:eastAsia="zh-CN"/>
        </w:rPr>
        <w:t>专项</w:t>
      </w:r>
      <w:r>
        <w:rPr>
          <w:rFonts w:ascii="仿宋_GB2312" w:eastAsia="仿宋_GB2312" w:cs="仿宋_GB2312" w:hAnsi="仿宋_GB2312" w:hint="eastAsia"/>
          <w:color w:val="auto"/>
          <w:sz w:val="32"/>
          <w:szCs w:val="32"/>
        </w:rPr>
        <w:t>项目</w:t>
      </w:r>
      <w:r>
        <w:rPr>
          <w:rFonts w:ascii="仿宋_GB2312" w:eastAsia="仿宋_GB2312" w:cs="仿宋_GB2312" w:hAnsi="仿宋_GB2312" w:hint="eastAsia"/>
          <w:color w:val="auto"/>
          <w:sz w:val="32"/>
          <w:szCs w:val="32"/>
          <w:lang w:eastAsia="zh-CN"/>
        </w:rPr>
        <w:t>开展绩效自评和部门整体支出绩效自评。</w:t>
      </w:r>
    </w:p>
    <w:p>
      <w:pPr>
        <w:keepNext w:val="0"/>
        <w:keepLines w:val="0"/>
        <w:pageBreakBefore w:val="0"/>
        <w:widowControl w:val="0"/>
        <w:kinsoku/>
        <w:wordWrap/>
        <w:overflowPunct/>
        <w:topLinePunct w:val="0"/>
        <w:autoSpaceDE/>
        <w:autoSpaceDN/>
        <w:bidi w:val="0"/>
        <w:adjustRightInd w:val="0"/>
        <w:snapToGrid w:val="0"/>
        <w:spacing w:line="540" w:lineRule="exact"/>
        <w:ind w:firstLineChars="200" w:firstLine="640"/>
        <w:textAlignment w:val="auto"/>
        <w:outlineLvl w:val="9"/>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绩效评价工作</w:t>
      </w:r>
      <w:r>
        <w:rPr>
          <w:rFonts w:ascii="仿宋_GB2312" w:eastAsia="仿宋_GB2312" w:cs="仿宋_GB2312" w:hAnsi="仿宋_GB2312" w:hint="eastAsia"/>
          <w:sz w:val="32"/>
          <w:szCs w:val="32"/>
          <w:lang w:eastAsia="zh-CN"/>
        </w:rPr>
        <w:t>小</w:t>
      </w:r>
      <w:r>
        <w:rPr>
          <w:rFonts w:ascii="仿宋_GB2312" w:eastAsia="仿宋_GB2312" w:cs="仿宋_GB2312" w:hAnsi="仿宋_GB2312" w:hint="eastAsia"/>
          <w:sz w:val="32"/>
          <w:szCs w:val="32"/>
        </w:rPr>
        <w:t>组明确任务分工，确定评价程序及时间安排。根据202</w:t>
      </w:r>
      <w:r>
        <w:rPr>
          <w:rFonts w:ascii="仿宋_GB2312" w:eastAsia="仿宋_GB2312" w:cs="仿宋_GB2312" w:hAnsi="仿宋_GB2312" w:hint="eastAsia"/>
          <w:sz w:val="32"/>
          <w:szCs w:val="32"/>
          <w:lang w:val="en-US" w:eastAsia="zh-CN"/>
        </w:rPr>
        <w:t>5</w:t>
      </w:r>
      <w:r>
        <w:rPr>
          <w:rFonts w:ascii="仿宋_GB2312" w:eastAsia="仿宋_GB2312" w:cs="仿宋_GB2312" w:hAnsi="仿宋_GB2312" w:hint="eastAsia"/>
          <w:sz w:val="32"/>
          <w:szCs w:val="32"/>
        </w:rPr>
        <w:t>年初设定的绩效目标完成情况和各绩效指标完成情况进行核实分析，填报</w:t>
      </w:r>
      <w:r>
        <w:rPr>
          <w:rFonts w:ascii="仿宋_GB2312" w:eastAsia="仿宋_GB2312" w:cs="仿宋_GB2312" w:hAnsi="仿宋_GB2312" w:hint="eastAsia"/>
          <w:sz w:val="32"/>
          <w:szCs w:val="32"/>
          <w:lang w:eastAsia="zh-CN"/>
        </w:rPr>
        <w:t>了</w:t>
      </w:r>
      <w:r>
        <w:rPr>
          <w:rFonts w:ascii="仿宋_GB2312" w:eastAsia="仿宋_GB2312" w:cs="仿宋_GB2312" w:hAnsi="仿宋_GB2312" w:hint="eastAsia"/>
          <w:sz w:val="32"/>
          <w:szCs w:val="32"/>
        </w:rPr>
        <w:t>《20</w:t>
      </w:r>
      <w:r>
        <w:rPr>
          <w:rFonts w:ascii="仿宋_GB2312" w:eastAsia="仿宋_GB2312" w:cs="仿宋_GB2312" w:hAnsi="仿宋_GB2312" w:hint="eastAsia"/>
          <w:sz w:val="32"/>
          <w:szCs w:val="32"/>
          <w:lang w:val="en-US" w:eastAsia="zh-CN"/>
        </w:rPr>
        <w:t>25</w:t>
      </w:r>
      <w:r>
        <w:rPr>
          <w:rFonts w:ascii="仿宋_GB2312" w:eastAsia="仿宋_GB2312" w:cs="仿宋_GB2312" w:hAnsi="仿宋_GB2312" w:hint="eastAsia"/>
          <w:sz w:val="32"/>
          <w:szCs w:val="32"/>
        </w:rPr>
        <w:t>年区级项目绩效自评表》，并</w:t>
      </w:r>
      <w:r>
        <w:rPr>
          <w:rFonts w:ascii="仿宋_GB2312" w:eastAsia="仿宋_GB2312" w:cs="仿宋_GB2312" w:hAnsi="仿宋_GB2312" w:hint="eastAsia"/>
          <w:sz w:val="32"/>
          <w:szCs w:val="32"/>
          <w:lang w:eastAsia="zh-CN"/>
        </w:rPr>
        <w:t>结合评价情况</w:t>
      </w:r>
      <w:r>
        <w:rPr>
          <w:rFonts w:ascii="仿宋_GB2312" w:eastAsia="仿宋_GB2312" w:cs="仿宋_GB2312" w:hAnsi="仿宋_GB2312" w:hint="eastAsia"/>
          <w:sz w:val="32"/>
          <w:szCs w:val="32"/>
        </w:rPr>
        <w:t>撰写绩效自评报告</w:t>
      </w:r>
      <w:r>
        <w:rPr>
          <w:rFonts w:ascii="仿宋_GB2312" w:eastAsia="仿宋_GB2312" w:cs="仿宋_GB2312" w:hAnsi="仿宋_GB2312" w:hint="eastAsia"/>
          <w:sz w:val="32"/>
          <w:szCs w:val="32"/>
          <w:lang w:eastAsia="zh-CN"/>
        </w:rPr>
        <w:t>及自评结果应用情况报告</w:t>
      </w:r>
      <w:r>
        <w:rPr>
          <w:rFonts w:ascii="仿宋_GB2312" w:eastAsia="仿宋_GB2312" w:cs="仿宋_GB2312" w:hAnsi="仿宋_GB2312" w:hint="eastAsia"/>
          <w:sz w:val="32"/>
          <w:szCs w:val="32"/>
        </w:rPr>
        <w:t>。</w:t>
      </w:r>
    </w:p>
    <w:p>
      <w:pPr>
        <w:pStyle w:val="16"/>
        <w:keepNext w:val="0"/>
        <w:keepLines w:val="0"/>
        <w:pageBreakBefore w:val="0"/>
        <w:widowControl w:val="0"/>
        <w:kinsoku/>
        <w:wordWrap/>
        <w:overflowPunct/>
        <w:topLinePunct w:val="0"/>
        <w:autoSpaceDE/>
        <w:autoSpaceDN/>
        <w:bidi w:val="0"/>
        <w:spacing w:line="540" w:lineRule="exact"/>
        <w:textAlignment w:val="auto"/>
        <w:outlineLvl w:val="9"/>
        <w:rPr>
          <w:rFonts w:ascii="楷体" w:eastAsia="楷体" w:cs="楷体_GB2312" w:hAnsi="楷体" w:hint="eastAsia"/>
          <w:bCs/>
          <w:sz w:val="32"/>
          <w:szCs w:val="32"/>
        </w:rPr>
      </w:pPr>
      <w:r>
        <w:rPr>
          <w:rFonts w:ascii="楷体" w:eastAsia="楷体" w:cs="楷体_GB2312" w:hAnsi="楷体" w:hint="eastAsia"/>
          <w:bCs/>
          <w:sz w:val="32"/>
          <w:szCs w:val="32"/>
          <w:lang w:eastAsia="zh-CN"/>
        </w:rPr>
        <w:t>（二）</w:t>
      </w:r>
      <w:r>
        <w:rPr>
          <w:rFonts w:ascii="楷体" w:eastAsia="楷体" w:cs="楷体_GB2312" w:hAnsi="楷体" w:hint="eastAsia"/>
          <w:bCs/>
          <w:sz w:val="32"/>
          <w:szCs w:val="32"/>
        </w:rPr>
        <w:t>自评的方法和过程</w:t>
      </w:r>
    </w:p>
    <w:p>
      <w:pPr>
        <w:pStyle w:val="16"/>
        <w:keepNext w:val="0"/>
        <w:keepLines w:val="0"/>
        <w:pageBreakBefore w:val="0"/>
        <w:widowControl w:val="0"/>
        <w:kinsoku/>
        <w:wordWrap/>
        <w:overflowPunct/>
        <w:topLinePunct w:val="0"/>
        <w:autoSpaceDE/>
        <w:autoSpaceDN/>
        <w:bidi w:val="0"/>
        <w:spacing w:line="540" w:lineRule="exact"/>
        <w:textAlignment w:val="auto"/>
        <w:outlineLvl w:val="9"/>
        <w:rPr>
          <w:rFonts w:ascii="仿宋_GB2312" w:eastAsia="仿宋_GB2312" w:cs="仿宋_GB2312" w:hAnsi="仿宋_GB2312" w:hint="eastAsia"/>
          <w:color w:val="auto"/>
          <w:sz w:val="32"/>
          <w:szCs w:val="32"/>
        </w:rPr>
      </w:pPr>
      <w:r>
        <w:rPr>
          <w:rFonts w:ascii="仿宋_GB2312" w:eastAsia="仿宋_GB2312" w:cs="仿宋_GB2312" w:hAnsi="仿宋_GB2312" w:hint="eastAsia"/>
          <w:color w:val="auto"/>
          <w:sz w:val="32"/>
          <w:szCs w:val="32"/>
        </w:rPr>
        <w:t>本次</w:t>
      </w:r>
      <w:r>
        <w:rPr>
          <w:rFonts w:ascii="仿宋_GB2312" w:cs="仿宋_GB2312" w:hAnsi="仿宋_GB2312" w:hint="eastAsia"/>
          <w:color w:val="auto"/>
          <w:sz w:val="32"/>
          <w:szCs w:val="32"/>
          <w:lang w:eastAsia="zh-CN"/>
        </w:rPr>
        <w:t>部门项目</w:t>
      </w:r>
      <w:r>
        <w:rPr>
          <w:rFonts w:ascii="仿宋_GB2312" w:eastAsia="仿宋_GB2312" w:cs="仿宋_GB2312" w:hAnsi="仿宋_GB2312" w:hint="eastAsia"/>
          <w:color w:val="auto"/>
          <w:sz w:val="32"/>
          <w:szCs w:val="32"/>
        </w:rPr>
        <w:t>绩效</w:t>
      </w:r>
      <w:r>
        <w:rPr>
          <w:rFonts w:ascii="仿宋_GB2312" w:cs="仿宋_GB2312" w:hAnsi="仿宋_GB2312" w:hint="eastAsia"/>
          <w:color w:val="auto"/>
          <w:sz w:val="32"/>
          <w:szCs w:val="32"/>
          <w:lang w:eastAsia="zh-CN"/>
        </w:rPr>
        <w:t>自评紧紧围绕项目目标实现程度、资金使用效率全面进行自我评估，通过比较、数据分析、访谈及问卷调查等方法对照业务</w:t>
      </w:r>
      <w:r>
        <w:rPr>
          <w:rFonts w:ascii="仿宋_GB2312" w:eastAsia="仿宋_GB2312" w:cs="仿宋_GB2312" w:hAnsi="仿宋_GB2312" w:hint="eastAsia"/>
          <w:color w:val="auto"/>
          <w:sz w:val="32"/>
          <w:szCs w:val="32"/>
        </w:rPr>
        <w:t>股室提供的</w:t>
      </w:r>
      <w:r>
        <w:rPr>
          <w:rFonts w:ascii="仿宋_GB2312" w:cs="仿宋_GB2312" w:hAnsi="仿宋_GB2312" w:hint="eastAsia"/>
          <w:color w:val="auto"/>
          <w:sz w:val="32"/>
          <w:szCs w:val="32"/>
          <w:lang w:eastAsia="zh-CN"/>
        </w:rPr>
        <w:t>各</w:t>
      </w:r>
      <w:r>
        <w:rPr>
          <w:rFonts w:ascii="仿宋_GB2312" w:eastAsia="仿宋_GB2312" w:cs="仿宋_GB2312" w:hAnsi="仿宋_GB2312" w:hint="eastAsia"/>
          <w:color w:val="auto"/>
          <w:sz w:val="32"/>
          <w:szCs w:val="32"/>
        </w:rPr>
        <w:t>项目预算相关文件</w:t>
      </w:r>
      <w:r>
        <w:rPr>
          <w:rFonts w:ascii="仿宋_GB2312" w:cs="仿宋_GB2312" w:hAnsi="仿宋_GB2312" w:hint="eastAsia"/>
          <w:color w:val="auto"/>
          <w:sz w:val="32"/>
          <w:szCs w:val="32"/>
          <w:lang w:eastAsia="zh-CN"/>
        </w:rPr>
        <w:t>、</w:t>
      </w:r>
      <w:r>
        <w:rPr>
          <w:rFonts w:ascii="仿宋_GB2312" w:eastAsia="仿宋_GB2312" w:cs="仿宋_GB2312" w:hAnsi="仿宋_GB2312" w:hint="eastAsia"/>
          <w:color w:val="auto"/>
          <w:sz w:val="32"/>
          <w:szCs w:val="32"/>
        </w:rPr>
        <w:t>项目资料、工作总结</w:t>
      </w:r>
      <w:r>
        <w:rPr>
          <w:rFonts w:ascii="仿宋_GB2312" w:cs="仿宋_GB2312" w:hAnsi="仿宋_GB2312" w:hint="eastAsia"/>
          <w:color w:val="auto"/>
          <w:sz w:val="32"/>
          <w:szCs w:val="32"/>
          <w:lang w:eastAsia="zh-CN"/>
        </w:rPr>
        <w:t>及</w:t>
      </w:r>
      <w:r>
        <w:rPr>
          <w:rFonts w:ascii="仿宋_GB2312" w:eastAsia="仿宋_GB2312" w:cs="仿宋_GB2312" w:hAnsi="仿宋_GB2312" w:hint="eastAsia"/>
          <w:color w:val="auto"/>
          <w:sz w:val="32"/>
          <w:szCs w:val="32"/>
        </w:rPr>
        <w:t>合同</w:t>
      </w:r>
      <w:r>
        <w:rPr>
          <w:rFonts w:ascii="仿宋_GB2312" w:cs="仿宋_GB2312" w:hAnsi="仿宋_GB2312" w:hint="eastAsia"/>
          <w:color w:val="auto"/>
          <w:sz w:val="32"/>
          <w:szCs w:val="32"/>
          <w:lang w:eastAsia="zh-CN"/>
        </w:rPr>
        <w:t>履约情况等</w:t>
      </w:r>
      <w:r>
        <w:rPr>
          <w:rFonts w:ascii="仿宋_GB2312" w:eastAsia="仿宋_GB2312" w:cs="仿宋_GB2312" w:hAnsi="仿宋_GB2312" w:hint="eastAsia"/>
          <w:color w:val="auto"/>
          <w:sz w:val="32"/>
          <w:szCs w:val="32"/>
        </w:rPr>
        <w:t>逐项进行</w:t>
      </w:r>
      <w:r>
        <w:rPr>
          <w:rFonts w:ascii="仿宋_GB2312" w:cs="仿宋_GB2312" w:hAnsi="仿宋_GB2312" w:hint="eastAsia"/>
          <w:color w:val="auto"/>
          <w:sz w:val="32"/>
          <w:szCs w:val="32"/>
          <w:lang w:eastAsia="zh-CN"/>
        </w:rPr>
        <w:t>比照分析，着重评估预设目标的合理性及实际完成情况，分析具体原因；收集项目实施中的数据，量化分析绩效；向受益对象及合作方等发放问卷，收集对项目效果的主观评价，了解满意度、影响力等；与项目相关人员面对面交流，获取定性信息，补充具体细节等。目前</w:t>
      </w:r>
      <w:r>
        <w:rPr>
          <w:rFonts w:ascii="仿宋_GB2312" w:eastAsia="仿宋_GB2312" w:cs="仿宋_GB2312" w:hAnsi="仿宋_GB2312" w:hint="eastAsia"/>
          <w:color w:val="auto"/>
          <w:sz w:val="32"/>
          <w:szCs w:val="32"/>
        </w:rPr>
        <w:t>通过调研、相关文件的解读、数据采集、文件调查、数据分析、指标评分和撰写的环节，顺利完成了本次</w:t>
      </w:r>
      <w:r>
        <w:rPr>
          <w:rFonts w:ascii="仿宋_GB2312" w:cs="仿宋_GB2312" w:hAnsi="仿宋_GB2312" w:hint="eastAsia"/>
          <w:color w:val="auto"/>
          <w:sz w:val="32"/>
          <w:szCs w:val="32"/>
          <w:lang w:eastAsia="zh-CN"/>
        </w:rPr>
        <w:t>部门</w:t>
      </w:r>
      <w:r>
        <w:rPr>
          <w:rFonts w:ascii="仿宋_GB2312" w:eastAsia="仿宋_GB2312" w:cs="仿宋_GB2312" w:hAnsi="仿宋_GB2312" w:hint="eastAsia"/>
          <w:color w:val="auto"/>
          <w:sz w:val="32"/>
          <w:szCs w:val="32"/>
        </w:rPr>
        <w:t>绩效评价工作。</w:t>
      </w:r>
    </w:p>
    <w:p>
      <w:pPr>
        <w:spacing w:line="560" w:lineRule="exact"/>
        <w:ind w:left="642"/>
        <w:rPr>
          <w:rFonts w:ascii="黑体" w:eastAsia="黑体" w:hAnsi="黑体"/>
          <w:b/>
          <w:bCs/>
          <w:sz w:val="32"/>
          <w:szCs w:val="32"/>
        </w:rPr>
      </w:pPr>
      <w:r>
        <w:rPr>
          <w:rFonts w:ascii="黑体" w:eastAsia="黑体" w:hAnsi="黑体" w:hint="eastAsia"/>
          <w:sz w:val="32"/>
          <w:szCs w:val="32"/>
        </w:rPr>
        <w:t xml:space="preserve">  三、部门整体支出绩效目标实现情况及指标分析</w:t>
      </w:r>
    </w:p>
    <w:p>
      <w:pPr>
        <w:numPr>
          <w:ilvl w:val="0"/>
          <w:numId w:val="3"/>
        </w:numPr>
        <w:spacing w:line="56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adjustRightInd w:val="0"/>
        <w:snapToGrid w:val="0"/>
        <w:spacing w:line="560" w:lineRule="exact"/>
        <w:ind w:firstLineChars="200" w:firstLine="640"/>
        <w:rPr>
          <w:rFonts w:ascii="仿宋_GB2312" w:eastAsia="仿宋_GB2312" w:cs="仿宋_GB2312" w:hAnsi="仿宋_GB2312" w:hint="eastAsia"/>
          <w:b w:val="0"/>
          <w:i w:val="0"/>
          <w:caps w:val="0"/>
          <w:smallCaps w:val="0"/>
          <w:color w:val="auto"/>
          <w:spacing w:val="0"/>
          <w:kern w:val="0"/>
          <w:sz w:val="32"/>
          <w:szCs w:val="32"/>
          <w:lang w:val="en-US" w:eastAsia="zh-CN"/>
          <w:highlight w:val="auto"/>
        </w:rPr>
      </w:pPr>
      <w:r>
        <w:rPr>
          <w:rFonts w:ascii="仿宋_GB2312" w:eastAsia="仿宋_GB2312" w:cs="仿宋_GB2312" w:hAnsi="仿宋_GB2312" w:hint="eastAsia"/>
          <w:color w:val="auto"/>
          <w:sz w:val="32"/>
          <w:szCs w:val="32"/>
          <w:lang w:val="en-US" w:eastAsia="zh-CN"/>
          <w:highlight w:val="auto"/>
        </w:rPr>
        <w:t>2025年度，我部门紧紧围绕年初</w:t>
      </w:r>
      <w:r>
        <w:rPr>
          <w:rFonts w:ascii="仿宋_GB2312" w:eastAsia="仿宋_GB2312" w:cs="仿宋_GB2312" w:hAnsi="仿宋_GB2312" w:hint="eastAsia"/>
          <w:color w:val="auto"/>
          <w:sz w:val="32"/>
          <w:szCs w:val="32"/>
          <w:lang w:eastAsia="zh-CN"/>
          <w:highlight w:val="auto"/>
        </w:rPr>
        <w:t>总体绩效目标，深入开展各项业务工作，严格履行部门职责，圆满地实现了总体绩效目标，具体实现情况如下：</w:t>
      </w:r>
    </w:p>
    <w:p>
      <w:pPr>
        <w:ind w:firstLineChars="200" w:firstLine="640"/>
        <w:rPr>
          <w:rFonts w:ascii="仿宋_GB2312" w:eastAsia="仿宋_GB2312" w:cs="仿宋_GB2312" w:hAnsi="仿宋_GB2312" w:hint="eastAsia"/>
          <w:color w:val="auto"/>
          <w:sz w:val="32"/>
          <w:szCs w:val="32"/>
          <w:lang w:val="en-US" w:eastAsia="zh-CN"/>
        </w:rPr>
      </w:pPr>
      <w:r>
        <w:rPr>
          <w:rFonts w:ascii="仿宋_GB2312" w:eastAsia="仿宋_GB2312" w:cs="仿宋_GB2312" w:hAnsi="仿宋_GB2312" w:hint="eastAsia"/>
          <w:b w:val="0"/>
          <w:bCs w:val="0"/>
          <w:color w:val="auto"/>
          <w:sz w:val="32"/>
          <w:szCs w:val="32"/>
          <w:lang w:val="en-US" w:eastAsia="zh-CN"/>
        </w:rPr>
        <w:t>1.</w:t>
      </w:r>
      <w:r>
        <w:rPr>
          <w:rFonts w:ascii="仿宋_GB2312" w:eastAsia="仿宋_GB2312" w:cs="仿宋_GB2312" w:hAnsi="仿宋_GB2312" w:hint="eastAsia"/>
          <w:b w:val="0"/>
          <w:bCs w:val="0"/>
          <w:color w:val="auto"/>
          <w:sz w:val="32"/>
          <w:szCs w:val="32"/>
          <w:lang w:eastAsia="zh-CN"/>
        </w:rPr>
        <w:t>农业重点经济指标表现亮眼，2025年</w:t>
      </w:r>
      <w:r>
        <w:rPr>
          <w:rFonts w:ascii="仿宋_GB2312" w:eastAsia="仿宋_GB2312" w:cs="仿宋_GB2312" w:hAnsi="仿宋_GB2312" w:hint="eastAsia"/>
          <w:color w:val="auto"/>
          <w:sz w:val="32"/>
          <w:szCs w:val="32"/>
          <w:lang w:val="en-US" w:eastAsia="zh-CN"/>
        </w:rPr>
        <w:t>我区前三季度一产经济指标运行良好，一、二、三季度增速分别为16.9%，21%，22.9%，预计全年经济指标预增速在10%以上，远超省市下达3%的任务目标。</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outlineLvl w:val="9"/>
        <w:rPr>
          <w:rFonts w:ascii="仿宋_GB2312" w:eastAsia="仿宋_GB2312" w:cs="仿宋_GB2312" w:hAnsi="仿宋_GB2312" w:hint="eastAsia"/>
          <w:b w:val="0"/>
          <w:bCs w:val="0"/>
          <w:color w:val="auto"/>
          <w:sz w:val="32"/>
          <w:szCs w:val="32"/>
          <w:lang w:eastAsia="zh-CN"/>
        </w:rPr>
      </w:pPr>
      <w:r>
        <w:rPr>
          <w:rFonts w:ascii="仿宋_GB2312" w:eastAsia="仿宋_GB2312" w:cs="仿宋_GB2312" w:hAnsi="仿宋_GB2312" w:hint="eastAsia"/>
          <w:b w:val="0"/>
          <w:bCs w:val="0"/>
          <w:color w:val="auto"/>
          <w:sz w:val="32"/>
          <w:szCs w:val="32"/>
          <w:lang w:val="en-US" w:eastAsia="zh-CN"/>
        </w:rPr>
        <w:t>2.</w:t>
      </w:r>
      <w:r>
        <w:rPr>
          <w:rFonts w:ascii="仿宋_GB2312" w:eastAsia="仿宋_GB2312" w:cs="仿宋_GB2312" w:hAnsi="仿宋_GB2312" w:hint="eastAsia"/>
          <w:b w:val="0"/>
          <w:bCs w:val="0"/>
          <w:color w:val="auto"/>
          <w:sz w:val="32"/>
          <w:szCs w:val="32"/>
          <w:lang w:eastAsia="zh-CN"/>
        </w:rPr>
        <w:t>成功指导锦翘科技创建了市级产业化龙头企业，并在此基础上积极推进其向省级产业化龙头企业的升级。锦翘科技已于7月14日由省政府正式发文（《河北省人民政府关于认定河北省农业产业化重点龙头企业的通知》冀政字〔2025〕21号）完成省级产业化龙头企业的认定，成功填补了我区无省级龙头企业的空白。</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outlineLvl w:val="9"/>
        <w:rPr>
          <w:rFonts w:ascii="仿宋_GB2312" w:eastAsia="仿宋_GB2312" w:cs="仿宋_GB2312" w:hAnsi="仿宋_GB2312" w:hint="eastAsia"/>
          <w:b w:val="0"/>
          <w:bCs w:val="0"/>
          <w:color w:val="auto"/>
          <w:sz w:val="32"/>
          <w:szCs w:val="32"/>
          <w:lang w:eastAsia="zh-CN"/>
        </w:rPr>
      </w:pPr>
      <w:r>
        <w:rPr>
          <w:rFonts w:ascii="仿宋_GB2312" w:eastAsia="仿宋_GB2312" w:cs="仿宋_GB2312" w:hAnsi="仿宋_GB2312" w:hint="eastAsia"/>
          <w:b w:val="0"/>
          <w:bCs w:val="0"/>
          <w:color w:val="auto"/>
          <w:sz w:val="32"/>
          <w:szCs w:val="32"/>
          <w:lang w:val="en-US" w:eastAsia="zh-CN"/>
        </w:rPr>
        <w:t>3.</w:t>
      </w:r>
      <w:r>
        <w:rPr>
          <w:rFonts w:ascii="仿宋_GB2312" w:eastAsia="仿宋_GB2312" w:cs="仿宋_GB2312" w:hAnsi="仿宋_GB2312" w:hint="eastAsia"/>
          <w:b w:val="0"/>
          <w:bCs w:val="0"/>
          <w:color w:val="auto"/>
          <w:sz w:val="32"/>
          <w:szCs w:val="32"/>
          <w:lang w:eastAsia="zh-CN"/>
        </w:rPr>
        <w:t>休闲农业发展势头强劲，今年申报的“清凉夏韵·农艺漫旅”——井陉矿区夏日果香田园艺术环线，于</w:t>
      </w:r>
      <w:r>
        <w:rPr>
          <w:rFonts w:ascii="仿宋_GB2312" w:eastAsia="仿宋_GB2312" w:cs="仿宋_GB2312" w:hAnsi="仿宋_GB2312" w:hint="eastAsia"/>
          <w:b w:val="0"/>
          <w:bCs w:val="0"/>
          <w:color w:val="auto"/>
          <w:sz w:val="32"/>
          <w:szCs w:val="32"/>
          <w:lang w:val="en-US" w:eastAsia="zh-CN"/>
        </w:rPr>
        <w:t>6月12日</w:t>
      </w:r>
      <w:r>
        <w:rPr>
          <w:rFonts w:ascii="仿宋_GB2312" w:eastAsia="仿宋_GB2312" w:cs="仿宋_GB2312" w:hAnsi="仿宋_GB2312" w:hint="eastAsia"/>
          <w:b w:val="0"/>
          <w:bCs w:val="0"/>
          <w:color w:val="auto"/>
          <w:sz w:val="32"/>
          <w:szCs w:val="32"/>
          <w:lang w:eastAsia="zh-CN"/>
        </w:rPr>
        <w:t>成功入选河北省发布的夏纳凉系列休闲农业与乡村旅游线路。极大地提升了我区休闲农业的知名度和影响力。</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outlineLvl w:val="9"/>
        <w:rPr>
          <w:rFonts w:ascii="仿宋_GB2312" w:eastAsia="仿宋_GB2312" w:cs="仿宋_GB2312" w:hAnsi="仿宋_GB2312" w:hint="eastAsia"/>
          <w:b w:val="0"/>
          <w:bCs w:val="0"/>
          <w:color w:val="auto"/>
          <w:sz w:val="32"/>
          <w:szCs w:val="32"/>
          <w:lang w:val="en-US" w:eastAsia="zh-CN"/>
        </w:rPr>
      </w:pPr>
      <w:r>
        <w:rPr>
          <w:rFonts w:ascii="仿宋_GB2312" w:eastAsia="仿宋_GB2312" w:cs="仿宋_GB2312" w:hAnsi="仿宋_GB2312" w:hint="eastAsia"/>
          <w:b w:val="0"/>
          <w:bCs w:val="0"/>
          <w:color w:val="auto"/>
          <w:sz w:val="32"/>
          <w:szCs w:val="32"/>
          <w:lang w:val="en-US" w:eastAsia="zh-CN"/>
        </w:rPr>
        <w:t>4.</w:t>
      </w:r>
      <w:r>
        <w:rPr>
          <w:rFonts w:ascii="仿宋_GB2312" w:eastAsia="仿宋_GB2312" w:cs="仿宋_GB2312" w:hAnsi="仿宋_GB2312" w:hint="eastAsia"/>
          <w:color w:val="auto"/>
          <w:sz w:val="32"/>
          <w:szCs w:val="40"/>
        </w:rPr>
        <w:t>在各村</w:t>
      </w:r>
      <w:r>
        <w:rPr>
          <w:rFonts w:ascii="仿宋_GB2312" w:eastAsia="仿宋_GB2312" w:cs="仿宋_GB2312" w:hAnsi="仿宋_GB2312" w:hint="eastAsia"/>
          <w:color w:val="auto"/>
          <w:sz w:val="32"/>
          <w:szCs w:val="40"/>
          <w:lang w:eastAsia="zh-CN"/>
        </w:rPr>
        <w:t>持续</w:t>
      </w:r>
      <w:r>
        <w:rPr>
          <w:rFonts w:ascii="仿宋_GB2312" w:eastAsia="仿宋_GB2312" w:cs="仿宋_GB2312" w:hAnsi="仿宋_GB2312" w:hint="eastAsia"/>
          <w:color w:val="auto"/>
          <w:sz w:val="32"/>
          <w:szCs w:val="40"/>
        </w:rPr>
        <w:t>推广</w:t>
      </w:r>
      <w:r>
        <w:rPr>
          <w:rFonts w:ascii="仿宋_GB2312" w:eastAsia="仿宋_GB2312" w:cs="仿宋_GB2312" w:hAnsi="仿宋_GB2312" w:hint="eastAsia"/>
          <w:color w:val="auto"/>
          <w:sz w:val="32"/>
          <w:szCs w:val="40"/>
          <w:lang w:eastAsia="zh-CN"/>
        </w:rPr>
        <w:t>落实</w:t>
      </w:r>
      <w:r>
        <w:rPr>
          <w:rFonts w:ascii="仿宋_GB2312" w:eastAsia="仿宋_GB2312" w:cs="仿宋_GB2312" w:hAnsi="仿宋_GB2312" w:hint="eastAsia"/>
          <w:color w:val="auto"/>
          <w:sz w:val="32"/>
          <w:szCs w:val="40"/>
        </w:rPr>
        <w:t>“户分类、村收集、</w:t>
      </w:r>
      <w:r>
        <w:rPr>
          <w:rFonts w:ascii="仿宋_GB2312" w:eastAsia="仿宋_GB2312" w:cs="仿宋_GB2312" w:hAnsi="仿宋_GB2312" w:hint="eastAsia"/>
          <w:color w:val="auto"/>
          <w:sz w:val="32"/>
          <w:szCs w:val="40"/>
          <w:lang w:eastAsia="zh-CN"/>
        </w:rPr>
        <w:t>区</w:t>
      </w:r>
      <w:r>
        <w:rPr>
          <w:rFonts w:ascii="仿宋_GB2312" w:eastAsia="仿宋_GB2312" w:cs="仿宋_GB2312" w:hAnsi="仿宋_GB2312" w:hint="eastAsia"/>
          <w:color w:val="auto"/>
          <w:sz w:val="32"/>
          <w:szCs w:val="40"/>
        </w:rPr>
        <w:t>转运处理”的垃圾处理模式</w:t>
      </w:r>
      <w:r>
        <w:rPr>
          <w:rFonts w:ascii="仿宋_GB2312" w:eastAsia="仿宋_GB2312" w:cs="仿宋_GB2312" w:hAnsi="仿宋_GB2312" w:hint="eastAsia"/>
          <w:color w:val="auto"/>
          <w:sz w:val="32"/>
          <w:szCs w:val="40"/>
          <w:lang w:eastAsia="zh-CN"/>
        </w:rPr>
        <w:t>，</w:t>
      </w:r>
      <w:r>
        <w:rPr>
          <w:rFonts w:ascii="仿宋_GB2312" w:eastAsia="仿宋_GB2312" w:cs="仿宋_GB2312" w:hAnsi="仿宋_GB2312" w:hint="eastAsia"/>
          <w:color w:val="auto"/>
          <w:sz w:val="32"/>
          <w:szCs w:val="40"/>
        </w:rPr>
        <w:t>实现了农村生活垃圾有效治理的全覆盖。开展大排查、大整治、大提升行动，累计</w:t>
      </w:r>
      <w:r>
        <w:rPr>
          <w:rFonts w:ascii="仿宋_GB2312" w:eastAsia="仿宋_GB2312" w:cs="仿宋_GB2312" w:hAnsi="仿宋_GB2312" w:hint="eastAsia"/>
          <w:color w:val="auto"/>
          <w:sz w:val="32"/>
          <w:szCs w:val="40"/>
          <w:lang w:eastAsia="zh-CN"/>
        </w:rPr>
        <w:t>排查</w:t>
      </w:r>
      <w:r>
        <w:rPr>
          <w:rFonts w:ascii="仿宋_GB2312" w:eastAsia="仿宋_GB2312" w:cs="仿宋_GB2312" w:hAnsi="仿宋_GB2312" w:hint="eastAsia"/>
          <w:color w:val="auto"/>
          <w:sz w:val="32"/>
          <w:szCs w:val="40"/>
          <w:lang w:val="en-US" w:eastAsia="zh-CN"/>
        </w:rPr>
        <w:t>30余次，</w:t>
      </w:r>
      <w:r>
        <w:rPr>
          <w:rFonts w:ascii="仿宋_GB2312" w:eastAsia="仿宋_GB2312" w:cs="仿宋_GB2312" w:hAnsi="仿宋_GB2312" w:hint="eastAsia"/>
          <w:color w:val="auto"/>
          <w:sz w:val="32"/>
          <w:szCs w:val="40"/>
        </w:rPr>
        <w:t>出动</w:t>
      </w:r>
      <w:r>
        <w:rPr>
          <w:rFonts w:ascii="仿宋_GB2312" w:eastAsia="仿宋_GB2312" w:cs="仿宋_GB2312" w:hAnsi="仿宋_GB2312" w:hint="eastAsia"/>
          <w:color w:val="auto"/>
          <w:sz w:val="32"/>
          <w:szCs w:val="40"/>
          <w:lang w:val="en-US" w:eastAsia="zh-CN"/>
        </w:rPr>
        <w:t>4000</w:t>
      </w:r>
      <w:r>
        <w:rPr>
          <w:rFonts w:ascii="仿宋_GB2312" w:eastAsia="仿宋_GB2312" w:cs="仿宋_GB2312" w:hAnsi="仿宋_GB2312" w:hint="eastAsia"/>
          <w:color w:val="auto"/>
          <w:sz w:val="32"/>
          <w:szCs w:val="40"/>
        </w:rPr>
        <w:t>余人次，动用铲车、农用三轮车等机械设备</w:t>
      </w:r>
      <w:r>
        <w:rPr>
          <w:rFonts w:ascii="仿宋_GB2312" w:eastAsia="仿宋_GB2312" w:cs="仿宋_GB2312" w:hAnsi="仿宋_GB2312" w:hint="eastAsia"/>
          <w:color w:val="auto"/>
          <w:sz w:val="32"/>
          <w:szCs w:val="40"/>
          <w:lang w:val="en-US" w:eastAsia="zh-CN"/>
        </w:rPr>
        <w:t>800</w:t>
      </w:r>
      <w:r>
        <w:rPr>
          <w:rFonts w:ascii="仿宋_GB2312" w:eastAsia="仿宋_GB2312" w:cs="仿宋_GB2312" w:hAnsi="仿宋_GB2312" w:hint="eastAsia"/>
          <w:color w:val="auto"/>
          <w:sz w:val="32"/>
          <w:szCs w:val="40"/>
        </w:rPr>
        <w:t>余车次，集中清理垃圾乱倒、杂物杂草等</w:t>
      </w:r>
      <w:r>
        <w:rPr>
          <w:rFonts w:ascii="仿宋_GB2312" w:eastAsia="仿宋_GB2312" w:cs="仿宋_GB2312" w:hAnsi="仿宋_GB2312" w:hint="eastAsia"/>
          <w:color w:val="auto"/>
          <w:sz w:val="32"/>
          <w:szCs w:val="40"/>
          <w:lang w:val="en-US" w:eastAsia="zh-CN"/>
        </w:rPr>
        <w:t>600</w:t>
      </w:r>
      <w:r>
        <w:rPr>
          <w:rFonts w:ascii="仿宋_GB2312" w:eastAsia="仿宋_GB2312" w:cs="仿宋_GB2312" w:hAnsi="仿宋_GB2312" w:hint="eastAsia"/>
          <w:color w:val="auto"/>
          <w:sz w:val="32"/>
          <w:szCs w:val="40"/>
        </w:rPr>
        <w:t>余处</w:t>
      </w:r>
      <w:r>
        <w:rPr>
          <w:rFonts w:ascii="仿宋_GB2312" w:eastAsia="仿宋_GB2312" w:cs="仿宋_GB2312" w:hAnsi="仿宋_GB2312" w:hint="eastAsia"/>
          <w:color w:val="auto"/>
          <w:sz w:val="32"/>
          <w:szCs w:val="40"/>
          <w:lang w:eastAsia="zh-CN"/>
        </w:rPr>
        <w:t>。定期</w:t>
      </w:r>
      <w:r>
        <w:rPr>
          <w:rFonts w:ascii="仿宋_GB2312" w:eastAsia="仿宋_GB2312" w:cs="仿宋_GB2312" w:hAnsi="仿宋_GB2312" w:hint="eastAsia"/>
          <w:color w:val="auto"/>
          <w:sz w:val="32"/>
          <w:szCs w:val="40"/>
        </w:rPr>
        <w:t>对</w:t>
      </w:r>
      <w:r>
        <w:rPr>
          <w:rFonts w:ascii="仿宋_GB2312" w:eastAsia="仿宋_GB2312" w:cs="仿宋_GB2312" w:hAnsi="仿宋_GB2312" w:hint="eastAsia"/>
          <w:color w:val="auto"/>
          <w:sz w:val="32"/>
          <w:szCs w:val="40"/>
          <w:lang w:val="en-US" w:eastAsia="zh-CN"/>
        </w:rPr>
        <w:t>30</w:t>
      </w:r>
      <w:r>
        <w:rPr>
          <w:rFonts w:ascii="仿宋_GB2312" w:eastAsia="仿宋_GB2312" w:cs="仿宋_GB2312" w:hAnsi="仿宋_GB2312" w:hint="eastAsia"/>
          <w:color w:val="auto"/>
          <w:sz w:val="32"/>
          <w:szCs w:val="40"/>
        </w:rPr>
        <w:t>个农村社区进行巡航检查，确保排查与整改同步推进。</w:t>
      </w:r>
      <w:r>
        <w:rPr>
          <w:rFonts w:ascii="仿宋_GB2312" w:eastAsia="仿宋_GB2312" w:cs="仿宋_GB2312" w:hAnsi="仿宋_GB2312" w:hint="eastAsia"/>
          <w:color w:val="auto"/>
          <w:sz w:val="32"/>
          <w:szCs w:val="40"/>
          <w:lang w:eastAsia="zh-CN"/>
        </w:rPr>
        <w:t>今年</w:t>
      </w:r>
      <w:r>
        <w:rPr>
          <w:rFonts w:ascii="仿宋_GB2312" w:eastAsia="仿宋_GB2312" w:cs="仿宋_GB2312" w:hAnsi="仿宋_GB2312" w:hint="eastAsia"/>
          <w:b w:val="0"/>
          <w:bCs w:val="0"/>
          <w:color w:val="auto"/>
          <w:sz w:val="32"/>
          <w:szCs w:val="32"/>
          <w:lang w:eastAsia="zh-CN"/>
        </w:rPr>
        <w:t>高标准高质量打造</w:t>
      </w:r>
      <w:r>
        <w:rPr>
          <w:rFonts w:ascii="仿宋_GB2312" w:eastAsia="仿宋_GB2312" w:cs="仿宋_GB2312" w:hAnsi="仿宋_GB2312" w:hint="eastAsia"/>
          <w:b w:val="0"/>
          <w:bCs w:val="0"/>
          <w:color w:val="auto"/>
          <w:sz w:val="32"/>
          <w:szCs w:val="32"/>
          <w:lang w:val="en-US" w:eastAsia="zh-CN"/>
        </w:rPr>
        <w:t>1个省级和美乡村重点村——凤山镇南凤山村；2026年省级和美乡村重点村正在申报中，预计我区将成功申报2个省级和美乡村重点村。</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outlineLvl w:val="9"/>
        <w:rPr>
          <w:rFonts w:ascii="仿宋_GB2312" w:eastAsia="仿宋_GB2312" w:cs="仿宋_GB2312" w:hAnsi="仿宋_GB2312" w:hint="eastAsia"/>
          <w:b w:val="0"/>
          <w:bCs w:val="0"/>
          <w:sz w:val="32"/>
          <w:szCs w:val="32"/>
          <w:lang w:val="en-US" w:eastAsia="zh-CN"/>
        </w:rPr>
      </w:pPr>
      <w:r>
        <w:rPr>
          <w:rFonts w:ascii="仿宋_GB2312" w:eastAsia="仿宋_GB2312" w:cs="仿宋_GB2312" w:hAnsi="仿宋_GB2312" w:hint="eastAsia"/>
          <w:b w:val="0"/>
          <w:bCs w:val="0"/>
          <w:color w:val="auto"/>
          <w:sz w:val="32"/>
          <w:szCs w:val="32"/>
          <w:lang w:val="en-US" w:eastAsia="zh-CN"/>
        </w:rPr>
        <w:t>5.全区2025年完成粮食生产面积6490亩，其中小麦种植面积417亩，玉米种植面积6073亩，超额完成市级下达3500亩任务指标。</w:t>
      </w:r>
      <w:r>
        <w:rPr>
          <w:rFonts w:ascii="仿宋_GB2312" w:eastAsia="仿宋_GB2312" w:cs="仿宋_GB2312" w:hAnsi="仿宋_GB2312" w:hint="eastAsia"/>
          <w:b w:val="0"/>
          <w:bCs w:val="0"/>
          <w:sz w:val="32"/>
          <w:szCs w:val="32"/>
          <w:lang w:val="en-US" w:eastAsia="zh-CN"/>
        </w:rPr>
        <w:t>截</w:t>
      </w:r>
      <w:r>
        <w:rPr>
          <w:rFonts w:ascii="仿宋_GB2312" w:eastAsia="仿宋_GB2312" w:cs="仿宋_GB2312" w:hAnsi="仿宋_GB2312"/>
          <w:b w:val="0"/>
          <w:bCs w:val="0"/>
          <w:sz w:val="32"/>
          <w:szCs w:val="32"/>
          <w:lang w:val="en-US" w:eastAsia="zh-CN"/>
        </w:rPr>
        <w:t>至</w:t>
      </w:r>
      <w:r>
        <w:rPr>
          <w:rFonts w:ascii="仿宋_GB2312" w:eastAsia="仿宋_GB2312" w:cs="仿宋_GB2312" w:hAnsi="仿宋_GB2312" w:hint="eastAsia"/>
          <w:b w:val="0"/>
          <w:bCs w:val="0"/>
          <w:sz w:val="32"/>
          <w:szCs w:val="32"/>
          <w:lang w:val="en-US" w:eastAsia="zh-CN"/>
        </w:rPr>
        <w:t>目前，全区小麦、玉米已全部收获完成，粮食总产量达0.04976亿斤，其中小麦产量0.003亿斤、玉米产量0.04676亿斤，超额完成市级下达0.0257亿斤任务。</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outlineLvl w:val="9"/>
        <w:rPr>
          <w:rFonts w:ascii="仿宋_GB2312" w:eastAsia="仿宋_GB2312" w:cs="仿宋_GB2312" w:hAnsi="仿宋_GB2312" w:hint="eastAsia"/>
          <w:b w:val="0"/>
          <w:bCs w:val="0"/>
          <w:color w:val="auto"/>
          <w:sz w:val="32"/>
          <w:szCs w:val="32"/>
          <w:lang w:val="en-US" w:eastAsia="zh-CN"/>
        </w:rPr>
      </w:pPr>
      <w:r>
        <w:rPr>
          <w:rFonts w:ascii="仿宋_GB2312" w:eastAsia="仿宋_GB2312" w:cs="仿宋_GB2312" w:hAnsi="仿宋_GB2312" w:hint="eastAsia"/>
          <w:b w:val="0"/>
          <w:bCs w:val="0"/>
          <w:sz w:val="32"/>
          <w:szCs w:val="32"/>
          <w:lang w:val="en-US" w:eastAsia="zh-CN"/>
        </w:rPr>
        <w:t>6.全力抓好非洲猪瘟常态化精准防控，突出抓好高致病性禽流感、口蹄疫等重大动物疫病防控，</w:t>
      </w:r>
      <w:r>
        <w:rPr>
          <w:rFonts w:ascii="仿宋_GB2312" w:eastAsia="仿宋_GB2312" w:cs="仿宋_GB2312" w:hAnsi="仿宋_GB2312" w:hint="eastAsia"/>
          <w:b w:val="0"/>
          <w:bCs w:val="0"/>
          <w:sz w:val="32"/>
          <w:szCs w:val="32"/>
          <w:shd w:val="clear" w:color="auto" w:fill="auto"/>
          <w:lang w:val="en-US" w:eastAsia="zh-CN"/>
        </w:rPr>
        <w:t>截</w:t>
      </w:r>
      <w:r>
        <w:rPr>
          <w:rFonts w:ascii="仿宋_GB2312" w:eastAsia="仿宋_GB2312" w:cs="仿宋_GB2312" w:hAnsi="仿宋_GB2312"/>
          <w:b w:val="0"/>
          <w:bCs w:val="0"/>
          <w:sz w:val="32"/>
          <w:szCs w:val="32"/>
          <w:shd w:val="clear" w:color="auto" w:fill="auto"/>
          <w:lang w:val="en-US" w:eastAsia="zh-CN"/>
        </w:rPr>
        <w:t>至</w:t>
      </w:r>
      <w:r>
        <w:rPr>
          <w:rFonts w:ascii="仿宋_GB2312" w:eastAsia="仿宋_GB2312" w:cs="仿宋_GB2312" w:hAnsi="仿宋_GB2312" w:hint="eastAsia"/>
          <w:b w:val="0"/>
          <w:bCs w:val="0"/>
          <w:sz w:val="32"/>
          <w:szCs w:val="32"/>
          <w:shd w:val="clear" w:color="auto" w:fill="auto"/>
          <w:lang w:val="en-US" w:eastAsia="zh-CN"/>
        </w:rPr>
        <w:t>目前</w:t>
      </w:r>
      <w:r>
        <w:rPr>
          <w:rFonts w:ascii="仿宋_GB2312" w:eastAsia="仿宋_GB2312" w:cs="仿宋_GB2312" w:hAnsi="仿宋_GB2312" w:hint="eastAsia"/>
          <w:b w:val="0"/>
          <w:bCs w:val="0"/>
          <w:sz w:val="32"/>
          <w:szCs w:val="32"/>
          <w:lang w:val="en-US" w:eastAsia="zh-CN"/>
        </w:rPr>
        <w:t>生</w:t>
      </w:r>
      <w:r>
        <w:rPr>
          <w:rFonts w:ascii="仿宋_GB2312" w:eastAsia="仿宋_GB2312" w:cs="仿宋_GB2312" w:hAnsi="仿宋_GB2312" w:hint="eastAsia"/>
          <w:b w:val="0"/>
          <w:bCs w:val="0"/>
          <w:color w:val="auto"/>
          <w:sz w:val="32"/>
          <w:szCs w:val="32"/>
          <w:lang w:val="en-US" w:eastAsia="zh-CN"/>
        </w:rPr>
        <w:t>猪检疫猪8929头，羊8只，鸡4400只，切实加强病死畜禽无害化处理监管，收集处理病死猪2942头，羊2</w:t>
      </w:r>
      <w:bookmarkStart w:id="0" w:name="_GoBack"/>
      <w:bookmarkEnd w:id="0"/>
      <w:r>
        <w:rPr>
          <w:rFonts w:ascii="仿宋_GB2312" w:eastAsia="仿宋_GB2312" w:cs="仿宋_GB2312" w:hAnsi="仿宋_GB2312" w:hint="eastAsia"/>
          <w:b w:val="0"/>
          <w:bCs w:val="0"/>
          <w:color w:val="auto"/>
          <w:sz w:val="32"/>
          <w:szCs w:val="32"/>
          <w:lang w:val="en-US" w:eastAsia="zh-CN"/>
        </w:rPr>
        <w:t>只，犬4只，鸡13公斤。</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outlineLvl w:val="9"/>
        <w:rPr>
          <w:rFonts w:ascii="仿宋_GB2312" w:eastAsia="仿宋_GB2312" w:cs="仿宋_GB2312" w:hAnsi="仿宋_GB2312" w:hint="eastAsia"/>
          <w:b w:val="0"/>
          <w:bCs w:val="0"/>
          <w:color w:val="auto"/>
          <w:sz w:val="32"/>
          <w:szCs w:val="32"/>
          <w:lang w:val="en-US" w:eastAsia="zh-CN"/>
        </w:rPr>
      </w:pPr>
      <w:r>
        <w:rPr>
          <w:rFonts w:ascii="仿宋_GB2312" w:eastAsia="仿宋_GB2312" w:cs="仿宋_GB2312" w:hAnsi="仿宋_GB2312" w:hint="eastAsia"/>
          <w:b w:val="0"/>
          <w:bCs w:val="0"/>
          <w:color w:val="auto"/>
          <w:sz w:val="32"/>
          <w:szCs w:val="32"/>
          <w:lang w:val="en-US" w:eastAsia="zh-CN"/>
        </w:rPr>
        <w:t>7.2025年以来，完成我区牧工商原种猪场种猪引进，分别引进长白、大长种猪300头，从而提高我区优质种猪群体规模，推进引进品种本土化选育进程。</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outlineLvl w:val="9"/>
        <w:rPr>
          <w:rFonts w:ascii="仿宋_GB2312" w:eastAsia="仿宋_GB2312" w:cs="仿宋_GB2312" w:hAnsi="仿宋_GB2312" w:hint="eastAsia"/>
          <w:b w:val="0"/>
          <w:bCs w:val="0"/>
          <w:color w:val="auto"/>
          <w:sz w:val="32"/>
          <w:szCs w:val="32"/>
          <w:lang w:val="en-US" w:eastAsia="zh-CN"/>
        </w:rPr>
      </w:pPr>
      <w:r>
        <w:rPr>
          <w:rFonts w:ascii="仿宋_GB2312" w:eastAsia="仿宋_GB2312" w:cs="仿宋_GB2312" w:hAnsi="仿宋_GB2312" w:hint="eastAsia"/>
          <w:b w:val="0"/>
          <w:bCs w:val="0"/>
          <w:color w:val="auto"/>
          <w:sz w:val="32"/>
          <w:szCs w:val="32"/>
          <w:lang w:val="en-US" w:eastAsia="zh-CN"/>
        </w:rPr>
        <w:t>8.持续开展农村集体“三资”专项整治工作，制定工作方案，组织各乡镇对照方案逐条排查，发现问题及时报送并整改；聘请第三方审计公司对全区30个村2024年-2025年4月底的资料开展日常审计，配合社区换届对30个农村社区2021年至2025年资料开展离任审计工作；组织乡镇对农村集体经济组织开设和使用银行账户情况、签订的各类资产资源出租发包合同、债权、债务等情况进行摸排；完成2024年“三资”精准清查和年报填报工作。</w:t>
      </w:r>
    </w:p>
    <w:p>
      <w:pPr>
        <w:keepNext w:val="0"/>
        <w:keepLines w:val="0"/>
        <w:pageBreakBefore w:val="0"/>
        <w:widowControl w:val="0"/>
        <w:kinsoku/>
        <w:wordWrap/>
        <w:overflowPunct/>
        <w:topLinePunct w:val="0"/>
        <w:autoSpaceDE/>
        <w:autoSpaceDN/>
        <w:bidi w:val="0"/>
        <w:snapToGrid/>
        <w:spacing w:line="600" w:lineRule="exact"/>
        <w:ind w:firstLineChars="200" w:firstLine="640"/>
        <w:textAlignment w:val="auto"/>
        <w:outlineLvl w:val="9"/>
        <w:rPr>
          <w:rFonts w:ascii="仿宋_GB2312" w:eastAsia="仿宋_GB2312" w:cs="仿宋_GB2312" w:hAnsi="仿宋_GB2312" w:hint="eastAsia"/>
          <w:color w:val="auto"/>
          <w:sz w:val="32"/>
          <w:szCs w:val="32"/>
          <w:lang w:val="en-US" w:eastAsia="zh-CN" w:bidi="ar-SA"/>
        </w:rPr>
      </w:pPr>
      <w:r>
        <w:rPr>
          <w:rFonts w:ascii="仿宋_GB2312" w:eastAsia="仿宋_GB2312" w:cs="仿宋_GB2312" w:hAnsi="仿宋_GB2312" w:hint="eastAsia"/>
          <w:b w:val="0"/>
          <w:bCs w:val="0"/>
          <w:color w:val="auto"/>
          <w:sz w:val="32"/>
          <w:szCs w:val="32"/>
          <w:lang w:val="en-US" w:eastAsia="zh-CN"/>
        </w:rPr>
        <w:t>9.</w:t>
      </w:r>
      <w:r>
        <w:rPr>
          <w:rFonts w:ascii="仿宋_GB2312" w:eastAsia="仿宋_GB2312" w:cs="仿宋_GB2312" w:hAnsi="仿宋_GB2312" w:hint="eastAsia"/>
          <w:color w:val="auto"/>
          <w:sz w:val="32"/>
          <w:szCs w:val="32"/>
          <w:lang w:val="en-US" w:eastAsia="zh-CN"/>
        </w:rPr>
        <w:t>争取中央省市资金165.6万元，</w:t>
      </w:r>
      <w:r>
        <w:rPr>
          <w:rFonts w:ascii="仿宋_GB2312" w:eastAsia="仿宋_GB2312" w:cs="仿宋_GB2312" w:hAnsi="仿宋_GB2312" w:hint="eastAsia"/>
          <w:color w:val="auto"/>
          <w:sz w:val="32"/>
          <w:szCs w:val="32"/>
          <w:lang w:val="en-US" w:eastAsia="zh-CN" w:bidi="ar-SA"/>
        </w:rPr>
        <w:t>对全区4个水库管理和安全进行维修养护，更换中凤山社区供水管道5000余米，安装智能水表47块；</w:t>
      </w:r>
      <w:r>
        <w:rPr>
          <w:rFonts w:ascii="仿宋_GB2312" w:eastAsia="仿宋_GB2312" w:cs="仿宋_GB2312" w:hAnsi="仿宋_GB2312" w:hint="eastAsia"/>
          <w:color w:val="auto"/>
          <w:sz w:val="32"/>
          <w:szCs w:val="32"/>
          <w:lang w:val="en-US" w:eastAsia="zh-CN"/>
        </w:rPr>
        <w:t>2025年中央水利发展资金农村集中供水工程维修养护3个乡镇9个村11处工程；支持农村供水工程水质提升6处，涉及6个农村社区供水消毒设备安装；</w:t>
      </w:r>
      <w:r>
        <w:rPr>
          <w:rFonts w:ascii="仿宋_GB2312" w:eastAsia="仿宋_GB2312" w:cs="仿宋_GB2312" w:hAnsi="仿宋_GB2312" w:hint="eastAsia"/>
          <w:color w:val="auto"/>
          <w:sz w:val="32"/>
          <w:szCs w:val="32"/>
          <w:lang w:val="en-US" w:eastAsia="zh-CN" w:bidi="ar-SA"/>
        </w:rPr>
        <w:t>实施井陉矿区大峪村小流域水土保持综合治理工程和农业水利项目工程。今年投入20余万元用于防汛预警平台维护和报汛终端维养汛前检查5次、汛期中检查12次，汛后检查2次，防汛值守200余人次。实现安全度汛目标，人民生命财产安全得到有效保障。</w:t>
      </w:r>
    </w:p>
    <w:p>
      <w:pPr>
        <w:keepNext w:val="0"/>
        <w:keepLines w:val="0"/>
        <w:pageBreakBefore w:val="0"/>
        <w:widowControl w:val="0"/>
        <w:kinsoku/>
        <w:wordWrap/>
        <w:overflowPunct/>
        <w:topLinePunct w:val="0"/>
        <w:autoSpaceDE/>
        <w:autoSpaceDN/>
        <w:bidi w:val="0"/>
        <w:adjustRightInd/>
        <w:snapToGrid/>
        <w:spacing w:line="580" w:lineRule="exact"/>
        <w:ind w:left="0" w:firstLineChars="200" w:firstLine="640"/>
        <w:jc w:val="left"/>
        <w:textAlignment w:val="auto"/>
        <w:rPr>
          <w:rFonts w:ascii="仿宋_GB2312" w:eastAsia="仿宋_GB2312" w:cs="仿宋_GB2312" w:hAnsi="仿宋_GB2312" w:hint="eastAsia"/>
          <w:color w:val="auto"/>
          <w:sz w:val="32"/>
          <w:szCs w:val="32"/>
          <w:lang w:val="en-US" w:eastAsia="zh-CN"/>
        </w:rPr>
      </w:pPr>
      <w:r>
        <w:rPr>
          <w:rFonts w:ascii="仿宋_GB2312" w:eastAsia="仿宋_GB2312" w:cs="仿宋_GB2312" w:hAnsi="仿宋_GB2312" w:hint="eastAsia"/>
          <w:color w:val="auto"/>
          <w:sz w:val="32"/>
          <w:szCs w:val="32"/>
          <w:lang w:val="en-US" w:eastAsia="zh-CN"/>
        </w:rPr>
        <w:t>10.2025年井陉矿区县域节水型社会建设工作顺利完成，通过省、市专家验收组对我区县域节水型社会建设项目现场验收，并在省水利厅网站公布。</w:t>
      </w:r>
    </w:p>
    <w:p>
      <w:pPr>
        <w:spacing w:line="560" w:lineRule="exact"/>
        <w:rPr>
          <w:rFonts w:ascii="楷体" w:eastAsia="楷体" w:hAnsi="楷体"/>
          <w:bCs/>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adjustRightInd w:val="0"/>
        <w:snapToGrid w:val="0"/>
        <w:spacing w:line="560" w:lineRule="exact"/>
        <w:ind w:firstLineChars="200" w:firstLine="640"/>
        <w:rPr>
          <w:rFonts w:ascii="仿宋_GB2312" w:eastAsia="仿宋_GB2312" w:cs="仿宋_GB2312" w:hAnsi="仿宋_GB2312" w:hint="eastAsia"/>
          <w:color w:val="000000"/>
          <w:sz w:val="32"/>
          <w:szCs w:val="32"/>
          <w:shd w:val="clear" w:color="auto" w:fill="auto"/>
          <w:lang w:val="en-US" w:eastAsia="zh-CN"/>
          <w:highlight w:val="auto"/>
        </w:rPr>
      </w:pPr>
      <w:r>
        <w:rPr>
          <w:rFonts w:ascii="仿宋_GB2312" w:eastAsia="仿宋_GB2312" w:cs="仿宋_GB2312" w:hAnsi="仿宋_GB2312" w:hint="eastAsia"/>
          <w:color w:val="000000"/>
          <w:sz w:val="32"/>
          <w:szCs w:val="32"/>
          <w:shd w:val="clear" w:color="auto" w:fill="auto"/>
          <w:lang w:val="en-US" w:eastAsia="zh-CN"/>
          <w:highlight w:val="auto"/>
        </w:rPr>
        <w:t>我部门对20</w:t>
      </w:r>
      <w:r>
        <w:rPr>
          <w:rFonts w:ascii="仿宋_GB2312" w:eastAsia="仿宋_GB2312" w:cs="仿宋_GB2312" w:hAnsi="仿宋_GB2312" w:hint="eastAsia"/>
          <w:color w:val="000000"/>
          <w:sz w:val="32"/>
          <w:szCs w:val="32"/>
          <w:shd w:val="clear" w:color="auto" w:fill="auto"/>
          <w:lang w:val="en-US" w:eastAsia="zh-CN"/>
        </w:rPr>
        <w:t>25</w:t>
      </w:r>
      <w:r>
        <w:rPr>
          <w:rFonts w:ascii="仿宋_GB2312" w:eastAsia="仿宋_GB2312" w:cs="仿宋_GB2312" w:hAnsi="仿宋_GB2312" w:hint="eastAsia"/>
          <w:color w:val="000000"/>
          <w:sz w:val="32"/>
          <w:szCs w:val="32"/>
          <w:shd w:val="clear" w:color="auto" w:fill="auto"/>
          <w:lang w:val="en-US" w:eastAsia="zh-CN"/>
          <w:highlight w:val="auto"/>
        </w:rPr>
        <w:t>年实施的61个</w:t>
      </w:r>
      <w:r>
        <w:rPr>
          <w:rFonts w:ascii="仿宋_GB2312" w:eastAsia="仿宋_GB2312" w:cs="仿宋_GB2312" w:hAnsi="仿宋_GB2312" w:hint="eastAsia"/>
          <w:b w:val="0"/>
          <w:color w:val="000000"/>
          <w:sz w:val="32"/>
          <w:szCs w:val="32"/>
          <w:shd w:val="clear" w:color="auto" w:fill="auto"/>
          <w:lang w:val="en-US" w:eastAsia="zh-CN"/>
          <w:highlight w:val="auto"/>
        </w:rPr>
        <w:t>项目</w:t>
      </w:r>
      <w:r>
        <w:rPr>
          <w:rFonts w:ascii="仿宋_GB2312" w:eastAsia="仿宋_GB2312" w:cs="仿宋_GB2312" w:hAnsi="仿宋_GB2312" w:hint="eastAsia"/>
          <w:color w:val="000000"/>
          <w:sz w:val="32"/>
          <w:szCs w:val="32"/>
          <w:shd w:val="clear" w:color="auto" w:fill="auto"/>
          <w:lang w:val="en-US" w:eastAsia="zh-CN"/>
          <w:highlight w:val="auto"/>
        </w:rPr>
        <w:t>开展了绩效自评工作，通过自评</w:t>
      </w:r>
      <w:r>
        <w:rPr>
          <w:rFonts w:ascii="仿宋_GB2312" w:eastAsia="仿宋_GB2312" w:cs="仿宋_GB2312" w:hAnsi="仿宋_GB2312" w:hint="eastAsia"/>
          <w:b w:val="0"/>
          <w:color w:val="000000"/>
          <w:sz w:val="32"/>
          <w:szCs w:val="32"/>
          <w:shd w:val="clear" w:color="auto" w:fill="auto"/>
          <w:lang w:val="en-US" w:eastAsia="zh-CN"/>
          <w:highlight w:val="auto"/>
        </w:rPr>
        <w:t>发现，已完成绩效目标的项目有61个，占比100%，全部项目无绩效目标</w:t>
      </w:r>
      <w:r>
        <w:rPr>
          <w:rFonts w:ascii="仿宋_GB2312" w:eastAsia="仿宋_GB2312" w:cs="仿宋_GB2312" w:hAnsi="仿宋_GB2312" w:hint="eastAsia"/>
          <w:b w:val="0"/>
          <w:i w:val="0"/>
          <w:color w:val="000000"/>
          <w:kern w:val="2"/>
          <w:sz w:val="32"/>
          <w:szCs w:val="32"/>
          <w:shd w:val="clear" w:color="auto" w:fill="auto"/>
          <w:lang w:val="en-US" w:eastAsia="zh-CN"/>
          <w:highlight w:val="auto"/>
        </w:rPr>
        <w:t>偏离较大的及未完成的，总体评价为优秀等级。具体</w:t>
      </w:r>
      <w:r>
        <w:rPr>
          <w:rFonts w:ascii="仿宋_GB2312" w:eastAsia="仿宋_GB2312" w:cs="仿宋_GB2312" w:hAnsi="仿宋_GB2312" w:hint="eastAsia"/>
          <w:color w:val="000000"/>
          <w:sz w:val="32"/>
          <w:szCs w:val="32"/>
          <w:shd w:val="clear" w:color="auto" w:fill="auto"/>
          <w:highlight w:val="auto"/>
        </w:rPr>
        <w:t>项目绩效目标完成</w:t>
      </w:r>
      <w:r>
        <w:rPr>
          <w:rFonts w:ascii="仿宋_GB2312" w:eastAsia="仿宋_GB2312" w:cs="仿宋_GB2312" w:hAnsi="仿宋_GB2312" w:hint="eastAsia"/>
          <w:color w:val="000000"/>
          <w:sz w:val="32"/>
          <w:szCs w:val="32"/>
          <w:shd w:val="clear" w:color="auto" w:fill="auto"/>
          <w:lang w:eastAsia="zh-CN"/>
          <w:highlight w:val="auto"/>
        </w:rPr>
        <w:t>及自评情况</w:t>
      </w:r>
      <w:r>
        <w:rPr>
          <w:rFonts w:ascii="仿宋_GB2312" w:eastAsia="仿宋_GB2312" w:cs="仿宋_GB2312" w:hAnsi="仿宋_GB2312" w:hint="eastAsia"/>
          <w:color w:val="000000"/>
          <w:sz w:val="32"/>
          <w:szCs w:val="32"/>
          <w:shd w:val="clear" w:color="auto" w:fill="auto"/>
          <w:lang w:val="en-US" w:eastAsia="zh-CN"/>
          <w:highlight w:val="auto"/>
        </w:rPr>
        <w:t>详见下表：</w:t>
      </w:r>
    </w:p>
    <w:p>
      <w:pPr>
        <w:pStyle w:val="15"/>
        <w:rPr>
          <w:rFonts w:hint="eastAsia"/>
          <w:lang w:val="en-US" w:eastAsia="zh-CN"/>
        </w:rPr>
      </w:pPr>
    </w:p>
    <w:tbl>
      <w:tblPr>
        <w:jc w:val="center"/>
        <w:tblW w:w="8790"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0" w:type="dxa"/>
          <w:bottom w:w="0" w:type="dxa"/>
          <w:right w:w="0" w:type="dxa"/>
        </w:tblCellMar>
        <w:tblLook w:val="0600" w:firstRow="0" w:lastRow="0" w:firstColumn="0" w:lastColumn="0" w:noHBand="1" w:noVBand="1"/>
      </w:tblPr>
      <w:tblGrid>
        <w:gridCol w:w="660"/>
        <w:gridCol w:w="2130"/>
        <w:gridCol w:w="840"/>
        <w:gridCol w:w="1035"/>
        <w:gridCol w:w="2670"/>
        <w:gridCol w:w="915"/>
        <w:gridCol w:w="540"/>
      </w:tblGrid>
      <w:tr>
        <w:trPr>
          <w:trHeight w:val="225"/>
        </w:trPr>
        <w:tc>
          <w:tcPr>
            <w:tcW w:w="66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eastAsia="仿宋" w:cs="仿宋" w:hAnsi="仿宋"/>
                <w:b/>
                <w:i w:val="0"/>
                <w:color w:val="000000"/>
                <w:sz w:val="18"/>
                <w:szCs w:val="18"/>
                <w:u w:val="none"/>
                <w:highlight w:val="auto"/>
              </w:rPr>
            </w:pPr>
            <w:r>
              <w:rPr>
                <w:rFonts w:ascii="仿宋" w:eastAsia="仿宋" w:cs="仿宋" w:hAnsi="仿宋"/>
                <w:b/>
                <w:i w:val="0"/>
                <w:color w:val="000000"/>
                <w:kern w:val="0"/>
                <w:sz w:val="18"/>
                <w:szCs w:val="18"/>
                <w:u w:val="none"/>
                <w:lang w:val="en-US" w:eastAsia="zh-CN"/>
                <w:highlight w:val="auto"/>
              </w:rPr>
              <w:t>序号</w:t>
            </w:r>
          </w:p>
        </w:tc>
        <w:tc>
          <w:tcPr>
            <w:tcW w:w="213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eastAsia="仿宋" w:cs="仿宋" w:hAnsi="仿宋"/>
                <w:b/>
                <w:i w:val="0"/>
                <w:color w:val="000000"/>
                <w:sz w:val="18"/>
                <w:szCs w:val="18"/>
                <w:u w:val="none"/>
                <w:highlight w:val="auto"/>
              </w:rPr>
            </w:pPr>
            <w:r>
              <w:rPr>
                <w:rFonts w:ascii="仿宋" w:eastAsia="仿宋" w:cs="仿宋" w:hAnsi="仿宋"/>
                <w:b/>
                <w:i w:val="0"/>
                <w:color w:val="000000"/>
                <w:kern w:val="0"/>
                <w:sz w:val="18"/>
                <w:szCs w:val="18"/>
                <w:u w:val="none"/>
                <w:lang w:val="en-US" w:eastAsia="zh-CN"/>
                <w:highlight w:val="auto"/>
              </w:rPr>
              <w:t>项目名称</w:t>
            </w:r>
          </w:p>
        </w:tc>
        <w:tc>
          <w:tcPr>
            <w:tcW w:w="8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eastAsia="仿宋" w:cs="仿宋" w:hAnsi="仿宋"/>
                <w:b/>
                <w:i w:val="0"/>
                <w:color w:val="000000"/>
                <w:sz w:val="18"/>
                <w:szCs w:val="18"/>
                <w:u w:val="none"/>
                <w:highlight w:val="auto"/>
              </w:rPr>
            </w:pPr>
            <w:r>
              <w:rPr>
                <w:rFonts w:ascii="仿宋" w:eastAsia="仿宋" w:cs="仿宋" w:hAnsi="仿宋"/>
                <w:b/>
                <w:i w:val="0"/>
                <w:color w:val="000000"/>
                <w:kern w:val="0"/>
                <w:sz w:val="18"/>
                <w:szCs w:val="18"/>
                <w:u w:val="none"/>
                <w:lang w:val="en-US" w:eastAsia="zh-CN"/>
                <w:highlight w:val="auto"/>
              </w:rPr>
              <w:t>绩效目标是否完成</w:t>
            </w:r>
          </w:p>
        </w:tc>
        <w:tc>
          <w:tcPr>
            <w:tcW w:w="103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eastAsia="仿宋" w:cs="仿宋" w:hAnsi="仿宋"/>
                <w:b/>
                <w:i w:val="0"/>
                <w:color w:val="000000"/>
                <w:sz w:val="18"/>
                <w:szCs w:val="18"/>
                <w:u w:val="none"/>
                <w:highlight w:val="auto"/>
              </w:rPr>
            </w:pPr>
            <w:r>
              <w:rPr>
                <w:rFonts w:ascii="仿宋" w:eastAsia="仿宋" w:cs="仿宋" w:hAnsi="仿宋"/>
                <w:b/>
                <w:i w:val="0"/>
                <w:color w:val="000000"/>
                <w:kern w:val="0"/>
                <w:sz w:val="18"/>
                <w:szCs w:val="18"/>
                <w:u w:val="none"/>
                <w:lang w:val="en-US" w:eastAsia="zh-CN"/>
                <w:highlight w:val="auto"/>
              </w:rPr>
              <w:t>执行</w:t>
              <w:br/>
              <w:t>预算数</w:t>
            </w:r>
            <w:r>
              <w:rPr>
                <w:rFonts w:ascii="仿宋" w:eastAsia="仿宋" w:cs="仿宋" w:hAnsi="仿宋" w:hint="eastAsia"/>
                <w:b/>
                <w:i w:val="0"/>
                <w:color w:val="000000"/>
                <w:kern w:val="0"/>
                <w:sz w:val="18"/>
                <w:szCs w:val="18"/>
                <w:u w:val="none"/>
                <w:lang w:val="en-US" w:eastAsia="zh-CN"/>
                <w:highlight w:val="auto"/>
              </w:rPr>
              <w:t xml:space="preserve">   </w:t>
            </w:r>
            <w:r>
              <w:rPr>
                <w:rFonts w:ascii="仿宋" w:eastAsia="仿宋" w:cs="仿宋" w:hAnsi="仿宋"/>
                <w:b/>
                <w:i w:val="0"/>
                <w:color w:val="000000"/>
                <w:kern w:val="0"/>
                <w:sz w:val="18"/>
                <w:szCs w:val="18"/>
                <w:u w:val="none"/>
                <w:lang w:val="en-US" w:eastAsia="zh-CN"/>
                <w:highlight w:val="auto"/>
              </w:rPr>
              <w:t>（万元）</w:t>
            </w:r>
          </w:p>
        </w:tc>
        <w:tc>
          <w:tcPr>
            <w:tcW w:w="267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eastAsia="仿宋" w:cs="仿宋" w:hAnsi="仿宋"/>
                <w:b/>
                <w:i w:val="0"/>
                <w:color w:val="000000"/>
                <w:sz w:val="18"/>
                <w:szCs w:val="18"/>
                <w:u w:val="none"/>
                <w:highlight w:val="auto"/>
              </w:rPr>
            </w:pPr>
            <w:r>
              <w:rPr>
                <w:rFonts w:ascii="仿宋" w:eastAsia="仿宋" w:cs="仿宋" w:hAnsi="仿宋"/>
                <w:b/>
                <w:i w:val="0"/>
                <w:color w:val="000000"/>
                <w:kern w:val="0"/>
                <w:sz w:val="18"/>
                <w:szCs w:val="18"/>
                <w:u w:val="none"/>
                <w:lang w:val="en-US" w:eastAsia="zh-CN"/>
                <w:highlight w:val="auto"/>
              </w:rPr>
              <w:t>具体指标完成情况</w:t>
            </w:r>
          </w:p>
        </w:tc>
        <w:tc>
          <w:tcPr>
            <w:tcW w:w="91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eastAsia="仿宋" w:cs="仿宋" w:hAnsi="仿宋"/>
                <w:b/>
                <w:i w:val="0"/>
                <w:color w:val="000000"/>
                <w:sz w:val="18"/>
                <w:szCs w:val="18"/>
                <w:u w:val="none"/>
                <w:highlight w:val="auto"/>
              </w:rPr>
            </w:pPr>
            <w:r>
              <w:rPr>
                <w:rFonts w:ascii="仿宋" w:eastAsia="仿宋" w:cs="仿宋" w:hAnsi="仿宋"/>
                <w:b/>
                <w:i w:val="0"/>
                <w:color w:val="000000"/>
                <w:kern w:val="0"/>
                <w:sz w:val="18"/>
                <w:szCs w:val="18"/>
                <w:u w:val="none"/>
                <w:lang w:val="en-US" w:eastAsia="zh-CN"/>
                <w:highlight w:val="auto"/>
              </w:rPr>
              <w:t>自评得分</w:t>
            </w:r>
          </w:p>
        </w:tc>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eastAsia="仿宋" w:cs="仿宋" w:hAnsi="仿宋"/>
                <w:b/>
                <w:i w:val="0"/>
                <w:color w:val="000000"/>
                <w:sz w:val="18"/>
                <w:szCs w:val="18"/>
                <w:u w:val="none"/>
                <w:highlight w:val="auto"/>
              </w:rPr>
            </w:pPr>
            <w:r>
              <w:rPr>
                <w:rFonts w:ascii="仿宋" w:eastAsia="仿宋" w:cs="仿宋" w:hAnsi="仿宋"/>
                <w:b/>
                <w:i w:val="0"/>
                <w:color w:val="000000"/>
                <w:kern w:val="0"/>
                <w:sz w:val="18"/>
                <w:szCs w:val="18"/>
                <w:u w:val="none"/>
                <w:lang w:val="en-US" w:eastAsia="zh-CN"/>
                <w:highlight w:val="auto"/>
              </w:rPr>
              <w:t>评价等级</w:t>
            </w:r>
          </w:p>
        </w:tc>
      </w:tr>
      <w:tr>
        <w:trPr>
          <w:trHeight w:val="500"/>
        </w:trPr>
        <w:tc>
          <w:tcPr>
            <w:tcW w:w="66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13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8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103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267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91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c>
          <w:tcPr>
            <w:tcW w:w="5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tc>
      </w:tr>
      <w:tr>
        <w:trPr>
          <w:trHeight w:val="715"/>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一次性抚恤金及丧葬费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40.88068</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职工去世后，及时申报并发放一次性抚恤金及丧葬费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2</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劳务派遣人员经费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23.259628</w:t>
            </w:r>
            <w:r>
              <w:rPr>
                <w:rFonts w:ascii="宋体" w:eastAsia="宋体" w:cs="宋体" w:hAnsi="宋体" w:hint="eastAsia"/>
                <w:i w:val="0"/>
                <w:color w:val="000000"/>
                <w:kern w:val="0"/>
                <w:sz w:val="18"/>
                <w:szCs w:val="18"/>
                <w:u w:val="none"/>
                <w:lang w:val="en-US" w:eastAsia="zh-CN"/>
                <w:highlight w:val="auto"/>
              </w:rPr>
              <w:t xml:space="preserve">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通过拨付劳务派遣人员工资及保险，保障了派遣人员合法权益，相关人员工作积极性及工作效率显著提高，降低了单位用人成本。</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网络运行经费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2</w:t>
            </w:r>
            <w:r>
              <w:rPr>
                <w:rFonts w:ascii="宋体" w:eastAsia="宋体" w:cs="宋体" w:hAnsi="宋体" w:hint="eastAsia"/>
                <w:i w:val="0"/>
                <w:color w:val="000000"/>
                <w:kern w:val="0"/>
                <w:sz w:val="18"/>
                <w:szCs w:val="18"/>
                <w:u w:val="none"/>
                <w:lang w:val="en-US" w:eastAsia="zh-CN"/>
                <w:highlight w:val="auto"/>
              </w:rPr>
              <w:t xml:space="preserve">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通过相关费用及时支付，有效保障了全局各业务股室互联网、视频会议、防汛平台等正常运行。</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87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lang w:val="en-US" w:eastAsia="zh-CN"/>
                <w:highlight w:val="auto"/>
              </w:rPr>
            </w:pPr>
            <w:r>
              <w:rPr>
                <w:rFonts w:ascii="宋体" w:cs="宋体" w:hAnsi="宋体" w:hint="eastAsia"/>
                <w:i w:val="0"/>
                <w:color w:val="000000"/>
                <w:sz w:val="18"/>
                <w:szCs w:val="18"/>
                <w:u w:val="none"/>
                <w:lang w:val="en-US" w:eastAsia="zh-CN"/>
                <w:highlight w:val="auto"/>
              </w:rPr>
              <w:t>4</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lang w:eastAsia="zh-CN"/>
                <w:highlight w:val="auto"/>
              </w:rPr>
            </w:pPr>
            <w:r>
              <w:rPr>
                <w:rFonts w:ascii="宋体" w:cs="宋体" w:hAnsi="宋体" w:hint="eastAsia"/>
                <w:i w:val="0"/>
                <w:color w:val="000000"/>
                <w:sz w:val="18"/>
                <w:szCs w:val="18"/>
                <w:u w:val="none"/>
                <w:lang w:eastAsia="zh-CN"/>
                <w:highlight w:val="auto"/>
              </w:rPr>
              <w:t>机关运转经费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lang w:eastAsia="zh-CN"/>
                <w:highlight w:val="auto"/>
              </w:rPr>
            </w:pPr>
            <w:r>
              <w:rPr>
                <w:rFonts w:ascii="宋体" w:cs="宋体" w:hAnsi="宋体" w:hint="eastAsia"/>
                <w:i w:val="0"/>
                <w:color w:val="000000"/>
                <w:sz w:val="18"/>
                <w:szCs w:val="18"/>
                <w:u w:val="none"/>
                <w:lang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lang w:val="en-US" w:eastAsia="zh-CN"/>
                <w:highlight w:val="auto"/>
              </w:rPr>
            </w:pPr>
            <w:r>
              <w:rPr>
                <w:rFonts w:ascii="宋体" w:cs="宋体" w:hAnsi="宋体" w:hint="eastAsia"/>
                <w:i w:val="0"/>
                <w:color w:val="000000"/>
                <w:sz w:val="18"/>
                <w:szCs w:val="18"/>
                <w:u w:val="none"/>
                <w:lang w:val="en-US" w:eastAsia="zh-CN"/>
                <w:highlight w:val="auto"/>
              </w:rPr>
              <w:t>3</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lang w:eastAsia="zh-CN"/>
                <w:highlight w:val="auto"/>
              </w:rPr>
            </w:pPr>
            <w:r>
              <w:rPr>
                <w:rFonts w:ascii="宋体" w:cs="宋体" w:hAnsi="宋体" w:hint="eastAsia"/>
                <w:i w:val="0"/>
                <w:color w:val="000000"/>
                <w:sz w:val="18"/>
                <w:szCs w:val="18"/>
                <w:u w:val="none"/>
                <w:lang w:eastAsia="zh-CN"/>
                <w:highlight w:val="auto"/>
              </w:rPr>
              <w:t>通过按时缴纳机关电费，保证用电设备正常运行，提高全局工作质量</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lang w:val="en-US" w:eastAsia="zh-CN"/>
                <w:highlight w:val="auto"/>
              </w:rPr>
            </w:pPr>
            <w:r>
              <w:rPr>
                <w:rFonts w:ascii="宋体" w:cs="宋体" w:hAnsi="宋体" w:hint="eastAsia"/>
                <w:i w:val="0"/>
                <w:color w:val="00000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lang w:eastAsia="zh-CN"/>
                <w:highlight w:val="auto"/>
              </w:rPr>
            </w:pPr>
            <w:r>
              <w:rPr>
                <w:rFonts w:ascii="宋体" w:cs="宋体" w:hAnsi="宋体" w:hint="eastAsia"/>
                <w:i w:val="0"/>
                <w:color w:val="000000"/>
                <w:sz w:val="18"/>
                <w:szCs w:val="18"/>
                <w:u w:val="none"/>
                <w:lang w:eastAsia="zh-CN"/>
                <w:highlight w:val="auto"/>
              </w:rPr>
              <w:t>优秀</w:t>
            </w:r>
          </w:p>
        </w:tc>
      </w:tr>
      <w:tr>
        <w:trPr>
          <w:trHeight w:val="1115"/>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5</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2024省级农业产业发展资金（黄贮补贴）</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sz w:val="18"/>
                <w:szCs w:val="18"/>
                <w:u w:val="none"/>
                <w:lang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0.46</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通过发放补贴，激发了养殖户的养殖积极性，2024年比2023年存栏增加了97头。</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6</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2024年动物防疫强制免疫补助资金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sz w:val="18"/>
                <w:szCs w:val="18"/>
                <w:u w:val="none"/>
                <w:lang w:eastAsia="zh-CN"/>
                <w:highlight w:val="auto"/>
              </w:rPr>
            </w:pPr>
            <w:r>
              <w:rPr>
                <w:rFonts w:ascii="宋体" w:cs="宋体" w:hAnsi="宋体" w:hint="eastAsia"/>
                <w:i w:val="0"/>
                <w:color w:val="000000"/>
                <w:sz w:val="18"/>
                <w:szCs w:val="18"/>
                <w:u w:val="none"/>
                <w:lang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14.44702</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口蹄疫、高致病性禽流感、布病、小反刍兽疫等强制免疫病和应免疫畜禽的免疫密度100%，抗体合格率常年保持100%以上；2023年养殖环节收集的病死猪全部进行无害化处理；不发生区域性重大动物疫情。</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96</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085"/>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7</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2024年下半年财政农业保险保费补贴资金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sz w:val="18"/>
                <w:szCs w:val="18"/>
                <w:u w:val="none"/>
                <w:lang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 xml:space="preserve">26.697106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引导和支持农户参加农业保险；稳定农业生产，保障农民收入；完成农业保险补助。</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94</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8</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2025年省市动物防疫强制免疫经费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0.46</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口蹄疫、高致病性禽流感、布病、小反刍兽疫等强制免疫病种和春秋防检查养殖场户免疫密度合格率90%以上，春秋防检查免疫抗体合格率70%以上；2024年养殖环节收集的病死猪全部进行无害化处理；不发生区域性重大动物疫情。</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95</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提前下达2025年市级农业转移支付预算指标-养殖环节病死猪无害化处理及疫病净化补助资金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 xml:space="preserve">10.00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养殖环节收集的病死猪无害化处理率100%，实施了布病等动物疫病净化</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提前下达2025年市级农业转移支付预算指标-病死畜禽无害化处理全覆盖资金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0.02664</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收集的猪以外的病死畜禽全部进行无害化处理，有效防控重大动物疫病发生，提升养殖户经济效益及养殖生态环境。</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97</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11</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调整2025年市级农业防灾减灾资金（养殖环节病死猪无害化处理及疫病净化补助）</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0.378</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养殖环节收集的病死猪无害化处理率100%，实施了布病等动物疫病净化</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97</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12</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受污染耕地治理经费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 xml:space="preserve">2.00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聘请第三方公司制定受污染耕地安全利用方案并按实施方案完成治理任务。经第三方公司对实施效果进行评估，评估得分94分。</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农机员、农技员、基层兽医生活补助</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 xml:space="preserve">4.344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对所有符合补助条件的14名基层“三员”进行核实，并全部按时足额发放补贴4.344万元</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055"/>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14</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提前下达2023年市级农业转移支付资金-农产品质量安全水平提高</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0.6034</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对全区蔬菜、水果等农产品进行抽检，有效提升农产品质量安全水平</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20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15</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提前下达2024年中央农业经营主体能力提升资金-设施蔬菜生产能力提升</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18</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项目支持2个农业经营主体对老旧棚室进行改造升级，提升蔬菜设施保温、抗灾能力。项目已全部完成，补助资金已全部发放到位。</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cs="宋体" w:hAnsi="宋体" w:hint="eastAsia"/>
                <w:i w:val="0"/>
                <w:color w:val="000000"/>
                <w:kern w:val="0"/>
                <w:sz w:val="18"/>
                <w:szCs w:val="18"/>
                <w:u w:val="none"/>
                <w:lang w:val="en-US" w:eastAsia="zh-CN"/>
                <w:highlight w:val="auto"/>
              </w:rPr>
              <w:t>16</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提前下达202</w:t>
            </w:r>
            <w:r>
              <w:rPr>
                <w:rFonts w:ascii="宋体" w:cs="宋体" w:hAnsi="宋体" w:hint="eastAsia"/>
                <w:i w:val="0"/>
                <w:color w:val="000000"/>
                <w:kern w:val="0"/>
                <w:sz w:val="18"/>
                <w:szCs w:val="18"/>
                <w:u w:val="none"/>
                <w:lang w:val="en-US" w:eastAsia="zh-CN"/>
                <w:highlight w:val="auto"/>
              </w:rPr>
              <w:t>4</w:t>
            </w:r>
            <w:r>
              <w:rPr>
                <w:rFonts w:ascii="宋体" w:eastAsia="宋体" w:cs="宋体" w:hAnsi="宋体" w:hint="eastAsia"/>
                <w:i w:val="0"/>
                <w:color w:val="000000"/>
                <w:kern w:val="0"/>
                <w:sz w:val="18"/>
                <w:szCs w:val="18"/>
                <w:u w:val="none"/>
                <w:lang w:val="en-US" w:eastAsia="zh-CN"/>
                <w:highlight w:val="auto"/>
              </w:rPr>
              <w:t>年市级农业转移支付</w:t>
            </w:r>
            <w:r>
              <w:rPr>
                <w:rFonts w:ascii="宋体" w:cs="宋体" w:hAnsi="宋体" w:hint="eastAsia"/>
                <w:i w:val="0"/>
                <w:color w:val="000000"/>
                <w:kern w:val="0"/>
                <w:sz w:val="18"/>
                <w:szCs w:val="18"/>
                <w:u w:val="none"/>
                <w:lang w:val="en-US" w:eastAsia="zh-CN"/>
                <w:highlight w:val="auto"/>
              </w:rPr>
              <w:t>预算</w:t>
            </w:r>
            <w:r>
              <w:rPr>
                <w:rFonts w:ascii="宋体" w:eastAsia="宋体" w:cs="宋体" w:hAnsi="宋体" w:hint="eastAsia"/>
                <w:i w:val="0"/>
                <w:color w:val="000000"/>
                <w:kern w:val="0"/>
                <w:sz w:val="18"/>
                <w:szCs w:val="18"/>
                <w:u w:val="none"/>
                <w:lang w:val="en-US" w:eastAsia="zh-CN"/>
                <w:highlight w:val="auto"/>
              </w:rPr>
              <w:t>-农业创新驿站</w:t>
            </w:r>
            <w:r>
              <w:rPr>
                <w:rFonts w:ascii="宋体" w:cs="宋体" w:hAnsi="宋体" w:hint="eastAsia"/>
                <w:i w:val="0"/>
                <w:color w:val="000000"/>
                <w:kern w:val="0"/>
                <w:sz w:val="18"/>
                <w:szCs w:val="18"/>
                <w:u w:val="none"/>
                <w:lang w:val="en-US" w:eastAsia="zh-CN"/>
                <w:highlight w:val="auto"/>
              </w:rPr>
              <w:t>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 xml:space="preserve">20.00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项目已按实施方案完成，组建专家团队，开展技术培训引进3项新技术，购置2台新设备，购买有机肥和农药。参加各种品牌推介会，扩大品牌知名度。补助资金已按时拨付。</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98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17</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提前下达2025年省级农业防灾减灾资金预算-农产品质量安全检测与控制能力提升</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0.4142</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对全区蔬菜、水果等农产品进行抽检，有效提升农产品质量安全水平</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18</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提前下达2025年中央耕地建设与利用资金-耕地地力保护补贴</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40</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完成全区6377.6亩耕地地力保护补贴发放，共补贴资金51.0208万元，支持耕地地力提升。</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19</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提前下达2025年粮油生产保障资金（小麦“一喷三防”）</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0.209</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项目购买联苯.噻虫嗪、戊唑醇等药剂417套发放到小麦种植大户、农民专业合作社、家庭农场等新型农业经营主体及农户，开展小麦“一喷三防”，最大程度地降低小麦灾情，实现丰产丰收。</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20</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提前下达2025年中央农业经营主体能力提升资金-设施农业提升</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项目已按实施方案全部完成。补助资金已拨到位。一是新建1个塑料大棚，二是对1个温室大棚两侧墙体进行砖砌加固，对1个温室大棚棚内通道铺设便砖，三是对两个温室安装补光灯，四是购买安装无纺布棉被。</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21</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 xml:space="preserve"> 2025年中央农业经营主体能力提升资金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项目已按实施方案全部完成。补助资金已拨到位。一是更换3个温室的棉被，二是对1个温室大棚两侧墙体进行砖砌加固,三是对4个温室和3个大棚安装滴灌设备,四是购置农用机械、卷帘机头和农家肥。</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88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22</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农村厕所改造后续管护经费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 xml:space="preserve">25.2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完成日常维护改造后的农村厕所，提高了农村居民生活质量，进一步补齐了农村基础设施短板。</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98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提前下达2023年省级乡村振兴（农村人居环境整治提升）专项资金—省级美丽乡村精品村奖补项目</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 xml:space="preserve">50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完成了美丽乡村和精品村环境整治、游园建设、道路硬化等项目，进一步提升了美丽乡村建设水平。</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24</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提前下达2023年省级乡村振兴（农村人居环境整治提升）专项资金（政府债券）—农村厕所改造项目</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0.8805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完成了省级下达的农村厕所改造任务</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25</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提前下达2024年省级乡村振兴[农村人居环境整治]专项资金[政府债券]-和美乡村示范村奖补项目</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116.4</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根据实施方案设定，已完成村庄数1个</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26</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提前下达2024年省级乡村振兴[农村人居环境整治]专项资金[政府债券]-农村厕所改造项目</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29.7172</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完成了省级下达的农村厕所改造任务</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27</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提前下达2024年市级农业转移支付预算-革命老区重点村建设资金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41.24959</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严格按照实施方案要求，完成了项目建设</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28</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提前下达2024年中央农业经营主体能力提升资金-新型农业经营主体培育</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30</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通过支持红薯加工设备设施提升项目，提高了农民合作社生产能力以及农产品加工能力，不断延伸红薯种植产业链条</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29</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提前下达2025年省级财政衔接推进乡村振兴补助资金（专项资金）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45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已完成1个产业项目、1个基础设施建设项目</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02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30</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提前下达2023年市级农业转移支付资金-乡村振兴村企合作及乡村振兴示范区创建项目</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 xml:space="preserve">60.00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已完成村企建设项目2个，通过支持乡村振兴联农带农村企合作项目建设进行奖补，有效带动农村产业发展。</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31</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w:t>
            </w:r>
            <w:r>
              <w:rPr>
                <w:rFonts w:ascii="宋体" w:cs="宋体" w:hAnsi="宋体" w:hint="eastAsia"/>
                <w:i w:val="0"/>
                <w:color w:val="000000"/>
                <w:kern w:val="0"/>
                <w:sz w:val="18"/>
                <w:szCs w:val="18"/>
                <w:u w:val="none"/>
                <w:lang w:val="en-US" w:eastAsia="zh-CN"/>
                <w:highlight w:val="auto"/>
              </w:rPr>
              <w:t>4</w:t>
            </w:r>
            <w:r>
              <w:rPr>
                <w:rFonts w:ascii="宋体" w:eastAsia="宋体" w:cs="宋体" w:hAnsi="宋体" w:hint="eastAsia"/>
                <w:i w:val="0"/>
                <w:color w:val="000000"/>
                <w:kern w:val="0"/>
                <w:sz w:val="18"/>
                <w:szCs w:val="18"/>
                <w:u w:val="none"/>
                <w:lang w:val="en-US" w:eastAsia="zh-CN"/>
                <w:highlight w:val="auto"/>
              </w:rPr>
              <w:t>年</w:t>
            </w:r>
            <w:r>
              <w:rPr>
                <w:rFonts w:ascii="宋体" w:cs="宋体" w:hAnsi="宋体" w:hint="eastAsia"/>
                <w:i w:val="0"/>
                <w:color w:val="000000"/>
                <w:kern w:val="0"/>
                <w:sz w:val="18"/>
                <w:szCs w:val="18"/>
                <w:u w:val="none"/>
                <w:lang w:val="en-US" w:eastAsia="zh-CN"/>
                <w:highlight w:val="auto"/>
              </w:rPr>
              <w:t>市级</w:t>
            </w:r>
            <w:r>
              <w:rPr>
                <w:rFonts w:ascii="宋体" w:eastAsia="宋体" w:cs="宋体" w:hAnsi="宋体" w:hint="eastAsia"/>
                <w:i w:val="0"/>
                <w:color w:val="000000"/>
                <w:kern w:val="0"/>
                <w:sz w:val="18"/>
                <w:szCs w:val="18"/>
                <w:u w:val="none"/>
                <w:lang w:val="en-US" w:eastAsia="zh-CN"/>
                <w:highlight w:val="auto"/>
              </w:rPr>
              <w:t>农业转移支付</w:t>
            </w:r>
            <w:r>
              <w:rPr>
                <w:rFonts w:ascii="宋体" w:cs="宋体" w:hAnsi="宋体" w:hint="eastAsia"/>
                <w:i w:val="0"/>
                <w:color w:val="000000"/>
                <w:kern w:val="0"/>
                <w:sz w:val="18"/>
                <w:szCs w:val="18"/>
                <w:u w:val="none"/>
                <w:lang w:val="en-US" w:eastAsia="zh-CN"/>
                <w:highlight w:val="auto"/>
              </w:rPr>
              <w:t>预算</w:t>
            </w:r>
            <w:r>
              <w:rPr>
                <w:rFonts w:ascii="宋体" w:eastAsia="宋体" w:cs="宋体" w:hAnsi="宋体" w:hint="eastAsia"/>
                <w:i w:val="0"/>
                <w:color w:val="000000"/>
                <w:kern w:val="0"/>
                <w:sz w:val="18"/>
                <w:szCs w:val="18"/>
                <w:u w:val="none"/>
                <w:lang w:val="en-US" w:eastAsia="zh-CN"/>
                <w:highlight w:val="auto"/>
              </w:rPr>
              <w:t>-菜篮子示范工程项目</w:t>
            </w:r>
            <w:r>
              <w:rPr>
                <w:rFonts w:ascii="宋体" w:cs="宋体" w:hAnsi="宋体" w:hint="eastAsia"/>
                <w:i w:val="0"/>
                <w:color w:val="000000"/>
                <w:kern w:val="0"/>
                <w:sz w:val="18"/>
                <w:szCs w:val="18"/>
                <w:u w:val="none"/>
                <w:lang w:val="en-US" w:eastAsia="zh-CN"/>
                <w:highlight w:val="auto"/>
              </w:rPr>
              <w:t>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45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已完成水果示范基地建设3个</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32</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提前下达2023年市级水利发展资金-河长制考核奖补</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2</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对全区河道四乱进行了清理整治，解决了本年度河道四乱问题</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提前下达2024年市级水利发展资金-河长制考核奖补</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4</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对全区河道四乱进行了清理整治，解决了本年度河道四乱问题</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34</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提前下达2024年中央水利发展资金预算-在线计量监测</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10.54</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完成农村生活计量设施36个安装任务</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35</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w:t>
            </w:r>
            <w:r>
              <w:rPr>
                <w:rFonts w:ascii="宋体" w:cs="宋体" w:hAnsi="宋体" w:hint="eastAsia"/>
                <w:i w:val="0"/>
                <w:color w:val="000000"/>
                <w:kern w:val="0"/>
                <w:sz w:val="18"/>
                <w:szCs w:val="18"/>
                <w:u w:val="none"/>
                <w:lang w:val="en-US" w:eastAsia="zh-CN"/>
                <w:highlight w:val="auto"/>
              </w:rPr>
              <w:t>4</w:t>
            </w:r>
            <w:r>
              <w:rPr>
                <w:rFonts w:ascii="宋体" w:eastAsia="宋体" w:cs="宋体" w:hAnsi="宋体" w:hint="eastAsia"/>
                <w:i w:val="0"/>
                <w:color w:val="000000"/>
                <w:kern w:val="0"/>
                <w:sz w:val="18"/>
                <w:szCs w:val="18"/>
                <w:u w:val="none"/>
                <w:lang w:val="en-US" w:eastAsia="zh-CN"/>
                <w:highlight w:val="auto"/>
              </w:rPr>
              <w:t>年市级</w:t>
            </w:r>
            <w:r>
              <w:rPr>
                <w:rFonts w:ascii="宋体" w:cs="宋体" w:hAnsi="宋体" w:hint="eastAsia"/>
                <w:i w:val="0"/>
                <w:color w:val="000000"/>
                <w:kern w:val="0"/>
                <w:sz w:val="18"/>
                <w:szCs w:val="18"/>
                <w:u w:val="none"/>
                <w:lang w:val="en-US" w:eastAsia="zh-CN"/>
                <w:highlight w:val="auto"/>
              </w:rPr>
              <w:t>水利发展资金预算</w:t>
            </w:r>
            <w:r>
              <w:rPr>
                <w:rFonts w:ascii="宋体" w:eastAsia="宋体" w:cs="宋体" w:hAnsi="宋体" w:hint="eastAsia"/>
                <w:i w:val="0"/>
                <w:color w:val="000000"/>
                <w:kern w:val="0"/>
                <w:sz w:val="18"/>
                <w:szCs w:val="18"/>
                <w:u w:val="none"/>
                <w:lang w:val="en-US" w:eastAsia="zh-CN"/>
                <w:highlight w:val="auto"/>
              </w:rPr>
              <w:t>-</w:t>
            </w:r>
            <w:r>
              <w:rPr>
                <w:rFonts w:ascii="宋体" w:cs="宋体" w:hAnsi="宋体" w:hint="eastAsia"/>
                <w:i w:val="0"/>
                <w:color w:val="000000"/>
                <w:kern w:val="0"/>
                <w:sz w:val="18"/>
                <w:szCs w:val="18"/>
                <w:u w:val="none"/>
                <w:lang w:val="en-US" w:eastAsia="zh-CN"/>
                <w:highlight w:val="auto"/>
              </w:rPr>
              <w:t>节水工程建设补助</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w:t>
            </w:r>
            <w:r>
              <w:rPr>
                <w:rFonts w:ascii="宋体" w:eastAsia="宋体" w:cs="宋体" w:hAnsi="宋体" w:hint="eastAsia"/>
                <w:i w:val="0"/>
                <w:color w:val="000000"/>
                <w:kern w:val="0"/>
                <w:sz w:val="18"/>
                <w:szCs w:val="18"/>
                <w:u w:val="none"/>
                <w:lang w:val="en-US" w:eastAsia="zh-CN"/>
                <w:highlight w:val="auto"/>
              </w:rPr>
              <w:t xml:space="preserve">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通过项目实施地下水节水开采，提高了用水效率</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36</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提前下达2024年中央水利发展资金预算-农业灌溉“以电折水”典型监测站点建设项目</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0.9</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完成新建以电折水监测站点3个</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37</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提前下达2025年市级水利发展资金-河长制考核奖补资金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9.9935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对全区河道四乱进行了清理整治，解决了本年度河道四乱问题</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795"/>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38</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农村饮水安全水质检测中心运行经费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 xml:space="preserve">1.00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完成了全区农村供水水质检测</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92</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645"/>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39</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应急基础设施建设</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0.7565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完成了应急基础设施建设，保障了群众汛期安全度汛</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95</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40</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防汛物资储备及经费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完成经费保障，做好防汛宣传、培训演练、物资储备、应急通讯保障，确保安全度汛，保障群众汛期安全</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93</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4</w:t>
            </w:r>
            <w:r>
              <w:rPr>
                <w:rFonts w:ascii="宋体" w:cs="宋体" w:hAnsi="宋体" w:hint="eastAsia"/>
                <w:i w:val="0"/>
                <w:color w:val="000000"/>
                <w:kern w:val="0"/>
                <w:sz w:val="18"/>
                <w:szCs w:val="18"/>
                <w:u w:val="none"/>
                <w:lang w:val="en-US" w:eastAsia="zh-CN"/>
                <w:highlight w:val="auto"/>
              </w:rPr>
              <w:t>1</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防汛业务经费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3</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及时提供了气象灾害防御、天气预报及预警信息发布、雨情汛情（区域气象站）实时监控及设备维护服务，确保全区安全度汛，保障了人民群众生命安全</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92</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75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4</w:t>
            </w:r>
            <w:r>
              <w:rPr>
                <w:rFonts w:ascii="宋体" w:cs="宋体" w:hAnsi="宋体" w:hint="eastAsia"/>
                <w:i w:val="0"/>
                <w:color w:val="000000"/>
                <w:kern w:val="0"/>
                <w:sz w:val="18"/>
                <w:szCs w:val="18"/>
                <w:u w:val="none"/>
                <w:lang w:val="en-US" w:eastAsia="zh-CN"/>
                <w:highlight w:val="auto"/>
              </w:rPr>
              <w:t>2</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绵右渠水费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70</w:t>
            </w:r>
            <w:r>
              <w:rPr>
                <w:rFonts w:ascii="宋体" w:eastAsia="宋体" w:cs="宋体" w:hAnsi="宋体" w:hint="eastAsia"/>
                <w:i w:val="0"/>
                <w:color w:val="000000"/>
                <w:kern w:val="0"/>
                <w:sz w:val="18"/>
                <w:szCs w:val="18"/>
                <w:u w:val="none"/>
                <w:lang w:val="en-US" w:eastAsia="zh-CN"/>
                <w:highlight w:val="auto"/>
              </w:rPr>
              <w:t xml:space="preserve">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完成全年供水需求，切实保障全区农业灌溉及生态用水</w:t>
            </w:r>
            <w:r>
              <w:rPr>
                <w:rFonts w:ascii="宋体" w:eastAsia="宋体" w:cs="宋体" w:hAnsi="宋体" w:hint="eastAsia"/>
                <w:i w:val="0"/>
                <w:color w:val="000000"/>
                <w:kern w:val="0"/>
                <w:sz w:val="18"/>
                <w:szCs w:val="18"/>
                <w:u w:val="none"/>
                <w:lang w:val="en-US" w:eastAsia="zh-CN"/>
                <w:highlight w:val="auto"/>
              </w:rPr>
              <w:t>。</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88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02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lang w:val="en-US" w:eastAsia="zh-CN"/>
                <w:highlight w:val="auto"/>
              </w:rPr>
            </w:pPr>
            <w:r>
              <w:rPr>
                <w:rFonts w:ascii="宋体" w:cs="宋体" w:hAnsi="宋体" w:hint="eastAsia"/>
                <w:i w:val="0"/>
                <w:color w:val="000000"/>
                <w:sz w:val="18"/>
                <w:szCs w:val="18"/>
                <w:u w:val="none"/>
                <w:lang w:val="en-US" w:eastAsia="zh-CN"/>
                <w:highlight w:val="auto"/>
              </w:rPr>
              <w:t>43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关于下达2022年中央农业生产和水利救灾资金的通知-凤山排洪沟修复工程（北凤山段）</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cs="宋体" w:hAnsi="宋体" w:hint="eastAsia"/>
                <w:i w:val="0"/>
                <w:color w:val="000000"/>
                <w:kern w:val="0"/>
                <w:sz w:val="18"/>
                <w:szCs w:val="18"/>
                <w:u w:val="none"/>
                <w:lang w:val="en-US" w:eastAsia="zh-CN"/>
                <w:highlight w:val="auto"/>
              </w:rPr>
              <w:t>10</w:t>
            </w:r>
            <w:r>
              <w:rPr>
                <w:rFonts w:ascii="宋体" w:eastAsia="宋体" w:cs="宋体" w:hAnsi="宋体" w:hint="eastAsia"/>
                <w:i w:val="0"/>
                <w:color w:val="000000"/>
                <w:kern w:val="0"/>
                <w:sz w:val="18"/>
                <w:szCs w:val="18"/>
                <w:u w:val="none"/>
                <w:lang w:val="en-US" w:eastAsia="zh-CN"/>
                <w:highlight w:val="auto"/>
              </w:rPr>
              <w:t xml:space="preserve">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cs="宋体" w:hAnsi="宋体" w:hint="eastAsia"/>
                <w:i w:val="0"/>
                <w:color w:val="000000"/>
                <w:kern w:val="0"/>
                <w:sz w:val="18"/>
                <w:szCs w:val="18"/>
                <w:u w:val="none"/>
                <w:lang w:val="en-US" w:eastAsia="zh-CN"/>
                <w:highlight w:val="auto"/>
              </w:rPr>
              <w:t>工</w:t>
            </w:r>
            <w:r>
              <w:rPr>
                <w:rFonts w:ascii="宋体" w:eastAsia="宋体" w:cs="宋体" w:hAnsi="宋体" w:hint="eastAsia"/>
                <w:i w:val="0"/>
                <w:color w:val="000000"/>
                <w:kern w:val="0"/>
                <w:sz w:val="18"/>
                <w:szCs w:val="18"/>
                <w:u w:val="none"/>
                <w:lang w:val="en-US" w:eastAsia="zh-CN"/>
                <w:highlight w:val="auto"/>
              </w:rPr>
              <w:t>程已完工，有效提高了北凤山村防洪、行洪能力。</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98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102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4</w:t>
            </w:r>
            <w:r>
              <w:rPr>
                <w:rFonts w:ascii="宋体" w:cs="宋体" w:hAnsi="宋体" w:hint="eastAsia"/>
                <w:i w:val="0"/>
                <w:color w:val="000000"/>
                <w:kern w:val="0"/>
                <w:sz w:val="18"/>
                <w:szCs w:val="18"/>
                <w:u w:val="none"/>
                <w:lang w:val="en-US" w:eastAsia="zh-CN"/>
                <w:highlight w:val="auto"/>
              </w:rPr>
              <w:t>4</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提前下达2023年省级农业生产救灾及特大防汛抗旱补助资金—南寨水库溢洪道修复工程</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cs="宋体" w:hAnsi="宋体" w:hint="eastAsia"/>
                <w:i w:val="0"/>
                <w:color w:val="000000"/>
                <w:kern w:val="0"/>
                <w:sz w:val="18"/>
                <w:szCs w:val="18"/>
                <w:u w:val="none"/>
                <w:lang w:val="en-US" w:eastAsia="zh-CN"/>
                <w:highlight w:val="auto"/>
              </w:rPr>
              <w:t>15</w:t>
            </w:r>
            <w:r>
              <w:rPr>
                <w:rFonts w:ascii="宋体" w:eastAsia="宋体" w:cs="宋体" w:hAnsi="宋体" w:hint="eastAsia"/>
                <w:i w:val="0"/>
                <w:color w:val="000000"/>
                <w:kern w:val="0"/>
                <w:sz w:val="18"/>
                <w:szCs w:val="18"/>
                <w:u w:val="none"/>
                <w:lang w:val="en-US" w:eastAsia="zh-CN"/>
                <w:highlight w:val="auto"/>
              </w:rPr>
              <w:t xml:space="preserve">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工程已完工，提高了水库防洪能力，确保水库泄洪通畅。</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96</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45</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提前下达2024年省级水利发展资金-水土保持工程</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102.431948</w:t>
            </w:r>
            <w:r>
              <w:rPr>
                <w:rFonts w:ascii="宋体" w:eastAsia="宋体" w:cs="宋体" w:hAnsi="宋体" w:hint="eastAsia"/>
                <w:i w:val="0"/>
                <w:color w:val="000000"/>
                <w:kern w:val="0"/>
                <w:sz w:val="18"/>
                <w:szCs w:val="18"/>
                <w:u w:val="none"/>
                <w:lang w:val="en-US" w:eastAsia="zh-CN"/>
                <w:highlight w:val="auto"/>
              </w:rPr>
              <w:t xml:space="preserve"> </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工程已完工，促进了小流域生态恢复，减少了水土流失。</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96</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46</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提前下达2024年市级农业转移支付预算-农田水利建设项目资金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19.14</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工程已完工，有效提升了农田种植能力</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47</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2024年中央农业防灾减灾和水利救灾资金（防灾救灾第六批）—抗旱应急（渠道修复）项目</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19.84</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工程已完工，对杨家沟斗渠进行了修复，保障了下游农田灌溉，解决了农田干旱问题</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97</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8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cs="宋体" w:hAnsi="宋体" w:hint="eastAsia"/>
                <w:i w:val="0"/>
                <w:color w:val="000000"/>
                <w:kern w:val="0"/>
                <w:sz w:val="18"/>
                <w:szCs w:val="18"/>
                <w:u w:val="none"/>
                <w:lang w:val="en-US" w:eastAsia="zh-CN"/>
                <w:highlight w:val="auto"/>
              </w:rPr>
              <w:t>48</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提前下达2023年省级水利发展资金预算—山洪灾害防治</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cs="宋体" w:hAnsi="宋体" w:hint="eastAsia"/>
                <w:i w:val="0"/>
                <w:color w:val="000000"/>
                <w:kern w:val="0"/>
                <w:sz w:val="18"/>
                <w:szCs w:val="18"/>
                <w:u w:val="none"/>
                <w:lang w:val="en-US" w:eastAsia="zh-CN"/>
                <w:highlight w:val="auto"/>
              </w:rPr>
              <w:t>11</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18"/>
                <w:szCs w:val="18"/>
                <w:u w:val="none"/>
                <w:highlight w:val="auto"/>
              </w:rPr>
            </w:pPr>
            <w:r>
              <w:rPr>
                <w:rFonts w:ascii="宋体" w:cs="宋体" w:hAnsi="宋体" w:hint="eastAsia"/>
                <w:i w:val="0"/>
                <w:color w:val="000000"/>
                <w:kern w:val="0"/>
                <w:sz w:val="18"/>
                <w:szCs w:val="18"/>
                <w:u w:val="none"/>
                <w:lang w:val="en-US" w:eastAsia="zh-CN"/>
                <w:highlight w:val="auto"/>
              </w:rPr>
              <w:t>完成自动雨量站建设，保障雨量数据平稳传输</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9</w:t>
            </w:r>
            <w:r>
              <w:rPr>
                <w:rFonts w:ascii="宋体" w:cs="宋体" w:hAnsi="宋体" w:hint="eastAsia"/>
                <w:i w:val="0"/>
                <w:color w:val="000000"/>
                <w:kern w:val="0"/>
                <w:sz w:val="18"/>
                <w:szCs w:val="18"/>
                <w:u w:val="none"/>
                <w:lang w:val="en-US" w:eastAsia="zh-CN"/>
                <w:highlight w:val="auto"/>
              </w:rPr>
              <w:t>2</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49</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w:t>
            </w:r>
            <w:r>
              <w:rPr>
                <w:rFonts w:ascii="宋体" w:cs="宋体" w:hAnsi="宋体" w:hint="eastAsia"/>
                <w:i w:val="0"/>
                <w:color w:val="000000"/>
                <w:kern w:val="0"/>
                <w:sz w:val="18"/>
                <w:szCs w:val="18"/>
                <w:u w:val="none"/>
                <w:lang w:val="en-US" w:eastAsia="zh-CN"/>
                <w:highlight w:val="auto"/>
              </w:rPr>
              <w:t>4</w:t>
            </w:r>
            <w:r>
              <w:rPr>
                <w:rFonts w:ascii="宋体" w:eastAsia="宋体" w:cs="宋体" w:hAnsi="宋体" w:hint="eastAsia"/>
                <w:i w:val="0"/>
                <w:color w:val="000000"/>
                <w:kern w:val="0"/>
                <w:sz w:val="18"/>
                <w:szCs w:val="18"/>
                <w:u w:val="none"/>
                <w:lang w:val="en-US" w:eastAsia="zh-CN"/>
                <w:highlight w:val="auto"/>
              </w:rPr>
              <w:t>年</w:t>
            </w:r>
            <w:r>
              <w:rPr>
                <w:rFonts w:ascii="宋体" w:cs="宋体" w:hAnsi="宋体" w:hint="eastAsia"/>
                <w:i w:val="0"/>
                <w:color w:val="000000"/>
                <w:kern w:val="0"/>
                <w:sz w:val="18"/>
                <w:szCs w:val="18"/>
                <w:u w:val="none"/>
                <w:lang w:val="en-US" w:eastAsia="zh-CN"/>
                <w:highlight w:val="auto"/>
              </w:rPr>
              <w:t>中央</w:t>
            </w:r>
            <w:r>
              <w:rPr>
                <w:rFonts w:ascii="宋体" w:eastAsia="宋体" w:cs="宋体" w:hAnsi="宋体" w:hint="eastAsia"/>
                <w:i w:val="0"/>
                <w:color w:val="000000"/>
                <w:kern w:val="0"/>
                <w:sz w:val="18"/>
                <w:szCs w:val="18"/>
                <w:u w:val="none"/>
                <w:lang w:val="en-US" w:eastAsia="zh-CN"/>
                <w:highlight w:val="auto"/>
              </w:rPr>
              <w:t>水利发展资金预算—山洪灾害防治</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13</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完成建设水毁雨量监测一体站2处，更新自动雨量监测站2处，保障安全度汛</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50</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提前下达2024年省级水利发展资金-山洪灾害防治</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完成维修维护工作，保障安全度汛</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91</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51</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w:t>
            </w:r>
            <w:r>
              <w:rPr>
                <w:rFonts w:ascii="宋体" w:cs="宋体" w:hAnsi="宋体" w:hint="eastAsia"/>
                <w:i w:val="0"/>
                <w:color w:val="000000"/>
                <w:kern w:val="0"/>
                <w:sz w:val="18"/>
                <w:szCs w:val="18"/>
                <w:u w:val="none"/>
                <w:lang w:val="en-US" w:eastAsia="zh-CN"/>
                <w:highlight w:val="auto"/>
              </w:rPr>
              <w:t>中央水利</w:t>
            </w:r>
            <w:r>
              <w:rPr>
                <w:rFonts w:ascii="宋体" w:eastAsia="宋体" w:cs="宋体" w:hAnsi="宋体" w:hint="eastAsia"/>
                <w:i w:val="0"/>
                <w:color w:val="000000"/>
                <w:kern w:val="0"/>
                <w:sz w:val="18"/>
                <w:szCs w:val="18"/>
                <w:u w:val="none"/>
                <w:lang w:val="en-US" w:eastAsia="zh-CN"/>
                <w:highlight w:val="auto"/>
              </w:rPr>
              <w:t>发展资金</w:t>
            </w:r>
            <w:r>
              <w:rPr>
                <w:rFonts w:ascii="宋体" w:cs="宋体" w:hAnsi="宋体" w:hint="eastAsia"/>
                <w:i w:val="0"/>
                <w:color w:val="000000"/>
                <w:kern w:val="0"/>
                <w:sz w:val="18"/>
                <w:szCs w:val="18"/>
                <w:u w:val="none"/>
                <w:lang w:val="en-US" w:eastAsia="zh-CN"/>
                <w:highlight w:val="auto"/>
              </w:rPr>
              <w:t>预算</w:t>
            </w:r>
            <w:r>
              <w:rPr>
                <w:rFonts w:ascii="宋体" w:eastAsia="宋体" w:cs="宋体" w:hAnsi="宋体" w:hint="eastAsia"/>
                <w:i w:val="0"/>
                <w:color w:val="000000"/>
                <w:kern w:val="0"/>
                <w:sz w:val="18"/>
                <w:szCs w:val="18"/>
                <w:u w:val="none"/>
                <w:lang w:val="en-US" w:eastAsia="zh-CN"/>
                <w:highlight w:val="auto"/>
              </w:rPr>
              <w:t>-山洪灾害防治</w:t>
            </w:r>
            <w:r>
              <w:rPr>
                <w:rFonts w:ascii="宋体" w:cs="宋体" w:hAnsi="宋体" w:hint="eastAsia"/>
                <w:i w:val="0"/>
                <w:color w:val="000000"/>
                <w:kern w:val="0"/>
                <w:sz w:val="18"/>
                <w:szCs w:val="18"/>
                <w:u w:val="none"/>
                <w:lang w:val="en-US" w:eastAsia="zh-CN"/>
                <w:highlight w:val="auto"/>
              </w:rPr>
              <w:t>非工程措施设施维养项目</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完成维修维护工作，保障安全度汛</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52</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w:t>
            </w:r>
            <w:r>
              <w:rPr>
                <w:rFonts w:ascii="宋体" w:cs="宋体" w:hAnsi="宋体" w:hint="eastAsia"/>
                <w:i w:val="0"/>
                <w:color w:val="000000"/>
                <w:kern w:val="0"/>
                <w:sz w:val="18"/>
                <w:szCs w:val="18"/>
                <w:u w:val="none"/>
                <w:lang w:val="en-US" w:eastAsia="zh-CN"/>
                <w:highlight w:val="auto"/>
              </w:rPr>
              <w:t>5</w:t>
            </w:r>
            <w:r>
              <w:rPr>
                <w:rFonts w:ascii="宋体" w:eastAsia="宋体" w:cs="宋体" w:hAnsi="宋体" w:hint="eastAsia"/>
                <w:i w:val="0"/>
                <w:color w:val="000000"/>
                <w:kern w:val="0"/>
                <w:sz w:val="18"/>
                <w:szCs w:val="18"/>
                <w:u w:val="none"/>
                <w:lang w:val="en-US" w:eastAsia="zh-CN"/>
                <w:highlight w:val="auto"/>
              </w:rPr>
              <w:t>年</w:t>
            </w:r>
            <w:r>
              <w:rPr>
                <w:rFonts w:ascii="宋体" w:cs="宋体" w:hAnsi="宋体" w:hint="eastAsia"/>
                <w:i w:val="0"/>
                <w:color w:val="000000"/>
                <w:kern w:val="0"/>
                <w:sz w:val="18"/>
                <w:szCs w:val="18"/>
                <w:u w:val="none"/>
                <w:lang w:val="en-US" w:eastAsia="zh-CN"/>
                <w:highlight w:val="auto"/>
              </w:rPr>
              <w:t>市</w:t>
            </w:r>
            <w:r>
              <w:rPr>
                <w:rFonts w:ascii="宋体" w:eastAsia="宋体" w:cs="宋体" w:hAnsi="宋体" w:hint="eastAsia"/>
                <w:i w:val="0"/>
                <w:color w:val="000000"/>
                <w:kern w:val="0"/>
                <w:sz w:val="18"/>
                <w:szCs w:val="18"/>
                <w:u w:val="none"/>
                <w:lang w:val="en-US" w:eastAsia="zh-CN"/>
                <w:highlight w:val="auto"/>
              </w:rPr>
              <w:t>级水利发展资金</w:t>
            </w:r>
            <w:r>
              <w:rPr>
                <w:rFonts w:ascii="宋体" w:cs="宋体" w:hAnsi="宋体" w:hint="eastAsia"/>
                <w:i w:val="0"/>
                <w:color w:val="000000"/>
                <w:kern w:val="0"/>
                <w:sz w:val="18"/>
                <w:szCs w:val="18"/>
                <w:u w:val="none"/>
                <w:lang w:val="en-US" w:eastAsia="zh-CN"/>
                <w:highlight w:val="auto"/>
              </w:rPr>
              <w:t>预算</w:t>
            </w:r>
            <w:r>
              <w:rPr>
                <w:rFonts w:ascii="宋体" w:eastAsia="宋体" w:cs="宋体" w:hAnsi="宋体" w:hint="eastAsia"/>
                <w:i w:val="0"/>
                <w:color w:val="000000"/>
                <w:kern w:val="0"/>
                <w:sz w:val="18"/>
                <w:szCs w:val="18"/>
                <w:u w:val="none"/>
                <w:lang w:val="en-US" w:eastAsia="zh-CN"/>
                <w:highlight w:val="auto"/>
              </w:rPr>
              <w:t>-</w:t>
            </w:r>
            <w:r>
              <w:rPr>
                <w:rFonts w:ascii="宋体" w:cs="宋体" w:hAnsi="宋体" w:hint="eastAsia"/>
                <w:i w:val="0"/>
                <w:color w:val="000000"/>
                <w:kern w:val="0"/>
                <w:sz w:val="18"/>
                <w:szCs w:val="18"/>
                <w:u w:val="none"/>
                <w:lang w:val="en-US" w:eastAsia="zh-CN"/>
                <w:highlight w:val="auto"/>
              </w:rPr>
              <w:t>防汛及物资储备经费</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0.7</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完成汛期值班值守及防汛相关工作，保障安全度汛</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提前下达2023年中央水利发展资金预算—小型水库维修养护</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完成水库日常维护工作，保障水库安全运行顺利度汛</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54</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提前下达2024年中央水利发展资金预算-小型水库维修养护</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8</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完成水库日常维护工作，保障水库安全运行顺利度汛</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90</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55</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提前下达2023年中央水利发展资金预算—农村饮水工程维修养护</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0.2937</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完成了质保金支付</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96</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56</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提前下达2024年中央水利发展资金预算-农村饮水工程维修养护</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45.868</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完成农村饮水维修养护工程13处，水质提升工程5处，有效改善了农村供水条件和环境，提高了供水效率，节约供水成本</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95</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57</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提前下达2023年省级水库移民扶持基金预算</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7</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按时完成了项目建设，有效改善了群众生活环境</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92</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58</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提前下达2024年大中型水库移民后期扶持资金预算</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10.8</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完成了南寨村蓄水池维修1处，通过对项目村基础设施进行建设，有效改善项目村供水条件，充分保障了群众用水需求。</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96</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59</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2024年省级水库移民后期扶持资金</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18</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项目建设已完成年度预期目标，有效改善项目村供水条件，保障供水需求</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92</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60</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eastAsia="宋体" w:cs="宋体" w:hAnsi="宋体" w:hint="eastAsia"/>
                <w:i w:val="0"/>
                <w:color w:val="000000"/>
                <w:kern w:val="0"/>
                <w:sz w:val="18"/>
                <w:szCs w:val="18"/>
                <w:u w:val="none"/>
                <w:lang w:val="en-US" w:eastAsia="zh-CN"/>
                <w:highlight w:val="auto"/>
              </w:rPr>
              <w:t>提前下达2025年中央水库移民扶持基金-移民补助</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0.54</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完成了9为移民补助资金发放</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96</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940"/>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61</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农业农村局2025年第五批政府新增政府债券项目</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是</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163.9816</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本年度收到政府债券项目资金共计163.9816万元，支付资金清偿化解债务22项，资金及时拨付到了债权人，完成了年度既定化债任务。</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93</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cs="宋体" w:hAnsi="宋体" w:hint="eastAsia"/>
                <w:i w:val="0"/>
                <w:color w:val="000000"/>
                <w:kern w:val="0"/>
                <w:sz w:val="18"/>
                <w:szCs w:val="18"/>
                <w:u w:val="none"/>
                <w:lang w:val="en-US" w:eastAsia="zh-CN"/>
                <w:highlight w:val="auto"/>
              </w:rPr>
            </w:pPr>
            <w:r>
              <w:rPr>
                <w:rFonts w:ascii="宋体" w:cs="宋体" w:hAnsi="宋体" w:hint="eastAsia"/>
                <w:i w:val="0"/>
                <w:color w:val="000000"/>
                <w:kern w:val="0"/>
                <w:sz w:val="18"/>
                <w:szCs w:val="18"/>
                <w:u w:val="none"/>
                <w:lang w:val="en-US" w:eastAsia="zh-CN"/>
                <w:highlight w:val="auto"/>
              </w:rPr>
              <w:t>优秀</w:t>
            </w:r>
          </w:p>
        </w:tc>
      </w:tr>
      <w:tr>
        <w:trPr>
          <w:trHeight w:val="840"/>
        </w:trPr>
        <w:tc>
          <w:tcPr>
            <w:tcW w:w="36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b/>
                <w:i w:val="0"/>
                <w:color w:val="000000"/>
                <w:sz w:val="18"/>
                <w:szCs w:val="18"/>
                <w:u w:val="none"/>
                <w:highlight w:val="auto"/>
              </w:rPr>
            </w:pPr>
            <w:r>
              <w:rPr>
                <w:rFonts w:ascii="宋体" w:eastAsia="宋体" w:cs="宋体" w:hAnsi="宋体" w:hint="eastAsia"/>
                <w:b/>
                <w:i w:val="0"/>
                <w:color w:val="000000"/>
                <w:kern w:val="0"/>
                <w:sz w:val="18"/>
                <w:szCs w:val="18"/>
                <w:u w:val="none"/>
                <w:lang w:val="en-US" w:eastAsia="zh-CN"/>
                <w:highlight w:val="auto"/>
              </w:rPr>
              <w:t>合计</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cs="宋体" w:hAnsi="宋体" w:hint="eastAsia"/>
                <w:i w:val="0"/>
                <w:color w:val="000000"/>
                <w:kern w:val="0"/>
                <w:sz w:val="18"/>
                <w:szCs w:val="18"/>
                <w:u w:val="none"/>
                <w:lang w:val="en-US" w:eastAsia="zh-CN"/>
                <w:highlight w:val="auto"/>
              </w:rPr>
              <w:t>1244.415812</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left"/>
              <w:rPr>
                <w:rFonts w:ascii="宋体" w:eastAsia="宋体" w:cs="宋体" w:hAnsi="宋体" w:hint="eastAsia"/>
                <w:i w:val="0"/>
                <w:color w:val="000000"/>
                <w:sz w:val="18"/>
                <w:szCs w:val="18"/>
                <w:u w:val="none"/>
                <w:highlight w:val="auto"/>
              </w:rPr>
            </w:pP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cs="宋体" w:hAnsi="宋体" w:hint="eastAsia"/>
                <w:i w:val="0"/>
                <w:color w:val="000000"/>
                <w:kern w:val="0"/>
                <w:sz w:val="18"/>
                <w:szCs w:val="18"/>
                <w:u w:val="none"/>
                <w:lang w:val="en-US" w:eastAsia="zh-CN"/>
                <w:highlight w:val="auto"/>
              </w:rPr>
              <w:t>96.8</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highlight w:val="auto"/>
              </w:rPr>
            </w:pPr>
            <w:r>
              <w:rPr>
                <w:rFonts w:ascii="宋体" w:eastAsia="宋体" w:cs="宋体" w:hAnsi="宋体" w:hint="eastAsia"/>
                <w:i w:val="0"/>
                <w:color w:val="000000"/>
                <w:kern w:val="0"/>
                <w:sz w:val="18"/>
                <w:szCs w:val="18"/>
                <w:u w:val="none"/>
                <w:lang w:val="en-US" w:eastAsia="zh-CN"/>
                <w:highlight w:val="auto"/>
              </w:rPr>
              <w:t>优秀</w:t>
            </w:r>
          </w:p>
        </w:tc>
      </w:tr>
    </w:tbl>
    <w:p>
      <w:pPr>
        <w:pStyle w:val="15"/>
        <w:rPr>
          <w:rFonts w:hint="eastAsia"/>
          <w:lang w:val="en-US" w:eastAsia="zh-CN"/>
        </w:rPr>
      </w:pPr>
    </w:p>
    <w:p>
      <w:pPr>
        <w:pStyle w:val="15"/>
        <w:rPr>
          <w:rFonts w:hint="eastAsia"/>
          <w:lang w:val="en-US" w:eastAsia="zh-CN"/>
        </w:rPr>
      </w:pPr>
    </w:p>
    <w:p>
      <w:pPr>
        <w:spacing w:line="560" w:lineRule="exact"/>
        <w:ind w:firstLineChars="200" w:firstLine="640"/>
        <w:rPr>
          <w:rFonts w:ascii="黑体" w:eastAsia="黑体" w:hAnsi="黑体"/>
          <w:sz w:val="32"/>
          <w:szCs w:val="32"/>
        </w:rPr>
      </w:pPr>
      <w:r>
        <w:rPr>
          <w:rFonts w:ascii="黑体" w:eastAsia="黑体" w:hAnsi="黑体" w:hint="eastAsia"/>
          <w:sz w:val="32"/>
          <w:szCs w:val="32"/>
        </w:rPr>
        <w:t>四、评价结论和评价等级</w:t>
      </w:r>
    </w:p>
    <w:p>
      <w:pPr>
        <w:keepNext w:val="0"/>
        <w:keepLines w:val="0"/>
        <w:pageBreakBefore w:val="0"/>
        <w:widowControl w:val="0"/>
        <w:kinsoku/>
        <w:wordWrap/>
        <w:overflowPunct/>
        <w:topLinePunct w:val="0"/>
        <w:autoSpaceDE/>
        <w:autoSpaceDN/>
        <w:bidi w:val="0"/>
        <w:spacing w:line="540" w:lineRule="exact"/>
        <w:ind w:firstLineChars="200" w:firstLine="640"/>
        <w:textAlignment w:val="auto"/>
        <w:outlineLvl w:val="9"/>
        <w:rPr>
          <w:rFonts w:ascii="仿宋_GB2312" w:eastAsia="仿宋_GB2312" w:cs="仿宋_GB2312" w:hAnsi="仿宋_GB2312" w:hint="eastAsia"/>
          <w:b w:val="0"/>
          <w:bCs w:val="0"/>
          <w:color w:val="000000"/>
          <w:sz w:val="32"/>
          <w:szCs w:val="32"/>
          <w:shd w:val="clear" w:color="auto" w:fill="auto"/>
          <w:highlight w:val="auto"/>
        </w:rPr>
      </w:pPr>
      <w:r>
        <w:rPr>
          <w:rFonts w:ascii="仿宋_GB2312" w:eastAsia="仿宋_GB2312" w:cs="仿宋_GB2312" w:hAnsi="仿宋_GB2312" w:hint="eastAsia"/>
          <w:b w:val="0"/>
          <w:bCs w:val="0"/>
          <w:color w:val="000000"/>
          <w:sz w:val="32"/>
          <w:szCs w:val="32"/>
          <w:shd w:val="clear" w:color="auto" w:fill="auto"/>
          <w:highlight w:val="auto"/>
        </w:rPr>
        <w:t>根据</w:t>
      </w:r>
      <w:r>
        <w:rPr>
          <w:rFonts w:ascii="仿宋_GB2312" w:eastAsia="仿宋_GB2312" w:cs="仿宋_GB2312" w:hAnsi="仿宋_GB2312" w:hint="eastAsia"/>
          <w:b w:val="0"/>
          <w:bCs w:val="0"/>
          <w:color w:val="000000"/>
          <w:sz w:val="32"/>
          <w:szCs w:val="32"/>
          <w:shd w:val="clear" w:color="auto" w:fill="auto"/>
          <w:lang w:eastAsia="zh-CN"/>
          <w:highlight w:val="auto"/>
        </w:rPr>
        <w:t>我</w:t>
      </w:r>
      <w:r>
        <w:rPr>
          <w:rFonts w:ascii="仿宋_GB2312" w:eastAsia="仿宋_GB2312" w:cs="仿宋_GB2312" w:hAnsi="仿宋_GB2312" w:hint="eastAsia"/>
          <w:b w:val="0"/>
          <w:bCs w:val="0"/>
          <w:color w:val="000000"/>
          <w:sz w:val="32"/>
          <w:szCs w:val="32"/>
          <w:shd w:val="clear" w:color="auto" w:fill="auto"/>
          <w:highlight w:val="auto"/>
        </w:rPr>
        <w:t>部门职责</w:t>
      </w:r>
      <w:r>
        <w:rPr>
          <w:rFonts w:ascii="仿宋_GB2312" w:eastAsia="仿宋_GB2312" w:cs="仿宋_GB2312" w:hAnsi="仿宋_GB2312" w:hint="eastAsia"/>
          <w:b w:val="0"/>
          <w:bCs w:val="0"/>
          <w:color w:val="000000"/>
          <w:sz w:val="32"/>
          <w:szCs w:val="32"/>
          <w:shd w:val="clear" w:color="auto" w:fill="auto"/>
          <w:lang w:eastAsia="zh-CN"/>
          <w:highlight w:val="auto"/>
        </w:rPr>
        <w:t>及</w:t>
      </w:r>
      <w:r>
        <w:rPr>
          <w:rFonts w:ascii="仿宋_GB2312" w:eastAsia="仿宋_GB2312" w:cs="仿宋_GB2312" w:hAnsi="仿宋_GB2312" w:hint="eastAsia"/>
          <w:b w:val="0"/>
          <w:bCs w:val="0"/>
          <w:color w:val="000000"/>
          <w:sz w:val="32"/>
          <w:szCs w:val="32"/>
          <w:shd w:val="clear" w:color="auto" w:fill="auto"/>
          <w:highlight w:val="auto"/>
        </w:rPr>
        <w:t>各项工作履职情况</w:t>
      </w:r>
      <w:r>
        <w:rPr>
          <w:rFonts w:ascii="仿宋_GB2312" w:eastAsia="仿宋_GB2312" w:cs="仿宋_GB2312" w:hAnsi="仿宋_GB2312" w:hint="eastAsia"/>
          <w:b w:val="0"/>
          <w:bCs w:val="0"/>
          <w:color w:val="000000"/>
          <w:sz w:val="32"/>
          <w:szCs w:val="32"/>
          <w:shd w:val="clear" w:color="auto" w:fill="auto"/>
          <w:lang w:eastAsia="zh-CN"/>
          <w:highlight w:val="auto"/>
        </w:rPr>
        <w:t>、预算执行情况</w:t>
      </w:r>
      <w:r>
        <w:rPr>
          <w:rFonts w:ascii="仿宋_GB2312" w:eastAsia="仿宋_GB2312" w:cs="仿宋_GB2312" w:hAnsi="仿宋_GB2312" w:hint="eastAsia"/>
          <w:b w:val="0"/>
          <w:bCs w:val="0"/>
          <w:color w:val="000000"/>
          <w:sz w:val="32"/>
          <w:szCs w:val="32"/>
          <w:shd w:val="clear" w:color="auto" w:fill="auto"/>
          <w:highlight w:val="auto"/>
        </w:rPr>
        <w:t>进行</w:t>
      </w:r>
      <w:r>
        <w:rPr>
          <w:rFonts w:ascii="仿宋_GB2312" w:eastAsia="仿宋_GB2312" w:cs="仿宋_GB2312" w:hAnsi="仿宋_GB2312" w:hint="eastAsia"/>
          <w:b w:val="0"/>
          <w:bCs w:val="0"/>
          <w:color w:val="000000"/>
          <w:sz w:val="32"/>
          <w:szCs w:val="32"/>
          <w:shd w:val="clear" w:color="auto" w:fill="auto"/>
          <w:lang w:eastAsia="zh-CN"/>
          <w:highlight w:val="auto"/>
        </w:rPr>
        <w:t>了</w:t>
      </w:r>
      <w:r>
        <w:rPr>
          <w:rFonts w:ascii="仿宋_GB2312" w:eastAsia="仿宋_GB2312" w:cs="仿宋_GB2312" w:hAnsi="仿宋_GB2312" w:hint="eastAsia"/>
          <w:b w:val="0"/>
          <w:bCs w:val="0"/>
          <w:color w:val="000000"/>
          <w:sz w:val="32"/>
          <w:szCs w:val="32"/>
          <w:shd w:val="clear" w:color="auto" w:fill="auto"/>
          <w:highlight w:val="auto"/>
        </w:rPr>
        <w:t>综合评价，</w:t>
      </w:r>
      <w:r>
        <w:rPr>
          <w:rFonts w:ascii="仿宋_GB2312" w:eastAsia="仿宋_GB2312" w:cs="仿宋_GB2312" w:hAnsi="仿宋_GB2312" w:hint="eastAsia"/>
          <w:b w:val="0"/>
          <w:bCs w:val="0"/>
          <w:color w:val="000000"/>
          <w:sz w:val="32"/>
          <w:szCs w:val="32"/>
          <w:shd w:val="clear" w:color="auto" w:fill="auto"/>
          <w:lang w:eastAsia="zh-CN"/>
          <w:highlight w:val="auto"/>
        </w:rPr>
        <w:t>整体自评</w:t>
      </w:r>
      <w:r>
        <w:rPr>
          <w:rFonts w:ascii="仿宋_GB2312" w:eastAsia="仿宋_GB2312" w:cs="仿宋_GB2312" w:hAnsi="仿宋_GB2312" w:hint="eastAsia"/>
          <w:b w:val="0"/>
          <w:bCs w:val="0"/>
          <w:color w:val="000000"/>
          <w:sz w:val="32"/>
          <w:szCs w:val="32"/>
          <w:shd w:val="clear" w:color="auto" w:fill="auto"/>
          <w:highlight w:val="auto"/>
        </w:rPr>
        <w:t>得分</w:t>
      </w:r>
      <w:r>
        <w:rPr>
          <w:rFonts w:ascii="仿宋_GB2312" w:eastAsia="仿宋_GB2312" w:cs="仿宋_GB2312" w:hAnsi="仿宋_GB2312" w:hint="eastAsia"/>
          <w:b w:val="0"/>
          <w:bCs w:val="0"/>
          <w:color w:val="000000"/>
          <w:sz w:val="32"/>
          <w:szCs w:val="32"/>
          <w:shd w:val="clear" w:color="auto" w:fill="auto"/>
          <w:lang w:val="en-US" w:eastAsia="zh-CN"/>
          <w:highlight w:val="auto"/>
        </w:rPr>
        <w:t>96.8分</w:t>
      </w:r>
      <w:r>
        <w:rPr>
          <w:rFonts w:ascii="仿宋_GB2312" w:eastAsia="仿宋_GB2312" w:cs="仿宋_GB2312" w:hAnsi="仿宋_GB2312" w:hint="eastAsia"/>
          <w:b w:val="0"/>
          <w:bCs w:val="0"/>
          <w:color w:val="000000"/>
          <w:sz w:val="32"/>
          <w:szCs w:val="32"/>
          <w:shd w:val="clear" w:color="auto" w:fill="auto"/>
          <w:highlight w:val="auto"/>
        </w:rPr>
        <w:t>，满分100分，得出综合绩效评价</w:t>
      </w:r>
      <w:r>
        <w:rPr>
          <w:rFonts w:ascii="仿宋_GB2312" w:eastAsia="仿宋_GB2312" w:cs="仿宋_GB2312" w:hAnsi="仿宋_GB2312" w:hint="eastAsia"/>
          <w:b w:val="0"/>
          <w:bCs w:val="0"/>
          <w:color w:val="000000"/>
          <w:sz w:val="32"/>
          <w:szCs w:val="32"/>
          <w:shd w:val="clear" w:color="auto" w:fill="auto"/>
          <w:lang w:eastAsia="zh-CN"/>
          <w:highlight w:val="auto"/>
        </w:rPr>
        <w:t>为优秀</w:t>
      </w:r>
      <w:r>
        <w:rPr>
          <w:rFonts w:ascii="仿宋_GB2312" w:eastAsia="仿宋_GB2312" w:cs="仿宋_GB2312" w:hAnsi="仿宋_GB2312" w:hint="eastAsia"/>
          <w:b w:val="0"/>
          <w:bCs w:val="0"/>
          <w:color w:val="000000"/>
          <w:sz w:val="32"/>
          <w:szCs w:val="32"/>
          <w:shd w:val="clear" w:color="auto" w:fill="auto"/>
          <w:highlight w:val="auto"/>
        </w:rPr>
        <w:t>。部门整体支出综合绩效评价</w:t>
      </w:r>
      <w:r>
        <w:rPr>
          <w:rFonts w:ascii="仿宋_GB2312" w:eastAsia="仿宋_GB2312" w:cs="仿宋_GB2312" w:hAnsi="仿宋_GB2312" w:hint="eastAsia"/>
          <w:b w:val="0"/>
          <w:bCs w:val="0"/>
          <w:color w:val="000000"/>
          <w:sz w:val="32"/>
          <w:szCs w:val="32"/>
          <w:shd w:val="clear" w:color="auto" w:fill="auto"/>
          <w:lang w:eastAsia="zh-CN"/>
          <w:highlight w:val="auto"/>
        </w:rPr>
        <w:t>得分</w:t>
      </w:r>
      <w:r>
        <w:rPr>
          <w:rFonts w:ascii="仿宋_GB2312" w:eastAsia="仿宋_GB2312" w:cs="仿宋_GB2312" w:hAnsi="仿宋_GB2312" w:hint="eastAsia"/>
          <w:b w:val="0"/>
          <w:bCs w:val="0"/>
          <w:color w:val="000000"/>
          <w:sz w:val="32"/>
          <w:szCs w:val="32"/>
          <w:shd w:val="clear" w:color="auto" w:fill="auto"/>
          <w:lang w:val="en-US" w:eastAsia="zh-CN"/>
          <w:highlight w:val="auto"/>
        </w:rPr>
        <w:t>96.8</w:t>
      </w:r>
      <w:r>
        <w:rPr>
          <w:rFonts w:ascii="仿宋_GB2312" w:eastAsia="仿宋_GB2312" w:cs="仿宋_GB2312" w:hAnsi="仿宋_GB2312" w:hint="eastAsia"/>
          <w:b w:val="0"/>
          <w:bCs w:val="0"/>
          <w:color w:val="000000"/>
          <w:sz w:val="32"/>
          <w:szCs w:val="32"/>
          <w:shd w:val="clear" w:color="auto" w:fill="auto"/>
          <w:highlight w:val="auto"/>
        </w:rPr>
        <w:t>分</w:t>
      </w:r>
      <w:r>
        <w:rPr>
          <w:rFonts w:ascii="仿宋_GB2312" w:eastAsia="仿宋_GB2312" w:cs="仿宋_GB2312" w:hAnsi="仿宋_GB2312" w:hint="eastAsia"/>
          <w:b w:val="0"/>
          <w:bCs w:val="0"/>
          <w:color w:val="000000"/>
          <w:sz w:val="32"/>
          <w:szCs w:val="32"/>
          <w:shd w:val="clear" w:color="auto" w:fill="auto"/>
          <w:lang w:eastAsia="zh-CN"/>
          <w:highlight w:val="auto"/>
        </w:rPr>
        <w:t>，</w:t>
      </w:r>
      <w:r>
        <w:rPr>
          <w:rFonts w:ascii="仿宋_GB2312" w:eastAsia="仿宋_GB2312" w:cs="仿宋_GB2312" w:hAnsi="仿宋_GB2312" w:hint="eastAsia"/>
          <w:b w:val="0"/>
          <w:bCs w:val="0"/>
          <w:color w:val="000000"/>
          <w:sz w:val="32"/>
          <w:szCs w:val="32"/>
          <w:shd w:val="clear" w:color="auto" w:fill="auto"/>
          <w:highlight w:val="auto"/>
        </w:rPr>
        <w:t>为优秀</w:t>
      </w:r>
      <w:r>
        <w:rPr>
          <w:rFonts w:ascii="仿宋_GB2312" w:eastAsia="仿宋_GB2312" w:cs="仿宋_GB2312" w:hAnsi="仿宋_GB2312" w:hint="eastAsia"/>
          <w:b w:val="0"/>
          <w:bCs w:val="0"/>
          <w:color w:val="000000"/>
          <w:sz w:val="32"/>
          <w:szCs w:val="32"/>
          <w:shd w:val="clear" w:color="auto" w:fill="auto"/>
          <w:lang w:eastAsia="zh-CN"/>
          <w:highlight w:val="auto"/>
        </w:rPr>
        <w:t>等级</w:t>
      </w:r>
      <w:r>
        <w:rPr>
          <w:rFonts w:ascii="仿宋_GB2312" w:eastAsia="仿宋_GB2312" w:cs="仿宋_GB2312" w:hAnsi="仿宋_GB2312" w:hint="eastAsia"/>
          <w:b w:val="0"/>
          <w:bCs w:val="0"/>
          <w:color w:val="000000"/>
          <w:sz w:val="32"/>
          <w:szCs w:val="32"/>
          <w:shd w:val="clear" w:color="auto" w:fill="auto"/>
          <w:highlight w:val="auto"/>
        </w:rPr>
        <w:t>。</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pPr>
        <w:spacing w:line="560" w:lineRule="exact"/>
        <w:ind w:firstLineChars="200" w:firstLine="640"/>
        <w:rPr>
          <w:rFonts w:ascii="楷体" w:eastAsia="楷体" w:hAnsi="楷体" w:hint="eastAsia"/>
          <w:bCs/>
          <w:sz w:val="32"/>
          <w:szCs w:val="32"/>
        </w:rPr>
      </w:pPr>
      <w:r>
        <w:rPr>
          <w:rFonts w:ascii="楷体" w:eastAsia="楷体" w:hAnsi="楷体" w:hint="eastAsia"/>
          <w:bCs/>
          <w:sz w:val="32"/>
          <w:szCs w:val="32"/>
        </w:rPr>
        <w:t>（一）存在的主要问题</w:t>
      </w:r>
    </w:p>
    <w:p>
      <w:pPr>
        <w:keepNext w:val="0"/>
        <w:keepLines w:val="0"/>
        <w:pageBreakBefore w:val="0"/>
        <w:widowControl w:val="0"/>
        <w:kinsoku/>
        <w:wordWrap/>
        <w:overflowPunct/>
        <w:topLinePunct w:val="0"/>
        <w:autoSpaceDE/>
        <w:autoSpaceDN/>
        <w:bidi w:val="0"/>
        <w:adjustRightInd w:val="0"/>
        <w:snapToGrid w:val="0"/>
        <w:spacing w:line="540" w:lineRule="exact"/>
        <w:ind w:firstLineChars="200" w:firstLine="640"/>
        <w:textAlignment w:val="auto"/>
        <w:outlineLvl w:val="9"/>
        <w:rPr>
          <w:rFonts w:ascii="仿宋_GB2312" w:eastAsia="仿宋_GB2312" w:cs="仿宋_GB2312" w:hAnsi="仿宋_GB2312" w:hint="eastAsia"/>
          <w:sz w:val="32"/>
          <w:szCs w:val="32"/>
          <w:highlight w:val="auto"/>
        </w:rPr>
      </w:pPr>
      <w:r>
        <w:rPr>
          <w:rFonts w:ascii="仿宋_GB2312" w:eastAsia="仿宋_GB2312" w:cs="仿宋_GB2312" w:hAnsi="仿宋_GB2312" w:hint="eastAsia"/>
          <w:sz w:val="32"/>
          <w:szCs w:val="32"/>
          <w:lang w:eastAsia="zh-CN"/>
          <w:highlight w:val="auto"/>
        </w:rPr>
        <w:t>通过本次绩效自评</w:t>
      </w:r>
      <w:r>
        <w:rPr>
          <w:rFonts w:ascii="仿宋_GB2312" w:eastAsia="仿宋_GB2312" w:cs="仿宋_GB2312" w:hAnsi="仿宋_GB2312" w:hint="eastAsia"/>
          <w:sz w:val="32"/>
          <w:szCs w:val="32"/>
          <w:lang w:val="en-US" w:eastAsia="zh-CN"/>
          <w:highlight w:val="auto"/>
        </w:rPr>
        <w:t>,预算绩效评价工作在不断完善，</w:t>
      </w:r>
      <w:r>
        <w:rPr>
          <w:rFonts w:ascii="仿宋_GB2312" w:eastAsia="仿宋_GB2312" w:cs="仿宋_GB2312" w:hAnsi="仿宋_GB2312" w:hint="eastAsia"/>
          <w:sz w:val="32"/>
          <w:szCs w:val="32"/>
          <w:lang w:eastAsia="zh-CN"/>
          <w:highlight w:val="auto"/>
        </w:rPr>
        <w:t>但也存在一些不足：一是绩效目标设定相对笼统，缺乏量化，导致评价无明确依据，成效不好评估；二是项目过程绩效管理不够扎实，项目实施过程中，重资金拨付、重任务推进，轻绩效过程跟踪。对项目进度、指标完成情况、资金使用效益缺乏常态化动态监控，过程资料归集不够及时和规范。</w:t>
      </w:r>
    </w:p>
    <w:p>
      <w:pPr>
        <w:keepNext w:val="0"/>
        <w:keepLines w:val="0"/>
        <w:pageBreakBefore w:val="0"/>
        <w:widowControl w:val="0"/>
        <w:numPr>
          <w:ilvl w:val="0"/>
          <w:numId w:val="3"/>
        </w:numPr>
        <w:kinsoku/>
        <w:wordWrap/>
        <w:overflowPunct/>
        <w:topLinePunct w:val="0"/>
        <w:autoSpaceDE/>
        <w:autoSpaceDN/>
        <w:bidi w:val="0"/>
        <w:adjustRightInd w:val="0"/>
        <w:snapToGrid w:val="0"/>
        <w:spacing w:line="540" w:lineRule="exact"/>
        <w:ind w:left="0" w:firstLineChars="200" w:firstLine="640"/>
        <w:textAlignment w:val="auto"/>
        <w:outlineLvl w:val="9"/>
        <w:rPr>
          <w:rFonts w:ascii="楷体" w:eastAsia="楷体" w:hAnsi="楷体" w:hint="eastAsia"/>
          <w:bCs/>
          <w:sz w:val="32"/>
          <w:szCs w:val="32"/>
        </w:rPr>
      </w:pPr>
      <w:r>
        <w:rPr>
          <w:rFonts w:ascii="楷体" w:eastAsia="楷体" w:hAnsi="楷体" w:hint="eastAsia"/>
          <w:bCs/>
          <w:sz w:val="32"/>
          <w:szCs w:val="32"/>
        </w:rPr>
        <w:t>针对问题提出具体的改进措施或建议</w:t>
      </w:r>
    </w:p>
    <w:p>
      <w:pPr>
        <w:keepNext w:val="0"/>
        <w:keepLines w:val="0"/>
        <w:pageBreakBefore w:val="0"/>
        <w:widowControl w:val="0"/>
        <w:kinsoku/>
        <w:wordWrap/>
        <w:overflowPunct/>
        <w:topLinePunct w:val="0"/>
        <w:autoSpaceDE/>
        <w:autoSpaceDN/>
        <w:bidi w:val="0"/>
        <w:adjustRightInd w:val="0"/>
        <w:snapToGrid w:val="0"/>
        <w:spacing w:line="540" w:lineRule="exact"/>
        <w:ind w:left="0" w:firstLineChars="200" w:firstLine="640"/>
        <w:textAlignment w:val="auto"/>
        <w:outlineLvl w:val="9"/>
        <w:rPr>
          <w:rFonts w:ascii="仿宋_GB2312" w:eastAsia="仿宋_GB2312" w:cs="仿宋_GB2312" w:hAnsi="仿宋_GB2312" w:hint="eastAsia"/>
          <w:lang w:val="en-US"/>
          <w:highlight w:val="auto"/>
        </w:rPr>
      </w:pPr>
      <w:r>
        <w:rPr>
          <w:rFonts w:ascii="仿宋_GB2312" w:eastAsia="仿宋_GB2312" w:cs="仿宋_GB2312" w:hAnsi="仿宋_GB2312" w:hint="eastAsia"/>
          <w:sz w:val="32"/>
          <w:szCs w:val="32"/>
          <w:highlight w:val="auto"/>
        </w:rPr>
        <w:t>针对绩效指标设定中存在的问题，从实际出发，在项目绩效目标填报中增强指标的可评价性和可量化性，合理如实的反映资金使用的绩效成果</w:t>
      </w:r>
      <w:r>
        <w:rPr>
          <w:rFonts w:ascii="仿宋_GB2312" w:eastAsia="仿宋_GB2312" w:cs="仿宋_GB2312" w:hAnsi="仿宋_GB2312" w:hint="eastAsia"/>
          <w:sz w:val="32"/>
          <w:szCs w:val="32"/>
          <w:lang w:eastAsia="zh-CN"/>
          <w:highlight w:val="auto"/>
        </w:rPr>
        <w:t>；</w:t>
      </w:r>
      <w:bookmarkStart w:id="1" w:name="OLE_LINK1"/>
      <w:r>
        <w:rPr>
          <w:rFonts w:ascii="仿宋_GB2312" w:eastAsia="仿宋_GB2312" w:cs="仿宋_GB2312" w:hAnsi="仿宋_GB2312" w:hint="eastAsia"/>
          <w:sz w:val="32"/>
          <w:szCs w:val="32"/>
          <w:lang w:eastAsia="zh-CN"/>
          <w:highlight w:val="auto"/>
        </w:rPr>
        <w:t>建立项目常态化跟踪机制，对项目进度、资金支出、指标完成情况实行定期梳理，及时发现偏差、及时整改纠偏，实现项目全过程闭环管理；强化绩效结果运用，以绩效导向倒逼项目管理规范化、精细化。</w:t>
      </w:r>
    </w:p>
    <w:p>
      <w:pPr>
        <w:adjustRightInd w:val="0"/>
        <w:snapToGrid w:val="0"/>
        <w:spacing w:line="560" w:lineRule="exact"/>
        <w:ind w:firstLineChars="200" w:firstLine="640"/>
        <w:rPr>
          <w:rFonts w:ascii="黑体" w:eastAsia="黑体" w:hAnsi="黑体"/>
          <w:sz w:val="32"/>
          <w:szCs w:val="32"/>
        </w:rPr>
      </w:pPr>
      <w:bookmarkEnd w:id="1"/>
      <w:r>
        <w:rPr>
          <w:rFonts w:ascii="黑体" w:eastAsia="黑体" w:hAnsi="黑体" w:hint="eastAsia"/>
          <w:sz w:val="32"/>
          <w:szCs w:val="32"/>
        </w:rPr>
        <w:t>六、评价工作组人员名单及签字</w:t>
      </w:r>
    </w:p>
    <w:tbl>
      <w:tblPr>
        <w:tblpPr w:leftFromText="180" w:rightFromText="180" w:vertAnchor="text" w:horzAnchor="page" w:tblpX="1792" w:tblpY="206"/>
        <w:tblOverlap w:val="neve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488"/>
        <w:gridCol w:w="1890"/>
        <w:gridCol w:w="3750"/>
        <w:gridCol w:w="1672"/>
      </w:tblGrid>
      <w:tr>
        <w:trPr>
          <w:trHeight w:val="558"/>
        </w:trPr>
        <w:tc>
          <w:tcPr>
            <w:tcW w:w="1488" w:type="dxa"/>
            <w:vAlign w:val="center"/>
          </w:tcPr>
          <w:p>
            <w:pPr>
              <w:spacing w:line="560" w:lineRule="exact"/>
              <w:jc w:val="center"/>
              <w:rPr>
                <w:rFonts w:ascii="仿宋_GB2312" w:eastAsia="仿宋_GB2312" w:cs="仿宋_GB2312" w:hAnsi="仿宋_GB2312" w:hint="eastAsia"/>
                <w:b/>
                <w:bCs/>
                <w:sz w:val="32"/>
                <w:szCs w:val="32"/>
                <w:highlight w:val="auto"/>
              </w:rPr>
            </w:pPr>
            <w:r>
              <w:rPr>
                <w:rFonts w:ascii="仿宋_GB2312" w:eastAsia="仿宋_GB2312" w:cs="仿宋_GB2312" w:hAnsi="仿宋_GB2312" w:hint="eastAsia"/>
                <w:b/>
                <w:bCs/>
                <w:sz w:val="32"/>
                <w:szCs w:val="32"/>
                <w:highlight w:val="auto"/>
              </w:rPr>
              <w:t>姓名</w:t>
            </w:r>
          </w:p>
        </w:tc>
        <w:tc>
          <w:tcPr>
            <w:tcW w:w="1890" w:type="dxa"/>
            <w:vAlign w:val="center"/>
          </w:tcPr>
          <w:p>
            <w:pPr>
              <w:spacing w:line="560" w:lineRule="exact"/>
              <w:jc w:val="center"/>
              <w:rPr>
                <w:rFonts w:ascii="仿宋_GB2312" w:eastAsia="仿宋_GB2312" w:cs="仿宋_GB2312" w:hAnsi="仿宋_GB2312" w:hint="eastAsia"/>
                <w:b/>
                <w:bCs/>
                <w:sz w:val="32"/>
                <w:szCs w:val="32"/>
                <w:highlight w:val="auto"/>
              </w:rPr>
            </w:pPr>
            <w:r>
              <w:rPr>
                <w:rFonts w:ascii="仿宋_GB2312" w:eastAsia="仿宋_GB2312" w:cs="仿宋_GB2312" w:hAnsi="仿宋_GB2312" w:hint="eastAsia"/>
                <w:b/>
                <w:bCs/>
                <w:sz w:val="32"/>
                <w:szCs w:val="32"/>
                <w:highlight w:val="auto"/>
              </w:rPr>
              <w:t>工作单位</w:t>
            </w:r>
          </w:p>
        </w:tc>
        <w:tc>
          <w:tcPr>
            <w:tcW w:w="3750" w:type="dxa"/>
            <w:vAlign w:val="center"/>
          </w:tcPr>
          <w:p>
            <w:pPr>
              <w:spacing w:line="560" w:lineRule="exact"/>
              <w:jc w:val="center"/>
              <w:rPr>
                <w:rFonts w:ascii="仿宋_GB2312" w:eastAsia="仿宋_GB2312" w:cs="仿宋_GB2312" w:hAnsi="仿宋_GB2312" w:hint="eastAsia"/>
                <w:b/>
                <w:bCs/>
                <w:sz w:val="32"/>
                <w:szCs w:val="32"/>
                <w:highlight w:val="auto"/>
              </w:rPr>
            </w:pPr>
            <w:r>
              <w:rPr>
                <w:rFonts w:ascii="仿宋_GB2312" w:eastAsia="仿宋_GB2312" w:cs="仿宋_GB2312" w:hAnsi="仿宋_GB2312" w:hint="eastAsia"/>
                <w:b/>
                <w:bCs/>
                <w:sz w:val="32"/>
                <w:szCs w:val="32"/>
                <w:highlight w:val="auto"/>
              </w:rPr>
              <w:t>职</w:t>
            </w:r>
            <w:r>
              <w:rPr>
                <w:rFonts w:ascii="仿宋_GB2312" w:eastAsia="仿宋_GB2312" w:cs="仿宋_GB2312" w:hAnsi="仿宋_GB2312" w:hint="eastAsia"/>
                <w:b/>
                <w:bCs/>
                <w:sz w:val="32"/>
                <w:szCs w:val="32"/>
                <w:lang w:val="en-US" w:eastAsia="zh-CN"/>
                <w:highlight w:val="auto"/>
              </w:rPr>
              <w:t xml:space="preserve">  </w:t>
            </w:r>
            <w:r>
              <w:rPr>
                <w:rFonts w:ascii="仿宋_GB2312" w:eastAsia="仿宋_GB2312" w:cs="仿宋_GB2312" w:hAnsi="仿宋_GB2312" w:hint="eastAsia"/>
                <w:b/>
                <w:bCs/>
                <w:sz w:val="32"/>
                <w:szCs w:val="32"/>
                <w:highlight w:val="auto"/>
              </w:rPr>
              <w:t>务</w:t>
            </w:r>
          </w:p>
        </w:tc>
        <w:tc>
          <w:tcPr>
            <w:tcW w:w="1672" w:type="dxa"/>
            <w:vAlign w:val="center"/>
          </w:tcPr>
          <w:p>
            <w:pPr>
              <w:spacing w:line="560" w:lineRule="exact"/>
              <w:jc w:val="center"/>
              <w:rPr>
                <w:rFonts w:ascii="仿宋_GB2312" w:eastAsia="仿宋_GB2312" w:cs="仿宋_GB2312" w:hAnsi="仿宋_GB2312" w:hint="eastAsia"/>
                <w:b/>
                <w:bCs/>
                <w:sz w:val="32"/>
                <w:szCs w:val="32"/>
                <w:highlight w:val="auto"/>
              </w:rPr>
            </w:pPr>
            <w:r>
              <w:rPr>
                <w:rFonts w:ascii="仿宋_GB2312" w:eastAsia="仿宋_GB2312" w:cs="仿宋_GB2312" w:hAnsi="仿宋_GB2312" w:hint="eastAsia"/>
                <w:b/>
                <w:bCs/>
                <w:sz w:val="32"/>
                <w:szCs w:val="32"/>
                <w:highlight w:val="auto"/>
              </w:rPr>
              <w:t>签字</w:t>
            </w:r>
          </w:p>
        </w:tc>
      </w:tr>
      <w:tr>
        <w:trPr>
          <w:trHeight w:val="581"/>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许利平</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r>
              <w:rPr>
                <w:rFonts w:ascii="仿宋_GB2312" w:eastAsia="仿宋_GB2312" w:cs="仿宋_GB2312" w:hAnsi="仿宋_GB2312" w:hint="eastAsia"/>
                <w:sz w:val="32"/>
                <w:szCs w:val="32"/>
                <w:lang w:eastAsia="zh-CN"/>
                <w:highlight w:val="auto"/>
              </w:rPr>
              <w:t>农业农村</w:t>
            </w:r>
            <w:r>
              <w:rPr>
                <w:rFonts w:ascii="仿宋_GB2312" w:eastAsia="仿宋_GB2312" w:cs="仿宋_GB2312" w:hAnsi="仿宋_GB2312" w:hint="eastAsia"/>
                <w:sz w:val="32"/>
                <w:szCs w:val="32"/>
                <w:highlight w:val="auto"/>
              </w:rPr>
              <w:t>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r>
              <w:rPr>
                <w:rFonts w:ascii="仿宋_GB2312" w:eastAsia="仿宋_GB2312" w:cs="仿宋_GB2312" w:hAnsi="仿宋_GB2312" w:hint="eastAsia"/>
                <w:sz w:val="32"/>
                <w:szCs w:val="32"/>
                <w:highlight w:val="auto"/>
              </w:rPr>
              <w:t>局</w:t>
            </w:r>
            <w:r>
              <w:rPr>
                <w:rFonts w:ascii="仿宋_GB2312" w:eastAsia="仿宋_GB2312" w:cs="仿宋_GB2312" w:hAnsi="仿宋_GB2312" w:hint="eastAsia"/>
                <w:sz w:val="32"/>
                <w:szCs w:val="32"/>
                <w:lang w:val="en-US" w:eastAsia="zh-CN"/>
                <w:highlight w:val="auto"/>
              </w:rPr>
              <w:t xml:space="preserve"> </w:t>
            </w:r>
            <w:r>
              <w:rPr>
                <w:rFonts w:ascii="仿宋_GB2312" w:eastAsia="仿宋_GB2312" w:cs="仿宋_GB2312" w:hAnsi="仿宋_GB2312" w:hint="eastAsia"/>
                <w:sz w:val="32"/>
                <w:szCs w:val="32"/>
                <w:highlight w:val="auto"/>
              </w:rPr>
              <w:t>长</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621"/>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苏振涛</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highlight w:val="auto"/>
              </w:rPr>
              <w:t>副局长</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621"/>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樊占军</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r>
              <w:rPr>
                <w:rFonts w:ascii="仿宋_GB2312" w:eastAsia="仿宋_GB2312" w:cs="仿宋_GB2312" w:hAnsi="仿宋_GB2312" w:hint="eastAsia"/>
                <w:sz w:val="32"/>
                <w:szCs w:val="32"/>
                <w:lang w:eastAsia="zh-CN"/>
                <w:highlight w:val="auto"/>
              </w:rPr>
              <w:t>副科级干部</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556"/>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张</w:t>
            </w:r>
            <w:r>
              <w:rPr>
                <w:rFonts w:ascii="仿宋_GB2312" w:eastAsia="仿宋_GB2312" w:cs="仿宋_GB2312" w:hAnsi="仿宋_GB2312" w:hint="eastAsia"/>
                <w:sz w:val="32"/>
                <w:szCs w:val="32"/>
                <w:lang w:val="en-US" w:eastAsia="zh-CN"/>
                <w:highlight w:val="auto"/>
              </w:rPr>
              <w:t xml:space="preserve">  </w:t>
            </w:r>
            <w:r>
              <w:rPr>
                <w:rFonts w:ascii="仿宋_GB2312" w:eastAsia="仿宋_GB2312" w:cs="仿宋_GB2312" w:hAnsi="仿宋_GB2312" w:hint="eastAsia"/>
                <w:sz w:val="32"/>
                <w:szCs w:val="32"/>
                <w:lang w:eastAsia="zh-CN"/>
                <w:highlight w:val="auto"/>
              </w:rPr>
              <w:t>贺</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分管领导</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90"/>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冯丽娟</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办公室负责人</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628"/>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梅雪娟</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人事财务股负责人</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658"/>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马彦辉</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畜牧办负责人</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628"/>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高瑞红</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动物卫生监督所负责人</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643"/>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周建忠</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农业工作办公室负责人</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590"/>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左虎山</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水利和水资源中心负责人</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505"/>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高</w:t>
            </w:r>
            <w:r>
              <w:rPr>
                <w:rFonts w:ascii="仿宋_GB2312" w:eastAsia="仿宋_GB2312" w:cs="仿宋_GB2312" w:hAnsi="仿宋_GB2312" w:hint="eastAsia"/>
                <w:sz w:val="32"/>
                <w:szCs w:val="32"/>
                <w:lang w:val="en-US" w:eastAsia="zh-CN"/>
                <w:highlight w:val="auto"/>
              </w:rPr>
              <w:t xml:space="preserve">  </w:t>
            </w:r>
            <w:r>
              <w:rPr>
                <w:rFonts w:ascii="仿宋_GB2312" w:eastAsia="仿宋_GB2312" w:cs="仿宋_GB2312" w:hAnsi="仿宋_GB2312" w:hint="eastAsia"/>
                <w:sz w:val="32"/>
                <w:szCs w:val="32"/>
                <w:lang w:eastAsia="zh-CN"/>
                <w:highlight w:val="auto"/>
              </w:rPr>
              <w:t>峰</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水利和水资源中心负责人</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605"/>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张利辉</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水利和水资源中心负责人</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678"/>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刘利军</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农村办负责人</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r>
        <w:trPr>
          <w:trHeight w:val="678"/>
        </w:trPr>
        <w:tc>
          <w:tcPr>
            <w:tcW w:w="1488" w:type="dxa"/>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李</w:t>
            </w:r>
            <w:r>
              <w:rPr>
                <w:rFonts w:ascii="仿宋_GB2312" w:eastAsia="仿宋_GB2312" w:cs="仿宋_GB2312" w:hAnsi="仿宋_GB2312" w:hint="eastAsia"/>
                <w:sz w:val="32"/>
                <w:szCs w:val="32"/>
                <w:lang w:val="en-US" w:eastAsia="zh-CN"/>
                <w:highlight w:val="auto"/>
              </w:rPr>
              <w:t xml:space="preserve">  </w:t>
            </w:r>
            <w:r>
              <w:rPr>
                <w:rFonts w:ascii="仿宋_GB2312" w:eastAsia="仿宋_GB2312" w:cs="仿宋_GB2312" w:hAnsi="仿宋_GB2312" w:hint="eastAsia"/>
                <w:sz w:val="32"/>
                <w:szCs w:val="32"/>
                <w:lang w:eastAsia="zh-CN"/>
                <w:highlight w:val="auto"/>
              </w:rPr>
              <w:t>茜</w:t>
            </w:r>
          </w:p>
        </w:tc>
        <w:tc>
          <w:tcPr>
            <w:tcW w:w="189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农业农村局</w:t>
            </w:r>
          </w:p>
        </w:tc>
        <w:tc>
          <w:tcPr>
            <w:tcW w:w="3750"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lang w:eastAsia="zh-CN"/>
                <w:highlight w:val="auto"/>
              </w:rPr>
            </w:pPr>
            <w:r>
              <w:rPr>
                <w:rFonts w:ascii="仿宋_GB2312" w:eastAsia="仿宋_GB2312" w:cs="仿宋_GB2312" w:hAnsi="仿宋_GB2312" w:hint="eastAsia"/>
                <w:sz w:val="32"/>
                <w:szCs w:val="32"/>
                <w:lang w:eastAsia="zh-CN"/>
                <w:highlight w:val="auto"/>
              </w:rPr>
              <w:t>农经工作人员</w:t>
            </w:r>
          </w:p>
        </w:tc>
        <w:tc>
          <w:tcPr>
            <w:tcW w:w="1672" w:type="dxa"/>
            <w:tcBorders>
              <w:left w:val="single" w:sz="4" w:space="0" w:color="auto"/>
            </w:tcBorders>
            <w:vAlign w:val="center"/>
          </w:tcPr>
          <w:p>
            <w:pPr>
              <w:spacing w:line="560" w:lineRule="exact"/>
              <w:jc w:val="center"/>
              <w:rPr>
                <w:rFonts w:ascii="仿宋_GB2312" w:eastAsia="仿宋_GB2312" w:cs="仿宋_GB2312" w:hAnsi="仿宋_GB2312" w:hint="eastAsia"/>
                <w:sz w:val="32"/>
                <w:szCs w:val="32"/>
                <w:highlight w:val="auto"/>
              </w:rPr>
            </w:pPr>
          </w:p>
        </w:tc>
      </w:tr>
    </w:tbl>
    <w:p>
      <w:pPr>
        <w:pStyle w:val="16"/>
        <w:ind w:firstLineChars="0" w:firstLine="0"/>
        <w:rPr>
          <w:rFonts w:ascii="仿宋_GB2312" w:eastAsia="仿宋_GB2312" w:cs="仿宋_GB2312" w:hAnsi="仿宋_GB2312" w:hint="eastAsia"/>
        </w:rPr>
      </w:pPr>
    </w:p>
    <w:sectPr>
      <w:footerReference w:type="default" r:id="rId2"/>
      <w:pgSz w:w="11906" w:h="16838"/>
      <w:pgMar w:top="1440" w:right="1417" w:bottom="1440" w:left="1417" w:header="851" w:footer="992" w:gutter="0"/>
      <w:pgNumType w:fmt="numberInDash"/>
      <w:cols w:num="1" w:space="0" w:equalWidth="0">
        <w:col w:w="9072"/>
      </w:cols>
      <w:rtlGutter/>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50"/>
    <w:family w:val="auto"/>
    <w:pitch w:val="variable"/>
    <w:sig w:usb0="00000003" w:usb1="288F0000" w:usb2="00000006" w:usb3="00000000" w:csb0="00040001" w:csb1="00000000"/>
  </w:font>
  <w:font w:name="华文楷体">
    <w:panose1 w:val="02010600040101010101"/>
    <w:charset w:val="86"/>
    <w:family w:val="auto"/>
    <w:pitch w:val="variable"/>
    <w:sig w:usb0="00000287" w:usb1="080F0000" w:usb2="00000000" w:usb3="00000000" w:csb0="0004009F" w:csb1="DFD70000"/>
  </w:font>
  <w:font w:name="仿宋_GB2312">
    <w:panose1 w:val="02010609030101010101"/>
    <w:charset w:val="86"/>
    <w:family w:val="auto"/>
    <w:pitch w:val="variable"/>
    <w:sig w:usb0="00000001" w:usb1="080E0000" w:usb2="00000000" w:usb3="00000000" w:csb0="00040000" w:csb1="00000000"/>
  </w:font>
  <w:font w:name="楷体">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DengXian-Regular">
    <w:altName w:val="宋体"/>
    <w:panose1 w:val="00000000000000000000"/>
    <w:charset w:val="86"/>
    <w:family w:val="auto"/>
    <w:pitch w:val="variable"/>
    <w:sig w:usb0="00000000" w:usb1="00000000" w:usb2="00000010" w:usb3="00000000" w:csb0="00040001" w:csb1="00000000"/>
  </w:font>
  <w:font w:name="Times New Roman">
    <w:panose1 w:val="02020603050405020304"/>
    <w:charset w:val="86"/>
    <w:family w:val="auto"/>
    <w:pitch w:val="variable"/>
    <w:sig w:usb0="E0002AFF" w:usb1="C0007841" w:usb2="00000009" w:usb3="00000000" w:csb0="400001FF" w:csb1="FFFF0000"/>
  </w:font>
  <w:font w:name="Arial">
    <w:panose1 w:val="020B0604020202020204"/>
    <w:charset w:val="01"/>
    <w:family w:val="swiss"/>
    <w:pitch w:val="variable"/>
    <w:sig w:usb0="E0002AFF" w:usb1="C0007843" w:usb2="00000009" w:usb3="00000000" w:csb0="400001FF" w:csb1="FFFF0000"/>
  </w:font>
  <w:font w:name="Calibri">
    <w:panose1 w:val="020F0502020204030204"/>
    <w:charset w:val="00"/>
    <w:family w:val="decorative"/>
    <w:pitch w:val="variable"/>
    <w:sig w:usb0="E00002FF" w:usb1="4000ACFF" w:usb2="00000001" w:usb3="00000000" w:csb0="2000019F" w:csb1="00000000"/>
  </w:font>
  <w:font w:name="方正小标宋简体">
    <w:panose1 w:val="02010601030101010101"/>
    <w:charset w:val="86"/>
    <w:family w:val="auto"/>
    <w:pitch w:val="variable"/>
    <w:sig w:usb0="00000001" w:usb1="080E0000" w:usb2="00000000" w:usb3="00000000" w:csb0="00040000" w:csb1="00000000"/>
  </w:font>
  <w:font w:name="方正仿宋_GBK">
    <w:altName w:val="宋体"/>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r>
      <mc:AlternateContent>
        <mc:Choice Requires="wps">
          <w:drawing>
            <wp:anchor distT="0" distB="0" distL="90805" distR="90805" simplePos="0" relativeHeight="12" behindDoc="0" locked="0" layoutInCell="1" hidden="0" allowOverlap="1">
              <wp:simplePos x="0" y="0"/>
              <wp:positionH relativeFrom="margin">
                <wp:align>center</wp:align>
              </wp:positionH>
              <wp:positionV relativeFrom="paragraph">
                <wp:posOffset>-9922668</wp:posOffset>
              </wp:positionV>
              <wp:extent cx="277117" cy="16278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77117" cy="16278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286.74pt;margin-top:-781.3125pt;width:21.820312pt;height:12.817383pt;z-index:12;mso-position-horizontal:center;mso-position-horizontal-relative:margin;mso-position-vertical:absolute;mso-wrap-distance-left:7.15pt;mso-wrap-distance-right:7.15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6FD8A4A3"/>
    <w:multiLevelType w:val="singleLevel"/>
    <w:tmpl w:val="6FD8A4A3"/>
    <w:lvl w:ilvl="0">
      <w:start w:val="2"/>
      <w:numFmt w:val="decimal"/>
      <w:lvlRestart w:val="0"/>
      <w:suff w:val="nothing"/>
      <w:lvlText w:val="%1．"/>
      <w:lvlJc w:val="left"/>
      <w:pPr/>
    </w:lvl>
  </w:abstractNum>
  <w:abstractNum w:abstractNumId="1">
    <w:nsid w:val="82F51B11"/>
    <w:multiLevelType w:val="singleLevel"/>
    <w:tmpl w:val="82F51B11"/>
    <w:lvl w:ilvl="0">
      <w:start w:val="2"/>
      <w:numFmt w:val="chineseCounting"/>
      <w:lvlRestart w:val="0"/>
      <w:suff w:val="nothing"/>
      <w:lvlText w:val="（%1）"/>
      <w:lvlJc w:val="left"/>
      <w:pPr/>
      <w:rPr>
        <w:rFonts w:hint="eastAsia"/>
      </w:rPr>
    </w:lvl>
  </w:abstractNum>
  <w:abstractNum w:abstractNumId="2">
    <w:nsid w:val="5E68489B"/>
    <w:multiLevelType w:val="singleLevel"/>
    <w:tmpl w:val="5E68489B"/>
    <w:lvl w:ilvl="0">
      <w:start w:val="1"/>
      <w:numFmt w:val="chineseCounting"/>
      <w:lvlRestart w:val="0"/>
      <w:suff w:val="nothing"/>
      <w:lvlText w:val="（%1）"/>
      <w:lvlJc w:val="left"/>
      <w:pPr>
        <w:ind w:left="0" w:hanging="0"/>
      </w:pPr>
      <w:rPr>
        <w:rFonts w:ascii="楷体" w:hAnsi="楷体" w:eastAsia="楷体"/>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next w:val="15"/>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widowControl w:val="0"/>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widowControl w:val="0"/>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customStyle="1" w:styleId="15">
    <w:name w:val="Normal Indent1"/>
    <w:qFormat/>
    <w:basedOn w:val="0"/>
    <w:pPr>
      <w:ind w:firstLineChars="200" w:firstLine="200"/>
    </w:pPr>
  </w:style>
  <w:style w:type="paragraph" w:styleId="16">
    <w:name w:val="Normal Indent"/>
    <w:qFormat/>
    <w:basedOn w:val="0"/>
    <w:next w:val="17"/>
    <w:pPr>
      <w:ind w:firstLineChars="200" w:firstLine="200"/>
    </w:pPr>
    <w:rPr>
      <w:rFonts w:eastAsia="仿宋_GB2312"/>
      <w:sz w:val="30"/>
    </w:rPr>
  </w:style>
  <w:style w:type="paragraph" w:styleId="17">
    <w:name w:val="Subtitle"/>
    <w:qFormat/>
    <w:basedOn w:val="0"/>
    <w:pPr>
      <w:spacing w:line="700" w:lineRule="exact"/>
      <w:jc w:val="center"/>
      <w:outlineLvl w:val="1"/>
    </w:pPr>
    <w:rPr>
      <w:rFonts w:ascii="Arial" w:eastAsia="方正小标宋简体" w:cs="Arial" w:hAnsi="Arial"/>
      <w:b/>
      <w:bCs/>
      <w:kern w:val="28"/>
      <w:sz w:val="44"/>
      <w:szCs w:val="44"/>
    </w:rPr>
  </w:style>
  <w:style w:type="paragraph" w:styleId="18">
    <w:name w:val="footer"/>
    <w:qFormat/>
    <w:basedOn w:val="0"/>
    <w:pPr>
      <w:tabs>
        <w:tab w:val="center" w:pos="4153"/>
        <w:tab w:val="right" w:pos="8306"/>
      </w:tabs>
      <w:snapToGrid w:val="0"/>
      <w:jc w:val="left"/>
    </w:pPr>
    <w:rPr>
      <w:sz w:val="18"/>
    </w:rPr>
  </w:style>
  <w:style w:type="paragraph" w:styleId="19">
    <w:name w:val="header"/>
    <w:qFormat/>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 w:type="paragraph" w:styleId="20">
    <w:name w:val="Normal (Web)"/>
    <w:qFormat/>
    <w:basedOn w:val="0"/>
    <w:pPr>
      <w:spacing w:before="100" w:beforeAutospacing="1" w:after="100" w:afterAutospacing="1"/>
      <w:ind w:left="0" w:right="0"/>
      <w:jc w:val="left"/>
    </w:pPr>
    <w:rPr>
      <w:kern w:val="0"/>
      <w:sz w:val="24"/>
      <w:lang w:val="en-US" w:eastAsia="zh-CN"/>
    </w:rPr>
  </w:style>
  <w:style w:type="character" w:styleId="21">
    <w:name w:val="Strong"/>
    <w:qFormat/>
    <w:basedOn w:val="10"/>
    <w:rPr>
      <w:b/>
    </w:rPr>
  </w:style>
  <w:style w:type="paragraph" w:customStyle="1" w:styleId="22">
    <w:name w:val="插入文本样式-插入总体目标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styleId="23">
    <w:name w:val="插入文本样式-插入职责分类绩效目标文件"/>
    <w:qFormat/>
    <w:basedOn w:val="0"/>
    <w:pPr>
      <w:spacing w:before="0" w:after="0" w:line="500" w:lineRule="exact"/>
      <w:ind w:firstLine="560"/>
      <w:jc w:val="left"/>
      <w:outlineLvl w:val="9"/>
    </w:pPr>
    <w:rPr>
      <w:rFonts w:ascii="Times New Roman" w:eastAsia="方正仿宋_GBK" w:cs="Times New Roman" w:hAnsi="Times New Roman"/>
      <w:sz w:val="28"/>
    </w:rPr>
  </w:style>
  <w:style w:type="paragraph" w:customStyle="1" w:styleId="24">
    <w:name w:val="UserStyle_2"/>
    <w:qFormat/>
    <w:pPr>
      <w:spacing w:after="120" w:line="480" w:lineRule="auto"/>
      <w:ind w:leftChars="200" w:left="200" w:firstLineChars="200" w:firstLine="200"/>
      <w:jc w:val="both"/>
      <w:textAlignment w:val="baseline"/>
    </w:pPr>
    <w:rPr>
      <w:rFonts w:ascii="宋体" w:eastAsia="宋体" w:cs="Times New Roman" w:hAnsi="宋体"/>
      <w:sz w:val="24"/>
      <w:szCs w:val="36"/>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2929388C-6F06-4768-969B-A979B3628C51}">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5</TotalTime>
  <Application>WPS_Yozo_Office9.0.4819.102ZH</Application>
  <Pages>19</Pages>
  <Words>0</Words>
  <Characters>9862</Characters>
  <Lines>0</Lines>
  <Paragraphs>86</Paragraphs>
  <CharactersWithSpaces>13150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3</cp:revision>
  <cp:lastPrinted>2026-09-17T07:17:17Z</cp:lastPrinted>
  <dcterms:created xsi:type="dcterms:W3CDTF">2020-02-04T03:46:00Z</dcterms:created>
  <dcterms:modified xsi:type="dcterms:W3CDTF">2026-09-17T07:18:17Z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2052-10.8.0.5562</vt:lpwstr>
  </property>
  <property fmtid="{D5CDD505-2E9C-101B-9397-08002B2CF9AE}" pid="3" name="ICV">
    <vt:lpwstr>96934721B1514D3FBAA28020338CE855_12</vt:lpwstr>
  </property>
</Properties>
</file>