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E13F6">
      <w:pPr>
        <w:widowControl w:val="0"/>
        <w:wordWrap/>
        <w:adjustRightInd w:val="0"/>
        <w:snapToGrid w:val="0"/>
        <w:spacing w:line="560" w:lineRule="exact"/>
        <w:ind w:left="0" w:right="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</w:p>
    <w:p w14:paraId="25155DF9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</w:rPr>
      </w:pPr>
    </w:p>
    <w:p w14:paraId="31D1C63A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ascii="宋体" w:hAnsi="宋体" w:cs="宋体"/>
          <w:b/>
          <w:bCs/>
          <w:sz w:val="44"/>
          <w:szCs w:val="44"/>
        </w:rPr>
        <w:t>人社局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部门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2025年度整体支出绩效</w:t>
      </w:r>
      <w:r>
        <w:rPr>
          <w:rFonts w:hint="eastAsia" w:ascii="宋体" w:hAnsi="宋体" w:cs="宋体"/>
          <w:b/>
          <w:bCs/>
          <w:sz w:val="44"/>
          <w:szCs w:val="44"/>
        </w:rPr>
        <w:t>自评报告</w:t>
      </w:r>
    </w:p>
    <w:p w14:paraId="4032661C"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华文楷体" w:eastAsia="华文楷体"/>
          <w:sz w:val="32"/>
          <w:szCs w:val="32"/>
        </w:rPr>
      </w:pPr>
    </w:p>
    <w:p w14:paraId="6DB2A1C2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根据</w:t>
      </w: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ascii="仿宋" w:hAnsi="仿宋" w:eastAsia="仿宋"/>
          <w:sz w:val="32"/>
          <w:szCs w:val="32"/>
        </w:rPr>
        <w:t>区委区政府</w:t>
      </w:r>
      <w:r>
        <w:rPr>
          <w:rFonts w:hint="eastAsia" w:ascii="仿宋" w:hAnsi="仿宋" w:eastAsia="仿宋"/>
          <w:sz w:val="32"/>
          <w:szCs w:val="32"/>
        </w:rPr>
        <w:t>《关于全面落实预算绩效管理的实施意见》（</w:t>
      </w:r>
      <w:r>
        <w:rPr>
          <w:rFonts w:ascii="仿宋" w:hAnsi="仿宋" w:eastAsia="仿宋"/>
          <w:sz w:val="32"/>
          <w:szCs w:val="32"/>
        </w:rPr>
        <w:t>矿</w:t>
      </w:r>
      <w:r>
        <w:rPr>
          <w:rFonts w:hint="eastAsia" w:ascii="仿宋" w:hAnsi="仿宋" w:eastAsia="仿宋"/>
          <w:sz w:val="32"/>
          <w:szCs w:val="32"/>
        </w:rPr>
        <w:t>发﹝2019﹞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号）文件精神，遵循“科学性、规范性、客观性和公正性”的原则，对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人社局</w:t>
      </w:r>
      <w:r>
        <w:rPr>
          <w:rFonts w:hint="eastAsia" w:ascii="仿宋" w:hAnsi="仿宋" w:eastAsia="仿宋"/>
          <w:sz w:val="32"/>
          <w:szCs w:val="32"/>
        </w:rPr>
        <w:t>部门202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年整体支出情况实施了财政支出绩效自评价，形成本评价报告。</w:t>
      </w:r>
    </w:p>
    <w:p w14:paraId="5E07057C">
      <w:pPr>
        <w:widowControl w:val="0"/>
        <w:wordWrap/>
        <w:adjustRightInd w:val="0"/>
        <w:snapToGrid w:val="0"/>
        <w:spacing w:line="560" w:lineRule="exact"/>
        <w:ind w:left="0" w:right="0"/>
        <w:textAlignment w:val="auto"/>
        <w:outlineLvl w:val="9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eastAsia="zh-CN"/>
        </w:rPr>
        <w:t>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 w14:paraId="29037591">
      <w:pPr>
        <w:widowControl w:val="0"/>
        <w:wordWrap/>
        <w:adjustRightInd w:val="0"/>
        <w:snapToGrid w:val="0"/>
        <w:spacing w:line="560" w:lineRule="exact"/>
        <w:ind w:left="0" w:right="0" w:firstLine="643" w:firstLineChars="200"/>
        <w:textAlignment w:val="auto"/>
        <w:outlineLvl w:val="9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（一）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部门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概况</w:t>
      </w:r>
    </w:p>
    <w:p w14:paraId="55136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960" w:firstLineChars="3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部门职责：</w:t>
      </w:r>
    </w:p>
    <w:p w14:paraId="52351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（一）负责促进就业工作，健全公共就业服务体系和人力资源市场体系，积极促进社会就业。    </w:t>
      </w:r>
    </w:p>
    <w:p w14:paraId="7FF57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（二）制定我区养老、失业、工伤实施措施并推动落实。同时，对全</w:t>
      </w:r>
      <w:r>
        <w:rPr>
          <w:rFonts w:hint="eastAsia" w:ascii="仿宋" w:hAnsi="仿宋" w:eastAsia="仿宋"/>
          <w:sz w:val="32"/>
          <w:szCs w:val="32"/>
          <w:lang w:eastAsia="zh-CN"/>
        </w:rPr>
        <w:t>区</w:t>
      </w:r>
      <w:r>
        <w:rPr>
          <w:rFonts w:hint="eastAsia" w:ascii="仿宋" w:hAnsi="仿宋" w:eastAsia="仿宋"/>
          <w:sz w:val="32"/>
          <w:szCs w:val="32"/>
        </w:rPr>
        <w:t>社保基金征缴、支付、管理进行监管。</w:t>
      </w:r>
    </w:p>
    <w:p w14:paraId="3762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（三）落实专业技术人员管理和继续教育政策。</w:t>
      </w:r>
    </w:p>
    <w:p w14:paraId="52AEE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（四）承办全区各类人员的选调和安置。管理人事工资政策，组织人事考试和事业单位岗位设置管理及军转干部安置。</w:t>
      </w:r>
    </w:p>
    <w:p w14:paraId="19400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（五）会同有关部门落实机关企事业单位人员工资收入分配政策，建立全区机关企事业单位人员工资正常增长和支付保障机制，落实机关企事业单位人员福利和离退休政策．并负责组织实施和监督检查。</w:t>
      </w:r>
    </w:p>
    <w:p w14:paraId="2CE0B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六）落实劳动、人事争议调解仲裁制度和劳动关系政策，完善劳动关系协调机制，落实消除非法使用童工政策和女工、未成年工的特殊劳动保护政策，组织实施劳动监察，协调劳动者维权工作，依法查处重大案件。</w:t>
      </w:r>
    </w:p>
    <w:p w14:paraId="17641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（七）拟订全区人力资源和社会保障事业发展规划。负责全区人力资源和社会保障的宣传和舆情研究，推进部门依法行政。保障政府服务、信息化、劳动保障政策研究等综合性工作。</w:t>
      </w:r>
    </w:p>
    <w:p w14:paraId="459B9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机构设置：</w:t>
      </w:r>
    </w:p>
    <w:tbl>
      <w:tblPr>
        <w:tblStyle w:val="7"/>
        <w:tblW w:w="859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7"/>
        <w:gridCol w:w="1134"/>
        <w:gridCol w:w="1276"/>
        <w:gridCol w:w="2353"/>
      </w:tblGrid>
      <w:tr w14:paraId="69DF92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827" w:type="dxa"/>
            <w:vMerge w:val="restart"/>
            <w:vAlign w:val="center"/>
          </w:tcPr>
          <w:p w14:paraId="0C4C2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 w14:paraId="7FA23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单位性质</w:t>
            </w:r>
          </w:p>
        </w:tc>
        <w:tc>
          <w:tcPr>
            <w:tcW w:w="1276" w:type="dxa"/>
            <w:vMerge w:val="restart"/>
            <w:vAlign w:val="center"/>
          </w:tcPr>
          <w:p w14:paraId="6ACF5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单位规格</w:t>
            </w:r>
          </w:p>
        </w:tc>
        <w:tc>
          <w:tcPr>
            <w:tcW w:w="2353" w:type="dxa"/>
            <w:vMerge w:val="restart"/>
            <w:vAlign w:val="center"/>
          </w:tcPr>
          <w:p w14:paraId="2884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经费保障形式</w:t>
            </w:r>
          </w:p>
        </w:tc>
      </w:tr>
      <w:tr w14:paraId="77A339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827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F831CFA"/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05D7310"/>
        </w:tc>
        <w:tc>
          <w:tcPr>
            <w:tcW w:w="1276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803C3BC"/>
        </w:tc>
        <w:tc>
          <w:tcPr>
            <w:tcW w:w="2353" w:type="dxa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3737579"/>
        </w:tc>
      </w:tr>
      <w:tr w14:paraId="2D3B81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82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E541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矿区人力资源和社会保障局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（本级）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FB02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行政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DDA0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35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3474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财政拨款</w:t>
            </w:r>
          </w:p>
        </w:tc>
      </w:tr>
      <w:tr w14:paraId="769EE6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82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7E76C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矿区社会保险中心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EB18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事业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7F0F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35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8655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财政性资金基本保证</w:t>
            </w:r>
          </w:p>
        </w:tc>
      </w:tr>
      <w:tr w14:paraId="377F33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82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1BFD9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矿区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劳动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就业服务中心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8662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事业</w:t>
            </w:r>
          </w:p>
        </w:tc>
        <w:tc>
          <w:tcPr>
            <w:tcW w:w="12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0A30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35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A8EE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right="0" w:firstLine="640" w:firstLineChars="200"/>
              <w:textAlignment w:val="auto"/>
              <w:outlineLvl w:val="9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财政性资金基本保证</w:t>
            </w:r>
          </w:p>
        </w:tc>
      </w:tr>
    </w:tbl>
    <w:p w14:paraId="736D6E71"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人员情况，包括当年变动情况及原因。</w:t>
      </w:r>
    </w:p>
    <w:p w14:paraId="38F9055C">
      <w:pPr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截止到202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年12月</w:t>
      </w:r>
      <w:r>
        <w:rPr>
          <w:rFonts w:hint="eastAsia" w:ascii="仿宋" w:hAnsi="仿宋" w:eastAsia="仿宋"/>
          <w:sz w:val="32"/>
          <w:szCs w:val="32"/>
        </w:rPr>
        <w:t>矿区人力资源和社会保障局机关</w:t>
      </w:r>
      <w:r>
        <w:rPr>
          <w:rFonts w:hint="eastAsia" w:ascii="仿宋" w:hAnsi="仿宋" w:eastAsia="仿宋" w:cs="仿宋"/>
          <w:sz w:val="32"/>
          <w:szCs w:val="32"/>
        </w:rPr>
        <w:t>在职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人，退休1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人。</w:t>
      </w:r>
      <w:r>
        <w:rPr>
          <w:rFonts w:hint="eastAsia" w:ascii="仿宋" w:hAnsi="仿宋" w:eastAsia="仿宋"/>
          <w:sz w:val="32"/>
          <w:szCs w:val="32"/>
        </w:rPr>
        <w:t>矿区</w:t>
      </w:r>
      <w:r>
        <w:rPr>
          <w:rFonts w:hint="eastAsia" w:ascii="仿宋" w:hAnsi="仿宋" w:eastAsia="仿宋"/>
          <w:sz w:val="32"/>
          <w:szCs w:val="32"/>
          <w:lang w:eastAsia="zh-CN"/>
        </w:rPr>
        <w:t>社会保险中心</w:t>
      </w:r>
      <w:r>
        <w:rPr>
          <w:rFonts w:hint="eastAsia" w:ascii="仿宋" w:hAnsi="仿宋" w:eastAsia="仿宋" w:cs="仿宋"/>
          <w:sz w:val="32"/>
          <w:szCs w:val="32"/>
        </w:rPr>
        <w:t>在职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人，退休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人。</w:t>
      </w:r>
      <w:r>
        <w:rPr>
          <w:rFonts w:hint="eastAsia" w:ascii="仿宋" w:hAnsi="仿宋" w:eastAsia="仿宋"/>
          <w:sz w:val="32"/>
          <w:szCs w:val="32"/>
        </w:rPr>
        <w:t>矿区</w:t>
      </w:r>
      <w:r>
        <w:rPr>
          <w:rFonts w:hint="eastAsia" w:ascii="仿宋" w:hAnsi="仿宋" w:eastAsia="仿宋"/>
          <w:sz w:val="32"/>
          <w:szCs w:val="32"/>
          <w:lang w:eastAsia="zh-CN"/>
        </w:rPr>
        <w:t>就业服务中心</w:t>
      </w:r>
      <w:r>
        <w:rPr>
          <w:rFonts w:hint="eastAsia" w:ascii="仿宋" w:hAnsi="仿宋" w:eastAsia="仿宋" w:cs="仿宋"/>
          <w:sz w:val="32"/>
          <w:szCs w:val="32"/>
        </w:rPr>
        <w:t>在职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人，退休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人。</w:t>
      </w:r>
    </w:p>
    <w:p w14:paraId="1491E5AD">
      <w:pPr>
        <w:snapToGrid w:val="0"/>
        <w:spacing w:line="52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2025年年初部门资产246.83万元，年末资产220.70万元，比年初减少26.13万元，原因是提取2025年固定资产折旧。</w:t>
      </w:r>
    </w:p>
    <w:p w14:paraId="3CFBB6AE">
      <w:pPr>
        <w:widowControl w:val="0"/>
        <w:wordWrap/>
        <w:adjustRightInd w:val="0"/>
        <w:snapToGrid w:val="0"/>
        <w:spacing w:line="560" w:lineRule="exact"/>
        <w:ind w:left="0" w:right="0" w:firstLine="643" w:firstLineChars="200"/>
        <w:textAlignment w:val="auto"/>
        <w:outlineLvl w:val="9"/>
        <w:rPr>
          <w:rFonts w:ascii="仿宋" w:hAnsi="仿宋" w:eastAsia="仿宋" w:cs="楷体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（二）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部门收支预决算情况</w:t>
      </w:r>
    </w:p>
    <w:p w14:paraId="7CD93A4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2025年我部门项目年初预算资金13422.06 万元，调整预算数13806.53万元，决算实际支出13806.53万元，其中基本支出704.07万元，项目支出13102.46万元。</w:t>
      </w:r>
    </w:p>
    <w:p w14:paraId="7A0C81C0">
      <w:pPr>
        <w:widowControl w:val="0"/>
        <w:wordWrap/>
        <w:adjustRightInd w:val="0"/>
        <w:snapToGrid w:val="0"/>
        <w:spacing w:line="560" w:lineRule="exact"/>
        <w:ind w:left="0" w:right="0" w:firstLine="643" w:firstLineChars="200"/>
        <w:textAlignment w:val="auto"/>
        <w:outlineLvl w:val="9"/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（三）部门整体支出绩效目标、指标</w:t>
      </w:r>
    </w:p>
    <w:p w14:paraId="38EAE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2025年，我部门将按照区委、区政府和市人社局的工作部署，认真落实以人民为中心的发展思想，以党建为统领，兜好底线、补齐短板、抓住重点、突出特色，全力推进人社系统高标准完成各项工作目标。</w:t>
      </w:r>
    </w:p>
    <w:p w14:paraId="1386E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1、精准发力，大力促进就业工作。就业是最大的民生，作为资源枯竭型城市，我区就业面临严重压力，我局将把就业作为头等大事来抓，结合就业实际，抓好三个平台，促进高质量就业。　        ２、聚焦难点，大力推进社保工作。我区社会保险扩面征缴、社保风险基金防控面临不少挑战，我部门将进一步增强责任意识，迎难而上，推进社会保险扩面征缴工作。３、激发活力，大力做好人才工作。一是推进人事备案。二是落实人才政策。三是加强对非在编工作人员管理。４、履职尽责，构建和谐劳动关系</w:t>
      </w:r>
      <w:r>
        <w:rPr>
          <w:rFonts w:hint="eastAsia" w:ascii="仿宋" w:hAnsi="仿宋" w:eastAsia="仿宋" w:cs="黑体"/>
          <w:kern w:val="2"/>
          <w:sz w:val="32"/>
          <w:szCs w:val="32"/>
          <w:lang w:val="en-US" w:eastAsia="zh-CN" w:bidi="ar-SA"/>
        </w:rPr>
        <w:t>。５、真抓实干，围绕目标抓好工作。</w:t>
      </w:r>
    </w:p>
    <w:p w14:paraId="27147FF4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</w:t>
      </w:r>
      <w:r>
        <w:rPr>
          <w:rFonts w:hint="eastAsia" w:ascii="黑体" w:hAnsi="黑体" w:eastAsia="黑体"/>
          <w:sz w:val="32"/>
          <w:szCs w:val="32"/>
          <w:lang w:eastAsia="zh-CN"/>
        </w:rPr>
        <w:t>开展</w:t>
      </w:r>
      <w:r>
        <w:rPr>
          <w:rFonts w:hint="eastAsia" w:ascii="黑体" w:hAnsi="黑体" w:eastAsia="黑体"/>
          <w:sz w:val="32"/>
          <w:szCs w:val="32"/>
        </w:rPr>
        <w:t>情况</w:t>
      </w:r>
    </w:p>
    <w:p w14:paraId="68058FEB">
      <w:pPr>
        <w:widowControl w:val="0"/>
        <w:wordWrap/>
        <w:spacing w:line="560" w:lineRule="exact"/>
        <w:ind w:left="0" w:right="0"/>
        <w:textAlignment w:val="auto"/>
        <w:outlineLvl w:val="9"/>
        <w:rPr>
          <w:rFonts w:ascii="仿宋" w:hAnsi="仿宋" w:eastAsia="仿宋" w:cs="楷体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（一）自评的组织工作</w:t>
      </w:r>
    </w:p>
    <w:p w14:paraId="3ED2C48C">
      <w:pPr>
        <w:wordWrap/>
        <w:spacing w:line="560" w:lineRule="exact"/>
        <w:ind w:left="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color w:val="auto"/>
          <w:sz w:val="32"/>
          <w:szCs w:val="32"/>
        </w:rPr>
        <w:t>我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部门</w:t>
      </w:r>
      <w:r>
        <w:rPr>
          <w:rFonts w:hint="eastAsia" w:ascii="仿宋" w:hAnsi="仿宋" w:eastAsia="仿宋"/>
          <w:color w:val="auto"/>
          <w:sz w:val="32"/>
          <w:szCs w:val="32"/>
        </w:rPr>
        <w:t>接到文件后，成立了绩效评价小组，根据部门具体情况，做出了资料准备和评价程序的安排。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color w:val="auto"/>
          <w:sz w:val="32"/>
          <w:szCs w:val="32"/>
        </w:rPr>
        <w:t>日至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</w:rPr>
        <w:t>日，评价小组采用听取情况介绍，检查财务会计核算、预算决算资料，形成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人社局部门整体</w:t>
      </w:r>
      <w:r>
        <w:rPr>
          <w:rFonts w:hint="eastAsia" w:ascii="仿宋" w:hAnsi="仿宋" w:eastAsia="仿宋"/>
          <w:color w:val="auto"/>
          <w:sz w:val="32"/>
          <w:szCs w:val="32"/>
        </w:rPr>
        <w:t>绩效评价报告</w:t>
      </w:r>
    </w:p>
    <w:p w14:paraId="13756690">
      <w:pPr>
        <w:wordWrap/>
        <w:spacing w:line="560" w:lineRule="exact"/>
        <w:ind w:left="0" w:firstLine="320" w:firstLineChars="100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（二）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自评的方法和过程</w:t>
      </w:r>
    </w:p>
    <w:p w14:paraId="12A0DB0F">
      <w:pPr>
        <w:wordWrap/>
        <w:spacing w:line="560" w:lineRule="exact"/>
        <w:ind w:left="0" w:firstLine="420" w:firstLineChars="200"/>
        <w:rPr>
          <w:rFonts w:hint="eastAsia" w:ascii="仿宋" w:hAnsi="仿宋" w:eastAsia="仿宋" w:cs="楷体_GB2312"/>
          <w:b/>
          <w:bCs/>
          <w:sz w:val="32"/>
          <w:szCs w:val="32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3月15日至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月20日，评价小组采用听取情况介绍，检查财务会计核算、预算决算资料，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询问有关党建、</w:t>
      </w:r>
      <w:r>
        <w:rPr>
          <w:rFonts w:hint="eastAsia" w:ascii="仿宋" w:hAnsi="仿宋" w:eastAsia="仿宋"/>
          <w:sz w:val="32"/>
          <w:szCs w:val="32"/>
          <w:lang w:eastAsia="zh-CN"/>
        </w:rPr>
        <w:t>档案数字化规范经费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等支出</w:t>
      </w:r>
      <w:r>
        <w:rPr>
          <w:rFonts w:hint="eastAsia" w:ascii="仿宋" w:hAnsi="仿宋" w:eastAsia="仿宋"/>
          <w:sz w:val="32"/>
          <w:szCs w:val="32"/>
        </w:rPr>
        <w:t>的办公费、</w:t>
      </w:r>
      <w:r>
        <w:rPr>
          <w:rFonts w:hint="eastAsia" w:ascii="仿宋" w:hAnsi="仿宋" w:eastAsia="仿宋"/>
          <w:sz w:val="32"/>
          <w:szCs w:val="32"/>
          <w:lang w:eastAsia="zh-CN"/>
        </w:rPr>
        <w:t>差旅费</w:t>
      </w:r>
      <w:r>
        <w:rPr>
          <w:rFonts w:hint="eastAsia" w:ascii="仿宋" w:hAnsi="仿宋" w:eastAsia="仿宋"/>
          <w:sz w:val="32"/>
          <w:szCs w:val="32"/>
        </w:rPr>
        <w:t>等</w:t>
      </w:r>
      <w:r>
        <w:rPr>
          <w:rFonts w:hint="eastAsia" w:ascii="仿宋" w:hAnsi="仿宋" w:eastAsia="仿宋"/>
          <w:sz w:val="32"/>
          <w:szCs w:val="32"/>
          <w:lang w:eastAsia="zh-CN"/>
        </w:rPr>
        <w:t>各项</w:t>
      </w:r>
      <w:r>
        <w:rPr>
          <w:rFonts w:hint="eastAsia" w:ascii="仿宋" w:hAnsi="仿宋" w:eastAsia="仿宋"/>
          <w:sz w:val="32"/>
          <w:szCs w:val="32"/>
        </w:rPr>
        <w:t>支出</w:t>
      </w:r>
      <w:r>
        <w:rPr>
          <w:rFonts w:hint="eastAsia" w:ascii="仿宋" w:hAnsi="仿宋" w:eastAsia="仿宋"/>
          <w:color w:val="auto"/>
          <w:sz w:val="32"/>
          <w:szCs w:val="32"/>
        </w:rPr>
        <w:t>，发放调查问卷等方式，经过综合分析，形成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人社部门整体</w:t>
      </w:r>
      <w:r>
        <w:rPr>
          <w:rFonts w:hint="eastAsia" w:ascii="仿宋" w:hAnsi="仿宋" w:eastAsia="仿宋"/>
          <w:color w:val="auto"/>
          <w:sz w:val="32"/>
          <w:szCs w:val="32"/>
        </w:rPr>
        <w:t>绩效评价报告。</w:t>
      </w:r>
    </w:p>
    <w:p w14:paraId="1D31D2B0">
      <w:pPr>
        <w:widowControl w:val="0"/>
        <w:wordWrap/>
        <w:spacing w:line="560" w:lineRule="exact"/>
        <w:ind w:left="0" w:right="0"/>
        <w:textAlignment w:val="auto"/>
        <w:outlineLvl w:val="9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eastAsia="zh-CN"/>
        </w:rPr>
        <w:t>部门整体支出</w:t>
      </w:r>
      <w:r>
        <w:rPr>
          <w:rFonts w:hint="eastAsia" w:ascii="黑体" w:hAnsi="黑体" w:eastAsia="黑体"/>
          <w:sz w:val="32"/>
          <w:szCs w:val="32"/>
        </w:rPr>
        <w:t>绩效</w:t>
      </w:r>
      <w:r>
        <w:rPr>
          <w:rFonts w:hint="eastAsia" w:ascii="黑体" w:hAnsi="黑体" w:eastAsia="黑体"/>
          <w:sz w:val="32"/>
          <w:szCs w:val="32"/>
          <w:lang w:eastAsia="zh-CN"/>
        </w:rPr>
        <w:t>目标实现情况及指标分析</w:t>
      </w:r>
    </w:p>
    <w:p w14:paraId="39AFE615">
      <w:pPr>
        <w:widowControl w:val="0"/>
        <w:numPr>
          <w:ilvl w:val="0"/>
          <w:numId w:val="1"/>
        </w:numPr>
        <w:wordWrap/>
        <w:spacing w:line="560" w:lineRule="exact"/>
        <w:ind w:left="0" w:right="0" w:firstLine="643" w:firstLineChars="200"/>
        <w:textAlignment w:val="auto"/>
        <w:outlineLvl w:val="9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总体绩效目标实现情况</w:t>
      </w:r>
    </w:p>
    <w:p w14:paraId="0EF2F44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14  </w:t>
      </w:r>
      <w:r>
        <w:rPr>
          <w:rFonts w:hint="eastAsia" w:ascii="仿宋" w:hAnsi="仿宋" w:eastAsia="仿宋"/>
          <w:sz w:val="32"/>
          <w:szCs w:val="32"/>
          <w:lang w:eastAsia="zh-CN"/>
        </w:rPr>
        <w:t>个项目进行了自评价，并完成《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2025年度区级</w:t>
      </w:r>
      <w:r>
        <w:rPr>
          <w:rFonts w:hint="eastAsia" w:ascii="仿宋" w:hAnsi="仿宋" w:eastAsia="仿宋"/>
          <w:sz w:val="32"/>
          <w:szCs w:val="32"/>
          <w:lang w:eastAsia="zh-CN"/>
        </w:rPr>
        <w:t>项目绩效自评表》，且对人社局城乡居民养老保险补助进行了重点评价。</w:t>
      </w:r>
    </w:p>
    <w:p w14:paraId="141E35C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</w:t>
      </w:r>
    </w:p>
    <w:p w14:paraId="7D27F68C">
      <w:pPr>
        <w:widowControl w:val="0"/>
        <w:numPr>
          <w:ilvl w:val="0"/>
          <w:numId w:val="0"/>
        </w:numPr>
        <w:wordWrap/>
        <w:spacing w:line="560" w:lineRule="exact"/>
        <w:ind w:leftChars="200" w:right="0" w:rightChars="0"/>
        <w:textAlignment w:val="auto"/>
        <w:outlineLvl w:val="9"/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（二）分项绩效目标实现情况及指标分析</w:t>
      </w:r>
    </w:p>
    <w:p w14:paraId="1CE599A9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金保工程网费</w:t>
      </w:r>
    </w:p>
    <w:p w14:paraId="10A1FA41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3619E737">
      <w:pPr>
        <w:pStyle w:val="10"/>
        <w:numPr>
          <w:ilvl w:val="0"/>
          <w:numId w:val="0"/>
        </w:numPr>
        <w:ind w:firstLine="64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该项目预算数是0.6万，支出0.6万元，总体支出进度为100%。</w:t>
      </w:r>
    </w:p>
    <w:p w14:paraId="671781BD">
      <w:pPr>
        <w:pStyle w:val="10"/>
        <w:numPr>
          <w:ilvl w:val="0"/>
          <w:numId w:val="3"/>
        </w:numPr>
        <w:ind w:firstLine="64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产出指标和效果指标完成情况</w:t>
      </w:r>
    </w:p>
    <w:p w14:paraId="19D214BD">
      <w:pPr>
        <w:widowControl w:val="0"/>
        <w:wordWrap/>
        <w:adjustRightInd w:val="0"/>
        <w:snapToGrid w:val="0"/>
        <w:spacing w:line="560" w:lineRule="exact"/>
        <w:ind w:left="420" w:leftChars="200" w:right="0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该项经费用于支付金保工程网费，保障网络正常运行。</w:t>
      </w:r>
    </w:p>
    <w:p w14:paraId="34BC537D">
      <w:pPr>
        <w:pStyle w:val="10"/>
        <w:numPr>
          <w:ilvl w:val="0"/>
          <w:numId w:val="0"/>
        </w:numPr>
        <w:ind w:firstLine="64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1E1A6F08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机关工作经费</w:t>
      </w:r>
    </w:p>
    <w:p w14:paraId="5C400B00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0FE04C94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1F790F2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6C8D688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扎实推进就业、社保、人才、劳动保障各项工作，各项任务顺利完成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6890904D">
      <w:pPr>
        <w:pStyle w:val="10"/>
        <w:numPr>
          <w:ilvl w:val="0"/>
          <w:numId w:val="0"/>
        </w:numPr>
        <w:ind w:firstLine="64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绩效指标为4个，评价等级为优 </w:t>
      </w:r>
    </w:p>
    <w:p w14:paraId="0BE617B8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职称评审经费</w:t>
      </w:r>
    </w:p>
    <w:p w14:paraId="7233A750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26A14292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1.392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25989AC9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61229516">
      <w:pPr>
        <w:widowControl w:val="0"/>
        <w:wordWrap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用于支付职称评审费。</w:t>
      </w:r>
    </w:p>
    <w:p w14:paraId="09830725">
      <w:pPr>
        <w:pStyle w:val="10"/>
        <w:numPr>
          <w:ilvl w:val="0"/>
          <w:numId w:val="0"/>
        </w:numPr>
        <w:ind w:left="480" w:leftChars="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24F0ACA7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劳务派遣经费</w:t>
      </w:r>
    </w:p>
    <w:p w14:paraId="303B8A13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7A7BA2FE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2616.31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2616.31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2616.31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7F3E5BF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7B2BEE00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2616.31</w:t>
      </w:r>
      <w:r>
        <w:rPr>
          <w:rFonts w:hint="eastAsia" w:ascii="仿宋" w:hAnsi="仿宋" w:eastAsia="仿宋"/>
          <w:color w:val="auto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用于劳务派遣工作人员的工资保险支出。</w:t>
      </w:r>
    </w:p>
    <w:p w14:paraId="06E4009C">
      <w:pPr>
        <w:pStyle w:val="10"/>
        <w:numPr>
          <w:ilvl w:val="0"/>
          <w:numId w:val="0"/>
        </w:numPr>
        <w:ind w:left="480" w:left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087983E9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工资系统网络服务费</w:t>
      </w:r>
    </w:p>
    <w:p w14:paraId="46C41ABB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33070F09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76D35C09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2C3CD96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工资系统网络运行正常</w:t>
      </w:r>
    </w:p>
    <w:p w14:paraId="33D4C79A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</w:t>
      </w:r>
    </w:p>
    <w:p w14:paraId="3DD59693">
      <w:pPr>
        <w:pStyle w:val="10"/>
        <w:numPr>
          <w:ilvl w:val="0"/>
          <w:numId w:val="2"/>
        </w:numPr>
        <w:ind w:left="480" w:leftChars="0" w:firstLine="0" w:firstLineChars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lang w:eastAsia="zh-CN"/>
        </w:rPr>
        <w:t>年中央就业补助资金（专款）。</w:t>
      </w:r>
    </w:p>
    <w:p w14:paraId="530F1AA9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7DEDC12D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462.76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462.76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462.76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61FA114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1AB8FA87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用于支付用于社会保险补贴岗位补贴66.08万元。4050困难人员社保补贴119.5万元。孵化基地226.68万元。高校社保补贴50.5万元。</w:t>
      </w:r>
    </w:p>
    <w:p w14:paraId="53D7641B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61CADA23">
      <w:pPr>
        <w:pStyle w:val="10"/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(七）</w:t>
      </w:r>
      <w:r>
        <w:rPr>
          <w:rFonts w:hint="eastAsia" w:ascii="仿宋" w:hAnsi="仿宋" w:eastAsia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lang w:eastAsia="zh-CN"/>
        </w:rPr>
        <w:t>年省就业补助资金（专款）</w:t>
      </w:r>
    </w:p>
    <w:p w14:paraId="42149EFA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6A26B38E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91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91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91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55097D27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0C8CFF6D">
      <w:pPr>
        <w:widowControl w:val="0"/>
        <w:wordWrap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用于支付用于公益岗位补贴91万元。</w:t>
      </w:r>
    </w:p>
    <w:p w14:paraId="227F9A8C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29DB95C3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（八）</w:t>
      </w:r>
      <w:r>
        <w:rPr>
          <w:rFonts w:hint="eastAsia" w:ascii="仿宋" w:hAnsi="仿宋" w:eastAsia="仿宋"/>
          <w:sz w:val="32"/>
          <w:szCs w:val="32"/>
          <w:lang w:eastAsia="zh-CN"/>
        </w:rPr>
        <w:t>2025年中央财政稳就业扩大社会保险补贴范围补助资金（专款）。</w:t>
      </w:r>
    </w:p>
    <w:p w14:paraId="2F554C9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1.资金支出进度</w:t>
      </w:r>
    </w:p>
    <w:p w14:paraId="14C3EE83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年度预算资金安排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0.1249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0.1249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4.16%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0C19F74C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0CF75CD0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用于支付稳就业扩大社会保险补贴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万元。实际支付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0.1249万元。</w:t>
      </w:r>
    </w:p>
    <w:p w14:paraId="65079DE2">
      <w:pPr>
        <w:pStyle w:val="10"/>
        <w:numPr>
          <w:ilvl w:val="0"/>
          <w:numId w:val="0"/>
        </w:numPr>
        <w:ind w:left="480" w:leftChars="0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绩效指标为4个，评价等级为优。</w:t>
      </w:r>
    </w:p>
    <w:p w14:paraId="123F69DA">
      <w:pPr>
        <w:pStyle w:val="10"/>
        <w:numPr>
          <w:ilvl w:val="0"/>
          <w:numId w:val="0"/>
        </w:numPr>
        <w:ind w:left="480" w:leftChars="0"/>
        <w:rPr>
          <w:rFonts w:hint="eastAsia" w:ascii="仿宋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（九）</w:t>
      </w:r>
      <w:r>
        <w:rPr>
          <w:rFonts w:hint="eastAsia" w:ascii="仿宋_GB2312" w:hAnsi="仿宋_GB2312" w:eastAsia="仿宋_GB2312" w:cs="仿宋_GB2312"/>
          <w:sz w:val="32"/>
          <w:szCs w:val="32"/>
        </w:rPr>
        <w:t>城乡居民养老保险区级补助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（社保中心）</w:t>
      </w:r>
    </w:p>
    <w:p w14:paraId="4CC56FCD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64BEAE20"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ascii="仿宋" w:hAnsi="仿宋" w:eastAsia="仿宋" w:cs="仿宋_GB2312"/>
          <w:sz w:val="32"/>
          <w:szCs w:val="32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年度预算资金安排</w:t>
      </w:r>
      <w:r>
        <w:rPr>
          <w:rFonts w:ascii="仿宋" w:hAnsi="仿宋" w:eastAsia="仿宋" w:cs="仿宋_GB2312"/>
          <w:sz w:val="32"/>
          <w:szCs w:val="32"/>
        </w:rPr>
        <w:t>1942.49</w:t>
      </w:r>
      <w:r>
        <w:rPr>
          <w:rFonts w:hint="eastAsia" w:ascii="仿宋" w:hAnsi="仿宋" w:eastAsia="仿宋" w:cs="仿宋_GB2312"/>
          <w:sz w:val="32"/>
          <w:szCs w:val="32"/>
        </w:rPr>
        <w:t>万元，到位</w:t>
      </w:r>
      <w:r>
        <w:rPr>
          <w:rFonts w:ascii="仿宋" w:hAnsi="仿宋" w:eastAsia="仿宋" w:cs="仿宋_GB2312"/>
          <w:sz w:val="32"/>
          <w:szCs w:val="32"/>
        </w:rPr>
        <w:t>1942.49</w:t>
      </w:r>
      <w:r>
        <w:rPr>
          <w:rFonts w:hint="eastAsia" w:ascii="仿宋" w:hAnsi="仿宋" w:eastAsia="仿宋" w:cs="仿宋_GB2312"/>
          <w:sz w:val="32"/>
          <w:szCs w:val="32"/>
        </w:rPr>
        <w:t>万元，执行</w:t>
      </w:r>
      <w:r>
        <w:rPr>
          <w:rFonts w:ascii="仿宋" w:hAnsi="仿宋" w:eastAsia="仿宋" w:cs="仿宋_GB2312"/>
          <w:sz w:val="32"/>
          <w:szCs w:val="32"/>
        </w:rPr>
        <w:t>1942.49</w:t>
      </w:r>
      <w:r>
        <w:rPr>
          <w:rFonts w:hint="eastAsia" w:ascii="仿宋" w:hAnsi="仿宋" w:eastAsia="仿宋" w:cs="仿宋_GB2312"/>
          <w:sz w:val="32"/>
          <w:szCs w:val="32"/>
        </w:rPr>
        <w:t>万元，预算执行率100%。</w:t>
      </w:r>
    </w:p>
    <w:p w14:paraId="1AFFCC22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2.产出指标和效果指标完成情况</w:t>
      </w:r>
    </w:p>
    <w:p w14:paraId="2F918067">
      <w:pPr>
        <w:spacing w:line="600" w:lineRule="exact"/>
        <w:ind w:firstLine="600" w:firstLineChars="200"/>
        <w:textAlignment w:val="baseline"/>
        <w:rPr>
          <w:rFonts w:ascii="仿宋" w:hAnsi="仿宋" w:eastAsia="仿宋"/>
          <w:b w:val="0"/>
          <w:bCs w:val="0"/>
          <w:sz w:val="30"/>
          <w:szCs w:val="30"/>
        </w:rPr>
      </w:pPr>
      <w:r>
        <w:rPr>
          <w:rStyle w:val="11"/>
          <w:rFonts w:hint="eastAsia" w:ascii="仿宋" w:hAnsi="仿宋" w:eastAsia="仿宋"/>
          <w:sz w:val="30"/>
          <w:szCs w:val="30"/>
        </w:rPr>
        <w:t>202</w:t>
      </w:r>
      <w:r>
        <w:rPr>
          <w:rStyle w:val="11"/>
          <w:rFonts w:ascii="仿宋" w:hAnsi="仿宋" w:eastAsia="仿宋"/>
          <w:sz w:val="30"/>
          <w:szCs w:val="30"/>
        </w:rPr>
        <w:t>5</w:t>
      </w:r>
      <w:r>
        <w:rPr>
          <w:rStyle w:val="11"/>
          <w:rFonts w:hint="eastAsia" w:ascii="仿宋" w:hAnsi="仿宋" w:eastAsia="仿宋"/>
          <w:sz w:val="30"/>
          <w:szCs w:val="30"/>
        </w:rPr>
        <w:t>年度我区城乡居民养老保险，每人每月最低领取基本养老金</w:t>
      </w:r>
      <w:r>
        <w:rPr>
          <w:rStyle w:val="11"/>
          <w:rFonts w:ascii="仿宋" w:hAnsi="仿宋" w:eastAsia="仿宋"/>
          <w:sz w:val="30"/>
          <w:szCs w:val="30"/>
        </w:rPr>
        <w:t>198</w:t>
      </w:r>
      <w:r>
        <w:rPr>
          <w:rStyle w:val="11"/>
          <w:rFonts w:hint="eastAsia" w:ascii="仿宋" w:hAnsi="仿宋" w:eastAsia="仿宋"/>
          <w:sz w:val="30"/>
          <w:szCs w:val="30"/>
        </w:rPr>
        <w:t>元，比省规定基础养老金高10元，领取养老金待遇水平在全市比较靠前</w:t>
      </w:r>
      <w:r>
        <w:rPr>
          <w:rFonts w:hint="eastAsia" w:ascii="仿宋" w:hAnsi="仿宋" w:eastAsia="仿宋" w:cs="仿宋_GB2312"/>
          <w:sz w:val="30"/>
          <w:szCs w:val="30"/>
        </w:rPr>
        <w:t>。</w:t>
      </w:r>
      <w:r>
        <w:rPr>
          <w:rFonts w:hint="eastAsia" w:ascii="仿宋" w:hAnsi="仿宋" w:eastAsia="仿宋" w:cs="仿宋_GB2312"/>
          <w:sz w:val="32"/>
          <w:szCs w:val="32"/>
        </w:rPr>
        <w:t>预算目标总体完成率达100%。</w:t>
      </w:r>
    </w:p>
    <w:p w14:paraId="146123AE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绩效指标为4个，评价等级为优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。</w:t>
      </w:r>
    </w:p>
    <w:p w14:paraId="1AE4FEFA">
      <w:pPr>
        <w:pStyle w:val="10"/>
        <w:numPr>
          <w:ilvl w:val="0"/>
          <w:numId w:val="0"/>
        </w:numPr>
        <w:ind w:left="480" w:leftChars="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（十）机关事业养老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保险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区级补助（社保中心）</w:t>
      </w:r>
    </w:p>
    <w:p w14:paraId="417538FE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1CE858C2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ascii="仿宋" w:hAnsi="仿宋" w:eastAsia="仿宋" w:cs="仿宋_GB2312"/>
          <w:sz w:val="32"/>
          <w:szCs w:val="32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年度预算资金安排</w:t>
      </w:r>
      <w:r>
        <w:rPr>
          <w:rFonts w:ascii="仿宋" w:hAnsi="仿宋" w:eastAsia="仿宋" w:cs="仿宋_GB2312"/>
          <w:sz w:val="32"/>
          <w:szCs w:val="32"/>
        </w:rPr>
        <w:t>7576.37</w:t>
      </w:r>
      <w:r>
        <w:rPr>
          <w:rFonts w:hint="eastAsia" w:ascii="仿宋" w:hAnsi="仿宋" w:eastAsia="仿宋" w:cs="仿宋_GB2312"/>
          <w:sz w:val="32"/>
          <w:szCs w:val="32"/>
        </w:rPr>
        <w:t>万元，到位</w:t>
      </w:r>
      <w:r>
        <w:rPr>
          <w:rFonts w:ascii="仿宋" w:hAnsi="仿宋" w:eastAsia="仿宋" w:cs="仿宋_GB2312"/>
          <w:sz w:val="32"/>
          <w:szCs w:val="32"/>
        </w:rPr>
        <w:t>7576.37</w:t>
      </w:r>
      <w:r>
        <w:rPr>
          <w:rFonts w:hint="eastAsia" w:ascii="仿宋" w:hAnsi="仿宋" w:eastAsia="仿宋" w:cs="仿宋_GB2312"/>
          <w:sz w:val="32"/>
          <w:szCs w:val="32"/>
        </w:rPr>
        <w:t>万元，执行</w:t>
      </w:r>
      <w:r>
        <w:rPr>
          <w:rFonts w:ascii="仿宋" w:hAnsi="仿宋" w:eastAsia="仿宋" w:cs="仿宋_GB2312"/>
          <w:sz w:val="32"/>
          <w:szCs w:val="32"/>
        </w:rPr>
        <w:t>7576.37</w:t>
      </w:r>
      <w:r>
        <w:rPr>
          <w:rFonts w:hint="eastAsia" w:ascii="仿宋" w:hAnsi="仿宋" w:eastAsia="仿宋" w:cs="仿宋_GB2312"/>
          <w:sz w:val="32"/>
          <w:szCs w:val="32"/>
        </w:rPr>
        <w:t>万元，预算执行率100%。</w:t>
      </w:r>
    </w:p>
    <w:p w14:paraId="10498870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2.产出指标和效果指标完成情况</w:t>
      </w:r>
    </w:p>
    <w:p w14:paraId="44110243">
      <w:pPr>
        <w:spacing w:line="600" w:lineRule="exact"/>
        <w:ind w:firstLine="600" w:firstLineChars="200"/>
        <w:textAlignment w:val="baseline"/>
        <w:rPr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"/>
          <w:rFonts w:hint="eastAsia" w:ascii="仿宋" w:hAnsi="仿宋" w:eastAsia="仿宋"/>
          <w:sz w:val="30"/>
          <w:szCs w:val="30"/>
        </w:rPr>
        <w:t>202</w:t>
      </w:r>
      <w:r>
        <w:rPr>
          <w:rStyle w:val="11"/>
          <w:rFonts w:ascii="仿宋" w:hAnsi="仿宋" w:eastAsia="仿宋"/>
          <w:sz w:val="30"/>
          <w:szCs w:val="30"/>
        </w:rPr>
        <w:t>5</w:t>
      </w:r>
      <w:r>
        <w:rPr>
          <w:rStyle w:val="11"/>
          <w:rFonts w:hint="eastAsia" w:ascii="仿宋" w:hAnsi="仿宋" w:eastAsia="仿宋"/>
          <w:sz w:val="30"/>
          <w:szCs w:val="30"/>
        </w:rPr>
        <w:t>年度我区机关事业养老保险，每月月均</w:t>
      </w:r>
      <w:r>
        <w:rPr>
          <w:rStyle w:val="11"/>
          <w:rFonts w:ascii="仿宋" w:hAnsi="仿宋" w:eastAsia="仿宋"/>
          <w:sz w:val="30"/>
          <w:szCs w:val="30"/>
        </w:rPr>
        <w:t>1635</w:t>
      </w:r>
      <w:r>
        <w:rPr>
          <w:rStyle w:val="11"/>
          <w:rFonts w:hint="eastAsia" w:ascii="仿宋" w:hAnsi="仿宋" w:eastAsia="仿宋"/>
          <w:sz w:val="30"/>
          <w:szCs w:val="30"/>
        </w:rPr>
        <w:t>人按时、按标准发放养老金。</w:t>
      </w:r>
      <w:r>
        <w:rPr>
          <w:rFonts w:hint="eastAsia" w:ascii="仿宋" w:hAnsi="仿宋" w:eastAsia="仿宋" w:cs="仿宋_GB2312"/>
          <w:sz w:val="32"/>
          <w:szCs w:val="32"/>
        </w:rPr>
        <w:t>预算目标总体完成率达100%。</w:t>
      </w:r>
    </w:p>
    <w:p w14:paraId="4CCA615A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绩效指标为4个，评价等级为优。</w:t>
      </w:r>
    </w:p>
    <w:p w14:paraId="4CD6C7FF">
      <w:pPr>
        <w:pStyle w:val="10"/>
        <w:numPr>
          <w:ilvl w:val="0"/>
          <w:numId w:val="0"/>
        </w:numPr>
        <w:ind w:firstLine="320" w:firstLineChars="100"/>
        <w:rPr>
          <w:rFonts w:hint="eastAsia" w:ascii="仿宋" w:hAnsi="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eastAsia="zh-CN"/>
        </w:rPr>
        <w:t>（十一）</w:t>
      </w:r>
      <w:r>
        <w:rPr>
          <w:rFonts w:ascii="仿宋_GB2312" w:hAnsi="仿宋_GB2312" w:eastAsia="仿宋_GB2312" w:cs="仿宋_GB2312"/>
          <w:sz w:val="32"/>
          <w:szCs w:val="32"/>
        </w:rPr>
        <w:t>国有企业退休人员社会化管理补助资金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（社保中心）</w:t>
      </w:r>
    </w:p>
    <w:p w14:paraId="504D0EE0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6A3ACA25"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ascii="仿宋" w:hAnsi="仿宋" w:eastAsia="仿宋" w:cs="仿宋_GB2312"/>
          <w:sz w:val="32"/>
          <w:szCs w:val="32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年度区级预算资金安排</w:t>
      </w:r>
      <w:r>
        <w:rPr>
          <w:rFonts w:ascii="仿宋" w:hAnsi="仿宋" w:eastAsia="仿宋" w:cs="仿宋_GB2312"/>
          <w:sz w:val="32"/>
          <w:szCs w:val="32"/>
        </w:rPr>
        <w:t>11.31</w:t>
      </w:r>
      <w:r>
        <w:rPr>
          <w:rFonts w:hint="eastAsia" w:ascii="仿宋" w:hAnsi="仿宋" w:eastAsia="仿宋" w:cs="仿宋_GB2312"/>
          <w:sz w:val="32"/>
          <w:szCs w:val="32"/>
        </w:rPr>
        <w:t>万元，到位</w:t>
      </w:r>
      <w:r>
        <w:rPr>
          <w:rFonts w:ascii="仿宋" w:hAnsi="仿宋" w:eastAsia="仿宋" w:cs="仿宋_GB2312"/>
          <w:sz w:val="32"/>
          <w:szCs w:val="32"/>
        </w:rPr>
        <w:t>11.31</w:t>
      </w:r>
      <w:r>
        <w:rPr>
          <w:rFonts w:hint="eastAsia" w:ascii="仿宋" w:hAnsi="仿宋" w:eastAsia="仿宋" w:cs="仿宋_GB2312"/>
          <w:sz w:val="32"/>
          <w:szCs w:val="32"/>
        </w:rPr>
        <w:t>万元，执行</w:t>
      </w:r>
      <w:r>
        <w:rPr>
          <w:rFonts w:ascii="仿宋" w:hAnsi="仿宋" w:eastAsia="仿宋" w:cs="仿宋_GB2312"/>
          <w:sz w:val="32"/>
          <w:szCs w:val="32"/>
        </w:rPr>
        <w:t>11.31</w:t>
      </w:r>
      <w:r>
        <w:rPr>
          <w:rFonts w:hint="eastAsia" w:ascii="仿宋" w:hAnsi="仿宋" w:eastAsia="仿宋" w:cs="仿宋_GB2312"/>
          <w:sz w:val="32"/>
          <w:szCs w:val="32"/>
        </w:rPr>
        <w:t>万元，预算执行率100%。</w:t>
      </w:r>
    </w:p>
    <w:p w14:paraId="680F8B46">
      <w:pPr>
        <w:pStyle w:val="10"/>
        <w:numPr>
          <w:ilvl w:val="0"/>
          <w:numId w:val="0"/>
        </w:numPr>
        <w:ind w:left="640" w:leftChars="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2.产出指标和效果指标完成情况</w:t>
      </w:r>
    </w:p>
    <w:p w14:paraId="1ABCDEBA">
      <w:pPr>
        <w:tabs>
          <w:tab w:val="left" w:pos="4466"/>
        </w:tabs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ascii="仿宋" w:hAnsi="仿宋" w:eastAsia="仿宋" w:cs="仿宋_GB2312"/>
          <w:sz w:val="32"/>
          <w:szCs w:val="32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年企业退休人员认证10415人、城乡居民养老认证14090人、机关认证1583人、工伤认证 62人；接收国有企业退休档案11963本，企业退休档案10115本； 元旦、春节对慰残障、重病退休人员开展慰问。预算目标总体完成率达100%。</w:t>
      </w:r>
    </w:p>
    <w:p w14:paraId="0E7AD834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绩效指标为4个，评价等级为优。</w:t>
      </w:r>
    </w:p>
    <w:p w14:paraId="49482637">
      <w:pPr>
        <w:pStyle w:val="10"/>
        <w:numPr>
          <w:ilvl w:val="0"/>
          <w:numId w:val="4"/>
        </w:numPr>
        <w:ind w:firstLine="640" w:firstLineChars="20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  <w:t>就业创业活动经费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（就业中心）</w:t>
      </w:r>
    </w:p>
    <w:p w14:paraId="0234F60B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5DCC0E24">
      <w:pPr>
        <w:widowControl w:val="0"/>
        <w:wordWrap/>
        <w:adjustRightInd w:val="0"/>
        <w:snapToGrid w:val="0"/>
        <w:spacing w:line="560" w:lineRule="exact"/>
        <w:ind w:left="0" w:right="0" w:firstLine="640" w:firstLineChars="200"/>
        <w:textAlignment w:val="auto"/>
        <w:outlineLvl w:val="9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color w:val="auto"/>
          <w:sz w:val="32"/>
          <w:szCs w:val="32"/>
        </w:rPr>
        <w:t>年度区级预算资金安排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/>
          <w:color w:val="auto"/>
          <w:sz w:val="32"/>
          <w:szCs w:val="32"/>
        </w:rPr>
        <w:t>万元，到位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/>
          <w:color w:val="auto"/>
          <w:sz w:val="32"/>
          <w:szCs w:val="32"/>
        </w:rPr>
        <w:t>万元，执行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/>
          <w:color w:val="auto"/>
          <w:sz w:val="32"/>
          <w:szCs w:val="32"/>
        </w:rPr>
        <w:t>万元，预算执行率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62EA4895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2.产出指标和效果指标完成情况</w:t>
      </w:r>
    </w:p>
    <w:p w14:paraId="440A39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扎实推进就业各项工作，各项任务顺利完成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18F67C41">
      <w:pPr>
        <w:pStyle w:val="10"/>
        <w:numPr>
          <w:ilvl w:val="0"/>
          <w:numId w:val="0"/>
        </w:numPr>
        <w:ind w:firstLine="640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绩效指标为4个，评价等级为优 </w:t>
      </w:r>
    </w:p>
    <w:p w14:paraId="68A00791">
      <w:pPr>
        <w:pStyle w:val="10"/>
        <w:numPr>
          <w:ilvl w:val="0"/>
          <w:numId w:val="0"/>
        </w:numPr>
        <w:ind w:left="480" w:leftChars="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（十三）提前下达2023年市级普惠金融发展专项资金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（就业中心）</w:t>
      </w:r>
    </w:p>
    <w:p w14:paraId="2866DDF4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09BB3BFF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年度</w:t>
      </w:r>
      <w:r>
        <w:rPr>
          <w:rFonts w:hint="eastAsia" w:ascii="仿宋" w:hAnsi="仿宋"/>
          <w:b w:val="0"/>
          <w:bCs w:val="0"/>
          <w:sz w:val="32"/>
          <w:szCs w:val="32"/>
          <w:lang w:eastAsia="zh-CN"/>
        </w:rPr>
        <w:t>专项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预算资金安排</w:t>
      </w:r>
      <w:r>
        <w:rPr>
          <w:rFonts w:hint="eastAsia" w:ascii="仿宋" w:hAnsi="仿宋"/>
          <w:b w:val="0"/>
          <w:bCs w:val="0"/>
          <w:sz w:val="32"/>
          <w:szCs w:val="32"/>
          <w:lang w:val="en-US" w:eastAsia="zh-CN"/>
        </w:rPr>
        <w:t>2.67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万元，到位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2.67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万元，执行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2.67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万元，预算执行率</w:t>
      </w:r>
      <w:r>
        <w:rPr>
          <w:rFonts w:hint="eastAsia" w:ascii="仿宋" w:hAnsi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%。</w:t>
      </w:r>
    </w:p>
    <w:p w14:paraId="38EE2E9B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2.产出指标和效果指标完成情况</w:t>
      </w:r>
    </w:p>
    <w:p w14:paraId="6021391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方正小标宋简体"/>
          <w:b w:val="0"/>
          <w:bCs w:val="0"/>
          <w:sz w:val="32"/>
          <w:szCs w:val="32"/>
        </w:rPr>
        <w:t>项目主要实施内容和范围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用于支付202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年普惠金融发展专项资金。</w:t>
      </w:r>
    </w:p>
    <w:p w14:paraId="2943BF3C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绩效指标为4个，评价等级为优。</w:t>
      </w:r>
    </w:p>
    <w:p w14:paraId="47189082">
      <w:pPr>
        <w:pStyle w:val="10"/>
        <w:numPr>
          <w:ilvl w:val="0"/>
          <w:numId w:val="0"/>
        </w:numPr>
        <w:ind w:left="480" w:leftChars="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（十四）关于提前下达2025年省级普惠金融发展专项资金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（就业中心）</w:t>
      </w:r>
    </w:p>
    <w:p w14:paraId="7B4654FE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1.资金支出进度</w:t>
      </w:r>
    </w:p>
    <w:p w14:paraId="4E61871D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年度</w:t>
      </w:r>
      <w:r>
        <w:rPr>
          <w:rFonts w:hint="eastAsia" w:ascii="仿宋" w:hAnsi="仿宋"/>
          <w:b w:val="0"/>
          <w:bCs w:val="0"/>
          <w:sz w:val="32"/>
          <w:szCs w:val="32"/>
          <w:lang w:eastAsia="zh-CN"/>
        </w:rPr>
        <w:t>专项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预算资金安排</w:t>
      </w:r>
      <w:r>
        <w:rPr>
          <w:rFonts w:hint="eastAsia" w:ascii="仿宋" w:hAnsi="仿宋"/>
          <w:b w:val="0"/>
          <w:bCs w:val="0"/>
          <w:sz w:val="32"/>
          <w:szCs w:val="32"/>
          <w:lang w:val="en-US" w:eastAsia="zh-CN"/>
        </w:rPr>
        <w:t>4.82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万元，到位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3.105251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万元，执行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3.105251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万元，预算执行率</w:t>
      </w:r>
      <w:r>
        <w:rPr>
          <w:rFonts w:hint="eastAsia" w:ascii="仿宋" w:hAnsi="仿宋"/>
          <w:b w:val="0"/>
          <w:bCs w:val="0"/>
          <w:sz w:val="32"/>
          <w:szCs w:val="32"/>
          <w:lang w:val="en-US" w:eastAsia="zh-CN"/>
        </w:rPr>
        <w:t>64.4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%。</w:t>
      </w:r>
    </w:p>
    <w:p w14:paraId="7452188F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2.产出指标和效果指标完成情况</w:t>
      </w:r>
    </w:p>
    <w:p w14:paraId="750B2281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方正小标宋简体"/>
          <w:b w:val="0"/>
          <w:bCs w:val="0"/>
          <w:sz w:val="32"/>
          <w:szCs w:val="32"/>
        </w:rPr>
        <w:t>项目主要实施内容和范围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用于支付202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年普惠金融发展专项资金。</w:t>
      </w:r>
    </w:p>
    <w:p w14:paraId="489EC81B">
      <w:pPr>
        <w:pStyle w:val="10"/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绩效指标为4个，评价等级为优。</w:t>
      </w:r>
    </w:p>
    <w:p w14:paraId="38E14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left="0" w:right="0" w:firstLine="640" w:firstLineChars="20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 w14:paraId="63494CB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textAlignment w:val="auto"/>
        <w:rPr>
          <w:rFonts w:eastAsia="仿宋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根据项目执行情况和项目绩效情况，总得分</w:t>
      </w:r>
      <w:r>
        <w:rPr>
          <w:rFonts w:hint="eastAsia" w:ascii="仿宋" w:hAnsi="仿宋" w:eastAsia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/>
          <w:sz w:val="32"/>
          <w:szCs w:val="32"/>
        </w:rPr>
        <w:t>分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综合评价结论和项目综合绩效评价等级为</w:t>
      </w:r>
      <w:r>
        <w:rPr>
          <w:rFonts w:hint="eastAsia" w:ascii="仿宋" w:hAnsi="仿宋" w:eastAsia="仿宋"/>
          <w:sz w:val="32"/>
          <w:szCs w:val="32"/>
          <w:lang w:eastAsia="zh-CN"/>
        </w:rPr>
        <w:t>优秀。</w:t>
      </w:r>
    </w:p>
    <w:p w14:paraId="3BF46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left="0" w:right="0" w:firstLine="640" w:firstLineChars="20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 w14:paraId="0AC8A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left="0" w:right="0" w:firstLine="643" w:firstLineChars="20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（一）存在的主要问题</w:t>
      </w:r>
    </w:p>
    <w:p w14:paraId="76CCD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left="0" w:right="0" w:firstLine="643" w:firstLineChars="200"/>
        <w:textAlignment w:val="auto"/>
        <w:outlineLvl w:val="9"/>
        <w:rPr>
          <w:rFonts w:eastAsia="仿宋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绩效评价在目标设定上过于简单，对于绩效考核来讲，目标就是方向，如果在绩效考核目标设定上出现问题、或者是设计不合理势必要影响到绩效考核的全局。当前绩效考核在目标设定上不能实现多元化的目标。绩效评价在指标设定上存在偏离的现象。在当前绩效考核指标设定上，德能勤绩这种传统的固化思维模式依旧存在，不能紧紧围绕工作重点、偏离实际的现象依旧凸显。</w:t>
      </w:r>
    </w:p>
    <w:p w14:paraId="089CF3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right="0" w:firstLine="643" w:firstLineChars="20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针对问题提出具体的改进措施或建议</w:t>
      </w:r>
    </w:p>
    <w:p w14:paraId="5464F295">
      <w:pPr>
        <w:adjustRightInd w:val="0"/>
        <w:snapToGrid w:val="0"/>
        <w:spacing w:line="560" w:lineRule="exact"/>
        <w:ind w:firstLine="420" w:firstLineChars="200"/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针对绩效指标设定中存在的问题，从实际出发，在202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hAnsi="仿宋" w:eastAsia="仿宋" w:cs="仿宋"/>
          <w:sz w:val="32"/>
          <w:szCs w:val="32"/>
        </w:rPr>
        <w:t>实现绩效目标所需资金的合理性以及填报的规范性、完整性</w:t>
      </w:r>
      <w:r>
        <w:rPr>
          <w:rFonts w:hint="eastAsia" w:ascii="仿宋" w:hAnsi="仿宋" w:eastAsia="仿宋" w:cs="仿宋"/>
          <w:sz w:val="32"/>
          <w:szCs w:val="32"/>
        </w:rPr>
        <w:t>，提高财政支出产生的社会效益和经济效益，重点考虑项目的外界因素对年度任务的影响。</w:t>
      </w:r>
    </w:p>
    <w:p w14:paraId="680F5BA4"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在以后的工作中，</w:t>
      </w:r>
      <w:r>
        <w:rPr>
          <w:rFonts w:ascii="仿宋" w:hAnsi="仿宋" w:eastAsia="仿宋" w:cs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hint="eastAsia" w:ascii="仿宋" w:hAnsi="仿宋" w:eastAsia="仿宋" w:cs="仿宋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 w14:paraId="43B6E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六、评价工作组人员名单及签字（姓名、工作单位、职务、职称）</w:t>
      </w:r>
    </w:p>
    <w:tbl>
      <w:tblPr>
        <w:tblStyle w:val="7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650"/>
        <w:gridCol w:w="2867"/>
        <w:gridCol w:w="1987"/>
        <w:gridCol w:w="1638"/>
      </w:tblGrid>
      <w:tr w14:paraId="11E4A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</w:tcPr>
          <w:p w14:paraId="29A907EF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650" w:type="dxa"/>
          </w:tcPr>
          <w:p w14:paraId="0329644D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867" w:type="dxa"/>
          </w:tcPr>
          <w:p w14:paraId="0477EF97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1987" w:type="dxa"/>
          </w:tcPr>
          <w:p w14:paraId="23C096D7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职务</w:t>
            </w:r>
          </w:p>
        </w:tc>
        <w:tc>
          <w:tcPr>
            <w:tcW w:w="1638" w:type="dxa"/>
          </w:tcPr>
          <w:p w14:paraId="412E1C50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签名</w:t>
            </w:r>
          </w:p>
        </w:tc>
      </w:tr>
      <w:tr w14:paraId="7C18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8656834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2218621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刘志军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0DC651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016A994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局长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A1CF829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327F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868B21A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2582B7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张鸿健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0976CF4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5018EB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eastAsia="zh-CN"/>
              </w:rPr>
              <w:t>副局长主管社保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4B4EEE7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7C34C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7633A96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2BCD7AF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祗瑾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27B8887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010BE3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主管</w:t>
            </w:r>
            <w:r>
              <w:rPr>
                <w:rFonts w:ascii="仿宋" w:hAnsi="仿宋" w:eastAsia="仿宋"/>
                <w:sz w:val="28"/>
                <w:szCs w:val="28"/>
                <w:vertAlign w:val="baseline"/>
                <w:lang w:eastAsia="zh-CN"/>
              </w:rPr>
              <w:t>人才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中心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77ADFF2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15D9A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EA77C62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207F7A6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王志红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3B66B63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EA1B769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  <w:vertAlign w:val="baseline"/>
                <w:lang w:eastAsia="zh-CN"/>
              </w:rPr>
              <w:t>主管就业中心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76AF4E1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710B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20E7A07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A23E36E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温永生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82504D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C2D19C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  <w:vertAlign w:val="baseline"/>
                <w:lang w:eastAsia="zh-CN"/>
              </w:rPr>
              <w:t>劳动监察队长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B82856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  <w:tr w14:paraId="7E2D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9CD500">
            <w:pPr>
              <w:pStyle w:val="9"/>
              <w:jc w:val="center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532DE6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郭宗飞</w:t>
            </w:r>
          </w:p>
        </w:tc>
        <w:tc>
          <w:tcPr>
            <w:tcW w:w="28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517C183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  <w:t>矿区人社局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87D4DC">
            <w:pPr>
              <w:pStyle w:val="9"/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vertAlign w:val="baseline"/>
                <w:lang w:eastAsia="zh-CN"/>
              </w:rPr>
              <w:t>局办公室主任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1D1563">
            <w:pPr>
              <w:pStyle w:val="9"/>
              <w:jc w:val="center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</w:tbl>
    <w:p w14:paraId="7E8C28FD">
      <w:pPr>
        <w:widowControl w:val="0"/>
        <w:wordWrap/>
        <w:spacing w:line="560" w:lineRule="exact"/>
        <w:ind w:left="0" w:right="0"/>
        <w:textAlignment w:val="auto"/>
        <w:outlineLvl w:val="9"/>
        <w:rPr>
          <w:rFonts w:ascii="仿宋" w:hAnsi="仿宋" w:eastAsia="仿宋"/>
        </w:rPr>
      </w:pPr>
    </w:p>
    <w:p w14:paraId="2864B367"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3506D">
    <w:pPr>
      <w:pStyle w:val="5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04E401C8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1qUiZ0QAAAAMBAAAPAAAAAAAAAAEAIAAAACIAAABkcnMvZG93bnJldi54bWxQSwEC&#10;FAAUAAAACACHTuJAh+iDI/sBAAD4AwAADgAAAAAAAAABACAAAAAgAQAAZHJzL2Uyb0RvYy54bWxQ&#10;SwUGAAAAAAYABgBZAQAAj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04E401C8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30E35B"/>
    <w:multiLevelType w:val="singleLevel"/>
    <w:tmpl w:val="BB30E35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8F47D2F"/>
    <w:multiLevelType w:val="singleLevel"/>
    <w:tmpl w:val="08F47D2F"/>
    <w:lvl w:ilvl="0" w:tentative="0">
      <w:start w:val="1"/>
      <w:numFmt w:val="chineseCounting"/>
      <w:suff w:val="nothing"/>
      <w:lvlText w:val="（%1）"/>
      <w:lvlJc w:val="left"/>
      <w:pPr>
        <w:ind w:left="480" w:leftChars="0" w:firstLine="0" w:firstLineChars="0"/>
      </w:pPr>
      <w:rPr>
        <w:rFonts w:hint="eastAsia"/>
      </w:rPr>
    </w:lvl>
  </w:abstractNum>
  <w:abstractNum w:abstractNumId="2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abstractNum w:abstractNumId="3">
    <w:nsid w:val="7C7888FB"/>
    <w:multiLevelType w:val="singleLevel"/>
    <w:tmpl w:val="7C7888FB"/>
    <w:lvl w:ilvl="0" w:tentative="0">
      <w:start w:val="1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ZWQxMGZkOWViNDMwNmZmZGIyZmM3YThiMzdhNjgzOTQifQ=="/>
  </w:docVars>
  <w:rsids>
    <w:rsidRoot w:val="00000000"/>
    <w:rsid w:val="07067778"/>
    <w:rsid w:val="0BB84DE3"/>
    <w:rsid w:val="112A6783"/>
    <w:rsid w:val="23D13C9D"/>
    <w:rsid w:val="25AD37B3"/>
    <w:rsid w:val="28385963"/>
    <w:rsid w:val="2AE36AAA"/>
    <w:rsid w:val="3B5F40A8"/>
    <w:rsid w:val="3CBD0327"/>
    <w:rsid w:val="452D1DC2"/>
    <w:rsid w:val="4AE5056E"/>
    <w:rsid w:val="4BA601D9"/>
    <w:rsid w:val="5B1F54A8"/>
    <w:rsid w:val="5E1246A6"/>
    <w:rsid w:val="6096659D"/>
    <w:rsid w:val="618941FB"/>
    <w:rsid w:val="64624649"/>
    <w:rsid w:val="687E3344"/>
    <w:rsid w:val="6E082925"/>
    <w:rsid w:val="72D94C08"/>
    <w:rsid w:val="72DF20C0"/>
    <w:rsid w:val="786E1F83"/>
    <w:rsid w:val="799C03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9">
    <w:name w:val="Plain Text"/>
    <w:basedOn w:val="1"/>
    <w:qFormat/>
    <w:uiPriority w:val="0"/>
    <w:pPr>
      <w:widowControl w:val="0"/>
      <w:jc w:val="both"/>
    </w:pPr>
    <w:rPr>
      <w:rFonts w:ascii="宋体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0">
    <w:name w:val="无间隔1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FF0AC5-597A-436C-8052-6BABDDFA8F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10</Pages>
  <Words>4058</Words>
  <Characters>4508</Characters>
  <Lines>0</Lines>
  <Paragraphs>29</Paragraphs>
  <TotalTime>2</TotalTime>
  <ScaleCrop>false</ScaleCrop>
  <LinksUpToDate>false</LinksUpToDate>
  <CharactersWithSpaces>4557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Administrator</cp:lastModifiedBy>
  <cp:lastPrinted>2024-03-06T07:40:00Z</cp:lastPrinted>
  <dcterms:modified xsi:type="dcterms:W3CDTF">2026-07-08T01:19:23Z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96934721B1514D3FBAA28020338CE855_12</vt:lpwstr>
  </property>
</Properties>
</file>