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adjustRightInd w:val="0"/>
        <w:snapToGrid w:val="0"/>
        <w:spacing w:line="560" w:lineRule="exact"/>
        <w:rPr>
          <w:rFonts w:ascii="黑体" w:eastAsia="黑体" w:cs="黑体" w:hAnsi="黑体" w:hint="eastAsia"/>
          <w:sz w:val="32"/>
          <w:szCs w:val="32"/>
        </w:rPr>
      </w:pPr>
      <w:r>
        <w:rPr>
          <w:rFonts w:ascii="黑体" w:eastAsia="黑体" w:cs="黑体" w:hAnsi="黑体" w:hint="eastAsia"/>
          <w:sz w:val="32"/>
          <w:szCs w:val="32"/>
        </w:rPr>
        <w:t>附件4</w:t>
      </w:r>
    </w:p>
    <w:p>
      <w:pPr>
        <w:spacing w:line="560" w:lineRule="exact"/>
        <w:jc w:val="center"/>
        <w:rPr>
          <w:rFonts w:ascii="宋体" w:cs="宋体" w:hAnsi="宋体"/>
          <w:b/>
          <w:bCs/>
          <w:sz w:val="44"/>
          <w:szCs w:val="44"/>
        </w:rPr>
      </w:pPr>
    </w:p>
    <w:p>
      <w:pPr>
        <w:widowControl w:val="0"/>
        <w:wordWrap/>
        <w:spacing w:line="560" w:lineRule="exact"/>
        <w:ind w:left="0" w:right="0"/>
        <w:jc w:val="center"/>
        <w:textAlignment w:val="auto"/>
        <w:outlineLvl w:val="9"/>
        <w:rPr>
          <w:rFonts w:ascii="宋体" w:cs="宋体" w:hAnsi="宋体"/>
          <w:b/>
          <w:bCs/>
          <w:sz w:val="44"/>
          <w:szCs w:val="44"/>
          <w:lang w:eastAsia="zh-CN"/>
        </w:rPr>
      </w:pPr>
      <w:r>
        <w:rPr>
          <w:rFonts w:ascii="宋体" w:cs="宋体" w:hAnsi="宋体"/>
          <w:b/>
          <w:bCs/>
          <w:sz w:val="44"/>
          <w:szCs w:val="44"/>
          <w:lang w:eastAsia="zh-CN"/>
        </w:rPr>
        <w:t>井陉矿区</w:t>
      </w:r>
      <w:r>
        <w:rPr>
          <w:rFonts w:ascii="宋体" w:cs="宋体" w:hAnsi="宋体" w:hint="eastAsia"/>
          <w:b/>
          <w:bCs/>
          <w:sz w:val="44"/>
          <w:szCs w:val="44"/>
          <w:lang w:eastAsia="zh-CN"/>
        </w:rPr>
        <w:t>人大办公室</w:t>
      </w:r>
    </w:p>
    <w:p>
      <w:pPr>
        <w:widowControl w:val="0"/>
        <w:wordWrap/>
        <w:spacing w:line="560" w:lineRule="exact"/>
        <w:ind w:left="0" w:right="0"/>
        <w:jc w:val="center"/>
        <w:textAlignment w:val="auto"/>
        <w:outlineLvl w:val="9"/>
        <w:rPr>
          <w:rFonts w:ascii="宋体" w:cs="宋体" w:hAnsi="宋体" w:hint="eastAsia"/>
          <w:b/>
          <w:bCs/>
          <w:sz w:val="44"/>
          <w:szCs w:val="44"/>
        </w:rPr>
      </w:pPr>
      <w:r>
        <w:rPr>
          <w:rFonts w:ascii="宋体" w:cs="宋体" w:hAnsi="宋体" w:hint="eastAsia"/>
          <w:b/>
          <w:bCs/>
          <w:sz w:val="44"/>
          <w:szCs w:val="44"/>
          <w:lang w:val="en-US" w:eastAsia="zh-CN"/>
        </w:rPr>
        <w:t>202</w:t>
      </w:r>
      <w:r>
        <w:rPr>
          <w:rFonts w:ascii="宋体" w:cs="宋体" w:hAnsi="宋体"/>
          <w:b/>
          <w:bCs/>
          <w:sz w:val="44"/>
          <w:szCs w:val="44"/>
          <w:lang w:val="en-US" w:eastAsia="zh-CN"/>
        </w:rPr>
        <w:t>5</w:t>
      </w:r>
      <w:r>
        <w:rPr>
          <w:rFonts w:ascii="宋体" w:cs="宋体" w:hAnsi="宋体" w:hint="eastAsia"/>
          <w:b/>
          <w:bCs/>
          <w:sz w:val="44"/>
          <w:szCs w:val="44"/>
          <w:lang w:val="en-US" w:eastAsia="zh-CN"/>
        </w:rPr>
        <w:t>年度整体支出绩效</w:t>
      </w:r>
      <w:r>
        <w:rPr>
          <w:rFonts w:ascii="宋体" w:cs="宋体" w:hAnsi="宋体" w:hint="eastAsia"/>
          <w:b/>
          <w:bCs/>
          <w:sz w:val="44"/>
          <w:szCs w:val="44"/>
        </w:rPr>
        <w:t>自评报告</w:t>
      </w:r>
    </w:p>
    <w:p>
      <w:pPr>
        <w:spacing w:line="560" w:lineRule="exact"/>
        <w:jc w:val="center"/>
        <w:rPr>
          <w:rFonts w:ascii="宋体" w:cs="宋体" w:hAnsi="宋体"/>
          <w:sz w:val="32"/>
          <w:szCs w:val="32"/>
        </w:rPr>
      </w:pPr>
    </w:p>
    <w:p>
      <w:pPr>
        <w:spacing w:line="560" w:lineRule="exact"/>
        <w:jc w:val="center"/>
        <w:rPr>
          <w:rFonts w:ascii="华文楷体" w:eastAsia="华文楷体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贯彻落实</w:t>
      </w:r>
      <w:r>
        <w:rPr>
          <w:rFonts w:ascii="仿宋" w:eastAsia="仿宋" w:hAnsi="仿宋"/>
          <w:sz w:val="32"/>
          <w:szCs w:val="32"/>
        </w:rPr>
        <w:t>区委区政府</w:t>
      </w:r>
      <w:r>
        <w:rPr>
          <w:rFonts w:ascii="仿宋" w:eastAsia="仿宋" w:hAnsi="仿宋" w:hint="eastAsia"/>
          <w:sz w:val="32"/>
          <w:szCs w:val="32"/>
        </w:rPr>
        <w:t>《关于全面落实预算绩效管理的实施意见》（</w:t>
      </w:r>
      <w:r>
        <w:rPr>
          <w:rFonts w:ascii="仿宋" w:eastAsia="仿宋" w:hAnsi="仿宋"/>
          <w:sz w:val="32"/>
          <w:szCs w:val="32"/>
        </w:rPr>
        <w:t>矿</w:t>
      </w:r>
      <w:r>
        <w:rPr>
          <w:rFonts w:ascii="仿宋" w:eastAsia="仿宋" w:hAnsi="仿宋" w:hint="eastAsia"/>
          <w:sz w:val="32"/>
          <w:szCs w:val="32"/>
        </w:rPr>
        <w:t>发﹝2019﹞</w:t>
      </w:r>
      <w:r>
        <w:rPr>
          <w:rFonts w:ascii="仿宋" w:eastAsia="仿宋" w:hAnsi="仿宋"/>
          <w:sz w:val="32"/>
          <w:szCs w:val="32"/>
        </w:rPr>
        <w:t>7</w:t>
      </w:r>
      <w:r>
        <w:rPr>
          <w:rFonts w:ascii="仿宋" w:eastAsia="仿宋" w:hAnsi="仿宋" w:hint="eastAsia"/>
          <w:sz w:val="32"/>
          <w:szCs w:val="32"/>
        </w:rPr>
        <w:t>号）文件精神，遵循“科学性、规范性、客观性和公正性”的原则，对</w:t>
      </w:r>
      <w:r>
        <w:rPr>
          <w:rFonts w:ascii="仿宋" w:eastAsia="仿宋" w:hAnsi="仿宋"/>
          <w:sz w:val="32"/>
          <w:szCs w:val="32"/>
        </w:rPr>
        <w:t>井陉矿区人大办公室</w:t>
      </w:r>
      <w:r>
        <w:rPr>
          <w:rFonts w:ascii="仿宋" w:eastAsia="仿宋" w:hAnsi="仿宋" w:hint="eastAsia"/>
          <w:sz w:val="32"/>
          <w:szCs w:val="32"/>
        </w:rPr>
        <w:t>202</w:t>
      </w:r>
      <w:r>
        <w:rPr>
          <w:rFonts w:ascii="仿宋" w:eastAsia="仿宋" w:hAnsi="仿宋"/>
          <w:sz w:val="32"/>
          <w:szCs w:val="32"/>
          <w:lang w:val="en-US" w:eastAsia="zh-CN"/>
        </w:rPr>
        <w:t>5</w:t>
      </w:r>
      <w:r>
        <w:rPr>
          <w:rFonts w:ascii="仿宋" w:eastAsia="仿宋" w:hAnsi="仿宋" w:hint="eastAsia"/>
          <w:sz w:val="32"/>
          <w:szCs w:val="32"/>
        </w:rPr>
        <w:t>年整体支出情况实施了财政支出绩效自评价，形成本评价报告。</w:t>
      </w:r>
    </w:p>
    <w:p>
      <w:pPr>
        <w:adjustRightInd w:val="0"/>
        <w:snapToGrid w:val="0"/>
        <w:spacing w:line="560" w:lineRule="exact"/>
        <w:rPr>
          <w:rFonts w:ascii="黑体" w:eastAsia="黑体" w:hAnsi="黑体"/>
          <w:b/>
          <w:bCs/>
          <w:sz w:val="32"/>
          <w:szCs w:val="36"/>
        </w:rPr>
      </w:pPr>
      <w:r>
        <w:rPr>
          <w:rFonts w:ascii="黑体" w:eastAsia="黑体" w:hAnsi="黑体" w:hint="eastAsia"/>
          <w:sz w:val="32"/>
          <w:szCs w:val="32"/>
        </w:rPr>
        <w:t xml:space="preserve">     一、部门</w:t>
      </w:r>
      <w:r>
        <w:rPr>
          <w:rFonts w:ascii="黑体" w:eastAsia="黑体" w:hAnsi="黑体" w:hint="eastAsia"/>
          <w:sz w:val="32"/>
          <w:szCs w:val="36"/>
        </w:rPr>
        <w:t>基本情况</w:t>
      </w:r>
    </w:p>
    <w:p>
      <w:pPr>
        <w:widowControl w:val="0"/>
        <w:wordWrap/>
        <w:adjustRightInd w:val="0"/>
        <w:snapToGrid w:val="0"/>
        <w:spacing w:line="560" w:lineRule="exact"/>
        <w:ind w:left="0" w:right="0" w:firstLineChars="200" w:firstLine="640"/>
        <w:textAlignment w:val="auto"/>
        <w:outlineLvl w:val="9"/>
        <w:rPr>
          <w:rFonts w:ascii="仿宋" w:eastAsia="仿宋" w:cs="楷体_GB2312" w:hAnsi="仿宋"/>
          <w:b/>
          <w:bCs/>
          <w:sz w:val="32"/>
          <w:szCs w:val="32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</w:rPr>
        <w:t>（一）</w:t>
      </w:r>
      <w:r>
        <w:rPr>
          <w:rFonts w:ascii="仿宋" w:eastAsia="仿宋" w:cs="楷体_GB2312" w:hAnsi="仿宋" w:hint="eastAsia"/>
          <w:b/>
          <w:bCs/>
          <w:sz w:val="32"/>
          <w:szCs w:val="32"/>
          <w:lang w:eastAsia="zh-CN"/>
        </w:rPr>
        <w:t>部门</w:t>
      </w:r>
      <w:r>
        <w:rPr>
          <w:rFonts w:ascii="仿宋" w:eastAsia="仿宋" w:cs="楷体_GB2312" w:hAnsi="仿宋" w:hint="eastAsia"/>
          <w:b/>
          <w:bCs/>
          <w:sz w:val="32"/>
          <w:szCs w:val="32"/>
        </w:rPr>
        <w:t>概况</w:t>
      </w:r>
    </w:p>
    <w:p>
      <w:pPr>
        <w:widowControl w:val="0"/>
        <w:spacing w:line="509" w:lineRule="atLeast"/>
        <w:ind w:firstLine="639"/>
        <w:rPr>
          <w:rFonts w:ascii="黑体" w:eastAsia="黑体" w:hAnsi="黑体" w:hint="eastAsia"/>
          <w:sz w:val="32"/>
        </w:rPr>
      </w:pPr>
      <w:r>
        <w:rPr>
          <w:rFonts w:ascii="黑体" w:eastAsia="黑体" w:hAnsi="黑体" w:hint="eastAsia"/>
          <w:sz w:val="32"/>
          <w:lang w:val="en-US" w:eastAsia="zh-CN"/>
        </w:rPr>
        <w:t>1</w:t>
      </w:r>
      <w:r>
        <w:rPr>
          <w:rFonts w:ascii="黑体" w:eastAsia="黑体" w:hAnsi="黑体" w:hint="eastAsia"/>
          <w:sz w:val="32"/>
        </w:rPr>
        <w:t>、主要职责</w:t>
      </w:r>
    </w:p>
    <w:p>
      <w:pPr>
        <w:widowControl w:val="0"/>
        <w:spacing w:line="509" w:lineRule="atLeast"/>
        <w:ind w:firstLine="639"/>
        <w:rPr>
          <w:rFonts w:ascii="仿宋_GB2312" w:eastAsia="仿宋_GB2312" w:hAnsi="仿宋_GB2312" w:hint="eastAsia"/>
          <w:sz w:val="32"/>
        </w:rPr>
      </w:pPr>
      <w:r>
        <w:rPr>
          <w:rFonts w:ascii="仿宋_GB2312" w:eastAsia="仿宋_GB2312" w:hAnsi="仿宋_GB2312" w:hint="eastAsia"/>
          <w:sz w:val="32"/>
          <w:lang w:eastAsia="zh-CN"/>
        </w:rPr>
        <w:t>（</w:t>
      </w:r>
      <w:r>
        <w:rPr>
          <w:rFonts w:ascii="仿宋_GB2312" w:eastAsia="仿宋_GB2312" w:hAnsi="仿宋_GB2312" w:hint="eastAsia"/>
          <w:sz w:val="32"/>
          <w:lang w:val="en-US" w:eastAsia="zh-CN"/>
        </w:rPr>
        <w:t>1</w:t>
      </w:r>
      <w:r>
        <w:rPr>
          <w:rFonts w:ascii="仿宋_GB2312" w:eastAsia="仿宋_GB2312" w:hAnsi="仿宋_GB2312" w:hint="eastAsia"/>
          <w:sz w:val="32"/>
          <w:lang w:eastAsia="zh-CN"/>
        </w:rPr>
        <w:t>）</w:t>
      </w:r>
      <w:r>
        <w:rPr>
          <w:rFonts w:ascii="仿宋_GB2312" w:eastAsia="仿宋_GB2312" w:hAnsi="仿宋_GB2312" w:hint="eastAsia"/>
          <w:sz w:val="32"/>
        </w:rPr>
        <w:t>讨论、决定本行政区域内各方面工作的重大事项。</w:t>
      </w:r>
    </w:p>
    <w:p>
      <w:pPr>
        <w:widowControl w:val="0"/>
        <w:spacing w:line="509" w:lineRule="atLeast"/>
        <w:ind w:firstLine="639"/>
        <w:rPr>
          <w:rFonts w:ascii="仿宋_GB2312" w:eastAsia="仿宋_GB2312" w:hAnsi="仿宋_GB2312" w:hint="eastAsia"/>
          <w:sz w:val="32"/>
        </w:rPr>
      </w:pPr>
      <w:r>
        <w:rPr>
          <w:rFonts w:ascii="仿宋_GB2312" w:eastAsia="仿宋_GB2312" w:hAnsi="仿宋_GB2312" w:hint="eastAsia"/>
          <w:sz w:val="32"/>
          <w:lang w:eastAsia="zh-CN"/>
        </w:rPr>
        <w:t>（</w:t>
      </w:r>
      <w:r>
        <w:rPr>
          <w:rFonts w:ascii="仿宋_GB2312" w:eastAsia="仿宋_GB2312" w:hAnsi="仿宋_GB2312" w:hint="eastAsia"/>
          <w:sz w:val="32"/>
          <w:lang w:val="en-US" w:eastAsia="zh-CN"/>
        </w:rPr>
        <w:t>2</w:t>
      </w:r>
      <w:r>
        <w:rPr>
          <w:rFonts w:ascii="仿宋_GB2312" w:eastAsia="仿宋_GB2312" w:hAnsi="仿宋_GB2312" w:hint="eastAsia"/>
          <w:sz w:val="32"/>
          <w:lang w:eastAsia="zh-CN"/>
        </w:rPr>
        <w:t>）</w:t>
      </w:r>
      <w:r>
        <w:rPr>
          <w:rFonts w:ascii="仿宋_GB2312" w:eastAsia="仿宋_GB2312" w:hAnsi="仿宋_GB2312" w:hint="eastAsia"/>
          <w:sz w:val="32"/>
        </w:rPr>
        <w:t>监督本级人民政府、人民法院和人民检察院的工作。</w:t>
      </w:r>
    </w:p>
    <w:p>
      <w:pPr>
        <w:widowControl w:val="0"/>
        <w:spacing w:line="509" w:lineRule="atLeast"/>
        <w:ind w:firstLine="639"/>
        <w:rPr>
          <w:rFonts w:ascii="仿宋_GB2312" w:eastAsia="仿宋_GB2312" w:hAnsi="仿宋_GB2312" w:hint="eastAsia"/>
          <w:sz w:val="32"/>
        </w:rPr>
      </w:pPr>
      <w:r>
        <w:rPr>
          <w:rFonts w:ascii="仿宋_GB2312" w:eastAsia="仿宋_GB2312" w:hAnsi="仿宋_GB2312" w:hint="eastAsia"/>
          <w:sz w:val="32"/>
          <w:lang w:eastAsia="zh-CN"/>
        </w:rPr>
        <w:t>（</w:t>
      </w:r>
      <w:r>
        <w:rPr>
          <w:rFonts w:ascii="仿宋_GB2312" w:eastAsia="仿宋_GB2312" w:hAnsi="仿宋_GB2312" w:hint="eastAsia"/>
          <w:sz w:val="32"/>
          <w:lang w:val="en-US" w:eastAsia="zh-CN"/>
        </w:rPr>
        <w:t>3</w:t>
      </w:r>
      <w:r>
        <w:rPr>
          <w:rFonts w:ascii="仿宋_GB2312" w:eastAsia="仿宋_GB2312" w:hAnsi="仿宋_GB2312" w:hint="eastAsia"/>
          <w:sz w:val="32"/>
          <w:lang w:eastAsia="zh-CN"/>
        </w:rPr>
        <w:t>）</w:t>
      </w:r>
      <w:r>
        <w:rPr>
          <w:rFonts w:ascii="仿宋_GB2312" w:eastAsia="仿宋_GB2312" w:hAnsi="仿宋_GB2312" w:hint="eastAsia"/>
          <w:sz w:val="32"/>
        </w:rPr>
        <w:t>撤消本级人民政府的不适当的决定和命令。</w:t>
      </w:r>
    </w:p>
    <w:p>
      <w:pPr>
        <w:widowControl w:val="0"/>
        <w:spacing w:line="509" w:lineRule="atLeast"/>
        <w:ind w:firstLine="639"/>
        <w:rPr>
          <w:rFonts w:ascii="仿宋_GB2312" w:eastAsia="仿宋_GB2312" w:hAnsi="仿宋_GB2312" w:hint="eastAsia"/>
          <w:sz w:val="32"/>
        </w:rPr>
      </w:pPr>
      <w:r>
        <w:rPr>
          <w:rFonts w:ascii="仿宋_GB2312" w:eastAsia="仿宋_GB2312" w:hAnsi="仿宋_GB2312" w:hint="eastAsia"/>
          <w:sz w:val="32"/>
          <w:lang w:eastAsia="zh-CN"/>
        </w:rPr>
        <w:t>（</w:t>
      </w:r>
      <w:r>
        <w:rPr>
          <w:rFonts w:ascii="仿宋_GB2312" w:eastAsia="仿宋_GB2312" w:hAnsi="仿宋_GB2312" w:hint="eastAsia"/>
          <w:sz w:val="32"/>
          <w:lang w:val="en-US" w:eastAsia="zh-CN"/>
        </w:rPr>
        <w:t>4</w:t>
      </w:r>
      <w:r>
        <w:rPr>
          <w:rFonts w:ascii="仿宋_GB2312" w:eastAsia="仿宋_GB2312" w:hAnsi="仿宋_GB2312" w:hint="eastAsia"/>
          <w:sz w:val="32"/>
          <w:lang w:eastAsia="zh-CN"/>
        </w:rPr>
        <w:t>）</w:t>
      </w:r>
      <w:r>
        <w:rPr>
          <w:rFonts w:ascii="仿宋_GB2312" w:eastAsia="仿宋_GB2312" w:hAnsi="仿宋_GB2312" w:hint="eastAsia"/>
          <w:sz w:val="32"/>
        </w:rPr>
        <w:t>撤消下一级人民代表大会的不适当的决议。</w:t>
      </w:r>
    </w:p>
    <w:p>
      <w:pPr>
        <w:widowControl w:val="0"/>
        <w:spacing w:line="509" w:lineRule="atLeast"/>
        <w:ind w:firstLine="639"/>
        <w:rPr>
          <w:rFonts w:ascii="仿宋_GB2312" w:eastAsia="仿宋_GB2312" w:hAnsi="仿宋_GB2312" w:hint="eastAsia"/>
          <w:sz w:val="32"/>
        </w:rPr>
      </w:pPr>
      <w:r>
        <w:rPr>
          <w:rFonts w:ascii="仿宋_GB2312" w:eastAsia="仿宋_GB2312" w:hAnsi="仿宋_GB2312" w:hint="eastAsia"/>
          <w:sz w:val="32"/>
          <w:lang w:eastAsia="zh-CN"/>
        </w:rPr>
        <w:t>（</w:t>
      </w:r>
      <w:r>
        <w:rPr>
          <w:rFonts w:ascii="仿宋_GB2312" w:eastAsia="仿宋_GB2312" w:hAnsi="仿宋_GB2312" w:hint="eastAsia"/>
          <w:sz w:val="32"/>
          <w:lang w:val="en-US" w:eastAsia="zh-CN"/>
        </w:rPr>
        <w:t>5</w:t>
      </w:r>
      <w:r>
        <w:rPr>
          <w:rFonts w:ascii="仿宋_GB2312" w:eastAsia="仿宋_GB2312" w:hAnsi="仿宋_GB2312" w:hint="eastAsia"/>
          <w:sz w:val="32"/>
          <w:lang w:eastAsia="zh-CN"/>
        </w:rPr>
        <w:t>）</w:t>
      </w:r>
      <w:r>
        <w:rPr>
          <w:rFonts w:ascii="仿宋_GB2312" w:eastAsia="仿宋_GB2312" w:hAnsi="仿宋_GB2312" w:hint="eastAsia"/>
          <w:sz w:val="32"/>
        </w:rPr>
        <w:t>依照法律规定的权限决定国家机关工作人员的任免。</w:t>
      </w:r>
    </w:p>
    <w:p>
      <w:pPr>
        <w:widowControl w:val="0"/>
        <w:spacing w:line="509" w:lineRule="atLeast"/>
        <w:ind w:firstLine="639"/>
        <w:rPr>
          <w:rFonts w:ascii="仿宋_GB2312" w:eastAsia="仿宋_GB2312" w:hAnsi="仿宋_GB2312" w:hint="eastAsia"/>
          <w:sz w:val="32"/>
        </w:rPr>
      </w:pPr>
      <w:r>
        <w:rPr>
          <w:rFonts w:ascii="仿宋_GB2312" w:eastAsia="仿宋_GB2312" w:hAnsi="仿宋_GB2312" w:hint="eastAsia"/>
          <w:sz w:val="32"/>
          <w:lang w:eastAsia="zh-CN"/>
        </w:rPr>
        <w:t>（</w:t>
      </w:r>
      <w:r>
        <w:rPr>
          <w:rFonts w:ascii="仿宋_GB2312" w:eastAsia="仿宋_GB2312" w:hAnsi="仿宋_GB2312" w:hint="eastAsia"/>
          <w:sz w:val="32"/>
          <w:lang w:val="en-US" w:eastAsia="zh-CN"/>
        </w:rPr>
        <w:t>6</w:t>
      </w:r>
      <w:r>
        <w:rPr>
          <w:rFonts w:ascii="仿宋_GB2312" w:eastAsia="仿宋_GB2312" w:hAnsi="仿宋_GB2312" w:hint="eastAsia"/>
          <w:sz w:val="32"/>
          <w:lang w:eastAsia="zh-CN"/>
        </w:rPr>
        <w:t>）</w:t>
      </w:r>
      <w:r>
        <w:rPr>
          <w:rFonts w:ascii="仿宋_GB2312" w:eastAsia="仿宋_GB2312" w:hAnsi="仿宋_GB2312" w:hint="eastAsia"/>
          <w:sz w:val="32"/>
        </w:rPr>
        <w:t>在本级人民代表大会闭会期间，罢免和补选上一级人民代表大会的个别代表。</w:t>
      </w:r>
    </w:p>
    <w:p>
      <w:pPr>
        <w:widowControl w:val="0"/>
        <w:spacing w:line="509" w:lineRule="atLeast"/>
        <w:ind w:firstLine="639"/>
        <w:rPr>
          <w:rFonts w:ascii="仿宋_GB2312" w:eastAsia="仿宋_GB2312" w:hAnsi="仿宋_GB2312" w:hint="eastAsia"/>
          <w:sz w:val="32"/>
        </w:rPr>
      </w:pPr>
      <w:r>
        <w:rPr>
          <w:rFonts w:ascii="仿宋_GB2312" w:eastAsia="仿宋_GB2312" w:hAnsi="仿宋_GB2312" w:hint="eastAsia"/>
          <w:sz w:val="32"/>
          <w:lang w:eastAsia="zh-CN"/>
        </w:rPr>
        <w:t>（</w:t>
      </w:r>
      <w:r>
        <w:rPr>
          <w:rFonts w:ascii="仿宋_GB2312" w:eastAsia="仿宋_GB2312" w:hAnsi="仿宋_GB2312" w:hint="eastAsia"/>
          <w:sz w:val="32"/>
          <w:lang w:val="en-US" w:eastAsia="zh-CN"/>
        </w:rPr>
        <w:t>7</w:t>
      </w:r>
      <w:r>
        <w:rPr>
          <w:rFonts w:ascii="仿宋_GB2312" w:eastAsia="仿宋_GB2312" w:hAnsi="仿宋_GB2312" w:hint="eastAsia"/>
          <w:sz w:val="32"/>
          <w:lang w:eastAsia="zh-CN"/>
        </w:rPr>
        <w:t>）</w:t>
      </w:r>
      <w:r>
        <w:rPr>
          <w:rFonts w:ascii="仿宋_GB2312" w:eastAsia="仿宋_GB2312" w:hAnsi="仿宋_GB2312" w:hint="eastAsia"/>
          <w:sz w:val="32"/>
        </w:rPr>
        <w:t>领导和主持本级人民代表大会代表的选举，召集本级人民代表大会会议。</w:t>
      </w:r>
    </w:p>
    <w:p>
      <w:pPr>
        <w:widowControl w:val="0"/>
        <w:spacing w:line="509" w:lineRule="atLeast"/>
        <w:ind w:firstLine="639"/>
        <w:rPr>
          <w:rFonts w:ascii="仿宋_GB2312" w:eastAsia="仿宋_GB2312" w:hAnsi="仿宋_GB2312" w:hint="eastAsia"/>
          <w:sz w:val="32"/>
        </w:rPr>
      </w:pPr>
      <w:r>
        <w:rPr>
          <w:rFonts w:ascii="仿宋_GB2312" w:eastAsia="仿宋_GB2312" w:hAnsi="仿宋_GB2312" w:hint="eastAsia"/>
          <w:sz w:val="32"/>
          <w:lang w:eastAsia="zh-CN"/>
        </w:rPr>
        <w:t>（</w:t>
      </w:r>
      <w:r>
        <w:rPr>
          <w:rFonts w:ascii="仿宋_GB2312" w:eastAsia="仿宋_GB2312" w:hAnsi="仿宋_GB2312" w:hint="eastAsia"/>
          <w:sz w:val="32"/>
          <w:lang w:val="en-US" w:eastAsia="zh-CN"/>
        </w:rPr>
        <w:t>8</w:t>
      </w:r>
      <w:r>
        <w:rPr>
          <w:rFonts w:ascii="仿宋_GB2312" w:eastAsia="仿宋_GB2312" w:hAnsi="仿宋_GB2312" w:hint="eastAsia"/>
          <w:sz w:val="32"/>
          <w:lang w:eastAsia="zh-CN"/>
        </w:rPr>
        <w:t>）</w:t>
      </w:r>
      <w:r>
        <w:rPr>
          <w:rFonts w:ascii="仿宋_GB2312" w:eastAsia="仿宋_GB2312" w:hAnsi="仿宋_GB2312" w:hint="eastAsia"/>
          <w:sz w:val="32"/>
        </w:rPr>
        <w:t>保证宪法、法律、行政法规和上级人民代表大会及其常务委员会决议的遵守和执行。</w:t>
      </w:r>
    </w:p>
    <w:p>
      <w:pPr>
        <w:widowControl w:val="0"/>
        <w:spacing w:line="509" w:lineRule="atLeast"/>
        <w:ind w:firstLine="639"/>
        <w:rPr>
          <w:rFonts w:ascii="仿宋_GB2312" w:eastAsia="仿宋_GB2312" w:hAnsi="仿宋_GB2312" w:hint="eastAsia"/>
          <w:sz w:val="32"/>
        </w:rPr>
      </w:pPr>
      <w:r>
        <w:rPr>
          <w:rFonts w:ascii="仿宋_GB2312" w:eastAsia="仿宋_GB2312" w:hAnsi="仿宋_GB2312" w:hint="eastAsia"/>
          <w:sz w:val="32"/>
          <w:lang w:eastAsia="zh-CN"/>
        </w:rPr>
        <w:t>（</w:t>
      </w:r>
      <w:r>
        <w:rPr>
          <w:rFonts w:ascii="仿宋_GB2312" w:eastAsia="仿宋_GB2312" w:hAnsi="仿宋_GB2312" w:hint="eastAsia"/>
          <w:sz w:val="32"/>
          <w:lang w:val="en-US" w:eastAsia="zh-CN"/>
        </w:rPr>
        <w:t>9</w:t>
      </w:r>
      <w:r>
        <w:rPr>
          <w:rFonts w:ascii="仿宋_GB2312" w:eastAsia="仿宋_GB2312" w:hAnsi="仿宋_GB2312" w:hint="eastAsia"/>
          <w:sz w:val="32"/>
          <w:lang w:eastAsia="zh-CN"/>
        </w:rPr>
        <w:t>）</w:t>
      </w:r>
      <w:r>
        <w:rPr>
          <w:rFonts w:ascii="仿宋_GB2312" w:eastAsia="仿宋_GB2312" w:hAnsi="仿宋_GB2312" w:hint="eastAsia"/>
          <w:sz w:val="32"/>
        </w:rPr>
        <w:t>贯彻依法治国的方略，加强法律监督与工作监督，推进依法治区和民主政治建设进程。</w:t>
      </w:r>
    </w:p>
    <w:p>
      <w:pPr>
        <w:widowControl w:val="0"/>
        <w:spacing w:line="509" w:lineRule="atLeast"/>
        <w:ind w:firstLine="639"/>
        <w:rPr>
          <w:rFonts w:ascii="黑体" w:eastAsia="黑体" w:hAnsi="黑体" w:hint="eastAsia"/>
          <w:sz w:val="32"/>
          <w:lang w:eastAsia="zh-CN"/>
        </w:rPr>
      </w:pPr>
      <w:r>
        <w:rPr>
          <w:rFonts w:ascii="黑体" w:eastAsia="黑体" w:hAnsi="黑体" w:hint="eastAsia"/>
          <w:sz w:val="32"/>
          <w:lang w:val="en-US" w:eastAsia="zh-CN"/>
        </w:rPr>
        <w:t>2</w:t>
      </w:r>
      <w:r>
        <w:rPr>
          <w:rFonts w:ascii="黑体" w:eastAsia="黑体" w:hAnsi="黑体" w:hint="eastAsia"/>
          <w:sz w:val="32"/>
        </w:rPr>
        <w:t>、机构</w:t>
      </w:r>
      <w:r>
        <w:rPr>
          <w:rFonts w:ascii="黑体" w:eastAsia="黑体" w:hAnsi="黑体" w:hint="eastAsia"/>
          <w:sz w:val="32"/>
          <w:lang w:eastAsia="zh-CN"/>
        </w:rPr>
        <w:t>情况</w:t>
      </w:r>
    </w:p>
    <w:p>
      <w:pPr>
        <w:widowControl w:val="0"/>
        <w:wordWrap/>
        <w:adjustRightInd w:val="0"/>
        <w:snapToGrid w:val="0"/>
        <w:spacing w:line="560" w:lineRule="exact"/>
        <w:ind w:left="0" w:right="0" w:firstLineChars="200" w:firstLine="640"/>
        <w:textAlignment w:val="auto"/>
        <w:outlineLvl w:val="9"/>
        <w:rPr>
          <w:rFonts w:ascii="仿宋_GB2312" w:eastAsia="仿宋_GB2312" w:hAnsi="仿宋_GB2312" w:hint="eastAsia"/>
          <w:sz w:val="32"/>
          <w:lang w:eastAsia="zh-CN"/>
        </w:rPr>
      </w:pPr>
      <w:r>
        <w:rPr>
          <w:rFonts w:ascii="仿宋_GB2312" w:eastAsia="仿宋_GB2312" w:hAnsi="仿宋_GB2312" w:hint="eastAsia"/>
          <w:sz w:val="32"/>
        </w:rPr>
        <w:t>区人大常委会内部工作机构设1个综合办事机构和</w:t>
      </w:r>
      <w:r>
        <w:rPr>
          <w:rFonts w:ascii="仿宋_GB2312" w:eastAsia="仿宋_GB2312" w:hAnsi="仿宋_GB2312" w:hint="eastAsia"/>
          <w:sz w:val="32"/>
          <w:lang w:val="en-US" w:eastAsia="zh-CN"/>
        </w:rPr>
        <w:t>6</w:t>
      </w:r>
      <w:r>
        <w:rPr>
          <w:rFonts w:ascii="仿宋_GB2312" w:eastAsia="仿宋_GB2312" w:hAnsi="仿宋_GB2312" w:hint="eastAsia"/>
          <w:sz w:val="32"/>
        </w:rPr>
        <w:t>个其他工作机构</w:t>
      </w:r>
      <w:r>
        <w:rPr>
          <w:rFonts w:ascii="仿宋_GB2312" w:eastAsia="仿宋_GB2312" w:hAnsi="仿宋_GB2312" w:hint="eastAsia"/>
          <w:sz w:val="32"/>
          <w:lang w:eastAsia="zh-CN"/>
        </w:rPr>
        <w:t>，分别为</w:t>
      </w:r>
      <w:r>
        <w:rPr>
          <w:rFonts w:ascii="仿宋_GB2312" w:eastAsia="仿宋_GB2312" w:hAnsi="仿宋_GB2312" w:hint="eastAsia"/>
          <w:sz w:val="32"/>
        </w:rPr>
        <w:t>：办公室、代表联络选举任免工作委员会、财政经济工作委员会、教科文卫工作委员会、政治法律工作委员会</w:t>
      </w:r>
      <w:r>
        <w:rPr>
          <w:rFonts w:ascii="仿宋_GB2312" w:eastAsia="仿宋_GB2312" w:hAnsi="仿宋_GB2312" w:hint="eastAsia"/>
          <w:sz w:val="32"/>
          <w:lang w:eastAsia="zh-CN"/>
        </w:rPr>
        <w:t>、老干部科、信访科；单位基本性质为行政单位；经费形式为财政拨款。</w:t>
      </w:r>
    </w:p>
    <w:p>
      <w:pPr>
        <w:widowControl w:val="0"/>
        <w:spacing w:line="509" w:lineRule="atLeast"/>
        <w:ind w:firstLine="639"/>
        <w:rPr>
          <w:rFonts w:ascii="黑体" w:eastAsia="黑体" w:hAnsi="黑体" w:hint="eastAsia"/>
          <w:sz w:val="32"/>
          <w:lang w:val="en-US" w:eastAsia="zh-CN"/>
        </w:rPr>
      </w:pPr>
      <w:r>
        <w:rPr>
          <w:rFonts w:ascii="黑体" w:eastAsia="黑体" w:hAnsi="黑体" w:hint="eastAsia"/>
          <w:sz w:val="32"/>
          <w:lang w:val="en-US" w:eastAsia="zh-CN"/>
        </w:rPr>
        <w:t>3．人员情况，包括当年变动情况及原因。</w:t>
      </w:r>
    </w:p>
    <w:p>
      <w:pPr>
        <w:snapToGrid w:val="0"/>
        <w:spacing w:line="520" w:lineRule="exact"/>
        <w:ind w:firstLineChars="200" w:firstLine="640"/>
        <w:rPr>
          <w:rFonts w:ascii="仿宋" w:eastAsia="仿宋" w:cs="仿宋" w:hAnsi="仿宋"/>
          <w:sz w:val="32"/>
          <w:szCs w:val="32"/>
          <w:lang w:val="en-US" w:eastAsia="zh-CN"/>
        </w:rPr>
      </w:pPr>
      <w:r>
        <w:rPr>
          <w:rFonts w:ascii="仿宋" w:eastAsia="仿宋" w:cs="仿宋" w:hAnsi="仿宋" w:hint="eastAsia"/>
          <w:sz w:val="32"/>
          <w:szCs w:val="32"/>
        </w:rPr>
        <w:t>截止到202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sz w:val="32"/>
          <w:szCs w:val="32"/>
        </w:rPr>
        <w:t>年12月在职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2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1</w:t>
      </w:r>
      <w:r>
        <w:rPr>
          <w:rFonts w:ascii="仿宋" w:eastAsia="仿宋" w:cs="仿宋" w:hAnsi="仿宋" w:hint="eastAsia"/>
          <w:sz w:val="32"/>
          <w:szCs w:val="32"/>
        </w:rPr>
        <w:t>人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，上年度期末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20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人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，原因为2025年增加1人。</w:t>
      </w:r>
    </w:p>
    <w:p>
      <w:pPr>
        <w:snapToGrid w:val="0"/>
        <w:spacing w:line="520" w:lineRule="exact"/>
        <w:ind w:firstLineChars="200" w:firstLine="640"/>
        <w:rPr>
          <w:rFonts w:ascii="黑体" w:eastAsia="黑体" w:hAnsi="黑体" w:hint="eastAsia"/>
          <w:sz w:val="32"/>
          <w:lang w:val="en-US" w:eastAsia="zh-CN"/>
        </w:rPr>
      </w:pP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4、</w:t>
      </w:r>
      <w:r>
        <w:rPr>
          <w:rFonts w:ascii="黑体" w:eastAsia="黑体" w:hAnsi="黑体" w:hint="eastAsia"/>
          <w:sz w:val="32"/>
          <w:lang w:val="en-US" w:eastAsia="zh-CN"/>
        </w:rPr>
        <w:t>资产情况，包括当年变动情况及原因。</w:t>
      </w:r>
    </w:p>
    <w:p>
      <w:pPr>
        <w:snapToGrid w:val="0"/>
        <w:spacing w:line="520" w:lineRule="exact"/>
        <w:ind w:left="0" w:firstLineChars="200" w:firstLine="640"/>
        <w:rPr>
          <w:rFonts w:hint="eastAsia"/>
          <w:lang w:eastAsia="zh-CN"/>
        </w:rPr>
      </w:pPr>
      <w:r>
        <w:rPr>
          <w:rFonts w:ascii="仿宋" w:eastAsia="仿宋" w:cs="仿宋" w:hAnsi="仿宋" w:hint="eastAsia"/>
          <w:sz w:val="32"/>
          <w:szCs w:val="32"/>
        </w:rPr>
        <w:t>202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sz w:val="32"/>
          <w:szCs w:val="32"/>
        </w:rPr>
        <w:t>年年初资产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224.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68</w:t>
      </w:r>
      <w:r>
        <w:rPr>
          <w:rFonts w:ascii="仿宋" w:eastAsia="仿宋" w:cs="仿宋" w:hAnsi="仿宋" w:hint="eastAsia"/>
          <w:sz w:val="32"/>
          <w:szCs w:val="32"/>
        </w:rPr>
        <w:t>万元，年末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22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.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25</w:t>
      </w:r>
      <w:r>
        <w:rPr>
          <w:rFonts w:ascii="仿宋" w:eastAsia="仿宋" w:cs="仿宋" w:hAnsi="仿宋" w:hint="eastAsia"/>
          <w:sz w:val="32"/>
          <w:szCs w:val="32"/>
        </w:rPr>
        <w:t>万元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。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20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25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年增加固定资产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0.57万元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。</w:t>
      </w:r>
    </w:p>
    <w:p>
      <w:pPr>
        <w:adjustRightInd w:val="0"/>
        <w:snapToGrid w:val="0"/>
        <w:spacing w:line="560" w:lineRule="exact"/>
        <w:ind w:left="0"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（二）部门收支预决算情况</w:t>
      </w:r>
    </w:p>
    <w:p>
      <w:pPr>
        <w:snapToGrid w:val="0"/>
        <w:spacing w:line="520" w:lineRule="exact"/>
        <w:ind w:firstLineChars="200" w:firstLine="640"/>
        <w:rPr>
          <w:rFonts w:ascii="仿宋" w:eastAsia="仿宋" w:cs="仿宋" w:hAnsi="仿宋" w:hint="eastAsia"/>
          <w:color w:val="auto"/>
          <w:sz w:val="32"/>
          <w:szCs w:val="32"/>
        </w:rPr>
      </w:pPr>
      <w:r>
        <w:rPr>
          <w:rFonts w:ascii="仿宋" w:eastAsia="仿宋" w:cs="仿宋" w:hAnsi="仿宋" w:hint="eastAsia"/>
          <w:color w:val="auto"/>
          <w:sz w:val="32"/>
          <w:szCs w:val="32"/>
        </w:rPr>
        <w:t>202</w:t>
      </w:r>
      <w:r>
        <w:rPr>
          <w:rFonts w:ascii="仿宋" w:eastAsia="仿宋" w:cs="仿宋" w:hAnsi="仿宋"/>
          <w:color w:val="auto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color w:val="auto"/>
          <w:sz w:val="32"/>
          <w:szCs w:val="32"/>
        </w:rPr>
        <w:t>年部门年初预算收入</w:t>
      </w:r>
      <w:r>
        <w:rPr>
          <w:rFonts w:ascii="仿宋" w:eastAsia="仿宋" w:cs="仿宋" w:hAnsi="仿宋" w:hint="eastAsia"/>
          <w:color w:val="auto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/>
          <w:color w:val="auto"/>
          <w:sz w:val="32"/>
          <w:szCs w:val="32"/>
          <w:lang w:val="en-US" w:eastAsia="zh-CN"/>
        </w:rPr>
        <w:t>54.93</w:t>
      </w:r>
      <w:r>
        <w:rPr>
          <w:rFonts w:ascii="仿宋" w:eastAsia="仿宋" w:cs="仿宋" w:hAnsi="仿宋" w:hint="eastAsia"/>
          <w:color w:val="auto"/>
          <w:sz w:val="32"/>
          <w:szCs w:val="32"/>
        </w:rPr>
        <w:t>万元，202</w:t>
      </w:r>
      <w:r>
        <w:rPr>
          <w:rFonts w:ascii="仿宋" w:eastAsia="仿宋" w:cs="仿宋" w:hAnsi="仿宋"/>
          <w:color w:val="auto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color w:val="auto"/>
          <w:sz w:val="32"/>
          <w:szCs w:val="32"/>
        </w:rPr>
        <w:t>年部门预算支出</w:t>
      </w:r>
      <w:r>
        <w:rPr>
          <w:rFonts w:ascii="仿宋" w:eastAsia="仿宋" w:cs="仿宋" w:hAnsi="仿宋" w:hint="eastAsia"/>
          <w:color w:val="auto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/>
          <w:color w:val="auto"/>
          <w:sz w:val="32"/>
          <w:szCs w:val="32"/>
          <w:lang w:val="en-US" w:eastAsia="zh-CN"/>
        </w:rPr>
        <w:t>54.93</w:t>
      </w:r>
      <w:r>
        <w:rPr>
          <w:rFonts w:ascii="仿宋" w:eastAsia="仿宋" w:cs="仿宋" w:hAnsi="仿宋" w:hint="eastAsia"/>
          <w:color w:val="auto"/>
          <w:sz w:val="32"/>
          <w:szCs w:val="32"/>
        </w:rPr>
        <w:t>万元，其中：基本支出</w:t>
      </w:r>
      <w:r>
        <w:rPr>
          <w:rFonts w:ascii="仿宋" w:eastAsia="仿宋" w:cs="仿宋" w:hAnsi="仿宋" w:hint="eastAsia"/>
          <w:color w:val="auto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/>
          <w:color w:val="auto"/>
          <w:sz w:val="32"/>
          <w:szCs w:val="32"/>
          <w:lang w:val="en-US" w:eastAsia="zh-CN"/>
        </w:rPr>
        <w:t>12.76</w:t>
      </w:r>
      <w:r>
        <w:rPr>
          <w:rFonts w:ascii="仿宋" w:eastAsia="仿宋" w:cs="仿宋" w:hAnsi="仿宋" w:hint="eastAsia"/>
          <w:color w:val="auto"/>
          <w:sz w:val="32"/>
          <w:szCs w:val="32"/>
        </w:rPr>
        <w:t>万元，项目支出</w:t>
      </w:r>
      <w:r>
        <w:rPr>
          <w:rFonts w:ascii="仿宋" w:eastAsia="仿宋" w:cs="仿宋" w:hAnsi="仿宋"/>
          <w:color w:val="auto"/>
          <w:sz w:val="32"/>
          <w:szCs w:val="32"/>
          <w:lang w:val="en-US" w:eastAsia="zh-CN"/>
        </w:rPr>
        <w:t>42.17</w:t>
      </w:r>
      <w:r>
        <w:rPr>
          <w:rFonts w:ascii="仿宋" w:eastAsia="仿宋" w:cs="仿宋" w:hAnsi="仿宋" w:hint="eastAsia"/>
          <w:color w:val="auto"/>
          <w:sz w:val="32"/>
          <w:szCs w:val="32"/>
        </w:rPr>
        <w:t>万元。</w:t>
      </w:r>
    </w:p>
    <w:p>
      <w:pPr>
        <w:snapToGrid w:val="0"/>
        <w:spacing w:line="520" w:lineRule="exact"/>
        <w:ind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202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sz w:val="32"/>
          <w:szCs w:val="32"/>
        </w:rPr>
        <w:t>年实际收入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554.93</w:t>
      </w:r>
      <w:r>
        <w:rPr>
          <w:rFonts w:ascii="仿宋" w:eastAsia="仿宋" w:cs="仿宋" w:hAnsi="仿宋" w:hint="eastAsia"/>
          <w:sz w:val="32"/>
          <w:szCs w:val="32"/>
        </w:rPr>
        <w:t>万元,实际支出</w:t>
      </w:r>
      <w:r>
        <w:rPr>
          <w:rFonts w:ascii="仿宋" w:eastAsia="仿宋" w:cs="仿宋" w:hAnsi="仿宋" w:hint="eastAsia"/>
          <w:color w:val="auto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/>
          <w:color w:val="auto"/>
          <w:sz w:val="32"/>
          <w:szCs w:val="32"/>
          <w:lang w:val="en-US" w:eastAsia="zh-CN"/>
        </w:rPr>
        <w:t>54.93</w:t>
      </w:r>
      <w:r>
        <w:rPr>
          <w:rFonts w:ascii="仿宋" w:eastAsia="仿宋" w:cs="仿宋" w:hAnsi="仿宋" w:hint="eastAsia"/>
          <w:sz w:val="32"/>
          <w:szCs w:val="32"/>
        </w:rPr>
        <w:t>万元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，</w:t>
      </w:r>
      <w:r>
        <w:rPr>
          <w:rFonts w:ascii="仿宋" w:eastAsia="仿宋" w:cs="仿宋" w:hAnsi="仿宋" w:hint="eastAsia"/>
          <w:sz w:val="32"/>
          <w:szCs w:val="32"/>
        </w:rPr>
        <w:t>其中：基本支出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512.76</w:t>
      </w:r>
      <w:r>
        <w:rPr>
          <w:rFonts w:ascii="仿宋" w:eastAsia="仿宋" w:cs="仿宋" w:hAnsi="仿宋" w:hint="eastAsia"/>
          <w:sz w:val="32"/>
          <w:szCs w:val="32"/>
        </w:rPr>
        <w:t>万元，项目支出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42.17</w:t>
      </w:r>
      <w:r>
        <w:rPr>
          <w:rFonts w:ascii="仿宋" w:eastAsia="仿宋" w:cs="仿宋" w:hAnsi="仿宋" w:hint="eastAsia"/>
          <w:sz w:val="32"/>
          <w:szCs w:val="32"/>
        </w:rPr>
        <w:t>万元</w:t>
      </w:r>
      <w:r>
        <w:rPr>
          <w:rFonts w:ascii="仿宋_GB2312" w:eastAsia="仿宋_GB2312" w:hAnsi="仿宋" w:hint="eastAsia"/>
          <w:sz w:val="32"/>
          <w:szCs w:val="32"/>
        </w:rPr>
        <w:t>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（三）部门整体支出绩效目标、指标</w:t>
      </w:r>
    </w:p>
    <w:p>
      <w:pPr>
        <w:pStyle w:val="24"/>
        <w:rPr>
          <w:rFonts w:ascii="仿宋" w:eastAsia="仿宋" w:hAnsi="仿宋" w:hint="eastAsia"/>
          <w:sz w:val="32"/>
          <w:szCs w:val="32"/>
          <w:lang w:eastAsia="zh-CN"/>
        </w:rPr>
      </w:pPr>
      <w:r>
        <w:rPr>
          <w:rFonts w:ascii="仿宋" w:eastAsia="仿宋" w:hAnsi="仿宋" w:hint="eastAsia"/>
          <w:sz w:val="32"/>
          <w:szCs w:val="32"/>
          <w:lang w:eastAsia="zh-CN"/>
        </w:rPr>
        <w:t>2025年，使命在肩、初心如磐。一年来，在区委的坚强领导下，区人大常委会坚持以习近平新时代中国特色社会主义思想为指导，深入学习贯彻</w:t>
      </w:r>
      <w:bookmarkStart w:id="0" w:name="突出显示"/>
      <w:bookmarkStart w:id="1" w:name="_GoBack"/>
      <w:r>
        <w:rPr>
          <w:rFonts w:ascii="仿宋" w:eastAsia="仿宋" w:hAnsi="仿宋" w:hint="eastAsia"/>
          <w:sz w:val="32"/>
          <w:szCs w:val="32"/>
          <w:lang w:eastAsia="zh-CN"/>
        </w:rPr>
        <w:t>党的二十大</w:t>
      </w:r>
      <w:bookmarkEnd w:id="0"/>
      <w:r>
        <w:rPr>
          <w:rFonts w:ascii="仿宋" w:eastAsia="仿宋" w:hAnsi="仿宋"/>
          <w:sz w:val="32"/>
          <w:szCs w:val="32"/>
          <w:lang w:eastAsia="zh-CN"/>
        </w:rPr>
        <w:t>和</w:t>
      </w:r>
      <w:bookmarkEnd w:id="1"/>
      <w:r>
        <w:rPr>
          <w:rFonts w:ascii="仿宋" w:eastAsia="仿宋" w:hAnsi="仿宋" w:hint="eastAsia"/>
          <w:sz w:val="32"/>
          <w:szCs w:val="32"/>
          <w:lang w:eastAsia="zh-CN"/>
        </w:rPr>
        <w:t>二十届历次全会精神，聚焦党中央和省、市、区委重大决策部署，紧紧围绕区委中心工作和全区发展大局，坚持党的领导、人民当家作主、依法治国有机统一，依法履行宪法和法律赋予的各项职责，为推动我区经济社会高质量发展和民主法治建设作出了积极贡献。在区委的坚强领导下，高举习近平新时代中国特色社会主义思想伟大旗帜，全面贯彻落实</w:t>
      </w:r>
      <w:bookmarkStart w:id="2" w:name="突出显示"/>
      <w:r>
        <w:rPr>
          <w:rFonts w:ascii="仿宋" w:eastAsia="仿宋" w:hAnsi="仿宋" w:hint="eastAsia"/>
          <w:sz w:val="32"/>
          <w:szCs w:val="32"/>
          <w:lang w:eastAsia="zh-CN"/>
        </w:rPr>
        <w:t>党的二十大</w:t>
      </w:r>
      <w:bookmarkEnd w:id="2"/>
      <w:r>
        <w:rPr>
          <w:rFonts w:ascii="仿宋" w:eastAsia="仿宋" w:hAnsi="仿宋" w:hint="eastAsia"/>
          <w:sz w:val="32"/>
          <w:szCs w:val="32"/>
          <w:lang w:eastAsia="zh-CN"/>
        </w:rPr>
        <w:t>和二十届历次全会精神，深入贯彻习近平总书记视察河北、视察石家庄重要讲话和重要指示精神，坚持党的领导、人民当家作主、依法治国有机统一，紧扣区委重大决策部署，依法履行法定职责、回应群众重大关切，为开创我区“十五五”时期经济社会高质量发展新局面提供民主法治保障，为加快建设省会城市美丽“后花园”贡献人大智慧和力量。</w:t>
      </w:r>
    </w:p>
    <w:p/>
    <w:p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二、自评工作开展情况</w:t>
      </w:r>
    </w:p>
    <w:p>
      <w:pPr>
        <w:spacing w:line="560" w:lineRule="exact"/>
        <w:rPr>
          <w:rFonts w:ascii="楷体" w:eastAsia="楷体" w:cs="楷体_GB2312" w:hAnsi="楷体"/>
          <w:sz w:val="32"/>
          <w:szCs w:val="32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</w:rPr>
        <w:t xml:space="preserve">    </w:t>
      </w:r>
      <w:r>
        <w:rPr>
          <w:rFonts w:ascii="楷体" w:eastAsia="楷体" w:cs="楷体_GB2312" w:hAnsi="楷体" w:hint="eastAsia"/>
          <w:bCs/>
          <w:sz w:val="32"/>
          <w:szCs w:val="32"/>
        </w:rPr>
        <w:t>（一）自评的组织工作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textAlignment w:val="auto"/>
        <w:rPr>
          <w:rFonts w:ascii="仿宋" w:eastAsia="仿宋" w:cs="仿宋" w:hAnsi="仿宋" w:hint="eastAsia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为进一步提高我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单位</w:t>
      </w:r>
      <w:r>
        <w:rPr>
          <w:rFonts w:ascii="仿宋" w:eastAsia="仿宋" w:cs="仿宋" w:hAnsi="仿宋" w:hint="eastAsia"/>
          <w:sz w:val="32"/>
          <w:szCs w:val="32"/>
        </w:rPr>
        <w:t>绩效预算管理工作，</w:t>
      </w:r>
      <w:r>
        <w:rPr>
          <w:rFonts w:ascii="仿宋" w:eastAsia="仿宋" w:hAnsi="仿宋" w:hint="eastAsia"/>
          <w:sz w:val="32"/>
          <w:szCs w:val="32"/>
        </w:rPr>
        <w:t>根据《石家庄市财政</w:t>
      </w:r>
      <w:r>
        <w:rPr>
          <w:rFonts w:ascii="仿宋" w:eastAsia="仿宋" w:hAnsi="仿宋" w:hint="eastAsia"/>
          <w:sz w:val="32"/>
          <w:szCs w:val="32"/>
          <w:lang w:eastAsia="zh-CN"/>
        </w:rPr>
        <w:t>局关于做好</w:t>
      </w:r>
      <w:r>
        <w:rPr>
          <w:rFonts w:ascii="仿宋" w:eastAsia="仿宋" w:hAnsi="仿宋" w:hint="eastAsia"/>
          <w:sz w:val="32"/>
          <w:szCs w:val="32"/>
          <w:lang w:val="en-US" w:eastAsia="zh-CN"/>
        </w:rPr>
        <w:t>2025年绩效评价工作的通知</w:t>
      </w:r>
      <w:r>
        <w:rPr>
          <w:rFonts w:ascii="仿宋" w:eastAsia="仿宋" w:hAnsi="仿宋" w:hint="eastAsia"/>
          <w:sz w:val="32"/>
          <w:szCs w:val="32"/>
        </w:rPr>
        <w:t>》</w:t>
      </w:r>
      <w:r>
        <w:rPr>
          <w:rFonts w:ascii="仿宋" w:eastAsia="仿宋" w:hAnsi="仿宋" w:hint="eastAsia"/>
          <w:sz w:val="32"/>
          <w:szCs w:val="32"/>
          <w:lang w:eastAsia="zh-CN"/>
        </w:rPr>
        <w:t>要求和《井陉矿区区级部门项目自评管理办法》</w:t>
      </w:r>
      <w:r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  <w:lang w:eastAsia="zh-CN"/>
        </w:rPr>
        <w:t>矿财</w:t>
      </w:r>
      <w:r>
        <w:rPr>
          <w:rFonts w:ascii="仿宋" w:eastAsia="仿宋" w:hAnsi="仿宋" w:hint="eastAsia"/>
          <w:sz w:val="32"/>
          <w:szCs w:val="32"/>
        </w:rPr>
        <w:t>[20</w:t>
      </w:r>
      <w:r>
        <w:rPr>
          <w:rFonts w:ascii="仿宋" w:eastAsia="仿宋" w:hAnsi="仿宋" w:hint="eastAsia"/>
          <w:sz w:val="32"/>
          <w:szCs w:val="32"/>
          <w:lang w:val="en-US" w:eastAsia="zh-CN"/>
        </w:rPr>
        <w:t>21</w:t>
      </w:r>
      <w:r>
        <w:rPr>
          <w:rFonts w:ascii="仿宋" w:eastAsia="仿宋" w:hAnsi="仿宋" w:hint="eastAsia"/>
          <w:sz w:val="32"/>
          <w:szCs w:val="32"/>
        </w:rPr>
        <w:t>]</w:t>
      </w:r>
      <w:r>
        <w:rPr>
          <w:rFonts w:ascii="仿宋" w:eastAsia="仿宋" w:hAnsi="仿宋" w:hint="eastAsia"/>
          <w:sz w:val="32"/>
          <w:szCs w:val="32"/>
          <w:lang w:val="en-US" w:eastAsia="zh-CN"/>
        </w:rPr>
        <w:t>1</w:t>
      </w:r>
      <w:r>
        <w:rPr>
          <w:rFonts w:ascii="仿宋" w:eastAsia="仿宋" w:hAnsi="仿宋" w:hint="eastAsia"/>
          <w:sz w:val="32"/>
          <w:szCs w:val="32"/>
        </w:rPr>
        <w:t>2号）</w:t>
      </w:r>
      <w:r>
        <w:rPr>
          <w:rFonts w:ascii="仿宋" w:eastAsia="仿宋" w:cs="仿宋" w:hAnsi="仿宋" w:hint="eastAsia"/>
          <w:sz w:val="32"/>
          <w:szCs w:val="32"/>
        </w:rPr>
        <w:t>要求，成立绩效评价工作组，对我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单位</w:t>
      </w:r>
      <w:r>
        <w:rPr>
          <w:rFonts w:ascii="仿宋" w:eastAsia="仿宋" w:cs="仿宋" w:hAnsi="仿宋" w:hint="eastAsia"/>
          <w:sz w:val="32"/>
          <w:szCs w:val="32"/>
        </w:rPr>
        <w:t>所有的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资金</w:t>
      </w:r>
      <w:r>
        <w:rPr>
          <w:rFonts w:ascii="仿宋" w:eastAsia="仿宋" w:cs="仿宋" w:hAnsi="仿宋" w:hint="eastAsia"/>
          <w:sz w:val="32"/>
          <w:szCs w:val="32"/>
        </w:rPr>
        <w:t>项目，开展20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2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sz w:val="32"/>
          <w:szCs w:val="32"/>
        </w:rPr>
        <w:t>年度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部门整体</w:t>
      </w:r>
      <w:r>
        <w:rPr>
          <w:rFonts w:ascii="仿宋" w:eastAsia="仿宋" w:cs="仿宋" w:hAnsi="仿宋" w:hint="eastAsia"/>
          <w:sz w:val="32"/>
          <w:szCs w:val="32"/>
        </w:rPr>
        <w:t>绩效自评工作。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Chars="200" w:firstLine="640"/>
        <w:textAlignment w:val="auto"/>
        <w:rPr>
          <w:rFonts w:ascii="仿宋" w:eastAsia="仿宋" w:cs="仿宋" w:hAnsi="仿宋" w:hint="eastAsia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绩效评价工作组根据工作方案，明确任务分工，确定评价程序及时间安排。根据20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2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sz w:val="32"/>
          <w:szCs w:val="32"/>
        </w:rPr>
        <w:t>年初设定的绩效目标完成情况和各绩效指标完成情况进行核实分析，填报《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202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年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区级</w:t>
      </w:r>
      <w:r>
        <w:rPr>
          <w:rFonts w:ascii="仿宋" w:eastAsia="仿宋" w:cs="仿宋" w:hAnsi="仿宋" w:hint="eastAsia"/>
          <w:sz w:val="32"/>
          <w:szCs w:val="32"/>
        </w:rPr>
        <w:t>项目绩效自评表》，并撰写绩效自评报告。</w:t>
      </w:r>
    </w:p>
    <w:p>
      <w:pPr>
        <w:snapToGrid w:val="0"/>
        <w:spacing w:line="520" w:lineRule="exact"/>
        <w:ind w:firstLineChars="200" w:firstLine="640"/>
        <w:rPr>
          <w:rFonts w:ascii="仿宋" w:eastAsia="仿宋" w:cs="仿宋" w:hAnsi="仿宋" w:hint="eastAsia"/>
          <w:sz w:val="32"/>
          <w:szCs w:val="32"/>
          <w:lang w:eastAsia="zh-CN"/>
        </w:rPr>
      </w:pPr>
      <w:r>
        <w:rPr>
          <w:rFonts w:ascii="仿宋" w:eastAsia="仿宋" w:cs="仿宋" w:hAnsi="仿宋" w:hint="eastAsia"/>
          <w:sz w:val="32"/>
          <w:szCs w:val="32"/>
          <w:lang w:eastAsia="zh-CN"/>
        </w:rPr>
        <w:t>矿区人大办</w:t>
      </w:r>
      <w:r>
        <w:rPr>
          <w:rFonts w:ascii="仿宋" w:eastAsia="仿宋" w:cs="仿宋" w:hAnsi="仿宋" w:hint="eastAsia"/>
          <w:sz w:val="32"/>
          <w:szCs w:val="32"/>
        </w:rPr>
        <w:t>20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2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sz w:val="32"/>
          <w:szCs w:val="32"/>
        </w:rPr>
        <w:t>年度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年初</w:t>
      </w:r>
      <w:r>
        <w:rPr>
          <w:rFonts w:ascii="仿宋" w:eastAsia="仿宋" w:cs="仿宋" w:hAnsi="仿宋" w:hint="eastAsia"/>
          <w:sz w:val="32"/>
          <w:szCs w:val="32"/>
        </w:rPr>
        <w:t>预算共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54.93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元：人员预算4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77.47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万元，日常公用经费预算3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.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29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万元，项目预算</w:t>
      </w:r>
      <w:r>
        <w:rPr>
          <w:rFonts w:ascii="仿宋" w:eastAsia="仿宋" w:cs="仿宋" w:hAnsi="仿宋" w:hint="eastAsia"/>
          <w:sz w:val="32"/>
          <w:szCs w:val="32"/>
        </w:rPr>
        <w:t>涉及资金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42.17</w:t>
      </w:r>
      <w:r>
        <w:rPr>
          <w:rFonts w:ascii="仿宋" w:eastAsia="仿宋" w:cs="仿宋" w:hAnsi="仿宋" w:hint="eastAsia"/>
          <w:sz w:val="32"/>
          <w:szCs w:val="32"/>
          <w:lang w:val="en-US" w:eastAsia="zh-CN"/>
        </w:rPr>
        <w:t>万元，</w:t>
      </w:r>
      <w:r>
        <w:rPr>
          <w:rFonts w:ascii="仿宋" w:eastAsia="仿宋" w:cs="仿宋" w:hAnsi="仿宋" w:hint="eastAsia"/>
          <w:sz w:val="32"/>
          <w:szCs w:val="32"/>
        </w:rPr>
        <w:t>202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sz w:val="32"/>
          <w:szCs w:val="32"/>
        </w:rPr>
        <w:t>年实际收入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554.93</w:t>
      </w:r>
      <w:r>
        <w:rPr>
          <w:rFonts w:ascii="仿宋" w:eastAsia="仿宋" w:cs="仿宋" w:hAnsi="仿宋" w:hint="eastAsia"/>
          <w:sz w:val="32"/>
          <w:szCs w:val="32"/>
        </w:rPr>
        <w:t>万元,实际支出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554.93</w:t>
      </w:r>
      <w:r>
        <w:rPr>
          <w:rFonts w:ascii="仿宋" w:eastAsia="仿宋" w:cs="仿宋" w:hAnsi="仿宋" w:hint="eastAsia"/>
          <w:sz w:val="32"/>
          <w:szCs w:val="32"/>
        </w:rPr>
        <w:t>万元</w:t>
      </w:r>
      <w:r>
        <w:rPr>
          <w:rFonts w:ascii="仿宋" w:eastAsia="仿宋" w:cs="仿宋" w:hAnsi="仿宋" w:hint="eastAsia"/>
          <w:sz w:val="32"/>
          <w:szCs w:val="32"/>
          <w:lang w:eastAsia="zh-CN"/>
        </w:rPr>
        <w:t>，</w:t>
      </w:r>
      <w:r>
        <w:rPr>
          <w:rFonts w:ascii="仿宋" w:eastAsia="仿宋" w:cs="仿宋" w:hAnsi="仿宋" w:hint="eastAsia"/>
          <w:sz w:val="32"/>
          <w:szCs w:val="32"/>
        </w:rPr>
        <w:t>其中：</w:t>
      </w:r>
      <w:r>
        <w:rPr>
          <w:rFonts w:ascii="仿宋" w:eastAsia="仿宋" w:cs="仿宋" w:hAnsi="仿宋" w:hint="eastAsia"/>
          <w:color w:val="auto"/>
          <w:sz w:val="32"/>
          <w:szCs w:val="32"/>
        </w:rPr>
        <w:t>基本支出</w:t>
      </w:r>
      <w:r>
        <w:rPr>
          <w:rFonts w:ascii="仿宋" w:eastAsia="仿宋" w:cs="仿宋" w:hAnsi="仿宋" w:hint="eastAsia"/>
          <w:color w:val="auto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/>
          <w:color w:val="auto"/>
          <w:sz w:val="32"/>
          <w:szCs w:val="32"/>
          <w:lang w:val="en-US" w:eastAsia="zh-CN"/>
        </w:rPr>
        <w:t>12.76</w:t>
      </w:r>
      <w:r>
        <w:rPr>
          <w:rFonts w:ascii="仿宋" w:eastAsia="仿宋" w:cs="仿宋" w:hAnsi="仿宋" w:hint="eastAsia"/>
          <w:color w:val="auto"/>
          <w:sz w:val="32"/>
          <w:szCs w:val="32"/>
        </w:rPr>
        <w:t>万元，项目支出</w:t>
      </w:r>
      <w:r>
        <w:rPr>
          <w:rFonts w:ascii="仿宋" w:eastAsia="仿宋" w:cs="仿宋" w:hAnsi="仿宋"/>
          <w:color w:val="auto"/>
          <w:sz w:val="32"/>
          <w:szCs w:val="32"/>
          <w:lang w:val="en-US" w:eastAsia="zh-CN"/>
        </w:rPr>
        <w:t>42.17</w:t>
      </w:r>
      <w:r>
        <w:rPr>
          <w:rFonts w:ascii="仿宋" w:eastAsia="仿宋" w:cs="仿宋" w:hAnsi="仿宋" w:hint="eastAsia"/>
          <w:color w:val="auto"/>
          <w:sz w:val="32"/>
          <w:szCs w:val="32"/>
        </w:rPr>
        <w:t>万元。</w:t>
      </w:r>
    </w:p>
    <w:p>
      <w:pPr>
        <w:spacing w:line="560" w:lineRule="exact"/>
        <w:rPr>
          <w:rFonts w:ascii="仿宋" w:eastAsia="仿宋" w:cs="楷体_GB2312" w:hAnsi="仿宋" w:hint="eastAsia"/>
          <w:b/>
          <w:bCs/>
          <w:sz w:val="32"/>
          <w:szCs w:val="32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  <w:lang w:eastAsia="zh-CN"/>
        </w:rPr>
        <w:t>（二）</w:t>
      </w:r>
      <w:r>
        <w:rPr>
          <w:rFonts w:ascii="仿宋" w:eastAsia="仿宋" w:cs="楷体_GB2312" w:hAnsi="仿宋" w:hint="eastAsia"/>
          <w:b/>
          <w:bCs/>
          <w:sz w:val="32"/>
          <w:szCs w:val="32"/>
        </w:rPr>
        <w:t>自评的方法和过程</w:t>
      </w:r>
    </w:p>
    <w:p>
      <w:pPr>
        <w:pStyle w:val="17"/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</w:pPr>
      <w:r>
        <w:rPr>
          <w:rFonts w:ascii="仿宋" w:eastAsia="仿宋" w:cs="楷体_GB2312" w:hAnsi="仿宋" w:hint="eastAsia"/>
          <w:b w:val="0"/>
          <w:bCs w:val="0"/>
          <w:sz w:val="32"/>
          <w:szCs w:val="32"/>
          <w:lang w:eastAsia="zh-CN"/>
        </w:rPr>
        <w:t>本次绩效评价证据收集方法包括了：研究、分析项目预算股室提供的相关文件；整理汇总项目预算股室提供的项目资料、工作总结和合同；根据预算股室提供的基础数据表逐项进行核实；根据项目服务对象填写的问卷调查结果汇总满意度情况。项目在前期的调研基础上，完成了项目绩效评价工作方案，设计了指标体系、评价标准、问卷调查方案等，明确了评价的目的、方法，评价原则。项目严格按照工作方案，通过调研、相关文件的解读、数据采集、文件调查、数据分析、指标评分和撰写的环节，顺利完成了本次绩效评价工作。</w:t>
      </w:r>
    </w:p>
    <w:p>
      <w:pPr>
        <w:pStyle w:val="17"/>
        <w:rPr>
          <w:rFonts w:ascii="黑体" w:eastAsia="黑体" w:hAnsi="黑体" w:hint="eastAsia"/>
          <w:b/>
          <w:bCs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</w:rPr>
        <w:t>三、</w:t>
      </w:r>
      <w:r>
        <w:rPr>
          <w:rFonts w:ascii="黑体" w:eastAsia="黑体" w:hAnsi="黑体" w:hint="eastAsia"/>
          <w:sz w:val="32"/>
          <w:szCs w:val="32"/>
          <w:lang w:eastAsia="zh-CN"/>
        </w:rPr>
        <w:t>部门整体支出</w:t>
      </w:r>
      <w:r>
        <w:rPr>
          <w:rFonts w:ascii="黑体" w:eastAsia="黑体" w:hAnsi="黑体" w:hint="eastAsia"/>
          <w:sz w:val="32"/>
          <w:szCs w:val="32"/>
        </w:rPr>
        <w:t>绩效</w:t>
      </w:r>
      <w:r>
        <w:rPr>
          <w:rFonts w:ascii="黑体" w:eastAsia="黑体" w:hAnsi="黑体" w:hint="eastAsia"/>
          <w:sz w:val="32"/>
          <w:szCs w:val="32"/>
          <w:lang w:eastAsia="zh-CN"/>
        </w:rPr>
        <w:t>目标实现情况及指标分析</w:t>
      </w:r>
    </w:p>
    <w:p>
      <w:pPr>
        <w:widowControl w:val="0"/>
        <w:numPr>
          <w:ilvl w:val="0"/>
          <w:numId w:val="1"/>
        </w:numPr>
        <w:wordWrap/>
        <w:spacing w:line="560" w:lineRule="exact"/>
        <w:ind w:left="0" w:right="0" w:firstLineChars="200" w:firstLine="640"/>
        <w:textAlignment w:val="auto"/>
        <w:outlineLvl w:val="9"/>
        <w:rPr>
          <w:rFonts w:ascii="仿宋" w:eastAsia="仿宋" w:cs="楷体_GB2312" w:hAnsi="仿宋"/>
          <w:b/>
          <w:bCs/>
          <w:sz w:val="32"/>
          <w:szCs w:val="32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  <w:lang w:eastAsia="zh-CN"/>
        </w:rPr>
        <w:t>总体绩效目标实现情况</w:t>
      </w:r>
    </w:p>
    <w:p>
      <w:pPr>
        <w:widowControl w:val="0"/>
        <w:wordWrap/>
        <w:spacing w:line="560" w:lineRule="exact"/>
        <w:ind w:left="0" w:right="0" w:firstLineChars="200" w:firstLine="640"/>
        <w:textAlignment w:val="auto"/>
        <w:outlineLvl w:val="9"/>
        <w:rPr>
          <w:rFonts w:ascii="仿宋" w:eastAsia="仿宋" w:cs="仿宋" w:hAnsi="仿宋" w:hint="eastAsia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绩效目标是贯穿预算绩效管理始终的一条主线，是预算资金安排、事中绩效跟踪和事后绩效评价的重要依据。根据相关文件要求，我局所有年初项目均设定了绩效目标，涉及产出指标和效果指标，但存在绩效指标不够全面、可评性不高、具体指标缺乏量化等问题。主要原因是对绩效目标的认识不够，制定多样化和细化的评价指标和标准需要在实践中不断完善。</w:t>
      </w:r>
    </w:p>
    <w:p>
      <w:pPr>
        <w:spacing w:line="560" w:lineRule="exact"/>
        <w:rPr>
          <w:rFonts w:ascii="楷体" w:eastAsia="楷体" w:hAnsi="楷体"/>
          <w:bCs/>
          <w:sz w:val="32"/>
          <w:szCs w:val="32"/>
        </w:rPr>
      </w:pPr>
      <w:r>
        <w:rPr>
          <w:rFonts w:ascii="仿宋" w:eastAsia="仿宋" w:cs="楷体_GB2312" w:hAnsi="仿宋" w:hint="eastAsia"/>
          <w:b/>
          <w:bCs/>
          <w:sz w:val="32"/>
          <w:szCs w:val="32"/>
        </w:rPr>
        <w:t xml:space="preserve">    </w:t>
      </w:r>
      <w:r>
        <w:rPr>
          <w:rFonts w:ascii="楷体" w:eastAsia="楷体" w:cs="楷体_GB2312" w:hAnsi="楷体" w:hint="eastAsia"/>
          <w:bCs/>
          <w:sz w:val="32"/>
          <w:szCs w:val="32"/>
        </w:rPr>
        <w:t>（二）分项绩效目标实现情况及指标分析</w:t>
      </w:r>
    </w:p>
    <w:p>
      <w:pPr>
        <w:spacing w:line="560" w:lineRule="exact"/>
        <w:ind w:firstLineChars="250" w:firstLine="80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参照预算绩效文本中分项绩效目标、指标，从完成数量、质量、时效、成本效益等方面，对分项目标指标完成情况进行评价，指标要细化、量化，得分依据要充分。</w:t>
      </w:r>
    </w:p>
    <w:p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四、评价结论和评价等级</w:t>
      </w:r>
    </w:p>
    <w:p>
      <w:pPr>
        <w:widowControl w:val="0"/>
        <w:wordWrap/>
        <w:spacing w:line="560" w:lineRule="exact"/>
        <w:ind w:left="0" w:right="0" w:firstLineChars="200" w:firstLine="640"/>
        <w:textAlignment w:val="auto"/>
        <w:outlineLvl w:val="9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根据</w:t>
      </w:r>
      <w:r>
        <w:rPr>
          <w:rFonts w:ascii="仿宋" w:eastAsia="仿宋" w:hAnsi="仿宋" w:hint="eastAsia"/>
          <w:sz w:val="32"/>
          <w:szCs w:val="32"/>
          <w:lang w:eastAsia="zh-CN"/>
        </w:rPr>
        <w:t>部门职责定位和各项工作履职情况进行综合评价</w:t>
      </w:r>
      <w:r>
        <w:rPr>
          <w:rFonts w:ascii="仿宋" w:eastAsia="仿宋" w:hAnsi="仿宋" w:hint="eastAsia"/>
          <w:sz w:val="32"/>
          <w:szCs w:val="32"/>
        </w:rPr>
        <w:t>，给出总得分，满分100分，得出综合绩效评价等级。</w:t>
      </w:r>
      <w:r>
        <w:rPr>
          <w:rFonts w:ascii="仿宋" w:eastAsia="仿宋" w:hAnsi="仿宋" w:hint="eastAsia"/>
          <w:sz w:val="32"/>
          <w:szCs w:val="32"/>
          <w:lang w:eastAsia="zh-CN"/>
        </w:rPr>
        <w:t>部门整体支出</w:t>
      </w:r>
      <w:r>
        <w:rPr>
          <w:rFonts w:ascii="仿宋" w:eastAsia="仿宋" w:hAnsi="仿宋" w:hint="eastAsia"/>
          <w:sz w:val="32"/>
          <w:szCs w:val="32"/>
        </w:rPr>
        <w:t>综合绩效评价</w:t>
      </w:r>
      <w:r>
        <w:rPr>
          <w:rFonts w:ascii="仿宋" w:eastAsia="仿宋" w:hAnsi="仿宋" w:hint="eastAsia"/>
          <w:sz w:val="32"/>
          <w:szCs w:val="32"/>
          <w:lang w:val="en-US" w:eastAsia="zh-CN"/>
        </w:rPr>
        <w:t>100</w:t>
      </w:r>
      <w:r>
        <w:rPr>
          <w:rFonts w:ascii="仿宋" w:eastAsia="仿宋" w:hAnsi="仿宋" w:hint="eastAsia"/>
          <w:color w:val="auto"/>
          <w:sz w:val="32"/>
          <w:szCs w:val="32"/>
          <w:highlight w:val="auto"/>
        </w:rPr>
        <w:t>分为优秀。</w:t>
      </w:r>
    </w:p>
    <w:p>
      <w:pPr>
        <w:widowControl w:val="0"/>
        <w:wordWrap/>
        <w:spacing w:line="560" w:lineRule="exact"/>
        <w:ind w:left="0" w:right="0" w:firstLineChars="200" w:firstLine="640"/>
        <w:textAlignment w:val="auto"/>
        <w:outlineLvl w:val="9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五、存在的问题及改进措施</w:t>
      </w:r>
    </w:p>
    <w:p>
      <w:pPr>
        <w:widowControl w:val="0"/>
        <w:wordWrap/>
        <w:spacing w:line="560" w:lineRule="exact"/>
        <w:ind w:left="0" w:right="0" w:firstLineChars="200" w:firstLine="640"/>
        <w:textAlignment w:val="auto"/>
        <w:outlineLvl w:val="9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（一）存在的主要问题</w:t>
      </w:r>
    </w:p>
    <w:p>
      <w:pPr>
        <w:widowControl w:val="0"/>
        <w:wordWrap/>
        <w:spacing w:line="560" w:lineRule="exact"/>
        <w:ind w:left="0" w:right="0" w:firstLineChars="200" w:firstLine="640"/>
        <w:textAlignment w:val="auto"/>
        <w:outlineLvl w:val="9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 w:val="0"/>
          <w:bCs w:val="0"/>
          <w:sz w:val="32"/>
          <w:szCs w:val="32"/>
        </w:rPr>
        <w:t>绩效评价在目标设定上过于简单，对于绩效考核来讲，目标就是方向，如果在绩效考核目标设定上出现问题、或者是设计不合理势必要影响到绩效考核的全局。当前绩效考核在目标设定上不能实现多元化的目标，考核结果仅仅是停留在作为薪金或晋升的依据，还不能成为考量</w:t>
      </w:r>
      <w:r>
        <w:rPr>
          <w:rFonts w:ascii="仿宋" w:eastAsia="仿宋" w:hAnsi="仿宋" w:hint="eastAsia"/>
          <w:b w:val="0"/>
          <w:bCs w:val="0"/>
          <w:sz w:val="32"/>
          <w:szCs w:val="32"/>
          <w:lang w:eastAsia="zh-CN"/>
        </w:rPr>
        <w:t>职工</w:t>
      </w:r>
      <w:r>
        <w:rPr>
          <w:rFonts w:ascii="仿宋" w:eastAsia="仿宋" w:hAnsi="仿宋" w:hint="eastAsia"/>
          <w:b w:val="0"/>
          <w:bCs w:val="0"/>
          <w:sz w:val="32"/>
          <w:szCs w:val="32"/>
        </w:rPr>
        <w:t>发展的标杆。绩效评价在指标设定上存在偏离的现象。在当前绩效考核指标设定上，德能勤绩这种传统的固化思维模式依旧存在，不能紧紧围绕工作重点、偏离实际的现象依旧凸显。</w:t>
      </w:r>
    </w:p>
    <w:p>
      <w:pPr>
        <w:widowControl w:val="0"/>
        <w:numPr>
          <w:ilvl w:val="0"/>
          <w:numId w:val="1"/>
        </w:numPr>
        <w:wordWrap/>
        <w:spacing w:line="560" w:lineRule="exact"/>
        <w:ind w:left="0" w:right="0" w:firstLineChars="200" w:firstLine="640"/>
        <w:textAlignment w:val="auto"/>
        <w:outlineLvl w:val="9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针对问题提出具体的改进措施或建议</w:t>
      </w:r>
    </w:p>
    <w:p>
      <w:pPr>
        <w:adjustRightInd w:val="0"/>
        <w:snapToGrid w:val="0"/>
        <w:spacing w:line="560" w:lineRule="exact"/>
        <w:ind w:firstLineChars="200" w:firstLine="640"/>
      </w:pPr>
      <w:r>
        <w:rPr>
          <w:rFonts w:ascii="仿宋" w:eastAsia="仿宋" w:cs="仿宋" w:hAnsi="仿宋" w:hint="eastAsia"/>
          <w:sz w:val="32"/>
          <w:szCs w:val="32"/>
        </w:rPr>
        <w:t>针对绩效指标设定中存在的问题，从实际出发，在202</w:t>
      </w:r>
      <w:r>
        <w:rPr>
          <w:rFonts w:ascii="仿宋" w:eastAsia="仿宋" w:cs="仿宋" w:hAnsi="仿宋"/>
          <w:sz w:val="32"/>
          <w:szCs w:val="32"/>
          <w:lang w:val="en-US" w:eastAsia="zh-CN"/>
        </w:rPr>
        <w:t>5</w:t>
      </w:r>
      <w:r>
        <w:rPr>
          <w:rFonts w:ascii="仿宋" w:eastAsia="仿宋" w:cs="仿宋" w:hAnsi="仿宋" w:hint="eastAsia"/>
          <w:sz w:val="32"/>
          <w:szCs w:val="32"/>
        </w:rPr>
        <w:t>年项目绩效目标填报中增强指标的可评价性和可量化性，合理如实的反映资金使用的绩效成果，审核</w:t>
      </w:r>
      <w:r>
        <w:rPr>
          <w:rFonts w:ascii="仿宋" w:eastAsia="仿宋" w:cs="仿宋" w:hAnsi="仿宋"/>
          <w:sz w:val="32"/>
          <w:szCs w:val="32"/>
        </w:rPr>
        <w:t>实现绩效目标所需资金的合理性以及填报的规范性、完整性</w:t>
      </w:r>
      <w:r>
        <w:rPr>
          <w:rFonts w:ascii="仿宋" w:eastAsia="仿宋" w:cs="仿宋" w:hAnsi="仿宋" w:hint="eastAsia"/>
          <w:sz w:val="32"/>
          <w:szCs w:val="32"/>
        </w:rPr>
        <w:t>，提高财政支出产生的社会效益和经济效益，重点考虑项目的外界因素对年度任务的影响。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 w:hint="eastAsia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在以后的工作中，</w:t>
      </w:r>
      <w:r>
        <w:rPr>
          <w:rFonts w:ascii="仿宋" w:eastAsia="仿宋" w:cs="仿宋" w:hAnsi="仿宋"/>
          <w:sz w:val="32"/>
          <w:szCs w:val="32"/>
        </w:rPr>
        <w:t>要根据年度工作计划制定具体、可衡量、可实现的绩效目标，明确支出的必要性、可行性和有效性，并围绕绩效目标编制清晰、量化、便于考核的绩效指标。</w:t>
      </w:r>
      <w:r>
        <w:rPr>
          <w:rFonts w:ascii="仿宋" w:eastAsia="仿宋" w:cs="仿宋" w:hAnsi="仿宋" w:hint="eastAsia"/>
          <w:sz w:val="32"/>
          <w:szCs w:val="32"/>
        </w:rPr>
        <w:t>要重视绩效评价工作，切实发挥绩效评价结果应用的作用，通过绩效评价应用实践，积累连续的数据库，优化对比分析，总结实践中的经验和教训，强化财政资金管理水平、提高财政资金使用效益，在更高层次上实现财政资源配置的公平性和合理性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 w:hint="eastAsia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 w:hint="eastAsia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 w:hint="eastAsia"/>
          <w:sz w:val="32"/>
          <w:szCs w:val="32"/>
        </w:rPr>
      </w:pPr>
    </w:p>
    <w:p>
      <w:pPr>
        <w:widowControl w:val="0"/>
        <w:numPr>
          <w:ilvl w:val="0"/>
          <w:numId w:val="2"/>
        </w:numPr>
        <w:wordWrap/>
        <w:adjustRightInd w:val="0"/>
        <w:snapToGrid w:val="0"/>
        <w:spacing w:line="560" w:lineRule="exact"/>
        <w:ind w:left="0" w:right="0" w:firstLineChars="200" w:firstLine="640"/>
        <w:textAlignment w:val="auto"/>
        <w:outlineLvl w:val="9"/>
        <w:rPr>
          <w:rFonts w:ascii="黑体" w:eastAsia="黑体" w:cs="黑体" w:hAnsi="黑体" w:hint="eastAsia"/>
          <w:sz w:val="32"/>
          <w:szCs w:val="32"/>
          <w:highlight w:val="auto"/>
        </w:rPr>
      </w:pPr>
      <w:r>
        <w:rPr>
          <w:rFonts w:ascii="黑体" w:eastAsia="黑体" w:cs="黑体" w:hAnsi="黑体" w:hint="eastAsia"/>
          <w:sz w:val="32"/>
          <w:szCs w:val="32"/>
          <w:highlight w:val="auto"/>
        </w:rPr>
        <w:t>评价工作组人员名单及签字</w:t>
      </w:r>
    </w:p>
    <w:tbl>
      <w:tblPr>
        <w:jc w:val="left"/>
        <w:tblInd w:w="0" w:type="dxa"/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 w:firstRow="0" w:lastRow="0" w:firstColumn="0" w:lastColumn="0" w:noHBand="1" w:noVBand="1"/>
      </w:tblPr>
      <w:tblGrid>
        <w:gridCol w:w="1149"/>
        <w:gridCol w:w="1172"/>
        <w:gridCol w:w="1856"/>
        <w:gridCol w:w="3071"/>
        <w:gridCol w:w="1813"/>
      </w:tblGrid>
      <w:tr>
        <w:tc>
          <w:tcPr>
            <w:tcW w:w="1149" w:type="dxa"/>
          </w:tcPr>
          <w:p>
            <w:pPr>
              <w:pStyle w:val="17"/>
              <w:ind w:left="0" w:firstLineChars="0" w:firstLine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序</w:t>
            </w:r>
            <w:r>
              <w:rPr>
                <w:rFonts w:hint="eastAsia"/>
                <w:vertAlign w:val="baseline"/>
                <w:lang w:eastAsia="zh-CN"/>
              </w:rPr>
              <w:t>号</w:t>
            </w:r>
          </w:p>
        </w:tc>
        <w:tc>
          <w:tcPr>
            <w:tcW w:w="1172" w:type="dxa"/>
          </w:tcPr>
          <w:p>
            <w:pPr>
              <w:pStyle w:val="17"/>
              <w:ind w:left="0" w:firstLineChars="0" w:firstLine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  <w:lang w:eastAsia="zh-CN"/>
              </w:rPr>
              <w:t>姓名</w:t>
            </w:r>
          </w:p>
        </w:tc>
        <w:tc>
          <w:tcPr>
            <w:tcW w:w="1856" w:type="dxa"/>
          </w:tcPr>
          <w:p>
            <w:pPr>
              <w:pStyle w:val="17"/>
              <w:ind w:left="0" w:firstLineChars="0" w:firstLine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  <w:lang w:eastAsia="zh-CN"/>
              </w:rPr>
              <w:t>工作单位</w:t>
            </w:r>
          </w:p>
        </w:tc>
        <w:tc>
          <w:tcPr>
            <w:tcW w:w="3071" w:type="dxa"/>
          </w:tcPr>
          <w:p>
            <w:pPr>
              <w:pStyle w:val="17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vertAlign w:val="baseline"/>
                <w:lang w:eastAsia="zh-CN"/>
              </w:rPr>
              <w:t>职务</w:t>
            </w:r>
          </w:p>
        </w:tc>
        <w:tc>
          <w:tcPr>
            <w:tcW w:w="1813" w:type="dxa"/>
          </w:tcPr>
          <w:p>
            <w:pPr>
              <w:pStyle w:val="17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签名</w:t>
            </w:r>
          </w:p>
        </w:tc>
      </w:tr>
      <w:tr>
        <w:trPr>
          <w:trHeight w:val="1263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"/>
              <w:ind w:left="0" w:firstLineChars="0" w:firstLine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1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17"/>
              <w:ind w:left="0" w:firstLineChars="0" w:firstLine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张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vertAlign w:val="baseline"/>
                <w:lang w:eastAsia="zh-CN"/>
              </w:rPr>
              <w:t>翼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"/>
              <w:ind w:left="0" w:firstLineChars="0" w:firstLine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区人大常委会办公室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17"/>
              <w:ind w:left="0" w:firstLineChars="0" w:firstLine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办公室主任、一级主任科员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17"/>
              <w:jc w:val="both"/>
              <w:rPr>
                <w:rFonts w:hint="eastAsia"/>
                <w:vertAlign w:val="baseline"/>
                <w:lang w:eastAsia="zh-CN"/>
              </w:rPr>
            </w:pPr>
          </w:p>
        </w:tc>
      </w:tr>
      <w:tr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"/>
              <w:ind w:left="0" w:firstLineChars="0" w:firstLine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17"/>
              <w:ind w:left="0" w:firstLineChars="0" w:firstLine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赵海涛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"/>
              <w:ind w:left="0" w:firstLineChars="0" w:firstLine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区人大常委会办公室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17"/>
              <w:ind w:left="0" w:firstLineChars="0" w:firstLine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二级主任科员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17"/>
              <w:jc w:val="both"/>
              <w:rPr>
                <w:rFonts w:hint="eastAsia"/>
                <w:vertAlign w:val="baseline"/>
                <w:lang w:eastAsia="zh-CN"/>
              </w:rPr>
            </w:pPr>
          </w:p>
        </w:tc>
      </w:tr>
      <w:tr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"/>
              <w:ind w:left="0" w:firstLineChars="0" w:firstLine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3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17"/>
              <w:ind w:left="0" w:firstLineChars="0" w:firstLine="0"/>
              <w:jc w:val="both"/>
              <w:rPr>
                <w:rFonts w:eastAsia="仿宋_GB2312"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冯莉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"/>
              <w:ind w:left="0" w:firstLineChars="0" w:firstLine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区人大常委会办公室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17"/>
              <w:ind w:left="0" w:firstLineChars="0" w:firstLine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工作人员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17"/>
              <w:jc w:val="both"/>
              <w:rPr>
                <w:rFonts w:hint="eastAsia"/>
                <w:vertAlign w:val="baseline"/>
                <w:lang w:eastAsia="zh-CN"/>
              </w:rPr>
            </w:pPr>
          </w:p>
        </w:tc>
      </w:tr>
      <w:tr>
        <w:tc>
          <w:tcPr>
            <w:tcW w:w="11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"/>
              <w:ind w:left="0" w:firstLineChars="0" w:firstLine="0"/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4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17"/>
              <w:ind w:left="0" w:firstLineChars="0" w:firstLine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吴晓萱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"/>
              <w:ind w:left="0" w:firstLineChars="0" w:firstLine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区人大常委会办公室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17"/>
              <w:ind w:left="0" w:firstLineChars="0" w:firstLine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工作人员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17"/>
              <w:jc w:val="both"/>
              <w:rPr>
                <w:rFonts w:hint="eastAsia"/>
                <w:vertAlign w:val="baseline"/>
                <w:lang w:eastAsia="zh-CN"/>
              </w:rPr>
            </w:pPr>
          </w:p>
        </w:tc>
      </w:tr>
    </w:tbl>
    <w:p>
      <w:pPr>
        <w:spacing w:line="560" w:lineRule="exact"/>
        <w:rPr>
          <w:rFonts w:ascii="仿宋" w:eastAsia="仿宋" w:hAnsi="仿宋"/>
        </w:rPr>
      </w:pPr>
    </w:p>
    <w:sectPr>
      <w:footerReference w:type="default" r:id="rId2"/>
      <w:pgSz w:w="11906" w:h="16838"/>
      <w:pgMar w:top="1440" w:right="1474" w:bottom="1440" w:left="1587" w:header="851" w:footer="992" w:gutter="0"/>
      <w:pgNumType w:fmt="numberInDash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宋体">
    <w:panose1 w:val="02010600030101010101"/>
    <w:charset w:val="50"/>
    <w:family w:val="auto"/>
    <w:pitch w:val="variable"/>
    <w:sig w:usb0="00000003" w:usb1="288F0000" w:usb2="00000006" w:usb3="00000000" w:csb0="00040001" w:csb1="00000000"/>
  </w:font>
  <w:font w:name="华文楷体">
    <w:altName w:val="微软雅黑"/>
    <w:panose1 w:val="02010600040101010101"/>
    <w:charset w:val="86"/>
    <w:family w:val="auto"/>
    <w:pitch w:val="variable"/>
    <w:sig w:usb0="00000000" w:usb1="00000000" w:usb2="00000000" w:usb3="00000000" w:csb0="0004009F" w:csb1="DFD70000"/>
  </w:font>
  <w:font w:name="仿宋">
    <w:panose1 w:val="02010609060101010101"/>
    <w:charset w:val="86"/>
    <w:family w:val="roman"/>
    <w:pitch w:val="variable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variable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variable"/>
    <w:sig w:usb0="00000000" w:usb1="00000000" w:usb2="00000000" w:usb3="00000000" w:csb0="00040000" w:csb1="00000000"/>
  </w:font>
  <w:font w:name="楷体">
    <w:panose1 w:val="02010609060101010101"/>
    <w:charset w:val="86"/>
    <w:family w:val="roman"/>
    <w:pitch w:val="variable"/>
    <w:sig w:usb0="800002BF" w:usb1="38CF7CFA" w:usb2="00000016" w:usb3="00000000" w:csb0="00040001" w:csb1="00000000"/>
  </w:font>
  <w:font w:name="Times New Roman">
    <w:panose1 w:val="02020603050405020304"/>
    <w:charset w:val="CC"/>
    <w:family w:val="auto"/>
    <w:pitch w:val="variable"/>
    <w:sig w:usb0="E0002AFF" w:usb1="C0007841" w:usb2="00000009" w:usb3="00000000" w:csb0="400001FF" w:csb1="FFFF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Calibri">
    <w:panose1 w:val="020F0502020204030204"/>
    <w:charset w:val="00"/>
    <w:family w:val="decorative"/>
    <w:pitch w:val="variable"/>
    <w:sig w:usb0="E00002FF" w:usb1="4000ACFF" w:usb2="00000001" w:usb3="00000000" w:csb0="2000019F" w:csb1="00000000"/>
  </w:font>
  <w:font w:name="方正仿宋_GBK"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20"/>
      <w:tabs>
        <w:tab w:val="center" w:pos="4153"/>
        <w:tab w:val="right" w:pos="8306"/>
      </w:tabs>
    </w:pPr>
    <w:r>
      <mc:AlternateContent>
        <mc:Choice Requires="wps">
          <w:drawing>
            <wp:anchor distT="0" distB="0" distL="90805" distR="90805" simplePos="0" relativeHeight="12" behindDoc="0" locked="0" layoutInCell="1" hidden="0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09550" cy="162560"/>
              <wp:effectExtent l="0" t="0" r="0" b="0"/>
              <wp:wrapNone/>
              <wp:docPr id="1" name="Quad Arrow 3073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209550" cy="162560"/>
                      </a:xfrm>
                      <a:prstGeom prst="rect"/>
                      <a:noFill/>
                      <a:ln w="9525" cmpd="sng" cap="flat">
                        <a:noFill/>
                        <a:prstDash val="solid"/>
                        <a:miter/>
                      </a:ln>
                    </wps:spPr>
                    <wps:txbx id="1"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type="#_x0000_t1" id="Quad Arrow 3073" o:spid="_x0000_s2" filled="f" stroked="f" style="position:absolute;margin-left:0.0pt;margin-top:0.0pt;width:16.5pt;height:12.8pt;z-index:12;mso-position-horizontal:center;mso-position-horizontal-relative:margin;mso-position-vertical:absolute;mso-wrap-distance-left:7.15pt;mso-wrap-distance-right:7.15pt;mso-wrap-style:none;">
              <v:stroke/>
              <v:textbox id="848" inset="0mm,0mm,0mm,0mm" o:insetmode="custom" style="layout-flow:horizontal;v-text-anchor:top;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5E68489B"/>
    <w:multiLevelType w:val="singleLevel"/>
    <w:tmpl w:val="5E68489B"/>
    <w:lvl w:ilvl="0">
      <w:start w:val="1"/>
      <w:numFmt w:val="chineseCounting"/>
      <w:lvlRestart w:val="0"/>
      <w:suff w:val="nothing"/>
      <w:lvlText w:val="（%1）"/>
      <w:lvlJc w:val="left"/>
      <w:pPr>
        <w:ind w:left="0" w:hanging="0"/>
      </w:pPr>
      <w:rPr>
        <w:rFonts w:ascii="楷体" w:hAnsi="楷体" w:eastAsia="楷体" w:hint="default"/>
      </w:rPr>
    </w:lvl>
  </w:abstractNum>
  <w:abstractNum w:abstractNumId="1">
    <w:nsid w:val="62329866"/>
    <w:multiLevelType w:val="singleLevel"/>
    <w:tmpl w:val="62329866"/>
    <w:lvl w:ilvl="0">
      <w:start w:val="6"/>
      <w:numFmt w:val="chineseCounting"/>
      <w:lvlRestart w:val="0"/>
      <w:suff w:val="nothing"/>
      <w:lvlText w:val="%1、"/>
      <w:lvlJc w:val="left"/>
      <w:pPr>
        <w:ind w:left="0" w:hanging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doNotUseIndentAsNumberingTabStop/>
    <w:useAltKinsokuLineBreakRules/>
    <w:doNotSuppressIndentation/>
    <w:splitPgBreakAndParaMark/>
    <w:compatSetting w:name="compatibilityMode" w:uri="http://schemas.microsoft.com/office/word" w:val="11"/>
  </w:compat>
  <w:docVars>
    <w:docVar w:name="commondata" w:val="eyJoZGlkIjoiYzgxMzVhZTBlNDUyZWUxNDVhMjNkN2E1NjFlOTE5NDcifQ=="/>
  </w:docVar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Arial"/>
        <w:lang w:val="en-US" w:eastAsia="zh-CN" w:bidi="ar-SA"/>
      </w:rPr>
    </w:rPrDefault>
    <w:pPrDefault/>
  </w:docDefaults>
  <w:style w:type="paragraph" w:default="1" w:styleId="0">
    <w:name w:val="Normal"/>
    <w:qFormat/>
    <w:next w:val="16"/>
    <w:pPr>
      <w:widowControl w:val="0"/>
      <w:jc w:val="both"/>
    </w:pPr>
    <w:rPr>
      <w:rFonts w:ascii="Calibri" w:eastAsia="宋体" w:cs="黑体" w:hAnsi="Calibri"/>
      <w:kern w:val="2"/>
      <w:sz w:val="21"/>
      <w:szCs w:val="22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Calibri" w:eastAsia="宋体" w:cs="黑体" w:hAnsi="Calibri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黑体" w:hAnsi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黑体" w:hAnsi="Calibri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customStyle="1" w:styleId="15">
    <w:name w:val="BodyTextIndent"/>
    <w:qFormat/>
    <w:basedOn w:val="0"/>
    <w:pPr>
      <w:spacing w:after="120"/>
      <w:ind w:leftChars="200" w:left="200"/>
      <w:jc w:val="both"/>
      <w:textAlignment w:val="baseline"/>
    </w:pPr>
  </w:style>
  <w:style w:type="paragraph" w:customStyle="1" w:styleId="16">
    <w:name w:val="BodyText1I2"/>
    <w:qFormat/>
    <w:basedOn w:val="15"/>
    <w:pPr>
      <w:spacing w:after="120"/>
      <w:ind w:leftChars="200" w:left="200" w:firstLine="420"/>
      <w:jc w:val="both"/>
      <w:textAlignment w:val="baseline"/>
    </w:pPr>
  </w:style>
  <w:style w:type="paragraph" w:styleId="17">
    <w:name w:val="Normal Indent"/>
    <w:qFormat/>
    <w:basedOn w:val="0"/>
    <w:pPr>
      <w:widowControl w:val="0"/>
      <w:ind w:firstLineChars="200" w:firstLine="200"/>
      <w:jc w:val="both"/>
    </w:pPr>
    <w:rPr>
      <w:rFonts w:ascii="Calibri" w:eastAsia="仿宋_GB2312" w:cs="黑体" w:hAnsi="Calibri"/>
      <w:kern w:val="2"/>
      <w:sz w:val="30"/>
      <w:szCs w:val="22"/>
      <w:lang w:val="en-US" w:eastAsia="zh-CN" w:bidi="ar-SA"/>
    </w:rPr>
  </w:style>
  <w:style w:type="paragraph" w:styleId="18">
    <w:name w:val="Body Text Indent"/>
    <w:qFormat/>
    <w:basedOn w:val="0"/>
    <w:next w:val="19"/>
    <w:pPr>
      <w:spacing w:line="360" w:lineRule="auto"/>
      <w:ind w:firstLineChars="200" w:firstLine="200"/>
    </w:pPr>
    <w:rPr>
      <w:sz w:val="24"/>
    </w:rPr>
  </w:style>
  <w:style w:type="paragraph" w:styleId="19">
    <w:name w:val="Subtitle"/>
    <w:qFormat/>
    <w:basedOn w:val="0"/>
    <w:next w:val="0"/>
    <w:pPr>
      <w:wordWrap w:val="0"/>
      <w:spacing w:after="60"/>
      <w:jc w:val="center"/>
    </w:pPr>
    <w:rPr>
      <w:rFonts w:eastAsia="Times New Roman"/>
      <w:sz w:val="24"/>
    </w:rPr>
  </w:style>
  <w:style w:type="paragraph" w:styleId="20">
    <w:name w:val="footer"/>
    <w:qFormat/>
    <w:basedOn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1">
    <w:name w:val="Body Text First Indent 2"/>
    <w:qFormat/>
    <w:basedOn w:val="18"/>
    <w:next w:val="0"/>
  </w:style>
  <w:style w:type="paragraph" w:styleId="22">
    <w:name w:val="header"/>
    <w:qFormat/>
    <w:basedOn w:val="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23">
    <w:name w:val="Normal (Web)"/>
    <w:qFormat/>
    <w:basedOn w:val="0"/>
    <w:pPr>
      <w:spacing w:beforeAutospacing="1" w:afterAutospacing="1" w:line="357" w:lineRule="atLeast"/>
      <w:jc w:val="left"/>
      <w:textAlignment w:val="baseline"/>
    </w:pPr>
    <w:rPr>
      <w:rFonts w:ascii="Times New Roman" w:eastAsia="宋体" w:cs="Times New Roman" w:hAnsi="Times New Roman"/>
      <w:color w:val="000000"/>
      <w:sz w:val="24"/>
      <w:szCs w:val="20"/>
      <w:u w:color="000000"/>
      <w:lang w:val="en-US" w:eastAsia="zh-CN" w:bidi="ar-SA"/>
    </w:rPr>
  </w:style>
  <w:style w:type="paragraph" w:customStyle="1" w:styleId="24">
    <w:name w:val="插入文本样式-插入总体目标文件"/>
    <w:qFormat/>
    <w:basedOn w:val="0"/>
    <w:pPr>
      <w:widowControl w:val="0"/>
      <w:spacing w:before="0" w:after="0" w:line="500" w:lineRule="exact"/>
      <w:ind w:firstLine="560"/>
      <w:jc w:val="left"/>
      <w:outlineLvl w:val="9"/>
    </w:pPr>
    <w:rPr>
      <w:rFonts w:ascii="Times New Roman" w:eastAsia="方正仿宋_GBK" w:cs="Times New Roman" w:hAnsi="Times New Roman"/>
      <w:kern w:val="2"/>
      <w:sz w:val="28"/>
      <w:szCs w:val="24"/>
      <w:lang w:val="en-US" w:eastAsia="uk-UA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customXml" Target="../customXml/item1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1"/>
        </a:gradFill>
      </a:fillStyleLst>
      <a:lnStyleLst>
        <a:ln w="9525" cmpd="sng" cap="flat">
          <a:solidFill>
            <a:schemeClr val="phClr">
              <a:shade val="95000"/>
              <a:satMod val="105000"/>
            </a:schemeClr>
          </a:solidFill>
          <a:prstDash val="solid"/>
          <a:round/>
        </a:ln>
        <a:ln w="25400" cmpd="sng" cap="flat">
          <a:solidFill>
            <a:schemeClr val="phClr"/>
          </a:solidFill>
          <a:prstDash val="solid"/>
          <a:round/>
        </a:ln>
        <a:ln w="38100" cmpd="sng" cap="flat">
          <a:solidFill>
            <a:schemeClr val="phClr"/>
          </a:solidFill>
          <a:prstDash val="solid"/>
          <a:round/>
        </a:ln>
      </a:lnStyleLst>
      <a:effectStyleLst>
        <a:effectStyle>
          <a:effectLst>
            <a:outerShdw sx="100000" sy="100000" algn="b" rotWithShape="0" blurRad="40000" dist="20000" dir="5400000">
              <a:srgbClr val="000000">
                <a:alpha val="37647"/>
              </a:srgbClr>
            </a:outerShdw>
          </a:effectLst>
        </a:effectStyle>
        <a:effectStyle>
          <a:effectLst>
            <a:outerShdw sx="100000" sy="100000" algn="b" rotWithShape="0" blurRad="40000" dist="23000" dir="5400000">
              <a:srgbClr val="000000">
                <a:alpha val="34509"/>
              </a:srgbClr>
            </a:outerShdw>
          </a:effectLst>
        </a:effectStyle>
        <a:effectStyle>
          <a:effectLst>
            <a:outerShdw sx="100000" sy="100000" algn="b" rotWithShape="0" blurRad="40000" dist="23000" dir="5400000">
              <a:srgbClr val="000000">
                <a:alpha val="34509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100000"/>
          </a:path>
          <a:tileRect r="-100000" b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DC03E468-6BDF-4A51-98FE-3E4AE1DAE48E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123</TotalTime>
  <Application>WPS_Yozo_Office9.0.4819.102ZH</Application>
  <Pages>6</Pages>
  <Words>0</Words>
  <Characters>2229</Characters>
  <Lines>0</Lines>
  <Paragraphs>57</Paragraphs>
  <CharactersWithSpaces>2972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附件3：</dc:title>
  <dc:creator>欣欣大人</dc:creator>
  <cp:lastModifiedBy>Administrator</cp:lastModifiedBy>
  <cp:revision>3</cp:revision>
  <cp:lastPrinted>2026-09-17T02:32:20Z</cp:lastPrinted>
  <dcterms:created xsi:type="dcterms:W3CDTF">2020-02-04T03:46:00Z</dcterms:created>
  <dcterms:modified xsi:type="dcterms:W3CDTF">2026-09-17T02:33:24Z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2052-10.8.0.5562</vt:lpwstr>
  </property>
  <property fmtid="{D5CDD505-2E9C-101B-9397-08002B2CF9AE}" pid="3" name="ICV">
    <vt:lpwstr>96934721B1514D3FBAA28020338CE855_12</vt:lpwstr>
  </property>
</Properties>
</file>