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823E2B">
      <w:pPr>
        <w:adjustRightInd w:val="0"/>
        <w:snapToGrid w:val="0"/>
        <w:spacing w:line="560" w:lineRule="exact"/>
        <w:rPr>
          <w:rFonts w:hint="eastAsia" w:ascii="黑体" w:hAnsi="黑体" w:eastAsia="黑体" w:cs="黑体"/>
          <w:sz w:val="32"/>
          <w:szCs w:val="32"/>
        </w:rPr>
      </w:pPr>
      <w:r>
        <w:rPr>
          <w:rFonts w:hint="eastAsia" w:ascii="黑体" w:hAnsi="黑体" w:eastAsia="黑体" w:cs="黑体"/>
          <w:sz w:val="32"/>
          <w:szCs w:val="32"/>
        </w:rPr>
        <w:t>附件4</w:t>
      </w:r>
    </w:p>
    <w:p w14:paraId="21ED1389">
      <w:pPr>
        <w:spacing w:line="560" w:lineRule="exact"/>
        <w:jc w:val="center"/>
        <w:rPr>
          <w:rFonts w:ascii="宋体" w:hAnsi="宋体" w:cs="宋体"/>
          <w:b/>
          <w:bCs/>
          <w:sz w:val="44"/>
          <w:szCs w:val="44"/>
        </w:rPr>
      </w:pPr>
    </w:p>
    <w:p w14:paraId="4C089200">
      <w:pPr>
        <w:spacing w:line="560" w:lineRule="exact"/>
        <w:jc w:val="center"/>
        <w:rPr>
          <w:rFonts w:hint="eastAsia" w:ascii="宋体" w:hAnsi="宋体" w:cs="宋体"/>
          <w:b/>
          <w:bCs/>
          <w:sz w:val="44"/>
          <w:szCs w:val="44"/>
        </w:rPr>
      </w:pPr>
      <w:r>
        <w:rPr>
          <w:rFonts w:hint="eastAsia" w:ascii="宋体" w:hAnsi="宋体" w:cs="宋体"/>
          <w:b/>
          <w:bCs/>
          <w:sz w:val="44"/>
          <w:szCs w:val="44"/>
        </w:rPr>
        <w:t>井陉矿区融媒体中心</w:t>
      </w:r>
    </w:p>
    <w:p w14:paraId="07688DD6">
      <w:pPr>
        <w:spacing w:line="560" w:lineRule="exact"/>
        <w:jc w:val="center"/>
        <w:rPr>
          <w:rFonts w:ascii="宋体" w:hAnsi="宋体" w:cs="宋体"/>
          <w:b/>
          <w:bCs/>
          <w:sz w:val="44"/>
          <w:szCs w:val="44"/>
        </w:rPr>
      </w:pPr>
      <w:r>
        <w:rPr>
          <w:rFonts w:hint="eastAsia" w:ascii="宋体" w:hAnsi="宋体" w:cs="宋体"/>
          <w:b/>
          <w:bCs/>
          <w:sz w:val="44"/>
          <w:szCs w:val="44"/>
        </w:rPr>
        <w:t>202</w:t>
      </w:r>
      <w:r>
        <w:rPr>
          <w:rFonts w:ascii="宋体" w:hAnsi="宋体" w:cs="宋体"/>
          <w:b/>
          <w:bCs/>
          <w:sz w:val="44"/>
          <w:szCs w:val="44"/>
        </w:rPr>
        <w:t>5</w:t>
      </w:r>
      <w:r>
        <w:rPr>
          <w:rFonts w:hint="eastAsia" w:ascii="宋体" w:hAnsi="宋体" w:cs="宋体"/>
          <w:b/>
          <w:bCs/>
          <w:sz w:val="44"/>
          <w:szCs w:val="44"/>
        </w:rPr>
        <w:t>年度整体支出绩效自评报告</w:t>
      </w:r>
    </w:p>
    <w:p w14:paraId="1FCB1E81">
      <w:pPr>
        <w:spacing w:line="560" w:lineRule="exact"/>
        <w:jc w:val="center"/>
        <w:rPr>
          <w:rFonts w:ascii="华文楷体" w:eastAsia="华文楷体"/>
          <w:sz w:val="32"/>
          <w:szCs w:val="32"/>
        </w:rPr>
      </w:pPr>
    </w:p>
    <w:p w14:paraId="0E935500">
      <w:pPr>
        <w:pageBreakBefore w:val="0"/>
        <w:widowControl w:val="0"/>
        <w:kinsoku/>
        <w:wordWrap/>
        <w:overflowPunct/>
        <w:topLinePunct w:val="0"/>
        <w:autoSpaceDN/>
        <w:bidi w:val="0"/>
        <w:adjustRightInd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贯彻落实</w:t>
      </w:r>
      <w:r>
        <w:rPr>
          <w:rFonts w:ascii="仿宋" w:hAnsi="仿宋" w:eastAsia="仿宋"/>
          <w:sz w:val="32"/>
          <w:szCs w:val="32"/>
        </w:rPr>
        <w:t>区委区政府</w:t>
      </w:r>
      <w:r>
        <w:rPr>
          <w:rFonts w:hint="eastAsia" w:ascii="仿宋" w:hAnsi="仿宋" w:eastAsia="仿宋"/>
          <w:sz w:val="32"/>
          <w:szCs w:val="32"/>
        </w:rPr>
        <w:t>《关于全面落实预算绩效管理的实施意见》（</w:t>
      </w:r>
      <w:r>
        <w:rPr>
          <w:rFonts w:ascii="仿宋" w:hAnsi="仿宋" w:eastAsia="仿宋"/>
          <w:sz w:val="32"/>
          <w:szCs w:val="32"/>
        </w:rPr>
        <w:t>矿</w:t>
      </w:r>
      <w:r>
        <w:rPr>
          <w:rFonts w:hint="eastAsia" w:ascii="仿宋" w:hAnsi="仿宋" w:eastAsia="仿宋"/>
          <w:sz w:val="32"/>
          <w:szCs w:val="32"/>
        </w:rPr>
        <w:t>发﹝2019﹞</w:t>
      </w:r>
      <w:r>
        <w:rPr>
          <w:rFonts w:ascii="仿宋" w:hAnsi="仿宋" w:eastAsia="仿宋"/>
          <w:sz w:val="32"/>
          <w:szCs w:val="32"/>
        </w:rPr>
        <w:t>7</w:t>
      </w:r>
      <w:r>
        <w:rPr>
          <w:rFonts w:hint="eastAsia" w:ascii="仿宋" w:hAnsi="仿宋" w:eastAsia="仿宋"/>
          <w:sz w:val="32"/>
          <w:szCs w:val="32"/>
        </w:rPr>
        <w:t>号）文件精神，遵循“科学性、规范性、客观性和公正性”的原则，对井陉矿区融媒体中心202</w:t>
      </w:r>
      <w:r>
        <w:rPr>
          <w:rFonts w:ascii="仿宋" w:hAnsi="仿宋" w:eastAsia="仿宋"/>
          <w:sz w:val="32"/>
          <w:szCs w:val="32"/>
        </w:rPr>
        <w:t>5</w:t>
      </w:r>
      <w:r>
        <w:rPr>
          <w:rFonts w:hint="eastAsia" w:ascii="仿宋" w:hAnsi="仿宋" w:eastAsia="仿宋"/>
          <w:sz w:val="32"/>
          <w:szCs w:val="32"/>
        </w:rPr>
        <w:t>年整体支出情况实施了财政支出绩效自评价，形成本评价报告。</w:t>
      </w:r>
    </w:p>
    <w:p w14:paraId="5FF6B668">
      <w:pPr>
        <w:pageBreakBefore w:val="0"/>
        <w:widowControl w:val="0"/>
        <w:kinsoku/>
        <w:wordWrap/>
        <w:overflowPunct/>
        <w:topLinePunct w:val="0"/>
        <w:autoSpaceDN/>
        <w:bidi w:val="0"/>
        <w:adjustRightInd w:val="0"/>
        <w:snapToGrid w:val="0"/>
        <w:spacing w:line="560" w:lineRule="exact"/>
        <w:textAlignment w:val="auto"/>
        <w:rPr>
          <w:rFonts w:ascii="黑体" w:hAnsi="黑体" w:eastAsia="黑体"/>
          <w:b/>
          <w:bCs/>
          <w:sz w:val="32"/>
          <w:szCs w:val="36"/>
        </w:rPr>
      </w:pPr>
      <w:r>
        <w:rPr>
          <w:rFonts w:hint="eastAsia" w:ascii="黑体" w:hAnsi="黑体" w:eastAsia="黑体"/>
          <w:sz w:val="32"/>
          <w:szCs w:val="32"/>
        </w:rPr>
        <w:t xml:space="preserve">     一、部门</w:t>
      </w:r>
      <w:r>
        <w:rPr>
          <w:rFonts w:hint="eastAsia" w:ascii="黑体" w:hAnsi="黑体" w:eastAsia="黑体"/>
          <w:sz w:val="32"/>
          <w:szCs w:val="36"/>
        </w:rPr>
        <w:t>基本情况</w:t>
      </w:r>
    </w:p>
    <w:p w14:paraId="22DFC45C">
      <w:pPr>
        <w:pageBreakBefore w:val="0"/>
        <w:widowControl w:val="0"/>
        <w:kinsoku/>
        <w:wordWrap/>
        <w:overflowPunct/>
        <w:topLinePunct w:val="0"/>
        <w:autoSpaceDN/>
        <w:bidi w:val="0"/>
        <w:adjustRightInd w:val="0"/>
        <w:snapToGrid w:val="0"/>
        <w:spacing w:line="560" w:lineRule="exact"/>
        <w:ind w:firstLine="640" w:firstLineChars="200"/>
        <w:textAlignment w:val="auto"/>
        <w:rPr>
          <w:rFonts w:ascii="楷体" w:hAnsi="楷体" w:eastAsia="楷体" w:cs="楷体_GB2312"/>
          <w:bCs/>
          <w:sz w:val="32"/>
          <w:szCs w:val="32"/>
        </w:rPr>
      </w:pPr>
      <w:r>
        <w:rPr>
          <w:rFonts w:hint="eastAsia" w:ascii="楷体" w:hAnsi="楷体" w:eastAsia="楷体" w:cs="楷体_GB2312"/>
          <w:bCs/>
          <w:sz w:val="32"/>
          <w:szCs w:val="32"/>
        </w:rPr>
        <w:t>（一）部门概况</w:t>
      </w:r>
    </w:p>
    <w:p w14:paraId="5477C92D">
      <w:pPr>
        <w:pageBreakBefore w:val="0"/>
        <w:widowControl w:val="0"/>
        <w:kinsoku/>
        <w:wordWrap/>
        <w:overflowPunct/>
        <w:topLinePunct w:val="0"/>
        <w:autoSpaceDE w:val="0"/>
        <w:autoSpaceDN/>
        <w:bidi w:val="0"/>
        <w:adjustRightInd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1.主要职能。</w:t>
      </w:r>
    </w:p>
    <w:p w14:paraId="22685D34">
      <w:pPr>
        <w:keepNext/>
        <w:keepLines/>
        <w:pageBreakBefore w:val="0"/>
        <w:widowControl w:val="0"/>
        <w:kinsoku/>
        <w:wordWrap/>
        <w:overflowPunct/>
        <w:topLinePunct w:val="0"/>
        <w:autoSpaceDE w:val="0"/>
        <w:autoSpaceDN/>
        <w:bidi w:val="0"/>
        <w:spacing w:line="560" w:lineRule="exact"/>
        <w:ind w:firstLine="640" w:firstLineChars="200"/>
        <w:jc w:val="left"/>
        <w:textAlignment w:val="auto"/>
        <w:outlineLvl w:val="0"/>
        <w:rPr>
          <w:rFonts w:ascii="仿宋" w:hAnsi="仿宋" w:eastAsia="仿宋"/>
          <w:sz w:val="32"/>
          <w:szCs w:val="32"/>
        </w:rPr>
      </w:pPr>
      <w:r>
        <w:rPr>
          <w:rFonts w:ascii="仿宋" w:hAnsi="仿宋" w:eastAsia="仿宋"/>
          <w:sz w:val="32"/>
          <w:szCs w:val="32"/>
        </w:rPr>
        <w:t>重点完成新闻宣传及电视节目</w:t>
      </w:r>
      <w:r>
        <w:rPr>
          <w:rFonts w:hint="eastAsia" w:ascii="仿宋" w:hAnsi="仿宋" w:eastAsia="仿宋"/>
          <w:sz w:val="32"/>
          <w:szCs w:val="32"/>
        </w:rPr>
        <w:t>播出</w:t>
      </w:r>
      <w:r>
        <w:rPr>
          <w:rFonts w:ascii="仿宋" w:hAnsi="仿宋" w:eastAsia="仿宋"/>
          <w:sz w:val="32"/>
          <w:szCs w:val="32"/>
        </w:rPr>
        <w:t>，推动传统媒体与新媒体融合发展，不断扩大党媒覆盖面，抢占舆论引导阵地，宣传上级党委、政府的决策部署，中心工作及重点工作，宣传本地党委和政府工作安排，传播本地政经资讯；向基层干部群众提供政务服务、生活服务、社会</w:t>
      </w:r>
      <w:r>
        <w:rPr>
          <w:rFonts w:hint="eastAsia" w:ascii="仿宋" w:hAnsi="仿宋" w:eastAsia="仿宋"/>
          <w:sz w:val="32"/>
          <w:szCs w:val="32"/>
        </w:rPr>
        <w:t>传播</w:t>
      </w:r>
      <w:r>
        <w:rPr>
          <w:rFonts w:ascii="仿宋" w:hAnsi="仿宋" w:eastAsia="仿宋"/>
          <w:sz w:val="32"/>
          <w:szCs w:val="32"/>
        </w:rPr>
        <w:t>等综合服务。更好的服务于区委、区政府，服务于全区人民，形成强有力的舆论引导力。</w:t>
      </w:r>
    </w:p>
    <w:p w14:paraId="62512873">
      <w:pPr>
        <w:pageBreakBefore w:val="0"/>
        <w:widowControl w:val="0"/>
        <w:kinsoku/>
        <w:wordWrap/>
        <w:overflowPunct/>
        <w:topLinePunct w:val="0"/>
        <w:autoSpaceDE w:val="0"/>
        <w:autoSpaceDN/>
        <w:bidi w:val="0"/>
        <w:adjustRightInd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2.机构情况。</w:t>
      </w:r>
    </w:p>
    <w:p w14:paraId="72D78EE3">
      <w:pPr>
        <w:pageBreakBefore w:val="0"/>
        <w:widowControl w:val="0"/>
        <w:kinsoku/>
        <w:wordWrap/>
        <w:overflowPunct/>
        <w:topLinePunct w:val="0"/>
        <w:autoSpaceDE w:val="0"/>
        <w:autoSpaceDN/>
        <w:bidi w:val="0"/>
        <w:adjustRightInd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石家庄市井陉矿区融媒体中心为一级预算单位，单位性质为事业单位，规格为正科级。</w:t>
      </w:r>
    </w:p>
    <w:p w14:paraId="0CB1D676">
      <w:pPr>
        <w:pageBreakBefore w:val="0"/>
        <w:widowControl w:val="0"/>
        <w:kinsoku/>
        <w:wordWrap/>
        <w:overflowPunct/>
        <w:topLinePunct w:val="0"/>
        <w:autoSpaceDE w:val="0"/>
        <w:autoSpaceDN/>
        <w:bidi w:val="0"/>
        <w:adjustRightInd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3.人员情况。</w:t>
      </w:r>
    </w:p>
    <w:p w14:paraId="00A6E712">
      <w:pPr>
        <w:pageBreakBefore w:val="0"/>
        <w:widowControl w:val="0"/>
        <w:kinsoku/>
        <w:wordWrap/>
        <w:overflowPunct/>
        <w:topLinePunct w:val="0"/>
        <w:autoSpaceDE w:val="0"/>
        <w:autoSpaceDN/>
        <w:bidi w:val="0"/>
        <w:adjustRightInd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单位编制人数21人，实有在编人数</w:t>
      </w:r>
      <w:r>
        <w:rPr>
          <w:rFonts w:hint="eastAsia" w:ascii="仿宋" w:hAnsi="仿宋" w:eastAsia="仿宋"/>
          <w:sz w:val="32"/>
          <w:szCs w:val="32"/>
          <w:lang w:val="en-US" w:eastAsia="zh-CN"/>
        </w:rPr>
        <w:t>15</w:t>
      </w:r>
      <w:r>
        <w:rPr>
          <w:rFonts w:hint="eastAsia" w:ascii="仿宋" w:hAnsi="仿宋" w:eastAsia="仿宋"/>
          <w:sz w:val="32"/>
          <w:szCs w:val="32"/>
        </w:rPr>
        <w:t>人。退休人员</w:t>
      </w:r>
      <w:r>
        <w:rPr>
          <w:rFonts w:hint="eastAsia" w:ascii="仿宋" w:hAnsi="仿宋" w:eastAsia="仿宋"/>
          <w:sz w:val="32"/>
          <w:szCs w:val="32"/>
          <w:lang w:val="en-US" w:eastAsia="zh-CN"/>
        </w:rPr>
        <w:t>9</w:t>
      </w:r>
      <w:r>
        <w:rPr>
          <w:rFonts w:hint="eastAsia" w:ascii="仿宋" w:hAnsi="仿宋" w:eastAsia="仿宋"/>
          <w:sz w:val="32"/>
          <w:szCs w:val="32"/>
        </w:rPr>
        <w:t>名。</w:t>
      </w:r>
    </w:p>
    <w:p w14:paraId="3B18B375">
      <w:pPr>
        <w:keepNext/>
        <w:keepLines/>
        <w:pageBreakBefore w:val="0"/>
        <w:widowControl w:val="0"/>
        <w:kinsoku/>
        <w:wordWrap/>
        <w:overflowPunct/>
        <w:topLinePunct w:val="0"/>
        <w:autoSpaceDE w:val="0"/>
        <w:autoSpaceDN/>
        <w:bidi w:val="0"/>
        <w:spacing w:line="560" w:lineRule="exact"/>
        <w:ind w:firstLine="640" w:firstLineChars="200"/>
        <w:jc w:val="left"/>
        <w:textAlignment w:val="auto"/>
        <w:outlineLvl w:val="0"/>
        <w:rPr>
          <w:rFonts w:ascii="仿宋" w:hAnsi="仿宋" w:eastAsia="仿宋"/>
          <w:sz w:val="32"/>
          <w:szCs w:val="32"/>
        </w:rPr>
      </w:pPr>
    </w:p>
    <w:p w14:paraId="221C2C49">
      <w:pPr>
        <w:pageBreakBefore w:val="0"/>
        <w:widowControl w:val="0"/>
        <w:numPr>
          <w:ilvl w:val="0"/>
          <w:numId w:val="1"/>
        </w:numPr>
        <w:kinsoku/>
        <w:wordWrap/>
        <w:overflowPunct/>
        <w:topLinePunct w:val="0"/>
        <w:autoSpaceDN/>
        <w:bidi w:val="0"/>
        <w:adjustRightInd w:val="0"/>
        <w:snapToGrid w:val="0"/>
        <w:spacing w:line="560" w:lineRule="exact"/>
        <w:ind w:firstLine="640" w:firstLineChars="200"/>
        <w:textAlignment w:val="auto"/>
        <w:rPr>
          <w:rFonts w:hint="eastAsia" w:ascii="楷体" w:hAnsi="楷体" w:eastAsia="楷体" w:cs="楷体_GB2312"/>
          <w:bCs/>
          <w:sz w:val="32"/>
          <w:szCs w:val="32"/>
        </w:rPr>
      </w:pPr>
      <w:r>
        <w:rPr>
          <w:rFonts w:hint="eastAsia" w:ascii="楷体" w:hAnsi="楷体" w:eastAsia="楷体" w:cs="楷体_GB2312"/>
          <w:bCs/>
          <w:sz w:val="32"/>
          <w:szCs w:val="32"/>
        </w:rPr>
        <w:t>部门收支预决算情况</w:t>
      </w:r>
    </w:p>
    <w:p w14:paraId="3628D88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Times New Roman"/>
          <w:sz w:val="32"/>
          <w:szCs w:val="32"/>
        </w:rPr>
      </w:pPr>
      <w:r>
        <w:rPr>
          <w:rFonts w:hint="eastAsia" w:ascii="仿宋" w:hAnsi="仿宋" w:eastAsia="仿宋" w:cs="Times New Roman"/>
          <w:sz w:val="32"/>
          <w:szCs w:val="32"/>
        </w:rPr>
        <w:t>本部门202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年度</w:t>
      </w:r>
      <w:r>
        <w:rPr>
          <w:rFonts w:hint="eastAsia" w:ascii="仿宋" w:hAnsi="仿宋" w:eastAsia="仿宋" w:cs="Times New Roman"/>
          <w:sz w:val="32"/>
          <w:szCs w:val="32"/>
          <w:lang w:val="en-US" w:eastAsia="zh-CN"/>
        </w:rPr>
        <w:t>年</w:t>
      </w:r>
      <w:r>
        <w:rPr>
          <w:rFonts w:hint="eastAsia" w:ascii="仿宋" w:hAnsi="仿宋" w:eastAsia="仿宋" w:cs="Times New Roman"/>
          <w:sz w:val="32"/>
          <w:szCs w:val="32"/>
        </w:rPr>
        <w:t>初预算数</w:t>
      </w:r>
      <w:r>
        <w:rPr>
          <w:rFonts w:hint="eastAsia" w:ascii="仿宋" w:hAnsi="仿宋" w:eastAsia="仿宋" w:cs="Times New Roman"/>
          <w:sz w:val="32"/>
          <w:szCs w:val="32"/>
          <w:lang w:val="en-US" w:eastAsia="zh-CN"/>
        </w:rPr>
        <w:t>408.6</w:t>
      </w:r>
      <w:r>
        <w:rPr>
          <w:rFonts w:hint="eastAsia" w:ascii="仿宋" w:hAnsi="仿宋" w:eastAsia="仿宋" w:cs="Times New Roman"/>
          <w:sz w:val="32"/>
          <w:szCs w:val="32"/>
        </w:rPr>
        <w:t>万元，</w:t>
      </w:r>
      <w:r>
        <w:rPr>
          <w:rFonts w:hint="eastAsia" w:ascii="仿宋_GB2312" w:eastAsia="仿宋_GB2312" w:cs="Times New Roman"/>
          <w:sz w:val="32"/>
          <w:szCs w:val="32"/>
          <w:lang w:bidi="ar-SA"/>
        </w:rPr>
        <w:t>支出决算数</w:t>
      </w:r>
      <w:r>
        <w:rPr>
          <w:rFonts w:hint="eastAsia" w:ascii="仿宋" w:eastAsia="仿宋"/>
          <w:sz w:val="32"/>
          <w:szCs w:val="32"/>
          <w:lang w:val="en-US" w:eastAsia="zh-CN"/>
        </w:rPr>
        <w:t>335.65</w:t>
      </w:r>
      <w:r>
        <w:rPr>
          <w:rFonts w:hint="eastAsia" w:ascii="仿宋_GB2312" w:eastAsia="仿宋_GB2312" w:cs="Times New Roman"/>
          <w:sz w:val="32"/>
          <w:szCs w:val="32"/>
          <w:lang w:bidi="ar-SA"/>
        </w:rPr>
        <w:t>万元，其中，</w:t>
      </w:r>
      <w:r>
        <w:rPr>
          <w:rFonts w:hint="eastAsia" w:ascii="仿宋" w:eastAsia="仿宋"/>
          <w:sz w:val="32"/>
          <w:szCs w:val="32"/>
        </w:rPr>
        <w:t>一般公共预算支出329.5万元，财政拨款支出决算数329.5万元，完成年初预算的81%,比年初预算减少79.1万元，政府性基金预算数6.15，财政拨款收入决算数6.15万元。</w:t>
      </w:r>
      <w:r>
        <w:rPr>
          <w:rFonts w:hint="eastAsia" w:ascii="仿宋_GB2312" w:eastAsia="仿宋_GB2312" w:cs="Times New Roman"/>
          <w:sz w:val="32"/>
          <w:szCs w:val="32"/>
          <w:lang w:bidi="ar-SA"/>
        </w:rPr>
        <w:t>决算数</w:t>
      </w:r>
      <w:r>
        <w:rPr>
          <w:rFonts w:hint="eastAsia" w:ascii="仿宋_GB2312" w:eastAsia="仿宋_GB2312" w:cs="Times New Roman"/>
          <w:sz w:val="32"/>
          <w:szCs w:val="32"/>
          <w:lang w:eastAsia="zh-CN" w:bidi="ar-SA"/>
        </w:rPr>
        <w:t>小于</w:t>
      </w:r>
      <w:r>
        <w:rPr>
          <w:rFonts w:hint="eastAsia" w:ascii="仿宋_GB2312" w:eastAsia="仿宋_GB2312" w:cs="Times New Roman"/>
          <w:sz w:val="32"/>
          <w:szCs w:val="32"/>
          <w:lang w:bidi="ar-SA"/>
        </w:rPr>
        <w:t>预算数主要原因是按</w:t>
      </w:r>
      <w:r>
        <w:rPr>
          <w:rFonts w:hint="eastAsia" w:ascii="仿宋_GB2312" w:eastAsia="仿宋_GB2312" w:cs="Times New Roman"/>
          <w:sz w:val="32"/>
          <w:szCs w:val="32"/>
          <w:lang w:eastAsia="zh-CN" w:bidi="ar-SA"/>
        </w:rPr>
        <w:t>区</w:t>
      </w:r>
      <w:r>
        <w:rPr>
          <w:rFonts w:hint="eastAsia" w:ascii="仿宋_GB2312" w:eastAsia="仿宋_GB2312" w:cs="Times New Roman"/>
          <w:sz w:val="32"/>
          <w:szCs w:val="32"/>
          <w:lang w:bidi="ar-SA"/>
        </w:rPr>
        <w:t>财政实际拨付</w:t>
      </w:r>
      <w:r>
        <w:rPr>
          <w:rFonts w:hint="eastAsia" w:ascii="仿宋_GB2312" w:eastAsia="仿宋_GB2312" w:cs="Times New Roman"/>
          <w:sz w:val="32"/>
          <w:szCs w:val="32"/>
          <w:lang w:eastAsia="zh-CN" w:bidi="ar-SA"/>
        </w:rPr>
        <w:t>情况支出相关</w:t>
      </w:r>
      <w:r>
        <w:rPr>
          <w:rFonts w:hint="eastAsia" w:ascii="仿宋_GB2312" w:eastAsia="仿宋_GB2312" w:cs="Times New Roman"/>
          <w:sz w:val="32"/>
          <w:szCs w:val="32"/>
          <w:lang w:bidi="ar-SA"/>
        </w:rPr>
        <w:t>业务经费</w:t>
      </w:r>
      <w:r>
        <w:rPr>
          <w:rFonts w:hint="eastAsia" w:ascii="仿宋_GB2312" w:eastAsia="仿宋_GB2312" w:cs="Times New Roman"/>
          <w:sz w:val="32"/>
          <w:szCs w:val="32"/>
          <w:lang w:eastAsia="zh-CN" w:bidi="ar-SA"/>
        </w:rPr>
        <w:t>。</w:t>
      </w:r>
    </w:p>
    <w:p w14:paraId="3B4E6CD8">
      <w:pPr>
        <w:pageBreakBefore w:val="0"/>
        <w:widowControl w:val="0"/>
        <w:kinsoku/>
        <w:wordWrap/>
        <w:overflowPunct/>
        <w:topLinePunct w:val="0"/>
        <w:autoSpaceDN/>
        <w:bidi w:val="0"/>
        <w:adjustRightInd w:val="0"/>
        <w:snapToGrid w:val="0"/>
        <w:spacing w:line="560" w:lineRule="exact"/>
        <w:ind w:firstLine="640" w:firstLineChars="200"/>
        <w:textAlignment w:val="auto"/>
        <w:rPr>
          <w:rFonts w:ascii="楷体" w:hAnsi="楷体" w:eastAsia="楷体" w:cs="楷体_GB2312"/>
          <w:bCs/>
          <w:sz w:val="32"/>
          <w:szCs w:val="32"/>
        </w:rPr>
      </w:pPr>
      <w:r>
        <w:rPr>
          <w:rFonts w:hint="eastAsia" w:ascii="楷体" w:hAnsi="楷体" w:eastAsia="楷体" w:cs="楷体_GB2312"/>
          <w:bCs/>
          <w:sz w:val="32"/>
          <w:szCs w:val="32"/>
        </w:rPr>
        <w:t>（三）部门整体支出绩效目标、指标</w:t>
      </w:r>
    </w:p>
    <w:p w14:paraId="29897C1C">
      <w:pPr>
        <w:pageBreakBefore w:val="0"/>
        <w:widowControl w:val="0"/>
        <w:kinsoku/>
        <w:wordWrap/>
        <w:overflowPunct/>
        <w:topLinePunct w:val="0"/>
        <w:autoSpaceDE w:val="0"/>
        <w:autoSpaceDN/>
        <w:bidi w:val="0"/>
        <w:adjustRightInd w:val="0"/>
        <w:snapToGrid w:val="0"/>
        <w:spacing w:line="560" w:lineRule="exact"/>
        <w:ind w:firstLine="640" w:firstLineChars="200"/>
        <w:textAlignment w:val="auto"/>
        <w:rPr>
          <w:rFonts w:ascii="仿宋" w:hAnsi="仿宋" w:eastAsia="仿宋" w:cs="Times New Roman"/>
          <w:sz w:val="32"/>
          <w:szCs w:val="32"/>
        </w:rPr>
      </w:pPr>
      <w:r>
        <w:rPr>
          <w:rFonts w:hint="eastAsia" w:ascii="仿宋" w:hAnsi="仿宋" w:eastAsia="仿宋" w:cs="Times New Roman"/>
          <w:sz w:val="32"/>
          <w:szCs w:val="32"/>
          <w:lang w:val="en-US" w:eastAsia="zh-CN"/>
        </w:rPr>
        <w:t>2025</w:t>
      </w:r>
      <w:r>
        <w:rPr>
          <w:rFonts w:hint="eastAsia" w:ascii="仿宋" w:hAnsi="仿宋" w:eastAsia="仿宋" w:cs="Times New Roman"/>
          <w:sz w:val="32"/>
          <w:szCs w:val="32"/>
        </w:rPr>
        <w:t>年矿区融媒体中心围绕区委、区政府决策部署做好宣传报道，在服务好区委、区政府工作基础上，为我区各项工作开展提供强有力的现场服务和舆论保障；</w:t>
      </w:r>
      <w:r>
        <w:fldChar w:fldCharType="begin"/>
      </w:r>
      <w:r>
        <w:instrText xml:space="preserve"> HYPERLINK "https://www.so.com/link?m=acDI1or31m1iMKLdNM4M+ab/PO9nTZfLxNrx9++TUeFDJVN8PqqkMAZmawc9fraCD5a2r4783lsVv9fYcGkwC6VeH9ZUSj9JUvWhEsOjiqlV7liX9m2pm2r47WSMwyuXrg2JfT9K39jHkuo9rfDLXwDA/qUw33uUEtCo6qyXVPzMyxfo49L9wzs8b+MxCzRInlK58/ZY9eA1AuihrixWscnQc3MOFGbz4d4wIaunEq1E0uWjvqoq4B4pCJyBPFiIvoeTByApU2Qw=" </w:instrText>
      </w:r>
      <w:r>
        <w:fldChar w:fldCharType="separate"/>
      </w:r>
      <w:r>
        <w:rPr>
          <w:rFonts w:hint="eastAsia" w:ascii="仿宋" w:hAnsi="仿宋" w:eastAsia="仿宋" w:cs="Times New Roman"/>
          <w:sz w:val="32"/>
          <w:szCs w:val="32"/>
        </w:rPr>
        <w:t>构建全媒体宣传新矩阵</w:t>
      </w:r>
      <w:r>
        <w:rPr>
          <w:rFonts w:hint="eastAsia" w:ascii="仿宋" w:hAnsi="仿宋" w:eastAsia="仿宋" w:cs="Times New Roman"/>
          <w:sz w:val="32"/>
          <w:szCs w:val="32"/>
        </w:rPr>
        <w:fldChar w:fldCharType="end"/>
      </w:r>
      <w:r>
        <w:rPr>
          <w:rFonts w:hint="eastAsia" w:ascii="仿宋" w:hAnsi="仿宋" w:eastAsia="仿宋" w:cs="Times New Roman"/>
          <w:sz w:val="32"/>
          <w:szCs w:val="32"/>
        </w:rPr>
        <w:t>，推动传统媒体与新兴媒体融合发展，不断扩大党媒覆盖面，更好的服务于区委、区政府，形成强有力的舆论引导力。</w:t>
      </w:r>
    </w:p>
    <w:p w14:paraId="2B5566EC">
      <w:pPr>
        <w:pageBreakBefore w:val="0"/>
        <w:widowControl w:val="0"/>
        <w:kinsoku/>
        <w:wordWrap/>
        <w:overflowPunct/>
        <w:topLinePunct w:val="0"/>
        <w:autoSpaceDN/>
        <w:bidi w:val="0"/>
        <w:adjustRightInd w:val="0"/>
        <w:snapToGrid w:val="0"/>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二、自评工作开展情况</w:t>
      </w:r>
    </w:p>
    <w:p w14:paraId="5BBFCBDB">
      <w:pPr>
        <w:pageBreakBefore w:val="0"/>
        <w:widowControl w:val="0"/>
        <w:kinsoku/>
        <w:wordWrap/>
        <w:overflowPunct/>
        <w:topLinePunct w:val="0"/>
        <w:autoSpaceDN/>
        <w:bidi w:val="0"/>
        <w:spacing w:line="560" w:lineRule="exact"/>
        <w:textAlignment w:val="auto"/>
        <w:rPr>
          <w:rFonts w:ascii="楷体" w:hAnsi="楷体" w:eastAsia="楷体" w:cs="楷体_GB2312"/>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（一）自评的组织工作</w:t>
      </w:r>
    </w:p>
    <w:p w14:paraId="6D0F3AD2">
      <w:pPr>
        <w:pageBreakBefore w:val="0"/>
        <w:widowControl w:val="0"/>
        <w:kinsoku/>
        <w:wordWrap/>
        <w:overflowPunct/>
        <w:topLinePunct w:val="0"/>
        <w:autoSpaceDE w:val="0"/>
        <w:autoSpaceDN/>
        <w:bidi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 xml:space="preserve"> </w:t>
      </w:r>
      <w:r>
        <w:rPr>
          <w:rFonts w:hint="eastAsia" w:ascii="仿宋" w:hAnsi="仿宋" w:eastAsia="仿宋" w:cs="Times New Roman"/>
          <w:sz w:val="32"/>
          <w:szCs w:val="32"/>
        </w:rPr>
        <w:t>区融媒体中心高度重视</w:t>
      </w:r>
      <w:r>
        <w:rPr>
          <w:rFonts w:ascii="仿宋" w:hAnsi="仿宋" w:eastAsia="仿宋" w:cs="Times New Roman"/>
          <w:sz w:val="32"/>
          <w:szCs w:val="32"/>
        </w:rPr>
        <w:t>此项绩效自评工作</w:t>
      </w:r>
      <w:r>
        <w:rPr>
          <w:rFonts w:hint="eastAsia" w:ascii="仿宋" w:hAnsi="仿宋" w:eastAsia="仿宋" w:cs="Times New Roman"/>
          <w:sz w:val="32"/>
          <w:szCs w:val="32"/>
        </w:rPr>
        <w:t>，制定自评工作方案，明确评价内容等。</w:t>
      </w:r>
      <w:r>
        <w:rPr>
          <w:rFonts w:ascii="仿宋" w:hAnsi="仿宋" w:eastAsia="仿宋" w:cs="Times New Roman"/>
          <w:sz w:val="32"/>
          <w:szCs w:val="32"/>
        </w:rPr>
        <w:t>要求各内设科室提前准备相关资料，积极配合做好自评工作。评价以</w:t>
      </w:r>
      <w:r>
        <w:rPr>
          <w:rFonts w:hint="eastAsia" w:ascii="仿宋" w:hAnsi="仿宋" w:eastAsia="仿宋" w:cs="Times New Roman"/>
          <w:sz w:val="32"/>
          <w:szCs w:val="32"/>
          <w:lang w:val="en-US" w:eastAsia="zh-CN"/>
        </w:rPr>
        <w:t>2025</w:t>
      </w:r>
      <w:r>
        <w:rPr>
          <w:rFonts w:ascii="仿宋" w:hAnsi="仿宋" w:eastAsia="仿宋" w:cs="Times New Roman"/>
          <w:sz w:val="32"/>
          <w:szCs w:val="32"/>
        </w:rPr>
        <w:t>年初预算确定的项目绩效目标和绩效指标为依据，通过对相关账目进行核实，对比各绩效指标完成情况，进一步分析和总结，对</w:t>
      </w:r>
      <w:r>
        <w:rPr>
          <w:rFonts w:hint="eastAsia" w:ascii="仿宋" w:hAnsi="仿宋" w:eastAsia="仿宋" w:cs="Times New Roman"/>
          <w:sz w:val="32"/>
          <w:szCs w:val="32"/>
          <w:lang w:val="en-US" w:eastAsia="zh-CN"/>
        </w:rPr>
        <w:t>6</w:t>
      </w:r>
      <w:r>
        <w:rPr>
          <w:rFonts w:ascii="仿宋" w:hAnsi="仿宋" w:eastAsia="仿宋" w:cs="Times New Roman"/>
          <w:sz w:val="32"/>
          <w:szCs w:val="32"/>
        </w:rPr>
        <w:t>个项目进行了自评价，</w:t>
      </w:r>
      <w:r>
        <w:rPr>
          <w:rFonts w:hint="eastAsia" w:ascii="仿宋" w:hAnsi="仿宋" w:eastAsia="仿宋" w:cs="Times New Roman"/>
          <w:sz w:val="32"/>
          <w:szCs w:val="32"/>
        </w:rPr>
        <w:t>并完成填报《202</w:t>
      </w:r>
      <w:r>
        <w:rPr>
          <w:rFonts w:hint="eastAsia" w:ascii="仿宋" w:hAnsi="仿宋" w:eastAsia="仿宋" w:cs="Times New Roman"/>
          <w:sz w:val="32"/>
          <w:szCs w:val="32"/>
          <w:lang w:val="en-US" w:eastAsia="zh-CN"/>
        </w:rPr>
        <w:t>5</w:t>
      </w:r>
      <w:r>
        <w:rPr>
          <w:rFonts w:hint="eastAsia" w:ascii="仿宋" w:hAnsi="仿宋" w:eastAsia="仿宋" w:cs="Times New Roman"/>
          <w:sz w:val="32"/>
          <w:szCs w:val="32"/>
        </w:rPr>
        <w:t>年区级项目绩效自评表》及相关工作报告等绩效内容。</w:t>
      </w:r>
    </w:p>
    <w:p w14:paraId="7B57CB00">
      <w:pPr>
        <w:pageBreakBefore w:val="0"/>
        <w:widowControl w:val="0"/>
        <w:numPr>
          <w:ilvl w:val="0"/>
          <w:numId w:val="2"/>
        </w:numPr>
        <w:kinsoku/>
        <w:wordWrap/>
        <w:overflowPunct/>
        <w:topLinePunct w:val="0"/>
        <w:autoSpaceDN/>
        <w:bidi w:val="0"/>
        <w:spacing w:line="560" w:lineRule="exact"/>
        <w:textAlignment w:val="auto"/>
        <w:rPr>
          <w:rFonts w:ascii="楷体" w:hAnsi="楷体" w:eastAsia="楷体" w:cs="楷体_GB2312"/>
          <w:bCs/>
          <w:sz w:val="32"/>
          <w:szCs w:val="32"/>
        </w:rPr>
      </w:pPr>
      <w:r>
        <w:rPr>
          <w:rFonts w:hint="eastAsia" w:ascii="楷体" w:hAnsi="楷体" w:eastAsia="楷体" w:cs="楷体_GB2312"/>
          <w:bCs/>
          <w:sz w:val="32"/>
          <w:szCs w:val="32"/>
        </w:rPr>
        <w:t>自评的方法和过程</w:t>
      </w:r>
    </w:p>
    <w:p w14:paraId="4EB059B8">
      <w:pPr>
        <w:pageBreakBefore w:val="0"/>
        <w:widowControl w:val="0"/>
        <w:kinsoku/>
        <w:wordWrap/>
        <w:overflowPunct/>
        <w:topLinePunct w:val="0"/>
        <w:autoSpaceDE w:val="0"/>
        <w:autoSpaceDN/>
        <w:bidi w:val="0"/>
        <w:snapToGrid w:val="0"/>
        <w:spacing w:line="560" w:lineRule="exact"/>
        <w:ind w:firstLine="640" w:firstLineChars="200"/>
        <w:textAlignment w:val="auto"/>
        <w:rPr>
          <w:rFonts w:ascii="仿宋" w:hAnsi="仿宋" w:eastAsia="仿宋" w:cs="Times New Roman"/>
          <w:sz w:val="32"/>
          <w:szCs w:val="32"/>
        </w:rPr>
      </w:pPr>
      <w:r>
        <w:rPr>
          <w:rFonts w:hint="eastAsia" w:ascii="仿宋" w:hAnsi="仿宋" w:eastAsia="仿宋" w:cs="Times New Roman"/>
          <w:sz w:val="32"/>
          <w:szCs w:val="32"/>
        </w:rPr>
        <w:t>本次绩效评价证据收集办法包括了：研究、分析项目业务科</w:t>
      </w:r>
    </w:p>
    <w:p w14:paraId="24C0610F">
      <w:pPr>
        <w:pageBreakBefore w:val="0"/>
        <w:widowControl w:val="0"/>
        <w:kinsoku/>
        <w:wordWrap/>
        <w:overflowPunct/>
        <w:topLinePunct w:val="0"/>
        <w:autoSpaceDE w:val="0"/>
        <w:autoSpaceDN/>
        <w:bidi w:val="0"/>
        <w:snapToGrid w:val="0"/>
        <w:spacing w:line="560" w:lineRule="exact"/>
        <w:ind w:firstLine="640" w:firstLineChars="200"/>
        <w:textAlignment w:val="auto"/>
        <w:rPr>
          <w:rFonts w:ascii="仿宋" w:hAnsi="仿宋" w:eastAsia="仿宋" w:cs="Times New Roman"/>
          <w:sz w:val="32"/>
          <w:szCs w:val="32"/>
        </w:rPr>
      </w:pPr>
      <w:r>
        <w:rPr>
          <w:rFonts w:hint="eastAsia" w:ascii="仿宋" w:hAnsi="仿宋" w:eastAsia="仿宋" w:cs="Times New Roman"/>
          <w:sz w:val="32"/>
          <w:szCs w:val="32"/>
        </w:rPr>
        <w:t xml:space="preserve">室提供的相关文件；整理汇总项目业务科室提供的项目合同及相关资料等；根据业务科室提供的基础数据表逐项进行核实；根据项目服务对象的满意度情况汇总。项目在前期的调研基础上，完成了项目绩效评价工作方案，设计了指标体系、评价标准等相关方面，明确了评价的目的、方法，评价原则。项目严格按照工作方案，通过调研、相关文件的解读、数据采集、文件调查、数据分析、指标评分和撰写的环节，顺利完成了本次绩效评价工作。 </w:t>
      </w:r>
    </w:p>
    <w:p w14:paraId="3CD4A2F6">
      <w:pPr>
        <w:pageBreakBefore w:val="0"/>
        <w:widowControl w:val="0"/>
        <w:kinsoku/>
        <w:wordWrap/>
        <w:overflowPunct/>
        <w:topLinePunct w:val="0"/>
        <w:autoSpaceDN/>
        <w:bidi w:val="0"/>
        <w:spacing w:line="560" w:lineRule="exact"/>
        <w:textAlignment w:val="auto"/>
        <w:rPr>
          <w:rFonts w:ascii="黑体" w:hAnsi="黑体" w:eastAsia="黑体"/>
          <w:b/>
          <w:bCs/>
          <w:sz w:val="32"/>
          <w:szCs w:val="32"/>
        </w:rPr>
      </w:pPr>
      <w:r>
        <w:rPr>
          <w:rFonts w:hint="eastAsia" w:ascii="黑体" w:hAnsi="黑体" w:eastAsia="黑体"/>
          <w:sz w:val="32"/>
          <w:szCs w:val="32"/>
        </w:rPr>
        <w:t xml:space="preserve">    三、部门整体支出绩效目标实现情况及指标分析</w:t>
      </w:r>
    </w:p>
    <w:p w14:paraId="4C7F51C3">
      <w:pPr>
        <w:pageBreakBefore w:val="0"/>
        <w:widowControl w:val="0"/>
        <w:numPr>
          <w:ilvl w:val="0"/>
          <w:numId w:val="3"/>
        </w:numPr>
        <w:kinsoku/>
        <w:wordWrap/>
        <w:overflowPunct/>
        <w:topLinePunct w:val="0"/>
        <w:autoSpaceDN/>
        <w:bidi w:val="0"/>
        <w:spacing w:line="560" w:lineRule="exact"/>
        <w:ind w:left="0" w:firstLine="640" w:firstLineChars="200"/>
        <w:textAlignment w:val="auto"/>
        <w:rPr>
          <w:rFonts w:ascii="楷体" w:hAnsi="楷体" w:eastAsia="楷体" w:cs="楷体_GB2312"/>
          <w:bCs/>
          <w:sz w:val="32"/>
          <w:szCs w:val="32"/>
        </w:rPr>
      </w:pPr>
      <w:r>
        <w:rPr>
          <w:rFonts w:hint="eastAsia" w:ascii="楷体" w:hAnsi="楷体" w:eastAsia="楷体" w:cs="楷体_GB2312"/>
          <w:bCs/>
          <w:sz w:val="32"/>
          <w:szCs w:val="32"/>
        </w:rPr>
        <w:t>总体绩效目标实现情况</w:t>
      </w:r>
    </w:p>
    <w:p w14:paraId="22055F08">
      <w:pPr>
        <w:pStyle w:val="13"/>
        <w:pageBreakBefore w:val="0"/>
        <w:widowControl w:val="0"/>
        <w:kinsoku/>
        <w:wordWrap/>
        <w:overflowPunct/>
        <w:topLinePunct w:val="0"/>
        <w:autoSpaceDE w:val="0"/>
        <w:autoSpaceDN/>
        <w:bidi w:val="0"/>
        <w:spacing w:line="560" w:lineRule="exact"/>
        <w:ind w:firstLine="640"/>
        <w:textAlignment w:val="auto"/>
        <w:rPr>
          <w:rFonts w:ascii="仿宋" w:hAnsi="仿宋" w:eastAsia="仿宋"/>
          <w:sz w:val="32"/>
          <w:szCs w:val="32"/>
        </w:rPr>
      </w:pPr>
      <w:r>
        <w:rPr>
          <w:rFonts w:hint="eastAsia" w:ascii="仿宋" w:hAnsi="仿宋" w:eastAsia="仿宋"/>
          <w:sz w:val="32"/>
          <w:szCs w:val="32"/>
        </w:rPr>
        <w:t>参与本次评价的项目共计</w:t>
      </w:r>
      <w:r>
        <w:rPr>
          <w:rFonts w:hint="eastAsia" w:ascii="仿宋" w:hAnsi="仿宋" w:eastAsia="仿宋"/>
          <w:sz w:val="32"/>
          <w:szCs w:val="32"/>
          <w:lang w:val="en-US" w:eastAsia="zh-CN"/>
        </w:rPr>
        <w:t>6</w:t>
      </w:r>
      <w:r>
        <w:rPr>
          <w:rFonts w:hint="eastAsia" w:ascii="仿宋" w:hAnsi="仿宋" w:eastAsia="仿宋"/>
          <w:sz w:val="32"/>
          <w:szCs w:val="32"/>
        </w:rPr>
        <w:t>个，包括：专项水电费</w:t>
      </w:r>
      <w:r>
        <w:rPr>
          <w:rFonts w:hint="eastAsia" w:ascii="仿宋" w:hAnsi="仿宋" w:eastAsia="仿宋"/>
          <w:sz w:val="32"/>
          <w:szCs w:val="32"/>
          <w:lang w:eastAsia="zh-CN"/>
        </w:rPr>
        <w:t>、</w:t>
      </w:r>
      <w:r>
        <w:rPr>
          <w:rFonts w:hint="eastAsia" w:ascii="仿宋" w:hAnsi="仿宋" w:eastAsia="仿宋"/>
          <w:sz w:val="32"/>
          <w:szCs w:val="32"/>
        </w:rPr>
        <w:t>IPTV线路租赁及设备终端费等共计</w:t>
      </w:r>
      <w:r>
        <w:rPr>
          <w:rFonts w:hint="eastAsia" w:ascii="仿宋" w:hAnsi="仿宋" w:eastAsia="仿宋"/>
          <w:sz w:val="32"/>
          <w:szCs w:val="32"/>
          <w:lang w:val="en-US" w:eastAsia="zh-CN"/>
        </w:rPr>
        <w:t>6</w:t>
      </w:r>
      <w:r>
        <w:rPr>
          <w:rFonts w:hint="eastAsia" w:ascii="仿宋" w:hAnsi="仿宋" w:eastAsia="仿宋"/>
          <w:sz w:val="32"/>
          <w:szCs w:val="32"/>
        </w:rPr>
        <w:t>个项目，整体绩效工作完成较好。</w:t>
      </w:r>
      <w:bookmarkStart w:id="0" w:name="_GoBack"/>
      <w:bookmarkEnd w:id="0"/>
    </w:p>
    <w:p w14:paraId="08C3294C">
      <w:pPr>
        <w:pageBreakBefore w:val="0"/>
        <w:widowControl w:val="0"/>
        <w:kinsoku/>
        <w:wordWrap/>
        <w:overflowPunct/>
        <w:topLinePunct w:val="0"/>
        <w:autoSpaceDN/>
        <w:bidi w:val="0"/>
        <w:spacing w:line="560" w:lineRule="exact"/>
        <w:textAlignment w:val="auto"/>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（二）分项绩效目标实现情况及指标分析</w:t>
      </w:r>
    </w:p>
    <w:p w14:paraId="130C1836">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1.预算执行情况。2025年财政拨款收入335.65万元，其中：一般公共预算收入329.5万元，政府性基金预算财政拨款6.15万元。2025年支出335.65万元，其中基本支出277.79万元，项目支出57.86万元。</w:t>
      </w:r>
    </w:p>
    <w:p w14:paraId="6866F2BA">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 xml:space="preserve"> (1)IPTV线路租赁及设备终端费</w:t>
      </w:r>
    </w:p>
    <w:p w14:paraId="14DB8A9F">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1.资金支出进度</w:t>
      </w:r>
    </w:p>
    <w:p w14:paraId="28446FF2">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该项目年初预算3.6万元，支出3.6万元，总体支出进度100%</w:t>
      </w:r>
    </w:p>
    <w:p w14:paraId="4516BC2E">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2.产出指标和效益指标完成情况</w:t>
      </w:r>
    </w:p>
    <w:p w14:paraId="3F6BC4B9">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按照全年预算计划，IPTV 线路租赁及设备终端费全年预算 3.6 万元，已按照合同内容全部按照进度完成支付。</w:t>
      </w:r>
    </w:p>
    <w:p w14:paraId="024BCD28">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绩效指标为4个，评价等级为优秀。</w:t>
      </w:r>
    </w:p>
    <w:p w14:paraId="32C2DAD9">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（2）专项水电费</w:t>
      </w:r>
    </w:p>
    <w:p w14:paraId="5E3C3796">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1.资金支出进度</w:t>
      </w:r>
    </w:p>
    <w:p w14:paraId="3915DB38">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该项目调整预算数4.6万元，支出4.6万元，总体支出进度100%</w:t>
      </w:r>
    </w:p>
    <w:p w14:paraId="55FBE591">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2.产出指标和效益指标完成情况</w:t>
      </w:r>
    </w:p>
    <w:p w14:paraId="57C3C4A3">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按照专项水电费项目的实际情况，已全部用于我单位用水用电，保障融媒体中心电视播出信号等工作正常运行。按照区财政实际情况，财政下拨经费4.6万元，已全部用于日常用水用电等工作实际支出。</w:t>
      </w:r>
    </w:p>
    <w:p w14:paraId="0490A258">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绩效指标为4个，评价等级为优秀。</w:t>
      </w:r>
    </w:p>
    <w:p w14:paraId="7D935012">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（3）保安经费项目</w:t>
      </w:r>
    </w:p>
    <w:p w14:paraId="640868FA">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1.资金支出进度</w:t>
      </w:r>
    </w:p>
    <w:p w14:paraId="798DCB30">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该项目预算数5.4万元，支出5.4万元，总体支出进度100%</w:t>
      </w:r>
    </w:p>
    <w:p w14:paraId="11851005">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2.产出指标和效益指标完成情况</w:t>
      </w:r>
    </w:p>
    <w:p w14:paraId="36514B4A">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保安经费项目用于我单位门岗人员支出，保障电视台各项工作有序开展。按照区财政实际情况，保安经费项目已全部完成支出。</w:t>
      </w:r>
    </w:p>
    <w:p w14:paraId="761EC002">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绩效指标为4个，评价等级为优秀。</w:t>
      </w:r>
    </w:p>
    <w:p w14:paraId="0FC7DCFE">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(4)劳务派遣</w:t>
      </w:r>
    </w:p>
    <w:p w14:paraId="090FDA92">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1.资金支出进度</w:t>
      </w:r>
    </w:p>
    <w:p w14:paraId="5B23BE85">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该项目的调整预算数是23.633945万元，支出23.633945万元，总体支出进度100%</w:t>
      </w:r>
    </w:p>
    <w:p w14:paraId="5B754F04">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2.产出指标和效益指标完成情况</w:t>
      </w:r>
    </w:p>
    <w:p w14:paraId="3752D4D0">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劳务派遣项目经费用于劳务派遣人员工资、保险等相关经费支出。我单位按月支付融媒体中心劳务派遣人员的工资、保险等，全年共计支付23.633945万元，已全部拨付完成。</w:t>
      </w:r>
    </w:p>
    <w:p w14:paraId="641B7707">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绩效指标为4个，评价等级为优秀。</w:t>
      </w:r>
    </w:p>
    <w:p w14:paraId="3643D33D">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（5）设备维修维护费项目</w:t>
      </w:r>
    </w:p>
    <w:p w14:paraId="31EC54C0">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1.资金支出进度</w:t>
      </w:r>
    </w:p>
    <w:p w14:paraId="36DAE424">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该项目调整预算数3.18929万元，财政下拨经费1.68929万元，支出1.68929万元。</w:t>
      </w:r>
    </w:p>
    <w:p w14:paraId="2854EED4">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2.产出指标和效益指标完成情况</w:t>
      </w:r>
    </w:p>
    <w:p w14:paraId="397B7885">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按照设备维修维护项目经费的实际需要，该经费用于保障我单位专业设备及各种通用设备的维修维护，及时排除设备故障，保证融媒体中心设备正常运行。按区财政实际情况，财政调整预算3.18929万元，财政下拨经费1.68929万元，支出1.68929万元。</w:t>
      </w:r>
    </w:p>
    <w:p w14:paraId="04638786">
      <w:pPr>
        <w:pageBreakBefore w:val="0"/>
        <w:widowControl w:val="0"/>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s="黑体"/>
          <w:color w:val="auto"/>
          <w:kern w:val="2"/>
          <w:sz w:val="32"/>
          <w:szCs w:val="32"/>
          <w:lang w:val="en-US" w:eastAsia="zh-CN" w:bidi="ar-SA"/>
        </w:rPr>
      </w:pPr>
      <w:r>
        <w:rPr>
          <w:rFonts w:hint="eastAsia" w:ascii="仿宋" w:hAnsi="仿宋" w:eastAsia="仿宋" w:cs="黑体"/>
          <w:color w:val="auto"/>
          <w:kern w:val="2"/>
          <w:sz w:val="32"/>
          <w:szCs w:val="32"/>
          <w:lang w:val="en-US" w:eastAsia="zh-CN" w:bidi="ar-SA"/>
        </w:rPr>
        <w:t>绩效指标为4个，评价等级为优秀。</w:t>
      </w:r>
    </w:p>
    <w:p w14:paraId="54E4B21D">
      <w:pPr>
        <w:pageBreakBefore w:val="0"/>
        <w:widowControl w:val="0"/>
        <w:numPr>
          <w:ilvl w:val="0"/>
          <w:numId w:val="4"/>
        </w:numPr>
        <w:kinsoku/>
        <w:wordWrap/>
        <w:overflowPunct/>
        <w:topLinePunct w:val="0"/>
        <w:autoSpaceDE w:val="0"/>
        <w:autoSpaceDN/>
        <w:bidi w:val="0"/>
        <w:snapToGrid w:val="0"/>
        <w:spacing w:line="560" w:lineRule="exact"/>
        <w:ind w:firstLine="640" w:firstLineChars="200"/>
        <w:textAlignment w:val="auto"/>
        <w:rPr>
          <w:rFonts w:hint="eastAsia" w:ascii="仿宋" w:hAnsi="仿宋" w:eastAsia="仿宋"/>
          <w:color w:val="auto"/>
          <w:sz w:val="32"/>
          <w:szCs w:val="32"/>
        </w:rPr>
      </w:pPr>
      <w:r>
        <w:rPr>
          <w:rFonts w:hint="eastAsia" w:ascii="仿宋" w:hAnsi="仿宋" w:eastAsia="仿宋"/>
          <w:color w:val="auto"/>
          <w:sz w:val="32"/>
          <w:szCs w:val="32"/>
        </w:rPr>
        <w:t>融媒体网络专线业务费项目</w:t>
      </w:r>
    </w:p>
    <w:p w14:paraId="25422FE9">
      <w:pPr>
        <w:pageBreakBefore w:val="0"/>
        <w:widowControl w:val="0"/>
        <w:kinsoku/>
        <w:wordWrap/>
        <w:overflowPunct/>
        <w:topLinePunct w:val="0"/>
        <w:autoSpaceDE w:val="0"/>
        <w:autoSpaceDN/>
        <w:bidi w:val="0"/>
        <w:snapToGrid w:val="0"/>
        <w:spacing w:line="560" w:lineRule="exact"/>
        <w:ind w:firstLine="640" w:firstLineChars="200"/>
        <w:textAlignment w:val="auto"/>
        <w:rPr>
          <w:rFonts w:ascii="仿宋" w:hAnsi="仿宋" w:eastAsia="仿宋"/>
          <w:color w:val="auto"/>
          <w:sz w:val="32"/>
          <w:szCs w:val="32"/>
        </w:rPr>
      </w:pPr>
      <w:r>
        <w:rPr>
          <w:rFonts w:hint="eastAsia" w:ascii="仿宋" w:hAnsi="仿宋" w:eastAsia="仿宋"/>
          <w:color w:val="auto"/>
          <w:sz w:val="32"/>
          <w:szCs w:val="32"/>
        </w:rPr>
        <w:t>1.资金支出进度</w:t>
      </w:r>
    </w:p>
    <w:p w14:paraId="65FFA7F7">
      <w:pPr>
        <w:pageBreakBefore w:val="0"/>
        <w:widowControl w:val="0"/>
        <w:kinsoku/>
        <w:wordWrap/>
        <w:overflowPunct/>
        <w:topLinePunct w:val="0"/>
        <w:autoSpaceDN/>
        <w:bidi w:val="0"/>
        <w:spacing w:line="560" w:lineRule="exact"/>
        <w:ind w:firstLine="640" w:firstLineChars="200"/>
        <w:textAlignment w:val="auto"/>
        <w:rPr>
          <w:rFonts w:ascii="仿宋" w:hAnsi="仿宋" w:eastAsia="仿宋"/>
          <w:color w:val="auto"/>
          <w:sz w:val="32"/>
          <w:szCs w:val="32"/>
        </w:rPr>
      </w:pPr>
      <w:r>
        <w:rPr>
          <w:rFonts w:hint="eastAsia" w:ascii="仿宋" w:hAnsi="仿宋" w:eastAsia="仿宋"/>
          <w:color w:val="auto"/>
          <w:sz w:val="32"/>
          <w:szCs w:val="32"/>
        </w:rPr>
        <w:t>该项目预算数</w:t>
      </w:r>
      <w:r>
        <w:rPr>
          <w:rFonts w:hint="eastAsia" w:ascii="仿宋" w:hAnsi="仿宋" w:eastAsia="仿宋"/>
          <w:color w:val="auto"/>
          <w:sz w:val="32"/>
          <w:szCs w:val="32"/>
          <w:lang w:val="en-US" w:eastAsia="zh-CN"/>
        </w:rPr>
        <w:t>3</w:t>
      </w:r>
      <w:r>
        <w:rPr>
          <w:rFonts w:hint="eastAsia" w:ascii="仿宋" w:hAnsi="仿宋" w:eastAsia="仿宋"/>
          <w:color w:val="auto"/>
          <w:sz w:val="32"/>
          <w:szCs w:val="32"/>
        </w:rPr>
        <w:t>万元，支出</w:t>
      </w:r>
      <w:r>
        <w:rPr>
          <w:rFonts w:hint="eastAsia" w:ascii="仿宋" w:hAnsi="仿宋" w:eastAsia="仿宋"/>
          <w:color w:val="auto"/>
          <w:sz w:val="32"/>
          <w:szCs w:val="32"/>
          <w:lang w:val="en-US" w:eastAsia="zh-CN"/>
        </w:rPr>
        <w:t>3</w:t>
      </w:r>
      <w:r>
        <w:rPr>
          <w:rFonts w:hint="eastAsia" w:ascii="仿宋" w:hAnsi="仿宋" w:eastAsia="仿宋"/>
          <w:color w:val="auto"/>
          <w:sz w:val="32"/>
          <w:szCs w:val="32"/>
        </w:rPr>
        <w:t>万元。</w:t>
      </w:r>
    </w:p>
    <w:p w14:paraId="744B6A69">
      <w:pPr>
        <w:pageBreakBefore w:val="0"/>
        <w:widowControl w:val="0"/>
        <w:kinsoku/>
        <w:wordWrap/>
        <w:overflowPunct/>
        <w:topLinePunct w:val="0"/>
        <w:autoSpaceDE w:val="0"/>
        <w:autoSpaceDN/>
        <w:bidi w:val="0"/>
        <w:snapToGrid w:val="0"/>
        <w:spacing w:line="560" w:lineRule="exact"/>
        <w:ind w:firstLine="640" w:firstLineChars="200"/>
        <w:textAlignment w:val="auto"/>
        <w:rPr>
          <w:rFonts w:ascii="仿宋" w:hAnsi="仿宋" w:eastAsia="仿宋"/>
          <w:color w:val="auto"/>
          <w:sz w:val="32"/>
          <w:szCs w:val="32"/>
        </w:rPr>
      </w:pPr>
      <w:r>
        <w:rPr>
          <w:rFonts w:hint="eastAsia" w:ascii="仿宋" w:hAnsi="仿宋" w:eastAsia="仿宋"/>
          <w:color w:val="auto"/>
          <w:sz w:val="32"/>
          <w:szCs w:val="32"/>
        </w:rPr>
        <w:t>2.产出指标和效益指标完成情况</w:t>
      </w:r>
    </w:p>
    <w:p w14:paraId="21EC158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按照融媒体网络专线业务费项目的实际需要，井陉矿区融媒体中心申请3万元做为融媒体网络专线业务费项目预算经费，用于支付提供的网络信号等传输经费。财政下拨经费3万元，圆满完成度全年工作任务，整体效益指标达到预期指标。</w:t>
      </w:r>
    </w:p>
    <w:p w14:paraId="4207A16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绩效指标为4个，评价等级为</w:t>
      </w:r>
      <w:r>
        <w:rPr>
          <w:rFonts w:hint="eastAsia" w:ascii="仿宋" w:hAnsi="仿宋" w:eastAsia="仿宋"/>
          <w:sz w:val="32"/>
          <w:szCs w:val="32"/>
          <w:lang w:val="en-US" w:eastAsia="zh-CN"/>
        </w:rPr>
        <w:t>优秀</w:t>
      </w:r>
      <w:r>
        <w:rPr>
          <w:rFonts w:hint="eastAsia" w:ascii="仿宋" w:hAnsi="仿宋" w:eastAsia="仿宋"/>
          <w:sz w:val="32"/>
          <w:szCs w:val="32"/>
        </w:rPr>
        <w:t>。</w:t>
      </w:r>
    </w:p>
    <w:p w14:paraId="535CEFB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绩效目标是贯穿预算绩效管理始终的一条主线，是预算资金安排、绩效跟踪和绩效评价的重要依据，根据相关文件要求，我单位所有项目均设定了绩效目标，涉及产出指标和效益指标，但存在绩效指标不够健全、可评性不高、具体指标缺乏量化等问题，主要原因是对绩效目标的认识不够，制定多样化和细化的评价指标和标准需要在实践中不断完善。</w:t>
      </w:r>
    </w:p>
    <w:p w14:paraId="2AE21A74">
      <w:pPr>
        <w:pageBreakBefore w:val="0"/>
        <w:widowControl w:val="0"/>
        <w:kinsoku/>
        <w:wordWrap/>
        <w:overflowPunct/>
        <w:topLinePunct w:val="0"/>
        <w:autoSpaceDN/>
        <w:bidi w:val="0"/>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四、评价结论和评价等级</w:t>
      </w:r>
    </w:p>
    <w:p w14:paraId="170A93A0">
      <w:pPr>
        <w:pageBreakBefore w:val="0"/>
        <w:widowControl w:val="0"/>
        <w:kinsoku/>
        <w:wordWrap/>
        <w:overflowPunct/>
        <w:topLinePunct w:val="0"/>
        <w:autoSpaceDN/>
        <w:bidi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根据部门职责定位和各项工作履职情况进行综合评价，给出总得分，满分100分，得出综合绩效评价等级。部门整体支出综合绩效评价分为4个等级：得分</w:t>
      </w:r>
      <w:r>
        <w:rPr>
          <w:rFonts w:ascii="仿宋" w:hAnsi="仿宋" w:eastAsia="仿宋" w:cs="Arial"/>
          <w:sz w:val="32"/>
          <w:szCs w:val="32"/>
        </w:rPr>
        <w:t>≥</w:t>
      </w:r>
      <w:r>
        <w:rPr>
          <w:rFonts w:hint="eastAsia" w:ascii="仿宋" w:hAnsi="仿宋" w:eastAsia="仿宋"/>
          <w:sz w:val="32"/>
          <w:szCs w:val="32"/>
        </w:rPr>
        <w:t>85分为优秀；75</w:t>
      </w:r>
      <w:r>
        <w:rPr>
          <w:rFonts w:ascii="仿宋" w:hAnsi="仿宋" w:eastAsia="仿宋" w:cs="Arial"/>
          <w:sz w:val="32"/>
          <w:szCs w:val="32"/>
        </w:rPr>
        <w:t>≤</w:t>
      </w:r>
      <w:r>
        <w:rPr>
          <w:rFonts w:hint="eastAsia" w:ascii="仿宋" w:hAnsi="仿宋" w:eastAsia="仿宋"/>
          <w:sz w:val="32"/>
          <w:szCs w:val="32"/>
        </w:rPr>
        <w:t>得分＜85分为良好；60</w:t>
      </w:r>
      <w:r>
        <w:rPr>
          <w:rFonts w:ascii="仿宋" w:hAnsi="仿宋" w:eastAsia="仿宋" w:cs="Arial"/>
          <w:sz w:val="32"/>
          <w:szCs w:val="32"/>
        </w:rPr>
        <w:t>≤</w:t>
      </w:r>
      <w:r>
        <w:rPr>
          <w:rFonts w:hint="eastAsia" w:ascii="仿宋" w:hAnsi="仿宋" w:eastAsia="仿宋"/>
          <w:sz w:val="32"/>
          <w:szCs w:val="32"/>
        </w:rPr>
        <w:t>得分＜75分为一般；得分＜60分为较差。</w:t>
      </w:r>
    </w:p>
    <w:p w14:paraId="157CB531">
      <w:pPr>
        <w:pageBreakBefore w:val="0"/>
        <w:widowControl w:val="0"/>
        <w:kinsoku/>
        <w:wordWrap/>
        <w:overflowPunct/>
        <w:topLinePunct w:val="0"/>
        <w:autoSpaceDN/>
        <w:bidi w:val="0"/>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五、存在的问题及改进措施</w:t>
      </w:r>
    </w:p>
    <w:p w14:paraId="2C71926D">
      <w:pPr>
        <w:pageBreakBefore w:val="0"/>
        <w:widowControl w:val="0"/>
        <w:kinsoku/>
        <w:wordWrap/>
        <w:overflowPunct/>
        <w:topLinePunct w:val="0"/>
        <w:autoSpaceDN/>
        <w:bidi w:val="0"/>
        <w:spacing w:line="560" w:lineRule="exact"/>
        <w:ind w:firstLine="640" w:firstLineChars="200"/>
        <w:textAlignment w:val="auto"/>
        <w:rPr>
          <w:rFonts w:hint="eastAsia" w:ascii="楷体" w:hAnsi="楷体" w:eastAsia="楷体"/>
          <w:bCs/>
          <w:sz w:val="32"/>
          <w:szCs w:val="32"/>
        </w:rPr>
      </w:pPr>
      <w:r>
        <w:rPr>
          <w:rFonts w:hint="eastAsia" w:ascii="楷体" w:hAnsi="楷体" w:eastAsia="楷体"/>
          <w:bCs/>
          <w:sz w:val="32"/>
          <w:szCs w:val="32"/>
        </w:rPr>
        <w:t>（一）存在的主要问题</w:t>
      </w:r>
    </w:p>
    <w:p w14:paraId="7074D3FA">
      <w:pPr>
        <w:pageBreakBefore w:val="0"/>
        <w:widowControl w:val="0"/>
        <w:kinsoku/>
        <w:wordWrap/>
        <w:overflowPunct/>
        <w:topLinePunct w:val="0"/>
        <w:autoSpaceDN/>
        <w:bidi w:val="0"/>
        <w:spacing w:line="560" w:lineRule="exact"/>
        <w:ind w:firstLine="640" w:firstLineChars="200"/>
        <w:textAlignment w:val="auto"/>
        <w:rPr>
          <w:rFonts w:ascii="楷体" w:hAnsi="楷体" w:eastAsia="楷体"/>
          <w:bCs/>
          <w:sz w:val="32"/>
          <w:szCs w:val="32"/>
        </w:rPr>
      </w:pPr>
      <w:r>
        <w:rPr>
          <w:rFonts w:hint="eastAsia" w:ascii="仿宋" w:hAnsi="仿宋" w:eastAsia="仿宋"/>
          <w:sz w:val="32"/>
          <w:szCs w:val="32"/>
        </w:rPr>
        <w:t>在绩效自评过程中，我单位的项目支出绩效管理存在以下问题：一是预算执行进度和效率有待加强。年终执行项目绩效会因资金未到位、项目调整等客观因素导致年终未能按时完成绩效目标或影响预算执行进度情况。二是年初预算编制精细化不够。</w:t>
      </w:r>
    </w:p>
    <w:p w14:paraId="0898C90D">
      <w:pPr>
        <w:pageBreakBefore w:val="0"/>
        <w:widowControl w:val="0"/>
        <w:numPr>
          <w:ilvl w:val="0"/>
          <w:numId w:val="3"/>
        </w:numPr>
        <w:kinsoku/>
        <w:wordWrap/>
        <w:overflowPunct/>
        <w:topLinePunct w:val="0"/>
        <w:autoSpaceDN/>
        <w:bidi w:val="0"/>
        <w:spacing w:line="560" w:lineRule="exact"/>
        <w:ind w:left="0" w:leftChars="0" w:firstLine="640" w:firstLineChars="200"/>
        <w:textAlignment w:val="auto"/>
        <w:rPr>
          <w:rFonts w:hint="eastAsia" w:ascii="楷体" w:hAnsi="楷体" w:eastAsia="楷体"/>
          <w:bCs/>
          <w:sz w:val="32"/>
          <w:szCs w:val="32"/>
        </w:rPr>
      </w:pPr>
      <w:r>
        <w:rPr>
          <w:rFonts w:hint="eastAsia" w:ascii="楷体" w:hAnsi="楷体" w:eastAsia="楷体"/>
          <w:bCs/>
          <w:sz w:val="32"/>
          <w:szCs w:val="32"/>
        </w:rPr>
        <w:t>针对问题提出具体的改进措施或建议</w:t>
      </w:r>
    </w:p>
    <w:p w14:paraId="72F0C585">
      <w:pPr>
        <w:pageBreakBefore w:val="0"/>
        <w:widowControl w:val="0"/>
        <w:kinsoku/>
        <w:wordWrap/>
        <w:overflowPunct/>
        <w:topLinePunct w:val="0"/>
        <w:autoSpaceDE w:val="0"/>
        <w:autoSpaceDN/>
        <w:bidi w:val="0"/>
        <w:spacing w:line="560" w:lineRule="exact"/>
        <w:ind w:firstLine="640" w:firstLineChars="200"/>
        <w:textAlignment w:val="auto"/>
        <w:rPr>
          <w:rFonts w:ascii="仿宋" w:hAnsi="仿宋" w:eastAsia="仿宋"/>
          <w:sz w:val="32"/>
          <w:szCs w:val="32"/>
        </w:rPr>
      </w:pPr>
      <w:r>
        <w:rPr>
          <w:rFonts w:hint="eastAsia" w:ascii="楷体" w:hAnsi="楷体" w:eastAsia="楷体"/>
          <w:bCs/>
          <w:sz w:val="32"/>
          <w:szCs w:val="32"/>
          <w:lang w:val="en-US" w:eastAsia="zh-CN"/>
        </w:rPr>
        <w:t xml:space="preserve"> </w:t>
      </w:r>
      <w:r>
        <w:rPr>
          <w:rFonts w:hint="eastAsia" w:ascii="仿宋" w:hAnsi="仿宋" w:eastAsia="仿宋"/>
          <w:sz w:val="32"/>
          <w:szCs w:val="32"/>
        </w:rPr>
        <w:t>针对绩效自评存在的问题，我单位积极采取措施，分别从以下方面进行改进：</w:t>
      </w:r>
    </w:p>
    <w:p w14:paraId="2D19387F">
      <w:pPr>
        <w:pageBreakBefore w:val="0"/>
        <w:widowControl w:val="0"/>
        <w:kinsoku/>
        <w:wordWrap/>
        <w:overflowPunct/>
        <w:topLinePunct w:val="0"/>
        <w:autoSpaceDE w:val="0"/>
        <w:autoSpaceDN/>
        <w:bidi w:val="0"/>
        <w:spacing w:line="56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一是切实加快预算执行进度，密切关注目标任务开展情况，提升资金使用效率，确保实际工作切合绩效目标。今后我单位将严格预算执行进度的相关要求，督促各业务科室加快项目实施进度，适时调整自身工作方向和内容，确保绩效目标得到全面贯彻执行，切实加大预算执行力度，提高预算资金使用效率，确保年底全部执行完所有的预算指标，全面完成单位年初制定的各项目标任务。若因客观因素未能完成绩效目标，则严格按照区财政绩效目标调整要求，及时调整年初制定的绩效指标，确保绩效目标顺利完成。</w:t>
      </w:r>
    </w:p>
    <w:p w14:paraId="3A01AB08">
      <w:pPr>
        <w:pageBreakBefore w:val="0"/>
        <w:widowControl w:val="0"/>
        <w:kinsoku/>
        <w:wordWrap/>
        <w:overflowPunct/>
        <w:topLinePunct w:val="0"/>
        <w:autoSpaceDE w:val="0"/>
        <w:autoSpaceDN/>
        <w:bidi w:val="0"/>
        <w:spacing w:line="560" w:lineRule="exact"/>
        <w:ind w:firstLine="640" w:firstLineChars="200"/>
        <w:textAlignment w:val="auto"/>
      </w:pPr>
      <w:r>
        <w:rPr>
          <w:rFonts w:hint="eastAsia" w:ascii="仿宋" w:hAnsi="仿宋" w:eastAsia="仿宋"/>
          <w:sz w:val="32"/>
          <w:szCs w:val="32"/>
        </w:rPr>
        <w:t>二是深化预算执行率与预算编制有机结合。将上一年预算执行情况作为下一年预算编制的重要依据，对预算执行缓慢的处室，严格控制其下一年预算资金。</w:t>
      </w:r>
    </w:p>
    <w:p w14:paraId="0FCFAEB7">
      <w:pPr>
        <w:pageBreakBefore w:val="0"/>
        <w:widowControl w:val="0"/>
        <w:numPr>
          <w:ilvl w:val="0"/>
          <w:numId w:val="5"/>
        </w:numPr>
        <w:kinsoku/>
        <w:wordWrap/>
        <w:overflowPunct/>
        <w:topLinePunct w:val="0"/>
        <w:autoSpaceDN/>
        <w:bidi w:val="0"/>
        <w:adjustRightInd w:val="0"/>
        <w:snapToGrid w:val="0"/>
        <w:spacing w:line="560" w:lineRule="exact"/>
        <w:ind w:firstLine="640" w:firstLineChars="200"/>
        <w:textAlignment w:val="auto"/>
        <w:rPr>
          <w:rFonts w:hint="eastAsia" w:ascii="黑体" w:hAnsi="黑体" w:eastAsia="黑体"/>
          <w:sz w:val="32"/>
          <w:szCs w:val="32"/>
        </w:rPr>
      </w:pPr>
      <w:r>
        <w:rPr>
          <w:rFonts w:hint="eastAsia" w:ascii="黑体" w:hAnsi="黑体" w:eastAsia="黑体"/>
          <w:sz w:val="32"/>
          <w:szCs w:val="32"/>
        </w:rPr>
        <w:t>评价工作组人员名单及签字（姓名、工作单位、职务、职称）</w:t>
      </w:r>
    </w:p>
    <w:p w14:paraId="2F376366">
      <w:pPr>
        <w:autoSpaceDE w:val="0"/>
        <w:spacing w:line="560" w:lineRule="exact"/>
        <w:jc w:val="center"/>
        <w:rPr>
          <w:rFonts w:hint="eastAsia"/>
          <w:lang w:val="en-US" w:eastAsia="zh-CN"/>
        </w:rPr>
      </w:pPr>
    </w:p>
    <w:p w14:paraId="019427C9">
      <w:pPr>
        <w:autoSpaceDE w:val="0"/>
        <w:spacing w:line="560" w:lineRule="exact"/>
        <w:jc w:val="center"/>
        <w:rPr>
          <w:rFonts w:hint="eastAsia" w:ascii="仿宋" w:hAnsi="仿宋" w:eastAsia="仿宋"/>
          <w:sz w:val="32"/>
          <w:szCs w:val="32"/>
        </w:rPr>
      </w:pPr>
      <w:r>
        <w:rPr>
          <w:rFonts w:hint="eastAsia"/>
          <w:lang w:val="en-US" w:eastAsia="zh-CN"/>
        </w:rPr>
        <w:t xml:space="preserve"> </w:t>
      </w:r>
      <w:r>
        <w:rPr>
          <w:rFonts w:hint="eastAsia" w:ascii="仿宋" w:hAnsi="仿宋" w:eastAsia="仿宋"/>
          <w:sz w:val="32"/>
          <w:szCs w:val="32"/>
        </w:rPr>
        <w:t>评价工作组人员名单</w:t>
      </w:r>
    </w:p>
    <w:tbl>
      <w:tblPr>
        <w:tblStyle w:val="8"/>
        <w:tblpPr w:leftFromText="180" w:rightFromText="180" w:vertAnchor="text" w:horzAnchor="page" w:tblpX="1455" w:tblpY="326"/>
        <w:tblOverlap w:val="never"/>
        <w:tblW w:w="9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150"/>
        <w:gridCol w:w="2950"/>
        <w:gridCol w:w="2966"/>
        <w:gridCol w:w="1500"/>
      </w:tblGrid>
      <w:tr w14:paraId="5BA80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48" w:hRule="atLeast"/>
        </w:trPr>
        <w:tc>
          <w:tcPr>
            <w:tcW w:w="934" w:type="dxa"/>
            <w:tcBorders>
              <w:top w:val="single" w:color="auto" w:sz="4" w:space="0"/>
              <w:left w:val="single" w:color="auto" w:sz="4" w:space="0"/>
              <w:bottom w:val="single" w:color="auto" w:sz="4" w:space="0"/>
              <w:right w:val="single" w:color="auto" w:sz="4" w:space="0"/>
            </w:tcBorders>
            <w:vAlign w:val="center"/>
          </w:tcPr>
          <w:p w14:paraId="2FAFE240">
            <w:pPr>
              <w:autoSpaceDE w:val="0"/>
              <w:spacing w:line="560" w:lineRule="exact"/>
              <w:jc w:val="center"/>
              <w:rPr>
                <w:rFonts w:ascii="仿宋" w:hAnsi="仿宋" w:eastAsia="仿宋"/>
                <w:sz w:val="30"/>
                <w:szCs w:val="30"/>
              </w:rPr>
            </w:pPr>
            <w:r>
              <w:rPr>
                <w:rFonts w:hint="eastAsia" w:ascii="仿宋" w:hAnsi="仿宋" w:eastAsia="仿宋"/>
                <w:sz w:val="30"/>
                <w:szCs w:val="30"/>
              </w:rPr>
              <w:t>序号</w:t>
            </w:r>
          </w:p>
        </w:tc>
        <w:tc>
          <w:tcPr>
            <w:tcW w:w="1150" w:type="dxa"/>
            <w:tcBorders>
              <w:top w:val="single" w:color="auto" w:sz="4" w:space="0"/>
              <w:left w:val="single" w:color="auto" w:sz="4" w:space="0"/>
              <w:bottom w:val="single" w:color="auto" w:sz="4" w:space="0"/>
              <w:right w:val="single" w:color="auto" w:sz="4" w:space="0"/>
            </w:tcBorders>
            <w:vAlign w:val="center"/>
          </w:tcPr>
          <w:p w14:paraId="436ADBA3">
            <w:pPr>
              <w:autoSpaceDE w:val="0"/>
              <w:spacing w:line="560" w:lineRule="exact"/>
              <w:jc w:val="center"/>
              <w:rPr>
                <w:rFonts w:ascii="仿宋" w:hAnsi="仿宋" w:eastAsia="仿宋"/>
                <w:sz w:val="30"/>
                <w:szCs w:val="30"/>
              </w:rPr>
            </w:pPr>
            <w:r>
              <w:rPr>
                <w:rFonts w:hint="eastAsia" w:ascii="仿宋" w:hAnsi="仿宋" w:eastAsia="仿宋"/>
                <w:sz w:val="30"/>
                <w:szCs w:val="30"/>
              </w:rPr>
              <w:t>姓名</w:t>
            </w:r>
          </w:p>
        </w:tc>
        <w:tc>
          <w:tcPr>
            <w:tcW w:w="2950" w:type="dxa"/>
            <w:tcBorders>
              <w:top w:val="single" w:color="auto" w:sz="4" w:space="0"/>
              <w:left w:val="single" w:color="auto" w:sz="4" w:space="0"/>
              <w:bottom w:val="single" w:color="auto" w:sz="4" w:space="0"/>
              <w:right w:val="single" w:color="auto" w:sz="4" w:space="0"/>
            </w:tcBorders>
            <w:vAlign w:val="center"/>
          </w:tcPr>
          <w:p w14:paraId="0817DA19">
            <w:pPr>
              <w:autoSpaceDE w:val="0"/>
              <w:spacing w:line="560" w:lineRule="exact"/>
              <w:jc w:val="center"/>
              <w:rPr>
                <w:rFonts w:ascii="仿宋" w:hAnsi="仿宋" w:eastAsia="仿宋"/>
                <w:sz w:val="30"/>
                <w:szCs w:val="30"/>
              </w:rPr>
            </w:pPr>
            <w:r>
              <w:rPr>
                <w:rFonts w:hint="eastAsia" w:ascii="仿宋" w:hAnsi="仿宋" w:eastAsia="仿宋"/>
                <w:sz w:val="30"/>
                <w:szCs w:val="30"/>
              </w:rPr>
              <w:t>工作</w:t>
            </w:r>
          </w:p>
          <w:p w14:paraId="7A0CDDE6">
            <w:pPr>
              <w:autoSpaceDE w:val="0"/>
              <w:spacing w:line="560" w:lineRule="exact"/>
              <w:jc w:val="center"/>
              <w:rPr>
                <w:rFonts w:ascii="仿宋" w:hAnsi="仿宋" w:eastAsia="仿宋"/>
                <w:sz w:val="30"/>
                <w:szCs w:val="30"/>
              </w:rPr>
            </w:pPr>
            <w:r>
              <w:rPr>
                <w:rFonts w:hint="eastAsia" w:ascii="仿宋" w:hAnsi="仿宋" w:eastAsia="仿宋"/>
                <w:sz w:val="30"/>
                <w:szCs w:val="30"/>
              </w:rPr>
              <w:t>单位</w:t>
            </w:r>
          </w:p>
        </w:tc>
        <w:tc>
          <w:tcPr>
            <w:tcW w:w="2966" w:type="dxa"/>
            <w:tcBorders>
              <w:top w:val="single" w:color="auto" w:sz="4" w:space="0"/>
              <w:left w:val="single" w:color="auto" w:sz="4" w:space="0"/>
              <w:bottom w:val="single" w:color="auto" w:sz="4" w:space="0"/>
              <w:right w:val="single" w:color="auto" w:sz="4" w:space="0"/>
            </w:tcBorders>
            <w:vAlign w:val="center"/>
          </w:tcPr>
          <w:p w14:paraId="4BE323EB">
            <w:pPr>
              <w:autoSpaceDE w:val="0"/>
              <w:spacing w:line="560" w:lineRule="exact"/>
              <w:jc w:val="center"/>
              <w:rPr>
                <w:rFonts w:ascii="仿宋" w:hAnsi="仿宋" w:eastAsia="仿宋"/>
                <w:sz w:val="30"/>
                <w:szCs w:val="30"/>
              </w:rPr>
            </w:pPr>
            <w:r>
              <w:rPr>
                <w:rFonts w:hint="eastAsia" w:ascii="仿宋" w:hAnsi="仿宋" w:eastAsia="仿宋"/>
                <w:sz w:val="30"/>
                <w:szCs w:val="30"/>
              </w:rPr>
              <w:t>职务</w:t>
            </w:r>
          </w:p>
        </w:tc>
        <w:tc>
          <w:tcPr>
            <w:tcW w:w="1500" w:type="dxa"/>
            <w:tcBorders>
              <w:top w:val="single" w:color="auto" w:sz="4" w:space="0"/>
              <w:left w:val="single" w:color="auto" w:sz="4" w:space="0"/>
              <w:bottom w:val="single" w:color="auto" w:sz="4" w:space="0"/>
              <w:right w:val="single" w:color="auto" w:sz="4" w:space="0"/>
            </w:tcBorders>
            <w:vAlign w:val="center"/>
          </w:tcPr>
          <w:p w14:paraId="2F352813">
            <w:pPr>
              <w:autoSpaceDE w:val="0"/>
              <w:spacing w:line="560" w:lineRule="exact"/>
              <w:jc w:val="center"/>
              <w:rPr>
                <w:rFonts w:ascii="仿宋" w:hAnsi="仿宋" w:eastAsia="仿宋"/>
                <w:sz w:val="30"/>
                <w:szCs w:val="30"/>
              </w:rPr>
            </w:pPr>
            <w:r>
              <w:rPr>
                <w:rFonts w:hint="eastAsia" w:ascii="仿宋" w:hAnsi="仿宋" w:eastAsia="仿宋"/>
                <w:sz w:val="30"/>
                <w:szCs w:val="30"/>
              </w:rPr>
              <w:t>签名</w:t>
            </w:r>
          </w:p>
        </w:tc>
      </w:tr>
      <w:tr w14:paraId="1BBF7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934" w:type="dxa"/>
            <w:tcBorders>
              <w:top w:val="single" w:color="auto" w:sz="4" w:space="0"/>
              <w:left w:val="single" w:color="auto" w:sz="4" w:space="0"/>
              <w:bottom w:val="single" w:color="auto" w:sz="4" w:space="0"/>
              <w:right w:val="single" w:color="auto" w:sz="4" w:space="0"/>
            </w:tcBorders>
            <w:vAlign w:val="center"/>
          </w:tcPr>
          <w:p w14:paraId="33D8175C">
            <w:pPr>
              <w:autoSpaceDE w:val="0"/>
              <w:spacing w:line="560" w:lineRule="exact"/>
              <w:jc w:val="center"/>
              <w:rPr>
                <w:rFonts w:ascii="仿宋" w:hAnsi="仿宋" w:eastAsia="仿宋"/>
                <w:sz w:val="30"/>
                <w:szCs w:val="30"/>
              </w:rPr>
            </w:pPr>
            <w:r>
              <w:rPr>
                <w:rFonts w:hint="eastAsia" w:ascii="仿宋" w:hAnsi="仿宋" w:eastAsia="仿宋"/>
                <w:sz w:val="30"/>
                <w:szCs w:val="30"/>
              </w:rPr>
              <w:t>1</w:t>
            </w:r>
          </w:p>
        </w:tc>
        <w:tc>
          <w:tcPr>
            <w:tcW w:w="1150" w:type="dxa"/>
            <w:tcBorders>
              <w:top w:val="single" w:color="auto" w:sz="4" w:space="0"/>
              <w:left w:val="single" w:color="auto" w:sz="4" w:space="0"/>
              <w:bottom w:val="single" w:color="auto" w:sz="4" w:space="0"/>
              <w:right w:val="single" w:color="auto" w:sz="4" w:space="0"/>
            </w:tcBorders>
            <w:vAlign w:val="center"/>
          </w:tcPr>
          <w:p w14:paraId="729A9CC9">
            <w:pPr>
              <w:autoSpaceDE w:val="0"/>
              <w:spacing w:line="560" w:lineRule="exact"/>
              <w:jc w:val="center"/>
              <w:rPr>
                <w:rFonts w:hint="default" w:ascii="仿宋" w:hAnsi="仿宋" w:eastAsia="仿宋"/>
                <w:sz w:val="30"/>
                <w:szCs w:val="30"/>
                <w:lang w:val="en-US" w:eastAsia="zh-CN"/>
              </w:rPr>
            </w:pPr>
            <w:r>
              <w:rPr>
                <w:rFonts w:hint="eastAsia" w:ascii="仿宋" w:hAnsi="仿宋" w:eastAsia="仿宋"/>
                <w:sz w:val="30"/>
                <w:szCs w:val="30"/>
                <w:lang w:val="en-US" w:eastAsia="zh-CN"/>
              </w:rPr>
              <w:t>王泽明</w:t>
            </w:r>
          </w:p>
        </w:tc>
        <w:tc>
          <w:tcPr>
            <w:tcW w:w="2950" w:type="dxa"/>
            <w:tcBorders>
              <w:top w:val="single" w:color="auto" w:sz="4" w:space="0"/>
              <w:left w:val="single" w:color="auto" w:sz="4" w:space="0"/>
              <w:bottom w:val="single" w:color="auto" w:sz="4" w:space="0"/>
              <w:right w:val="single" w:color="auto" w:sz="4" w:space="0"/>
            </w:tcBorders>
            <w:vAlign w:val="center"/>
          </w:tcPr>
          <w:p w14:paraId="09B43B35">
            <w:pPr>
              <w:autoSpaceDE w:val="0"/>
              <w:spacing w:line="560" w:lineRule="exact"/>
              <w:jc w:val="center"/>
              <w:rPr>
                <w:rFonts w:hint="default" w:ascii="仿宋" w:hAnsi="仿宋" w:eastAsia="仿宋"/>
                <w:sz w:val="30"/>
                <w:szCs w:val="30"/>
                <w:lang w:val="en-US" w:eastAsia="zh-CN"/>
              </w:rPr>
            </w:pPr>
            <w:r>
              <w:rPr>
                <w:rFonts w:hint="eastAsia" w:ascii="仿宋" w:hAnsi="仿宋" w:eastAsia="仿宋"/>
                <w:sz w:val="30"/>
                <w:szCs w:val="30"/>
              </w:rPr>
              <w:t>井陉矿区融媒体中心</w:t>
            </w:r>
          </w:p>
        </w:tc>
        <w:tc>
          <w:tcPr>
            <w:tcW w:w="2966" w:type="dxa"/>
            <w:tcBorders>
              <w:top w:val="single" w:color="auto" w:sz="4" w:space="0"/>
              <w:left w:val="single" w:color="auto" w:sz="4" w:space="0"/>
              <w:bottom w:val="single" w:color="auto" w:sz="4" w:space="0"/>
              <w:right w:val="single" w:color="auto" w:sz="4" w:space="0"/>
            </w:tcBorders>
            <w:vAlign w:val="center"/>
          </w:tcPr>
          <w:p w14:paraId="72D4B51C">
            <w:pPr>
              <w:autoSpaceDE w:val="0"/>
              <w:spacing w:line="560" w:lineRule="exact"/>
              <w:jc w:val="center"/>
              <w:rPr>
                <w:rFonts w:hint="eastAsia" w:ascii="仿宋" w:hAnsi="仿宋" w:eastAsia="仿宋"/>
                <w:sz w:val="30"/>
                <w:szCs w:val="30"/>
                <w:lang w:eastAsia="zh-CN"/>
              </w:rPr>
            </w:pPr>
            <w:r>
              <w:rPr>
                <w:rFonts w:hint="eastAsia" w:ascii="仿宋" w:hAnsi="仿宋" w:eastAsia="仿宋"/>
                <w:sz w:val="30"/>
                <w:szCs w:val="30"/>
              </w:rPr>
              <w:t>区融媒体中心主任</w:t>
            </w:r>
          </w:p>
        </w:tc>
        <w:tc>
          <w:tcPr>
            <w:tcW w:w="1500" w:type="dxa"/>
            <w:tcBorders>
              <w:top w:val="single" w:color="auto" w:sz="4" w:space="0"/>
              <w:left w:val="single" w:color="auto" w:sz="4" w:space="0"/>
              <w:bottom w:val="single" w:color="auto" w:sz="4" w:space="0"/>
              <w:right w:val="single" w:color="auto" w:sz="4" w:space="0"/>
            </w:tcBorders>
            <w:vAlign w:val="center"/>
          </w:tcPr>
          <w:p w14:paraId="5D7C8F72">
            <w:pPr>
              <w:autoSpaceDE w:val="0"/>
              <w:spacing w:line="560" w:lineRule="exact"/>
              <w:jc w:val="center"/>
              <w:rPr>
                <w:rFonts w:ascii="仿宋" w:hAnsi="仿宋" w:eastAsia="仿宋"/>
                <w:sz w:val="30"/>
                <w:szCs w:val="30"/>
              </w:rPr>
            </w:pPr>
          </w:p>
        </w:tc>
      </w:tr>
      <w:tr w14:paraId="47CB0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934" w:type="dxa"/>
            <w:tcBorders>
              <w:top w:val="single" w:color="auto" w:sz="4" w:space="0"/>
              <w:left w:val="single" w:color="auto" w:sz="4" w:space="0"/>
              <w:bottom w:val="single" w:color="auto" w:sz="4" w:space="0"/>
              <w:right w:val="single" w:color="auto" w:sz="4" w:space="0"/>
            </w:tcBorders>
            <w:vAlign w:val="center"/>
          </w:tcPr>
          <w:p w14:paraId="158D23FB">
            <w:pPr>
              <w:autoSpaceDE w:val="0"/>
              <w:spacing w:line="560" w:lineRule="exact"/>
              <w:jc w:val="center"/>
              <w:rPr>
                <w:rFonts w:ascii="仿宋" w:hAnsi="仿宋" w:eastAsia="仿宋"/>
                <w:sz w:val="30"/>
                <w:szCs w:val="30"/>
              </w:rPr>
            </w:pPr>
            <w:r>
              <w:rPr>
                <w:rFonts w:hint="eastAsia" w:ascii="仿宋" w:hAnsi="仿宋" w:eastAsia="仿宋"/>
                <w:sz w:val="30"/>
                <w:szCs w:val="30"/>
              </w:rPr>
              <w:t>2</w:t>
            </w:r>
          </w:p>
        </w:tc>
        <w:tc>
          <w:tcPr>
            <w:tcW w:w="1150" w:type="dxa"/>
            <w:tcBorders>
              <w:top w:val="single" w:color="auto" w:sz="4" w:space="0"/>
              <w:left w:val="single" w:color="auto" w:sz="4" w:space="0"/>
              <w:bottom w:val="single" w:color="auto" w:sz="4" w:space="0"/>
              <w:right w:val="single" w:color="auto" w:sz="4" w:space="0"/>
            </w:tcBorders>
            <w:vAlign w:val="center"/>
          </w:tcPr>
          <w:p w14:paraId="065CDB83">
            <w:pPr>
              <w:autoSpaceDE w:val="0"/>
              <w:spacing w:line="560" w:lineRule="exact"/>
              <w:jc w:val="center"/>
              <w:rPr>
                <w:rFonts w:ascii="仿宋" w:hAnsi="仿宋" w:eastAsia="仿宋"/>
                <w:sz w:val="30"/>
                <w:szCs w:val="30"/>
              </w:rPr>
            </w:pPr>
            <w:r>
              <w:rPr>
                <w:rFonts w:hint="eastAsia" w:ascii="仿宋" w:hAnsi="仿宋" w:eastAsia="仿宋"/>
                <w:sz w:val="30"/>
                <w:szCs w:val="30"/>
              </w:rPr>
              <w:t>于斌</w:t>
            </w:r>
          </w:p>
        </w:tc>
        <w:tc>
          <w:tcPr>
            <w:tcW w:w="2950" w:type="dxa"/>
            <w:tcBorders>
              <w:top w:val="single" w:color="auto" w:sz="4" w:space="0"/>
              <w:left w:val="single" w:color="auto" w:sz="4" w:space="0"/>
              <w:bottom w:val="single" w:color="auto" w:sz="4" w:space="0"/>
              <w:right w:val="single" w:color="auto" w:sz="4" w:space="0"/>
            </w:tcBorders>
            <w:vAlign w:val="center"/>
          </w:tcPr>
          <w:p w14:paraId="54C3D01F">
            <w:pPr>
              <w:autoSpaceDE w:val="0"/>
              <w:spacing w:line="560" w:lineRule="exact"/>
              <w:jc w:val="center"/>
              <w:rPr>
                <w:rFonts w:ascii="仿宋" w:hAnsi="仿宋" w:eastAsia="仿宋"/>
                <w:sz w:val="30"/>
                <w:szCs w:val="30"/>
              </w:rPr>
            </w:pPr>
            <w:r>
              <w:rPr>
                <w:rFonts w:hint="eastAsia" w:ascii="仿宋" w:hAnsi="仿宋" w:eastAsia="仿宋"/>
                <w:sz w:val="30"/>
                <w:szCs w:val="30"/>
              </w:rPr>
              <w:t>井陉矿区融媒体中心</w:t>
            </w:r>
          </w:p>
        </w:tc>
        <w:tc>
          <w:tcPr>
            <w:tcW w:w="2966" w:type="dxa"/>
            <w:tcBorders>
              <w:top w:val="single" w:color="auto" w:sz="4" w:space="0"/>
              <w:left w:val="single" w:color="auto" w:sz="4" w:space="0"/>
              <w:bottom w:val="single" w:color="auto" w:sz="4" w:space="0"/>
              <w:right w:val="single" w:color="auto" w:sz="4" w:space="0"/>
            </w:tcBorders>
            <w:vAlign w:val="center"/>
          </w:tcPr>
          <w:p w14:paraId="02EE6D12">
            <w:pPr>
              <w:autoSpaceDE w:val="0"/>
              <w:spacing w:line="560" w:lineRule="exact"/>
              <w:jc w:val="center"/>
              <w:rPr>
                <w:rFonts w:ascii="仿宋" w:hAnsi="仿宋" w:eastAsia="仿宋"/>
                <w:sz w:val="30"/>
                <w:szCs w:val="30"/>
              </w:rPr>
            </w:pPr>
            <w:r>
              <w:rPr>
                <w:rFonts w:hint="eastAsia" w:ascii="仿宋" w:hAnsi="仿宋" w:eastAsia="仿宋"/>
                <w:sz w:val="30"/>
                <w:szCs w:val="30"/>
              </w:rPr>
              <w:t>区融媒体中心副主任兼总编辑</w:t>
            </w:r>
          </w:p>
        </w:tc>
        <w:tc>
          <w:tcPr>
            <w:tcW w:w="1500" w:type="dxa"/>
            <w:tcBorders>
              <w:top w:val="single" w:color="auto" w:sz="4" w:space="0"/>
              <w:left w:val="single" w:color="auto" w:sz="4" w:space="0"/>
              <w:bottom w:val="single" w:color="auto" w:sz="4" w:space="0"/>
              <w:right w:val="single" w:color="auto" w:sz="4" w:space="0"/>
            </w:tcBorders>
            <w:vAlign w:val="center"/>
          </w:tcPr>
          <w:p w14:paraId="1BB13766">
            <w:pPr>
              <w:autoSpaceDE w:val="0"/>
              <w:spacing w:line="560" w:lineRule="exact"/>
              <w:jc w:val="center"/>
              <w:rPr>
                <w:rFonts w:ascii="仿宋" w:hAnsi="仿宋" w:eastAsia="仿宋"/>
                <w:sz w:val="30"/>
                <w:szCs w:val="30"/>
              </w:rPr>
            </w:pPr>
          </w:p>
        </w:tc>
      </w:tr>
    </w:tbl>
    <w:p w14:paraId="07B66405">
      <w:pPr>
        <w:spacing w:line="560" w:lineRule="exact"/>
        <w:rPr>
          <w:rFonts w:ascii="仿宋" w:hAnsi="仿宋" w:eastAsia="仿宋"/>
        </w:rPr>
      </w:pPr>
    </w:p>
    <w:sectPr>
      <w:footerReference r:id="rId3" w:type="default"/>
      <w:pgSz w:w="11906" w:h="16838"/>
      <w:pgMar w:top="1440" w:right="1474" w:bottom="1440"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方正小标宋简体">
    <w:altName w:val="Arial Unicode MS"/>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8E70C">
    <w:pPr>
      <w:pStyle w:val="5"/>
    </w:pPr>
    <w:r>
      <mc:AlternateContent>
        <mc:Choice Requires="wps">
          <w:drawing>
            <wp:anchor distT="0" distB="0" distL="90805" distR="90805" simplePos="0" relativeHeight="251659264" behindDoc="0" locked="0" layoutInCell="1" allowOverlap="1">
              <wp:simplePos x="0" y="0"/>
              <wp:positionH relativeFrom="margin">
                <wp:align>center</wp:align>
              </wp:positionH>
              <wp:positionV relativeFrom="paragraph">
                <wp:posOffset>0</wp:posOffset>
              </wp:positionV>
              <wp:extent cx="209550" cy="162560"/>
              <wp:effectExtent l="0" t="0" r="0" b="0"/>
              <wp:wrapNone/>
              <wp:docPr id="1" name="Quad Arrow 3073"/>
              <wp:cNvGraphicFramePr/>
              <a:graphic xmlns:a="http://schemas.openxmlformats.org/drawingml/2006/main">
                <a:graphicData uri="http://schemas.microsoft.com/office/word/2010/wordprocessingShape">
                  <wps:wsp>
                    <wps:cNvSpPr/>
                    <wps:spPr>
                      <a:xfrm>
                        <a:off x="0" y="0"/>
                        <a:ext cx="209492" cy="162820"/>
                      </a:xfrm>
                      <a:prstGeom prst="rect">
                        <a:avLst/>
                      </a:prstGeom>
                      <a:noFill/>
                      <a:ln w="9525" cap="flat" cmpd="sng">
                        <a:noFill/>
                        <a:prstDash val="solid"/>
                        <a:miter/>
                      </a:ln>
                    </wps:spPr>
                    <wps:txbx>
                      <w:txbxContent>
                        <w:p w14:paraId="4678AC6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vert="horz" wrap="none" lIns="0" tIns="0" rIns="0" bIns="0" anchor="t" anchorCtr="0" upright="1">
                      <a:spAutoFit/>
                    </wps:bodyPr>
                  </wps:wsp>
                </a:graphicData>
              </a:graphic>
            </wp:anchor>
          </w:drawing>
        </mc:Choice>
        <mc:Fallback>
          <w:pict>
            <v:rect id="Quad Arrow 3073" o:spid="_x0000_s1026" o:spt="1" style="position:absolute;left:0pt;margin-top:0pt;height:12.8pt;width:16.5pt;mso-position-horizontal:center;mso-position-horizontal-relative:margin;mso-wrap-style:none;z-index:251659264;mso-width-relative:page;mso-height-relative:page;" filled="f" stroked="f" coordsize="21600,21600" o:gfxdata="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1qUiZ0QAAAAMBAAAPAAAAAAAAAAEAIAAAACIAAABkcnMvZG93bnJldi54bWxQSwEC&#10;FAAUAAAACACHTuJAh+iDI/sBAAD4AwAADgAAAAAAAAABACAAAAAgAQAAZHJzL2Uyb0RvYy54bWxQ&#10;SwUGAAAAAAYABgBZAQAAjQUAAAAA&#10;">
              <v:fill on="f" focussize="0,0"/>
              <v:stroke on="f" joinstyle="miter"/>
              <v:imagedata o:title=""/>
              <o:lock v:ext="edit" aspectratio="f"/>
              <v:textbox inset="0mm,0mm,0mm,0mm" style="mso-fit-shape-to-text:t;">
                <w:txbxContent>
                  <w:p w14:paraId="4678AC6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6AA81"/>
    <w:multiLevelType w:val="singleLevel"/>
    <w:tmpl w:val="0516AA81"/>
    <w:lvl w:ilvl="0" w:tentative="0">
      <w:start w:val="2"/>
      <w:numFmt w:val="chineseCounting"/>
      <w:suff w:val="nothing"/>
      <w:lvlText w:val="（%1）"/>
      <w:lvlJc w:val="left"/>
      <w:pPr>
        <w:ind w:left="642" w:firstLine="0"/>
      </w:pPr>
      <w:rPr>
        <w:rFonts w:hint="eastAsia"/>
      </w:rPr>
    </w:lvl>
  </w:abstractNum>
  <w:abstractNum w:abstractNumId="1">
    <w:nsid w:val="27DC07BC"/>
    <w:multiLevelType w:val="singleLevel"/>
    <w:tmpl w:val="27DC07BC"/>
    <w:lvl w:ilvl="0" w:tentative="0">
      <w:start w:val="2"/>
      <w:numFmt w:val="chineseCounting"/>
      <w:suff w:val="nothing"/>
      <w:lvlText w:val="（%1）"/>
      <w:lvlJc w:val="left"/>
      <w:rPr>
        <w:rFonts w:hint="eastAsia"/>
      </w:rPr>
    </w:lvl>
  </w:abstractNum>
  <w:abstractNum w:abstractNumId="2">
    <w:nsid w:val="5E68489B"/>
    <w:multiLevelType w:val="singleLevel"/>
    <w:tmpl w:val="5E68489B"/>
    <w:lvl w:ilvl="0" w:tentative="0">
      <w:start w:val="1"/>
      <w:numFmt w:val="chineseCounting"/>
      <w:suff w:val="nothing"/>
      <w:lvlText w:val="（%1）"/>
      <w:lvlJc w:val="left"/>
      <w:pPr>
        <w:ind w:left="0" w:firstLine="0"/>
      </w:pPr>
      <w:rPr>
        <w:rFonts w:ascii="楷体" w:hAnsi="楷体" w:eastAsia="楷体"/>
      </w:rPr>
    </w:lvl>
  </w:abstractNum>
  <w:abstractNum w:abstractNumId="3">
    <w:nsid w:val="635BB075"/>
    <w:multiLevelType w:val="singleLevel"/>
    <w:tmpl w:val="635BB075"/>
    <w:lvl w:ilvl="0" w:tentative="0">
      <w:start w:val="6"/>
      <w:numFmt w:val="chineseCounting"/>
      <w:suff w:val="nothing"/>
      <w:lvlText w:val="%1、"/>
      <w:lvlJc w:val="left"/>
      <w:rPr>
        <w:rFonts w:hint="eastAsia"/>
      </w:rPr>
    </w:lvl>
  </w:abstractNum>
  <w:abstractNum w:abstractNumId="4">
    <w:nsid w:val="64642813"/>
    <w:multiLevelType w:val="singleLevel"/>
    <w:tmpl w:val="64642813"/>
    <w:lvl w:ilvl="0" w:tentative="0">
      <w:start w:val="6"/>
      <w:numFmt w:val="decimal"/>
      <w:suff w:val="nothing"/>
      <w:lvlText w:val="（%1）"/>
      <w:lvlJc w:val="left"/>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doNotUseIndentAsNumberingTabStop/>
    <w:useAltKinsokuLineBreakRules/>
    <w:doNotSuppressIndentation/>
    <w:splitPgBreakAndParaMark/>
    <w:compatSetting w:name="compatibilityMode" w:uri="http://schemas.microsoft.com/office/word" w:val="11"/>
  </w:compat>
  <w:docVars>
    <w:docVar w:name="commondata" w:val="eyJoZGlkIjoiYzgxMzVhZTBlNDUyZWUxNDVhMjNkN2E1NjFlOTE5NDcifQ=="/>
  </w:docVars>
  <w:rsids>
    <w:rsidRoot w:val="00000000"/>
    <w:rsid w:val="03E42333"/>
    <w:rsid w:val="053B109C"/>
    <w:rsid w:val="0FE64614"/>
    <w:rsid w:val="1415171F"/>
    <w:rsid w:val="192A37C4"/>
    <w:rsid w:val="2B7A1EB5"/>
    <w:rsid w:val="2BBB667B"/>
    <w:rsid w:val="30590093"/>
    <w:rsid w:val="44975F5D"/>
    <w:rsid w:val="5F8B79B9"/>
    <w:rsid w:val="64F2121D"/>
    <w:rsid w:val="69912070"/>
    <w:rsid w:val="6AED32D6"/>
    <w:rsid w:val="761262E7"/>
    <w:rsid w:val="7BD1431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1"/>
    <w:basedOn w:val="1"/>
    <w:next w:val="1"/>
    <w:link w:val="1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1"/>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12"/>
    <w:qFormat/>
    <w:uiPriority w:val="0"/>
    <w:pPr>
      <w:keepNext/>
      <w:keepLines/>
      <w:spacing w:before="260" w:after="260" w:line="415" w:lineRule="auto"/>
      <w:outlineLvl w:val="2"/>
    </w:pPr>
    <w:rPr>
      <w:b/>
      <w:bCs/>
      <w:sz w:val="32"/>
      <w:szCs w:val="32"/>
    </w:rPr>
  </w:style>
  <w:style w:type="character" w:default="1" w:styleId="9">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pPr>
    <w:rPr>
      <w:rFonts w:ascii="Times New Roman" w:hAnsi="Times New Roman"/>
      <w:sz w:val="18"/>
    </w:rPr>
  </w:style>
  <w:style w:type="table" w:styleId="8">
    <w:name w:val="Table Grid"/>
    <w:basedOn w:val="7"/>
    <w:unhideWhenUsed/>
    <w:qFormat/>
    <w:uiPriority w:val="99"/>
    <w:pPr>
      <w:widowControl w:val="0"/>
      <w:jc w:val="both"/>
    </w:pPr>
    <w:rPr>
      <w:rFonts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heading 1 Char"/>
    <w:basedOn w:val="9"/>
    <w:link w:val="2"/>
    <w:uiPriority w:val="0"/>
    <w:rPr>
      <w:rFonts w:ascii="Calibri" w:hAnsi="Calibri" w:eastAsia="宋体" w:cs="黑体"/>
      <w:b/>
      <w:bCs/>
      <w:kern w:val="44"/>
      <w:sz w:val="44"/>
      <w:szCs w:val="44"/>
      <w:lang w:val="en-US" w:eastAsia="zh-CN" w:bidi="ar-SA"/>
    </w:rPr>
  </w:style>
  <w:style w:type="character" w:customStyle="1" w:styleId="11">
    <w:name w:val="heading 2 Char"/>
    <w:basedOn w:val="9"/>
    <w:link w:val="3"/>
    <w:uiPriority w:val="0"/>
    <w:rPr>
      <w:rFonts w:ascii="Times New Roman" w:hAnsi="Times New Roman" w:eastAsia="黑体" w:cs="黑体"/>
      <w:b/>
      <w:bCs/>
      <w:kern w:val="2"/>
      <w:sz w:val="32"/>
      <w:szCs w:val="32"/>
      <w:lang w:val="en-US" w:eastAsia="zh-CN" w:bidi="ar-SA"/>
    </w:rPr>
  </w:style>
  <w:style w:type="character" w:customStyle="1" w:styleId="12">
    <w:name w:val="heading 3 Char"/>
    <w:basedOn w:val="9"/>
    <w:link w:val="4"/>
    <w:qFormat/>
    <w:uiPriority w:val="0"/>
    <w:rPr>
      <w:rFonts w:ascii="Calibri" w:hAnsi="Calibri" w:eastAsia="宋体" w:cs="黑体"/>
      <w:b/>
      <w:bCs/>
      <w:kern w:val="2"/>
      <w:sz w:val="32"/>
      <w:szCs w:val="32"/>
      <w:lang w:val="en-US" w:eastAsia="zh-CN" w:bidi="ar-SA"/>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899EF5-E6C6-4A85-B6D9-C2BDC251CCE7}">
  <ds:schemaRefs/>
</ds:datastoreItem>
</file>

<file path=docProps/app.xml><?xml version="1.0" encoding="utf-8"?>
<Properties xmlns="http://schemas.openxmlformats.org/officeDocument/2006/extended-properties" xmlns:vt="http://schemas.openxmlformats.org/officeDocument/2006/docPropsVTypes">
  <Template>Normal.eit</Template>
  <Pages>7</Pages>
  <Words>2956</Words>
  <Characters>3150</Characters>
  <Lines>0</Lines>
  <Paragraphs>29</Paragraphs>
  <TotalTime>3</TotalTime>
  <ScaleCrop>false</ScaleCrop>
  <LinksUpToDate>false</LinksUpToDate>
  <CharactersWithSpaces>3175</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KuRo</cp:lastModifiedBy>
  <cp:lastPrinted>2024-03-06T07:40:00Z</cp:lastPrinted>
  <dcterms:modified xsi:type="dcterms:W3CDTF">2026-07-17T07:39:19Z</dcterms:modified>
  <dc:title>附件3：</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96934721B1514D3FBAA28020338CE855_12</vt:lpwstr>
  </property>
  <property fmtid="{D5CDD505-2E9C-101B-9397-08002B2CF9AE}" pid="4" name="KSOTemplateDocerSaveRecord">
    <vt:lpwstr>eyJoZGlkIjoiZDgwMzYyMDlmZTNlOTJiOGNkMDM3NTMyYjI4MzliOTkiLCJ1c2VySWQiOiIzNzYzODQ3MjUifQ==</vt:lpwstr>
  </property>
</Properties>
</file>