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adjustRightInd w:val="0"/>
        <w:snapToGrid w:val="0"/>
        <w:spacing w:line="560" w:lineRule="exact"/>
        <w:rPr>
          <w:rFonts w:ascii="黑体" w:eastAsia="黑体" w:cs="黑体" w:hAnsi="黑体" w:hint="eastAsia"/>
          <w:sz w:val="32"/>
          <w:szCs w:val="32"/>
        </w:rPr>
      </w:pPr>
      <w:r>
        <w:rPr>
          <w:rFonts w:ascii="黑体" w:eastAsia="黑体" w:cs="黑体" w:hAnsi="黑体" w:hint="eastAsia"/>
          <w:sz w:val="32"/>
          <w:szCs w:val="32"/>
        </w:rPr>
        <w:t>附件4</w:t>
      </w:r>
    </w:p>
    <w:p>
      <w:pPr>
        <w:spacing w:line="560" w:lineRule="exact"/>
        <w:jc w:val="center"/>
        <w:rPr>
          <w:rFonts w:ascii="宋体" w:cs="宋体" w:hAnsi="宋体"/>
          <w:b/>
          <w:bCs/>
          <w:sz w:val="44"/>
          <w:szCs w:val="44"/>
        </w:rPr>
      </w:pPr>
    </w:p>
    <w:p>
      <w:pPr>
        <w:spacing w:line="560" w:lineRule="exact"/>
        <w:jc w:val="center"/>
        <w:rPr>
          <w:rFonts w:ascii="宋体" w:cs="宋体" w:hAnsi="宋体" w:hint="eastAsia"/>
          <w:b/>
          <w:bCs/>
          <w:sz w:val="44"/>
          <w:szCs w:val="44"/>
        </w:rPr>
      </w:pPr>
      <w:r>
        <w:rPr>
          <w:rFonts w:ascii="宋体" w:cs="宋体" w:hAnsi="宋体"/>
          <w:b/>
          <w:bCs/>
          <w:sz w:val="44"/>
          <w:szCs w:val="44"/>
        </w:rPr>
        <w:t>井陉矿区纪委</w:t>
      </w:r>
    </w:p>
    <w:p>
      <w:pPr>
        <w:spacing w:line="560" w:lineRule="exact"/>
        <w:jc w:val="center"/>
        <w:rPr>
          <w:rFonts w:ascii="宋体" w:cs="宋体" w:hAnsi="宋体"/>
          <w:b/>
          <w:bCs/>
          <w:sz w:val="44"/>
          <w:szCs w:val="44"/>
        </w:rPr>
      </w:pPr>
      <w:r>
        <w:rPr>
          <w:rFonts w:ascii="宋体" w:cs="宋体" w:hAnsi="宋体" w:hint="eastAsia"/>
          <w:b/>
          <w:bCs/>
          <w:sz w:val="44"/>
          <w:szCs w:val="44"/>
        </w:rPr>
        <w:t>202</w:t>
      </w:r>
      <w:r>
        <w:rPr>
          <w:rFonts w:ascii="宋体" w:cs="宋体" w:hAnsi="宋体"/>
          <w:b/>
          <w:bCs/>
          <w:sz w:val="44"/>
          <w:szCs w:val="44"/>
        </w:rPr>
        <w:t>5</w:t>
      </w:r>
      <w:r>
        <w:rPr>
          <w:rFonts w:ascii="宋体" w:cs="宋体" w:hAnsi="宋体" w:hint="eastAsia"/>
          <w:b/>
          <w:bCs/>
          <w:sz w:val="44"/>
          <w:szCs w:val="44"/>
        </w:rPr>
        <w:t>年度整体支出绩效自评报告</w:t>
      </w:r>
    </w:p>
    <w:p>
      <w:pPr>
        <w:spacing w:line="560" w:lineRule="exact"/>
        <w:rPr>
          <w:rFonts w:ascii="华文楷体" w:eastAsia="华文楷体"/>
          <w:sz w:val="32"/>
          <w:szCs w:val="32"/>
        </w:rPr>
      </w:pPr>
    </w:p>
    <w:p>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贯彻落实</w:t>
      </w:r>
      <w:r>
        <w:rPr>
          <w:rFonts w:ascii="仿宋" w:eastAsia="仿宋" w:hAnsi="仿宋"/>
          <w:sz w:val="32"/>
          <w:szCs w:val="32"/>
        </w:rPr>
        <w:t>区委区政府</w:t>
      </w:r>
      <w:r>
        <w:rPr>
          <w:rFonts w:ascii="仿宋" w:eastAsia="仿宋" w:hAnsi="仿宋" w:hint="eastAsia"/>
          <w:sz w:val="32"/>
          <w:szCs w:val="32"/>
        </w:rPr>
        <w:t>《关于全面落实预算绩效管理的实施意见》（</w:t>
      </w:r>
      <w:r>
        <w:rPr>
          <w:rFonts w:ascii="仿宋" w:eastAsia="仿宋" w:hAnsi="仿宋"/>
          <w:sz w:val="32"/>
          <w:szCs w:val="32"/>
        </w:rPr>
        <w:t>矿</w:t>
      </w:r>
      <w:r>
        <w:rPr>
          <w:rFonts w:ascii="仿宋" w:eastAsia="仿宋" w:hAnsi="仿宋" w:hint="eastAsia"/>
          <w:sz w:val="32"/>
          <w:szCs w:val="32"/>
        </w:rPr>
        <w:t>发﹝2019﹞</w:t>
      </w:r>
      <w:r>
        <w:rPr>
          <w:rFonts w:ascii="仿宋" w:eastAsia="仿宋" w:hAnsi="仿宋"/>
          <w:sz w:val="32"/>
          <w:szCs w:val="32"/>
        </w:rPr>
        <w:t>7</w:t>
      </w:r>
      <w:r>
        <w:rPr>
          <w:rFonts w:ascii="仿宋" w:eastAsia="仿宋" w:hAnsi="仿宋" w:hint="eastAsia"/>
          <w:sz w:val="32"/>
          <w:szCs w:val="32"/>
        </w:rPr>
        <w:t>号）文件精神，遵循“科学性、规范性、客观性和公正性”的原则，对</w:t>
      </w:r>
      <w:r>
        <w:rPr>
          <w:rFonts w:ascii="仿宋" w:eastAsia="仿宋" w:hAnsi="仿宋"/>
          <w:sz w:val="32"/>
          <w:szCs w:val="32"/>
        </w:rPr>
        <w:t>井陉矿区纪委</w:t>
      </w:r>
      <w:r>
        <w:rPr>
          <w:rFonts w:ascii="仿宋" w:eastAsia="仿宋" w:hAnsi="仿宋" w:hint="eastAsia"/>
          <w:sz w:val="32"/>
          <w:szCs w:val="32"/>
        </w:rPr>
        <w:t>部门202</w:t>
      </w:r>
      <w:r>
        <w:rPr>
          <w:rFonts w:ascii="仿宋" w:eastAsia="仿宋" w:hAnsi="仿宋"/>
          <w:sz w:val="32"/>
          <w:szCs w:val="32"/>
        </w:rPr>
        <w:t>5</w:t>
      </w:r>
      <w:r>
        <w:rPr>
          <w:rFonts w:ascii="仿宋" w:eastAsia="仿宋" w:hAnsi="仿宋" w:hint="eastAsia"/>
          <w:sz w:val="32"/>
          <w:szCs w:val="32"/>
        </w:rPr>
        <w:t>年整体支出情况实施了财政支出绩效自评价，形成本评价报告。</w:t>
      </w:r>
    </w:p>
    <w:p>
      <w:pPr>
        <w:adjustRightInd w:val="0"/>
        <w:snapToGrid w:val="0"/>
        <w:spacing w:line="560" w:lineRule="exact"/>
        <w:rPr>
          <w:rFonts w:ascii="黑体" w:eastAsia="黑体" w:hAnsi="黑体"/>
          <w:b/>
          <w:bCs/>
          <w:sz w:val="32"/>
          <w:szCs w:val="36"/>
        </w:rPr>
      </w:pPr>
      <w:r>
        <w:rPr>
          <w:rFonts w:ascii="黑体" w:eastAsia="黑体" w:hAnsi="黑体" w:hint="eastAsia"/>
          <w:sz w:val="32"/>
          <w:szCs w:val="32"/>
        </w:rPr>
        <w:t xml:space="preserve">     一、部门</w:t>
      </w:r>
      <w:r>
        <w:rPr>
          <w:rFonts w:ascii="黑体" w:eastAsia="黑体" w:hAnsi="黑体" w:hint="eastAsia"/>
          <w:sz w:val="32"/>
          <w:szCs w:val="36"/>
        </w:rPr>
        <w:t>基本情况</w:t>
      </w:r>
    </w:p>
    <w:p>
      <w:pPr>
        <w:adjustRightInd w:val="0"/>
        <w:snapToGrid w:val="0"/>
        <w:spacing w:line="560" w:lineRule="exact"/>
        <w:ind w:firstLineChars="200" w:firstLine="640"/>
        <w:rPr>
          <w:rFonts w:ascii="楷体" w:eastAsia="楷体" w:cs="楷体_GB2312" w:hAnsi="楷体"/>
          <w:bCs/>
          <w:sz w:val="32"/>
          <w:szCs w:val="32"/>
        </w:rPr>
      </w:pPr>
      <w:r>
        <w:rPr>
          <w:rFonts w:ascii="楷体" w:eastAsia="楷体" w:cs="楷体_GB2312" w:hAnsi="楷体" w:hint="eastAsia"/>
          <w:bCs/>
          <w:sz w:val="32"/>
          <w:szCs w:val="32"/>
        </w:rPr>
        <w:t>（一）部门概况</w:t>
      </w:r>
    </w:p>
    <w:p>
      <w:pPr>
        <w:adjustRightInd w:val="0"/>
        <w:snapToGrid w:val="0"/>
        <w:spacing w:line="560" w:lineRule="exact"/>
        <w:ind w:firstLineChars="200" w:firstLine="640"/>
        <w:rPr>
          <w:rFonts w:ascii="楷体" w:eastAsia="楷体" w:cs="楷体_GB2312" w:hAnsi="楷体"/>
          <w:bCs/>
          <w:sz w:val="32"/>
          <w:szCs w:val="32"/>
        </w:rPr>
      </w:pPr>
      <w:r>
        <w:rPr>
          <w:rFonts w:ascii="仿宋_GB2312" w:eastAsia="仿宋_GB2312" w:cs="仿宋_GB2312" w:hAnsi="仿宋" w:hint="eastAsia"/>
          <w:sz w:val="32"/>
          <w:szCs w:val="32"/>
        </w:rPr>
        <w:t>1．主要职能</w:t>
      </w:r>
    </w:p>
    <w:p>
      <w:pPr>
        <w:spacing w:line="600" w:lineRule="exact"/>
        <w:ind w:firstLineChars="200" w:firstLine="640"/>
        <w:rPr>
          <w:rFonts w:ascii="仿宋_GB2312" w:eastAsia="仿宋_GB2312" w:cs="仿宋_GB2312" w:hAnsi="仿宋_GB2312" w:hint="eastAsia"/>
          <w:sz w:val="32"/>
          <w:szCs w:val="32"/>
        </w:rPr>
      </w:pPr>
      <w:r>
        <w:rPr>
          <w:rFonts w:ascii="仿宋_GB2312" w:eastAsia="仿宋_GB2312" w:cs="仿宋_GB2312" w:hAnsi="仿宋_GB2312"/>
          <w:sz w:val="32"/>
          <w:szCs w:val="32"/>
        </w:rPr>
        <w:t>（1）</w:t>
      </w:r>
      <w:r>
        <w:rPr>
          <w:rFonts w:ascii="仿宋_GB2312" w:eastAsia="仿宋_GB2312" w:cs="仿宋_GB2312" w:hAnsi="仿宋_GB2312" w:hint="eastAsia"/>
          <w:sz w:val="32"/>
          <w:szCs w:val="32"/>
        </w:rPr>
        <w:t>负责全区党的纪律检查工作。贯彻落实党中央和省、市、区委关于纪律检查工作的决策部署，维护党的章程和其他党内法规，检查党的路线方针政策和决议的执行情况，协助区委推进全面从严治党、加强党风建设和组织协调反腐败工作。</w:t>
      </w:r>
    </w:p>
    <w:p>
      <w:pPr>
        <w:spacing w:line="600" w:lineRule="exact"/>
        <w:ind w:firstLineChars="200" w:firstLine="640"/>
        <w:rPr>
          <w:rFonts w:ascii="仿宋_GB2312" w:eastAsia="仿宋_GB2312" w:cs="仿宋_GB2312" w:hint="eastAsia"/>
          <w:kern w:val="0"/>
          <w:sz w:val="32"/>
          <w:szCs w:val="32"/>
        </w:rPr>
      </w:pPr>
      <w:r>
        <w:rPr>
          <w:rFonts w:ascii="仿宋_GB2312" w:eastAsia="仿宋_GB2312" w:cs="仿宋_GB2312" w:hAnsi="仿宋_GB2312"/>
          <w:sz w:val="32"/>
          <w:szCs w:val="32"/>
        </w:rPr>
        <w:t>（2）</w:t>
      </w:r>
      <w:r>
        <w:rPr>
          <w:rFonts w:ascii="仿宋_GB2312" w:eastAsia="仿宋_GB2312" w:cs="仿宋_GB2312" w:hAnsi="仿宋_GB2312" w:hint="eastAsia"/>
          <w:sz w:val="32"/>
          <w:szCs w:val="32"/>
        </w:rPr>
        <w:t>依照党的章程和其他党内法规履行监督、执纪</w:t>
      </w:r>
      <w:r>
        <w:rPr>
          <w:rFonts w:ascii="仿宋_GB2312" w:eastAsia="仿宋_GB2312" w:cs="仿宋_GB2312" w:hint="eastAsia"/>
          <w:kern w:val="0"/>
          <w:sz w:val="32"/>
          <w:szCs w:val="32"/>
        </w:rPr>
        <w:t>、问责职责。负责经常对党员进行遵守纪律的教育，作出关于维护党纪的决定；对区委工作机关、区委批准设立的党组（党委），各乡镇（街道）党（工）委、纪（工）委等党的组织和区委管理的党员领导干部履行职责、行使权力进行监督，受理处置党员群众检举举报，开展谈话提醒、约谈函询；检查和处理上述党的组织和党员违反党的章程和其他党内法规的比较重要或者复杂的案件，决定或者取消对这些案件中的党员的处分；进行问责或者提出责任追究的建议；受理党员的控告和申诉；保障党员的权利。</w:t>
      </w:r>
    </w:p>
    <w:p>
      <w:pPr>
        <w:spacing w:line="600" w:lineRule="exact"/>
        <w:ind w:firstLineChars="200" w:firstLine="640"/>
        <w:rPr>
          <w:rFonts w:ascii="仿宋_GB2312" w:eastAsia="仿宋_GB2312" w:cs="仿宋_GB2312" w:hint="eastAsia"/>
          <w:kern w:val="0"/>
          <w:sz w:val="32"/>
          <w:szCs w:val="32"/>
        </w:rPr>
      </w:pPr>
      <w:r>
        <w:rPr>
          <w:rFonts w:ascii="仿宋_GB2312" w:eastAsia="仿宋_GB2312" w:cs="仿宋_GB2312"/>
          <w:kern w:val="0"/>
          <w:sz w:val="32"/>
          <w:szCs w:val="32"/>
        </w:rPr>
        <w:t>（3）</w:t>
      </w:r>
      <w:r>
        <w:rPr>
          <w:rFonts w:ascii="仿宋_GB2312" w:eastAsia="仿宋_GB2312" w:cs="仿宋_GB2312" w:hint="eastAsia"/>
          <w:kern w:val="0"/>
          <w:sz w:val="32"/>
          <w:szCs w:val="32"/>
        </w:rPr>
        <w:t>支持配合巡视、巡察工作。承担巡视、巡察整改日常监督责任，做好巡视、巡察整改督查督办工作，依规依纪依法处置巡视、巡察移交的反映领导干部问题线索。</w:t>
      </w:r>
    </w:p>
    <w:p>
      <w:pPr>
        <w:spacing w:line="600" w:lineRule="exact"/>
        <w:ind w:firstLineChars="200" w:firstLine="640"/>
        <w:rPr>
          <w:rFonts w:ascii="仿宋_GB2312" w:eastAsia="仿宋_GB2312" w:cs="仿宋_GB2312" w:hint="eastAsia"/>
          <w:kern w:val="0"/>
          <w:sz w:val="32"/>
          <w:szCs w:val="32"/>
        </w:rPr>
      </w:pPr>
      <w:r>
        <w:rPr>
          <w:rFonts w:ascii="仿宋_GB2312" w:eastAsia="仿宋_GB2312" w:cs="仿宋_GB2312"/>
          <w:kern w:val="0"/>
          <w:sz w:val="32"/>
          <w:szCs w:val="32"/>
        </w:rPr>
        <w:t>（4）</w:t>
      </w:r>
      <w:r>
        <w:rPr>
          <w:rFonts w:ascii="仿宋_GB2312" w:eastAsia="仿宋_GB2312" w:cs="仿宋_GB2312" w:hint="eastAsia"/>
          <w:kern w:val="0"/>
          <w:sz w:val="32"/>
          <w:szCs w:val="32"/>
        </w:rPr>
        <w:t>负责全区监察工作。贯彻落实党中央和省、市、区委关于监察工作的决策部署，维护宪法法律，依法对区委管理的行使公权力的公职人员进行监察，调查职务违法和职务犯罪，开展廉政建设和反腐败工作。</w:t>
      </w:r>
    </w:p>
    <w:p>
      <w:pPr>
        <w:spacing w:line="600" w:lineRule="exact"/>
        <w:ind w:firstLineChars="200" w:firstLine="640"/>
        <w:rPr>
          <w:rFonts w:ascii="仿宋_GB2312" w:eastAsia="仿宋_GB2312" w:cs="仿宋_GB2312" w:hint="eastAsia"/>
          <w:kern w:val="0"/>
          <w:sz w:val="32"/>
          <w:szCs w:val="32"/>
        </w:rPr>
      </w:pPr>
      <w:r>
        <w:rPr>
          <w:rFonts w:ascii="仿宋_GB2312" w:eastAsia="仿宋_GB2312" w:cs="仿宋_GB2312"/>
          <w:kern w:val="0"/>
          <w:sz w:val="32"/>
          <w:szCs w:val="32"/>
        </w:rPr>
        <w:t>（5）</w:t>
      </w:r>
      <w:r>
        <w:rPr>
          <w:rFonts w:ascii="仿宋_GB2312" w:eastAsia="仿宋_GB2312" w:cs="仿宋_GB2312" w:hint="eastAsia"/>
          <w:kern w:val="0"/>
          <w:sz w:val="32"/>
          <w:szCs w:val="32"/>
        </w:rPr>
        <w:t>依照法律规定履行监督、调查、处置职责。推动开展廉政教育，对区委管理的行使公权力的公职人员依法履职、秉公用权、廉洁从政从业以及道德操守情况进行监督检查；对涉嫌贪污贿赂、滥用职权、玩忽职守、权力寻租、利益输送、徇私舞弊以及浪费国家资财等职务违法和职务犯罪进行调查；对违法的公职人员依法作出政务处分决定；对履行职责不力、失职失责的领导人员进行问责；对涉嫌职务犯罪的，将调查结果移送人民检察院依法审查、提起公诉；向监察对象所在单位提出监察建议。</w:t>
      </w:r>
    </w:p>
    <w:p>
      <w:pPr>
        <w:spacing w:line="600" w:lineRule="exact"/>
        <w:ind w:firstLineChars="200" w:firstLine="640"/>
        <w:rPr>
          <w:rFonts w:ascii="仿宋_GB2312" w:eastAsia="仿宋_GB2312" w:cs="仿宋_GB2312" w:hint="eastAsia"/>
          <w:kern w:val="0"/>
          <w:sz w:val="32"/>
          <w:szCs w:val="32"/>
        </w:rPr>
      </w:pPr>
      <w:r>
        <w:rPr>
          <w:rFonts w:ascii="仿宋_GB2312" w:eastAsia="仿宋_GB2312" w:cs="仿宋_GB2312"/>
          <w:kern w:val="0"/>
          <w:sz w:val="32"/>
          <w:szCs w:val="32"/>
        </w:rPr>
        <w:t>（6）</w:t>
      </w:r>
      <w:r>
        <w:rPr>
          <w:rFonts w:ascii="仿宋_GB2312" w:eastAsia="仿宋_GB2312" w:cs="仿宋_GB2312" w:hint="eastAsia"/>
          <w:kern w:val="0"/>
          <w:sz w:val="32"/>
          <w:szCs w:val="32"/>
        </w:rPr>
        <w:t>负责组织协调全面从严治党、党风廉政建设和反腐败宣传教育工作。</w:t>
      </w:r>
    </w:p>
    <w:p>
      <w:pPr>
        <w:spacing w:line="600" w:lineRule="exact"/>
        <w:ind w:firstLineChars="200" w:firstLine="640"/>
        <w:rPr>
          <w:rFonts w:ascii="仿宋_GB2312" w:eastAsia="仿宋_GB2312" w:cs="仿宋_GB2312" w:hint="eastAsia"/>
          <w:kern w:val="0"/>
          <w:sz w:val="32"/>
          <w:szCs w:val="32"/>
        </w:rPr>
      </w:pPr>
      <w:r>
        <w:rPr>
          <w:rFonts w:ascii="仿宋_GB2312" w:eastAsia="仿宋_GB2312" w:cs="仿宋_GB2312"/>
          <w:kern w:val="0"/>
          <w:sz w:val="32"/>
          <w:szCs w:val="32"/>
        </w:rPr>
        <w:t>（7）</w:t>
      </w:r>
      <w:r>
        <w:rPr>
          <w:rFonts w:ascii="仿宋_GB2312" w:eastAsia="仿宋_GB2312" w:cs="仿宋_GB2312" w:hint="eastAsia"/>
          <w:kern w:val="0"/>
          <w:sz w:val="32"/>
          <w:szCs w:val="32"/>
        </w:rPr>
        <w:t>负责综合分析全面从严治党、党风廉政建设和反腐败工作情况，对纪检监察工作重要理论及实践问题进行调查研究；制定或者修改全区纪检监察相关制度，参与起草有关规范性文件。</w:t>
      </w:r>
    </w:p>
    <w:p>
      <w:pPr>
        <w:spacing w:line="600" w:lineRule="exact"/>
        <w:ind w:firstLineChars="200" w:firstLine="640"/>
        <w:rPr>
          <w:rFonts w:ascii="仿宋_GB2312" w:eastAsia="仿宋_GB2312" w:cs="仿宋_GB2312" w:hint="eastAsia"/>
          <w:kern w:val="0"/>
          <w:sz w:val="32"/>
          <w:szCs w:val="32"/>
        </w:rPr>
      </w:pPr>
      <w:r>
        <w:rPr>
          <w:rFonts w:ascii="仿宋_GB2312" w:eastAsia="仿宋_GB2312" w:cs="仿宋_GB2312"/>
          <w:kern w:val="0"/>
          <w:sz w:val="32"/>
          <w:szCs w:val="32"/>
        </w:rPr>
        <w:t>（8）</w:t>
      </w:r>
      <w:r>
        <w:rPr>
          <w:rFonts w:ascii="仿宋_GB2312" w:eastAsia="仿宋_GB2312" w:cs="仿宋_GB2312" w:hint="eastAsia"/>
          <w:kern w:val="0"/>
          <w:sz w:val="32"/>
          <w:szCs w:val="32"/>
        </w:rPr>
        <w:t>负责组织协调全区反腐败追逃追赃和防逃工作，督促有关单位做好相关工作。</w:t>
      </w:r>
    </w:p>
    <w:p>
      <w:pPr>
        <w:spacing w:line="600" w:lineRule="exact"/>
        <w:ind w:firstLineChars="200" w:firstLine="640"/>
        <w:rPr>
          <w:rFonts w:ascii="仿宋_GB2312" w:eastAsia="仿宋_GB2312" w:cs="仿宋_GB2312" w:hint="eastAsia"/>
          <w:kern w:val="0"/>
          <w:sz w:val="32"/>
          <w:szCs w:val="32"/>
        </w:rPr>
      </w:pPr>
      <w:r>
        <w:rPr>
          <w:rFonts w:ascii="仿宋_GB2312" w:eastAsia="仿宋_GB2312" w:cs="仿宋_GB2312"/>
          <w:kern w:val="0"/>
          <w:sz w:val="32"/>
          <w:szCs w:val="32"/>
        </w:rPr>
        <w:t>（9）</w:t>
      </w:r>
      <w:r>
        <w:rPr>
          <w:rFonts w:ascii="仿宋_GB2312" w:eastAsia="仿宋_GB2312" w:cs="仿宋_GB2312" w:hint="eastAsia"/>
          <w:kern w:val="0"/>
          <w:sz w:val="32"/>
          <w:szCs w:val="32"/>
        </w:rPr>
        <w:t>根据干部管理权限，负责全区纪检监察系统领导班子建设、干部队伍建设和组织建设的综合规划、政策研究、制度建设和业务指导；</w:t>
      </w:r>
      <w:r>
        <w:rPr>
          <w:rFonts w:ascii="仿宋_GB2312" w:eastAsia="仿宋_GB2312" w:cs="仿宋_GB2312" w:hAnsi="仿宋" w:hint="eastAsia"/>
          <w:sz w:val="32"/>
          <w:szCs w:val="32"/>
        </w:rPr>
        <w:t>会同区委组织部负责区委巡察办的科级干部提名、考察，报区委任免；根据干部管理权限负责区委巡察办干部人事工作</w:t>
      </w:r>
      <w:r>
        <w:rPr>
          <w:rFonts w:ascii="仿宋_GB2312" w:eastAsia="仿宋_GB2312" w:cs="仿宋_GB2312" w:hAnsi="仿宋_GB2312" w:hint="eastAsia"/>
          <w:sz w:val="32"/>
          <w:szCs w:val="32"/>
        </w:rPr>
        <w:t>。</w:t>
      </w:r>
      <w:r>
        <w:rPr>
          <w:rFonts w:ascii="仿宋_GB2312" w:eastAsia="仿宋_GB2312" w:cs="仿宋_GB2312" w:hint="eastAsia"/>
          <w:kern w:val="0"/>
          <w:sz w:val="32"/>
          <w:szCs w:val="32"/>
        </w:rPr>
        <w:t>会同有关方面做好乡镇(街道)纪检监察机构建设有关工作；组织和指导全区纪检监察系统干部教育培训工作等。</w:t>
      </w:r>
    </w:p>
    <w:p>
      <w:pPr>
        <w:snapToGrid w:val="0"/>
        <w:spacing w:line="520" w:lineRule="exact"/>
        <w:ind w:firstLineChars="200" w:firstLine="640"/>
        <w:rPr>
          <w:rFonts w:ascii="仿宋_GB2312" w:eastAsia="仿宋_GB2312" w:cs="仿宋_GB2312"/>
          <w:kern w:val="0"/>
          <w:sz w:val="32"/>
          <w:szCs w:val="32"/>
        </w:rPr>
      </w:pPr>
      <w:r>
        <w:rPr>
          <w:rFonts w:ascii="仿宋_GB2312" w:eastAsia="仿宋_GB2312" w:cs="仿宋_GB2312"/>
          <w:kern w:val="0"/>
          <w:sz w:val="32"/>
          <w:szCs w:val="32"/>
        </w:rPr>
        <w:t>（10）</w:t>
      </w:r>
      <w:r>
        <w:rPr>
          <w:rFonts w:ascii="仿宋_GB2312" w:eastAsia="仿宋_GB2312" w:cs="仿宋_GB2312" w:hint="eastAsia"/>
          <w:kern w:val="0"/>
          <w:sz w:val="32"/>
          <w:szCs w:val="32"/>
        </w:rPr>
        <w:t>完成市纪委监委、区委交办的其他任务。</w:t>
      </w:r>
    </w:p>
    <w:p>
      <w:pPr>
        <w:snapToGrid w:val="0"/>
        <w:spacing w:line="520" w:lineRule="exact"/>
        <w:ind w:firstLineChars="200" w:firstLine="640"/>
        <w:rPr>
          <w:rFonts w:ascii="仿宋_GB2312" w:eastAsia="仿宋_GB2312" w:cs="仿宋_GB2312" w:hAnsi="仿宋" w:hint="eastAsia"/>
          <w:sz w:val="32"/>
          <w:szCs w:val="32"/>
        </w:rPr>
      </w:pPr>
      <w:r>
        <w:rPr>
          <w:rFonts w:ascii="仿宋_GB2312" w:eastAsia="仿宋_GB2312" w:cs="仿宋_GB2312" w:hAnsi="仿宋" w:hint="eastAsia"/>
          <w:sz w:val="32"/>
          <w:szCs w:val="32"/>
        </w:rPr>
        <w:t>2．机构情况</w:t>
      </w:r>
    </w:p>
    <w:tbl>
      <w:tblPr>
        <w:jc w:val="left"/>
        <w:tblInd w:w="0" w:type="dxa"/>
        <w:tblW w:w="88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3197"/>
        <w:gridCol w:w="1698"/>
        <w:gridCol w:w="1749"/>
        <w:gridCol w:w="2253"/>
      </w:tblGrid>
      <w:tr>
        <w:tc>
          <w:tcPr>
            <w:tcW w:w="3197" w:type="dxa"/>
            <w:vAlign w:val="center"/>
          </w:tcPr>
          <w:p>
            <w:pPr>
              <w:jc w:val="center"/>
              <w:rPr>
                <w:rFonts w:ascii="仿宋_GB2312" w:eastAsia="仿宋_GB2312" w:cs="仿宋_GB2312" w:hAnsi="仿宋" w:hint="eastAsia"/>
                <w:sz w:val="32"/>
                <w:szCs w:val="32"/>
              </w:rPr>
            </w:pPr>
            <w:r>
              <w:rPr>
                <w:rFonts w:ascii="仿宋_GB2312" w:eastAsia="仿宋_GB2312" w:cs="仿宋_GB2312" w:hAnsi="仿宋" w:hint="eastAsia"/>
                <w:sz w:val="32"/>
                <w:szCs w:val="32"/>
              </w:rPr>
              <w:t>单位名称</w:t>
            </w:r>
          </w:p>
        </w:tc>
        <w:tc>
          <w:tcPr>
            <w:tcW w:w="1698" w:type="dxa"/>
            <w:vAlign w:val="center"/>
          </w:tcPr>
          <w:p>
            <w:pPr>
              <w:jc w:val="center"/>
              <w:rPr>
                <w:rFonts w:ascii="仿宋_GB2312" w:eastAsia="仿宋_GB2312" w:cs="仿宋_GB2312" w:hAnsi="仿宋" w:hint="eastAsia"/>
                <w:sz w:val="32"/>
                <w:szCs w:val="32"/>
              </w:rPr>
            </w:pPr>
            <w:r>
              <w:rPr>
                <w:rFonts w:ascii="仿宋_GB2312" w:eastAsia="仿宋_GB2312" w:cs="仿宋_GB2312" w:hAnsi="仿宋" w:hint="eastAsia"/>
                <w:sz w:val="32"/>
                <w:szCs w:val="32"/>
              </w:rPr>
              <w:t>单位性质</w:t>
            </w:r>
          </w:p>
        </w:tc>
        <w:tc>
          <w:tcPr>
            <w:tcW w:w="1749" w:type="dxa"/>
            <w:vAlign w:val="center"/>
          </w:tcPr>
          <w:p>
            <w:pPr>
              <w:jc w:val="center"/>
              <w:rPr>
                <w:rFonts w:ascii="仿宋_GB2312" w:eastAsia="仿宋_GB2312" w:cs="仿宋_GB2312" w:hAnsi="仿宋" w:hint="eastAsia"/>
                <w:sz w:val="32"/>
                <w:szCs w:val="32"/>
              </w:rPr>
            </w:pPr>
            <w:r>
              <w:rPr>
                <w:rFonts w:ascii="仿宋_GB2312" w:eastAsia="仿宋_GB2312" w:cs="仿宋_GB2312" w:hAnsi="仿宋" w:hint="eastAsia"/>
                <w:sz w:val="32"/>
                <w:szCs w:val="32"/>
              </w:rPr>
              <w:t>单位规格</w:t>
            </w:r>
          </w:p>
        </w:tc>
        <w:tc>
          <w:tcPr>
            <w:tcW w:w="2253" w:type="dxa"/>
            <w:vAlign w:val="center"/>
          </w:tcPr>
          <w:p>
            <w:pPr>
              <w:jc w:val="center"/>
              <w:rPr>
                <w:rFonts w:ascii="仿宋_GB2312" w:eastAsia="仿宋_GB2312" w:cs="仿宋_GB2312" w:hAnsi="仿宋" w:hint="eastAsia"/>
                <w:sz w:val="32"/>
                <w:szCs w:val="32"/>
              </w:rPr>
            </w:pPr>
            <w:r>
              <w:rPr>
                <w:rFonts w:ascii="仿宋_GB2312" w:eastAsia="仿宋_GB2312" w:cs="仿宋_GB2312" w:hAnsi="仿宋" w:hint="eastAsia"/>
                <w:sz w:val="32"/>
                <w:szCs w:val="32"/>
              </w:rPr>
              <w:t>经费保障形势</w:t>
            </w:r>
          </w:p>
        </w:tc>
      </w:tr>
      <w:tr>
        <w:tc>
          <w:tcPr>
            <w:tcW w:w="3197" w:type="dxa"/>
            <w:tcBorders>
              <w:top w:val="single" w:sz="4" w:space="0" w:color="000000"/>
              <w:left w:val="single" w:sz="4" w:space="0" w:color="000000"/>
              <w:right w:val="single" w:sz="4" w:space="0" w:color="000000"/>
            </w:tcBorders>
          </w:tcPr>
          <w:p>
            <w:pPr>
              <w:spacing w:line="400" w:lineRule="exact"/>
              <w:jc w:val="left"/>
              <w:rPr>
                <w:rFonts w:ascii="仿宋_GB2312" w:eastAsia="仿宋_GB2312" w:cs="仿宋_GB2312" w:hAnsi="仿宋" w:hint="eastAsia"/>
                <w:sz w:val="32"/>
                <w:szCs w:val="32"/>
              </w:rPr>
            </w:pPr>
            <w:r>
              <w:rPr>
                <w:rFonts w:ascii="仿宋_GB2312" w:eastAsia="仿宋_GB2312" w:cs="仿宋_GB2312" w:hAnsi="仿宋" w:hint="eastAsia"/>
                <w:sz w:val="32"/>
                <w:szCs w:val="32"/>
              </w:rPr>
              <w:t>中国共产党石家庄市井陉矿区纪律检查委员会 (本级)</w:t>
            </w:r>
          </w:p>
        </w:tc>
        <w:tc>
          <w:tcPr>
            <w:tcW w:w="1698" w:type="dxa"/>
            <w:tcBorders>
              <w:left w:val="single" w:sz="4" w:space="0" w:color="000000"/>
              <w:right w:val="single" w:sz="4" w:space="0" w:color="000000"/>
            </w:tcBorders>
            <w:vAlign w:val="center"/>
          </w:tcPr>
          <w:p>
            <w:pPr>
              <w:jc w:val="center"/>
              <w:rPr>
                <w:rFonts w:ascii="仿宋_GB2312" w:eastAsia="仿宋_GB2312" w:cs="仿宋_GB2312" w:hAnsi="仿宋" w:hint="eastAsia"/>
                <w:sz w:val="32"/>
                <w:szCs w:val="32"/>
              </w:rPr>
            </w:pPr>
            <w:r>
              <w:rPr>
                <w:rFonts w:ascii="仿宋_GB2312" w:eastAsia="仿宋_GB2312" w:cs="仿宋_GB2312" w:hAnsi="仿宋" w:hint="eastAsia"/>
                <w:sz w:val="32"/>
                <w:szCs w:val="32"/>
              </w:rPr>
              <w:t>行政</w:t>
            </w:r>
          </w:p>
        </w:tc>
        <w:tc>
          <w:tcPr>
            <w:tcW w:w="1749" w:type="dxa"/>
            <w:tcBorders>
              <w:left w:val="single" w:sz="4" w:space="0" w:color="000000"/>
              <w:right w:val="single" w:sz="4" w:space="0" w:color="000000"/>
            </w:tcBorders>
            <w:vAlign w:val="center"/>
          </w:tcPr>
          <w:p>
            <w:pPr>
              <w:jc w:val="center"/>
              <w:rPr>
                <w:rFonts w:ascii="仿宋_GB2312" w:eastAsia="仿宋_GB2312" w:cs="仿宋_GB2312" w:hAnsi="仿宋" w:hint="eastAsia"/>
                <w:sz w:val="32"/>
                <w:szCs w:val="32"/>
              </w:rPr>
            </w:pPr>
            <w:r>
              <w:rPr>
                <w:rFonts w:ascii="仿宋_GB2312" w:eastAsia="仿宋_GB2312" w:cs="仿宋_GB2312" w:hAnsi="仿宋" w:hint="eastAsia"/>
                <w:sz w:val="32"/>
                <w:szCs w:val="32"/>
              </w:rPr>
              <w:t>正科级</w:t>
            </w:r>
          </w:p>
        </w:tc>
        <w:tc>
          <w:tcPr>
            <w:tcW w:w="2253" w:type="dxa"/>
            <w:tcBorders>
              <w:top w:val="single" w:sz="4" w:space="0" w:color="000000"/>
              <w:left w:val="single" w:sz="4" w:space="0" w:color="000000"/>
              <w:right w:val="single" w:sz="4" w:space="0" w:color="000000"/>
            </w:tcBorders>
            <w:vAlign w:val="center"/>
          </w:tcPr>
          <w:p>
            <w:pPr>
              <w:jc w:val="center"/>
              <w:rPr>
                <w:rFonts w:ascii="仿宋_GB2312" w:eastAsia="仿宋_GB2312" w:cs="仿宋_GB2312" w:hAnsi="仿宋" w:hint="eastAsia"/>
                <w:sz w:val="32"/>
                <w:szCs w:val="32"/>
              </w:rPr>
            </w:pPr>
            <w:r>
              <w:rPr>
                <w:rFonts w:ascii="仿宋_GB2312" w:eastAsia="仿宋_GB2312" w:cs="仿宋_GB2312" w:hAnsi="仿宋" w:hint="eastAsia"/>
                <w:sz w:val="32"/>
                <w:szCs w:val="32"/>
              </w:rPr>
              <w:t>财政拨款</w:t>
            </w:r>
          </w:p>
        </w:tc>
      </w:tr>
    </w:tbl>
    <w:p>
      <w:pPr>
        <w:adjustRightInd w:val="0"/>
        <w:snapToGrid w:val="0"/>
        <w:spacing w:line="560" w:lineRule="exact"/>
        <w:ind w:firstLineChars="200" w:firstLine="640"/>
        <w:rPr>
          <w:rFonts w:ascii="楷体" w:eastAsia="楷体" w:cs="楷体_GB2312" w:hAnsi="楷体"/>
          <w:bCs/>
          <w:sz w:val="32"/>
          <w:szCs w:val="32"/>
        </w:rPr>
      </w:pPr>
      <w:r>
        <w:rPr>
          <w:rFonts w:ascii="楷体" w:eastAsia="楷体" w:cs="楷体_GB2312" w:hAnsi="楷体" w:hint="eastAsia"/>
          <w:bCs/>
          <w:sz w:val="32"/>
          <w:szCs w:val="32"/>
        </w:rPr>
        <w:t>（二）部门收支预决算情况</w:t>
      </w:r>
    </w:p>
    <w:p>
      <w:pPr>
        <w:adjustRightInd w:val="0"/>
        <w:snapToGrid w:val="0"/>
        <w:spacing w:line="560" w:lineRule="exact"/>
        <w:ind w:firstLineChars="200" w:firstLine="640"/>
        <w:rPr>
          <w:rFonts w:ascii="楷体" w:eastAsia="楷体" w:cs="楷体_GB2312" w:hAnsi="楷体"/>
          <w:bCs/>
          <w:sz w:val="32"/>
          <w:szCs w:val="32"/>
        </w:rPr>
      </w:pPr>
      <w:r>
        <w:rPr>
          <w:rFonts w:ascii="仿宋_GB2312" w:eastAsia="仿宋_GB2312" w:cs="仿宋_GB2312" w:hAnsi="仿宋" w:hint="eastAsia"/>
          <w:sz w:val="32"/>
          <w:szCs w:val="32"/>
        </w:rPr>
        <w:t>202</w:t>
      </w:r>
      <w:r>
        <w:rPr>
          <w:rFonts w:ascii="仿宋_GB2312" w:eastAsia="仿宋_GB2312" w:cs="仿宋_GB2312" w:hAnsi="仿宋"/>
          <w:sz w:val="32"/>
          <w:szCs w:val="32"/>
        </w:rPr>
        <w:t>5</w:t>
      </w:r>
      <w:r>
        <w:rPr>
          <w:rFonts w:ascii="仿宋_GB2312" w:eastAsia="仿宋_GB2312" w:cs="仿宋_GB2312" w:hAnsi="仿宋" w:hint="eastAsia"/>
          <w:sz w:val="32"/>
          <w:szCs w:val="32"/>
        </w:rPr>
        <w:t>年实际收入</w:t>
      </w:r>
      <w:r>
        <w:rPr>
          <w:rFonts w:ascii="仿宋_GB2312" w:eastAsia="仿宋_GB2312" w:cs="仿宋_GB2312" w:hAnsi="仿宋"/>
          <w:sz w:val="32"/>
          <w:szCs w:val="32"/>
        </w:rPr>
        <w:t>787.35</w:t>
      </w:r>
      <w:r>
        <w:rPr>
          <w:rFonts w:ascii="仿宋_GB2312" w:eastAsia="仿宋_GB2312" w:cs="仿宋_GB2312" w:hAnsi="仿宋" w:hint="eastAsia"/>
          <w:sz w:val="32"/>
          <w:szCs w:val="32"/>
        </w:rPr>
        <w:t>万元,实际支出</w:t>
      </w:r>
      <w:r>
        <w:rPr>
          <w:rFonts w:ascii="仿宋_GB2312" w:eastAsia="仿宋_GB2312" w:cs="仿宋_GB2312" w:hAnsi="仿宋"/>
          <w:sz w:val="32"/>
          <w:szCs w:val="32"/>
        </w:rPr>
        <w:t>787.35</w:t>
      </w:r>
      <w:r>
        <w:rPr>
          <w:rFonts w:ascii="仿宋_GB2312" w:eastAsia="仿宋_GB2312" w:cs="仿宋_GB2312" w:hAnsi="仿宋" w:hint="eastAsia"/>
          <w:sz w:val="32"/>
          <w:szCs w:val="32"/>
        </w:rPr>
        <w:t>万元其中：基本支出</w:t>
      </w:r>
      <w:r>
        <w:rPr>
          <w:rFonts w:ascii="仿宋_GB2312" w:eastAsia="仿宋_GB2312" w:cs="仿宋_GB2312" w:hAnsi="仿宋"/>
          <w:sz w:val="32"/>
          <w:szCs w:val="32"/>
        </w:rPr>
        <w:t>686.97</w:t>
      </w:r>
      <w:r>
        <w:rPr>
          <w:rFonts w:ascii="仿宋_GB2312" w:eastAsia="仿宋_GB2312" w:cs="仿宋_GB2312" w:hAnsi="仿宋" w:hint="eastAsia"/>
          <w:sz w:val="32"/>
          <w:szCs w:val="32"/>
        </w:rPr>
        <w:t>万元，项目支出</w:t>
      </w:r>
      <w:r>
        <w:rPr>
          <w:rFonts w:ascii="仿宋_GB2312" w:eastAsia="仿宋_GB2312" w:cs="仿宋_GB2312" w:hAnsi="仿宋"/>
          <w:sz w:val="32"/>
          <w:szCs w:val="32"/>
        </w:rPr>
        <w:t>100.38</w:t>
      </w:r>
      <w:r>
        <w:rPr>
          <w:rFonts w:ascii="仿宋_GB2312" w:eastAsia="仿宋_GB2312" w:cs="仿宋_GB2312" w:hAnsi="仿宋" w:hint="eastAsia"/>
          <w:sz w:val="32"/>
          <w:szCs w:val="32"/>
        </w:rPr>
        <w:t>万元,结余0万元。</w:t>
      </w:r>
    </w:p>
    <w:p>
      <w:pPr>
        <w:adjustRightInd w:val="0"/>
        <w:snapToGrid w:val="0"/>
        <w:spacing w:line="560" w:lineRule="exact"/>
        <w:ind w:firstLineChars="200" w:firstLine="640"/>
        <w:rPr>
          <w:rFonts w:ascii="楷体" w:eastAsia="楷体" w:cs="楷体_GB2312" w:hAnsi="楷体"/>
          <w:bCs/>
          <w:sz w:val="32"/>
          <w:szCs w:val="32"/>
        </w:rPr>
      </w:pPr>
      <w:r>
        <w:rPr>
          <w:rFonts w:ascii="楷体" w:eastAsia="楷体" w:cs="楷体_GB2312" w:hAnsi="楷体" w:hint="eastAsia"/>
          <w:bCs/>
          <w:sz w:val="32"/>
          <w:szCs w:val="32"/>
        </w:rPr>
        <w:t>（三）部门整体支出绩效目标、指标</w:t>
      </w:r>
    </w:p>
    <w:p>
      <w:pPr>
        <w:adjustRightInd w:val="0"/>
        <w:snapToGrid w:val="0"/>
        <w:spacing w:line="560" w:lineRule="exact"/>
        <w:ind w:firstLineChars="200" w:firstLine="640"/>
        <w:rPr>
          <w:rFonts w:ascii="楷体" w:eastAsia="楷体" w:cs="楷体_GB2312" w:hAnsi="楷体"/>
          <w:bCs/>
          <w:sz w:val="32"/>
          <w:szCs w:val="32"/>
        </w:rPr>
      </w:pPr>
    </w:p>
    <w:tbl>
      <w:tblPr>
        <w:jc w:val="left"/>
        <w:tblInd w:w="0" w:type="dxa"/>
        <w:tblW w:w="9553" w:type="dxa"/>
        <w:tblBorders>
          <w:top w:val="none" w:sz="0" w:space="0" w:color="auto"/>
          <w:left w:val="none" w:sz="0" w:space="0" w:color="auto"/>
          <w:bottom w:val="none" w:sz="0" w:space="0" w:color="auto"/>
          <w:right w:val="none" w:sz="0" w:space="0" w:color="auto"/>
        </w:tblBorders>
        <w:tblLayout w:type="fixed"/>
        <w:tblCellMar>
          <w:top w:w="15" w:type="dxa"/>
          <w:left w:w="15" w:type="dxa"/>
          <w:bottom w:w="15" w:type="dxa"/>
          <w:right w:w="15" w:type="dxa"/>
        </w:tblCellMar>
        <w:tblLook w:val="04A0" w:firstRow="1" w:lastRow="0" w:firstColumn="1" w:lastColumn="0" w:noHBand="0" w:noVBand="1"/>
      </w:tblPr>
      <w:tblGrid>
        <w:gridCol w:w="1081"/>
        <w:gridCol w:w="1141"/>
        <w:gridCol w:w="1291"/>
        <w:gridCol w:w="1218"/>
        <w:gridCol w:w="653"/>
        <w:gridCol w:w="760"/>
        <w:gridCol w:w="746"/>
        <w:gridCol w:w="1361"/>
        <w:gridCol w:w="1303"/>
      </w:tblGrid>
      <w:tr>
        <w:trPr>
          <w:trHeight w:val="465"/>
        </w:trPr>
        <w:tc>
          <w:tcPr>
            <w:tcW w:w="10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hAnsi="宋体"/>
                <w:b/>
                <w:color w:val="000000"/>
                <w:sz w:val="18"/>
                <w:szCs w:val="18"/>
              </w:rPr>
            </w:pPr>
            <w:r>
              <w:rPr>
                <w:rFonts w:ascii="宋体" w:cs="宋体" w:hAnsi="宋体" w:hint="eastAsia"/>
                <w:b/>
                <w:color w:val="000000"/>
                <w:kern w:val="0"/>
                <w:sz w:val="18"/>
                <w:szCs w:val="18"/>
              </w:rPr>
              <w:t>一级指标</w:t>
            </w:r>
          </w:p>
        </w:tc>
        <w:tc>
          <w:tcPr>
            <w:tcW w:w="114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hAnsi="宋体"/>
                <w:b/>
                <w:color w:val="000000"/>
                <w:sz w:val="18"/>
                <w:szCs w:val="18"/>
              </w:rPr>
            </w:pPr>
            <w:r>
              <w:rPr>
                <w:rFonts w:ascii="宋体" w:cs="宋体" w:hAnsi="宋体" w:hint="eastAsia"/>
                <w:b/>
                <w:color w:val="000000"/>
                <w:kern w:val="0"/>
                <w:sz w:val="18"/>
                <w:szCs w:val="18"/>
              </w:rPr>
              <w:t>二级指标</w:t>
            </w:r>
          </w:p>
        </w:tc>
        <w:tc>
          <w:tcPr>
            <w:tcW w:w="12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hAnsi="宋体"/>
                <w:b/>
                <w:color w:val="000000"/>
                <w:sz w:val="18"/>
                <w:szCs w:val="18"/>
              </w:rPr>
            </w:pPr>
            <w:r>
              <w:rPr>
                <w:rFonts w:ascii="宋体" w:cs="宋体" w:hAnsi="宋体" w:hint="eastAsia"/>
                <w:b/>
                <w:color w:val="000000"/>
                <w:kern w:val="0"/>
                <w:sz w:val="18"/>
                <w:szCs w:val="18"/>
              </w:rPr>
              <w:t>三级指标</w:t>
            </w:r>
          </w:p>
        </w:tc>
        <w:tc>
          <w:tcPr>
            <w:tcW w:w="12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hAnsi="宋体"/>
                <w:b/>
                <w:color w:val="000000"/>
                <w:sz w:val="18"/>
                <w:szCs w:val="18"/>
              </w:rPr>
            </w:pPr>
            <w:r>
              <w:rPr>
                <w:rFonts w:ascii="宋体" w:cs="宋体" w:hAnsi="宋体" w:hint="eastAsia"/>
                <w:b/>
                <w:color w:val="000000"/>
                <w:kern w:val="0"/>
                <w:sz w:val="18"/>
                <w:szCs w:val="18"/>
              </w:rPr>
              <w:t>绩效指标描述</w:t>
            </w:r>
          </w:p>
        </w:tc>
        <w:tc>
          <w:tcPr>
            <w:tcW w:w="65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hAnsi="宋体"/>
                <w:b/>
                <w:color w:val="000000"/>
                <w:sz w:val="18"/>
                <w:szCs w:val="18"/>
              </w:rPr>
            </w:pPr>
            <w:r>
              <w:rPr>
                <w:rFonts w:ascii="宋体" w:cs="宋体" w:hAnsi="宋体" w:hint="eastAsia"/>
                <w:b/>
                <w:color w:val="000000"/>
                <w:kern w:val="0"/>
                <w:sz w:val="18"/>
                <w:szCs w:val="18"/>
              </w:rPr>
              <w:t>评（扣）分标准</w:t>
            </w:r>
          </w:p>
        </w:tc>
        <w:tc>
          <w:tcPr>
            <w:tcW w:w="286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hAnsi="宋体"/>
                <w:b/>
                <w:color w:val="000000"/>
                <w:sz w:val="18"/>
                <w:szCs w:val="18"/>
              </w:rPr>
            </w:pPr>
            <w:r>
              <w:rPr>
                <w:rFonts w:ascii="宋体" w:cs="宋体" w:hAnsi="宋体" w:hint="eastAsia"/>
                <w:b/>
                <w:color w:val="000000"/>
                <w:kern w:val="0"/>
                <w:sz w:val="18"/>
                <w:szCs w:val="18"/>
              </w:rPr>
              <w:t>指标值</w:t>
            </w:r>
          </w:p>
        </w:tc>
        <w:tc>
          <w:tcPr>
            <w:tcW w:w="130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hAnsi="宋体"/>
                <w:b/>
                <w:color w:val="000000"/>
                <w:sz w:val="18"/>
                <w:szCs w:val="18"/>
              </w:rPr>
            </w:pPr>
            <w:r>
              <w:rPr>
                <w:rFonts w:ascii="宋体" w:cs="宋体" w:hAnsi="宋体" w:hint="eastAsia"/>
                <w:b/>
                <w:color w:val="000000"/>
                <w:kern w:val="0"/>
                <w:sz w:val="18"/>
                <w:szCs w:val="18"/>
              </w:rPr>
              <w:t>指标值确定依据</w:t>
            </w:r>
          </w:p>
        </w:tc>
      </w:tr>
      <w:tr>
        <w:trPr>
          <w:trHeight w:val="465"/>
        </w:trPr>
        <w:tc>
          <w:tcPr>
            <w:tcW w:w="1371" w:type="dxa"/>
            <w:vMerge/>
            <w:tcBorders>
              <w:top w:val="single" w:sz="4" w:space="0" w:color="000000"/>
              <w:left w:val="single" w:sz="4" w:space="0" w:color="000000"/>
              <w:bottom w:val="single" w:sz="4" w:space="0" w:color="auto"/>
              <w:right w:val="single" w:sz="4" w:space="0" w:color="000000"/>
            </w:tcBorders>
            <w:shd w:val="clear" w:color="auto" w:fill="auto"/>
            <w:vAlign w:val="center"/>
          </w:tcPr>
          <w:p/>
        </w:tc>
        <w:tc>
          <w:tcPr>
            <w:tcW w:w="15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7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93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6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7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hAnsi="宋体"/>
                <w:b/>
                <w:color w:val="000000"/>
                <w:sz w:val="18"/>
                <w:szCs w:val="18"/>
              </w:rPr>
            </w:pPr>
            <w:r>
              <w:rPr>
                <w:rFonts w:ascii="宋体" w:cs="宋体" w:hAnsi="宋体" w:hint="eastAsia"/>
                <w:b/>
                <w:color w:val="000000"/>
                <w:kern w:val="0"/>
                <w:sz w:val="18"/>
                <w:szCs w:val="18"/>
              </w:rPr>
              <w:t>符号</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hAnsi="宋体"/>
                <w:b/>
                <w:color w:val="000000"/>
                <w:sz w:val="18"/>
                <w:szCs w:val="18"/>
              </w:rPr>
            </w:pPr>
            <w:r>
              <w:rPr>
                <w:rFonts w:ascii="宋体" w:cs="宋体" w:hAnsi="宋体" w:hint="eastAsia"/>
                <w:b/>
                <w:color w:val="000000"/>
                <w:kern w:val="0"/>
                <w:sz w:val="18"/>
                <w:szCs w:val="18"/>
              </w:rPr>
              <w:t>值</w:t>
            </w:r>
          </w:p>
        </w:tc>
        <w:tc>
          <w:tcPr>
            <w:tcW w:w="136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hAnsi="宋体"/>
                <w:b/>
                <w:color w:val="000000"/>
                <w:sz w:val="18"/>
                <w:szCs w:val="18"/>
              </w:rPr>
            </w:pPr>
            <w:r>
              <w:rPr>
                <w:rFonts w:ascii="宋体" w:cs="宋体" w:hAnsi="宋体" w:hint="eastAsia"/>
                <w:b/>
                <w:color w:val="000000"/>
                <w:kern w:val="0"/>
                <w:sz w:val="18"/>
                <w:szCs w:val="18"/>
              </w:rPr>
              <w:t>单位（文字描述）</w:t>
            </w:r>
          </w:p>
        </w:tc>
        <w:tc>
          <w:tcPr>
            <w:tcW w:w="13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645"/>
        </w:trPr>
        <w:tc>
          <w:tcPr>
            <w:tcW w:w="1081"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textAlignment w:val="center"/>
              <w:rPr>
                <w:rFonts w:ascii="宋体" w:cs="宋体" w:hAnsi="宋体"/>
                <w:b/>
                <w:color w:val="000000"/>
                <w:sz w:val="18"/>
                <w:szCs w:val="18"/>
              </w:rPr>
            </w:pPr>
            <w:r>
              <w:rPr>
                <w:rFonts w:ascii="宋体" w:cs="宋体" w:hAnsi="宋体" w:hint="eastAsia"/>
                <w:b/>
                <w:color w:val="000000"/>
                <w:kern w:val="0"/>
                <w:sz w:val="18"/>
                <w:szCs w:val="18"/>
              </w:rPr>
              <w:t>产出指标</w:t>
            </w:r>
          </w:p>
        </w:tc>
        <w:tc>
          <w:tcPr>
            <w:tcW w:w="1141" w:type="dxa"/>
            <w:tcBorders>
              <w:top w:val="single" w:sz="4" w:space="0" w:color="000000"/>
              <w:left w:val="single" w:sz="4" w:space="0" w:color="auto"/>
              <w:bottom w:val="single" w:sz="4" w:space="0" w:color="000000"/>
              <w:right w:val="single" w:sz="4" w:space="0" w:color="000000"/>
            </w:tcBorders>
            <w:shd w:val="clear" w:color="auto" w:fill="auto"/>
            <w:vAlign w:val="center"/>
          </w:tcPr>
          <w:p>
            <w:pPr>
              <w:widowControl/>
              <w:jc w:val="left"/>
              <w:textAlignment w:val="center"/>
              <w:rPr>
                <w:rFonts w:ascii="宋体" w:cs="宋体" w:hAnsi="宋体"/>
                <w:color w:val="000000"/>
                <w:sz w:val="18"/>
                <w:szCs w:val="18"/>
              </w:rPr>
            </w:pPr>
            <w:r>
              <w:rPr>
                <w:rFonts w:ascii="宋体" w:cs="宋体" w:hAnsi="宋体" w:hint="eastAsia"/>
                <w:color w:val="000000"/>
                <w:kern w:val="0"/>
                <w:sz w:val="18"/>
                <w:szCs w:val="18"/>
              </w:rPr>
              <w:t>数量指标</w:t>
            </w:r>
          </w:p>
        </w:tc>
        <w:tc>
          <w:tcPr>
            <w:tcW w:w="129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left"/>
              <w:textAlignment w:val="center"/>
              <w:rPr>
                <w:rFonts w:ascii="宋体" w:cs="宋体" w:hAnsi="宋体"/>
                <w:color w:val="000000"/>
                <w:sz w:val="18"/>
                <w:szCs w:val="18"/>
              </w:rPr>
            </w:pPr>
            <w:r>
              <w:rPr>
                <w:rFonts w:ascii="宋体" w:hAnsi="宋体" w:hint="eastAsia"/>
                <w:sz w:val="18"/>
                <w:szCs w:val="18"/>
              </w:rPr>
              <w:t>监督检查计划完成率</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pPr>
              <w:spacing w:line="300" w:lineRule="exact"/>
              <w:jc w:val="left"/>
              <w:rPr>
                <w:rFonts w:ascii="宋体" w:hAnsi="宋体"/>
                <w:sz w:val="18"/>
                <w:szCs w:val="18"/>
              </w:rPr>
            </w:pPr>
            <w:r>
              <w:rPr>
                <w:rFonts w:ascii="宋体" w:hAnsi="宋体" w:hint="eastAsia"/>
                <w:sz w:val="18"/>
                <w:szCs w:val="18"/>
              </w:rPr>
              <w:t>日常开展监督监察和重要节点监督检查</w:t>
            </w:r>
          </w:p>
        </w:tc>
        <w:tc>
          <w:tcPr>
            <w:tcW w:w="653" w:type="dxa"/>
            <w:tcBorders>
              <w:top w:val="single" w:sz="4" w:space="0" w:color="000000"/>
              <w:left w:val="single" w:sz="4" w:space="0" w:color="000000"/>
              <w:bottom w:val="single" w:sz="4" w:space="0" w:color="000000"/>
              <w:right w:val="single" w:sz="4" w:space="0" w:color="000000"/>
            </w:tcBorders>
            <w:shd w:val="clear" w:color="auto" w:fill="auto"/>
          </w:tcPr>
          <w:p>
            <w:pPr>
              <w:widowControl/>
              <w:jc w:val="left"/>
              <w:textAlignment w:val="top"/>
              <w:rPr>
                <w:rFonts w:ascii="宋体" w:cs="宋体" w:hAnsi="宋体"/>
                <w:color w:val="000000"/>
                <w:sz w:val="18"/>
                <w:szCs w:val="18"/>
              </w:rPr>
            </w:pPr>
            <w:r>
              <w:rPr>
                <w:rFonts w:ascii="宋体" w:cs="宋体" w:hAnsi="宋体" w:hint="eastAsia"/>
                <w:color w:val="000000"/>
                <w:kern w:val="0"/>
                <w:sz w:val="18"/>
                <w:szCs w:val="18"/>
              </w:rPr>
              <w:t>无</w:t>
            </w:r>
          </w:p>
        </w:tc>
        <w:tc>
          <w:tcPr>
            <w:tcW w:w="7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left"/>
              <w:textAlignment w:val="center"/>
              <w:rPr>
                <w:rFonts w:ascii="宋体" w:cs="宋体" w:hAnsi="宋体"/>
                <w:color w:val="000000"/>
                <w:sz w:val="18"/>
                <w:szCs w:val="18"/>
              </w:rPr>
            </w:pPr>
            <w:r>
              <w:rPr>
                <w:rFonts w:ascii="宋体" w:cs="宋体" w:hAnsi="宋体" w:hint="eastAsia"/>
                <w:color w:val="000000"/>
                <w:kern w:val="0"/>
                <w:sz w:val="18"/>
                <w:szCs w:val="18"/>
              </w:rPr>
              <w:t>≥</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hAnsi="宋体"/>
                <w:color w:val="000000"/>
                <w:sz w:val="18"/>
                <w:szCs w:val="18"/>
              </w:rPr>
            </w:pPr>
            <w:r>
              <w:rPr>
                <w:rFonts w:ascii="宋体" w:hAnsi="宋体"/>
                <w:sz w:val="18"/>
                <w:szCs w:val="18"/>
              </w:rPr>
              <w:t>50</w:t>
            </w:r>
            <w:r>
              <w:rPr>
                <w:rFonts w:ascii="宋体" w:hAnsi="宋体" w:hint="eastAsia"/>
                <w:sz w:val="18"/>
                <w:szCs w:val="18"/>
              </w:rPr>
              <w:t>次</w:t>
            </w:r>
          </w:p>
        </w:tc>
        <w:tc>
          <w:tcPr>
            <w:tcW w:w="1361" w:type="dxa"/>
            <w:tcBorders>
              <w:top w:val="single" w:sz="4" w:space="0" w:color="000000"/>
              <w:left w:val="single" w:sz="4" w:space="0" w:color="000000"/>
              <w:bottom w:val="single" w:sz="4" w:space="0" w:color="000000"/>
              <w:right w:val="single" w:sz="4" w:space="0" w:color="000000"/>
            </w:tcBorders>
            <w:shd w:val="clear" w:color="auto" w:fill="auto"/>
            <w:vAlign w:val="center"/>
          </w:tcPr>
          <w:p>
            <w:pPr>
              <w:spacing w:line="300" w:lineRule="exact"/>
              <w:jc w:val="left"/>
              <w:rPr>
                <w:rFonts w:ascii="宋体" w:hAnsi="宋体"/>
                <w:sz w:val="18"/>
                <w:szCs w:val="18"/>
              </w:rPr>
            </w:pPr>
            <w:r>
              <w:rPr>
                <w:rFonts w:ascii="宋体" w:hAnsi="宋体" w:hint="eastAsia"/>
                <w:sz w:val="18"/>
                <w:szCs w:val="18"/>
              </w:rPr>
              <w:t>开展监督检查次数</w:t>
            </w:r>
          </w:p>
        </w:tc>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pPr>
              <w:spacing w:line="300" w:lineRule="exact"/>
              <w:jc w:val="left"/>
              <w:rPr>
                <w:rFonts w:ascii="宋体" w:hAnsi="宋体"/>
                <w:sz w:val="18"/>
                <w:szCs w:val="18"/>
              </w:rPr>
            </w:pPr>
            <w:r>
              <w:rPr>
                <w:rFonts w:ascii="宋体" w:hAnsi="宋体" w:hint="eastAsia"/>
                <w:sz w:val="18"/>
                <w:szCs w:val="18"/>
              </w:rPr>
              <w:t>日常监督检查和重要节点检查的次数</w:t>
            </w:r>
          </w:p>
        </w:tc>
      </w:tr>
      <w:tr>
        <w:trPr>
          <w:trHeight w:val="465"/>
        </w:trPr>
        <w:tc>
          <w:tcPr>
            <w:tcW w:w="1371" w:type="dxa"/>
            <w:vMerge/>
            <w:tcBorders>
              <w:top w:val="single" w:sz="4" w:space="0" w:color="000000"/>
              <w:left w:val="single" w:sz="4" w:space="0" w:color="auto"/>
              <w:bottom w:val="single" w:sz="4" w:space="0" w:color="000000"/>
              <w:right w:val="single" w:sz="4" w:space="0" w:color="auto"/>
            </w:tcBorders>
            <w:shd w:val="clear" w:color="auto" w:fill="auto"/>
            <w:vAlign w:val="center"/>
          </w:tcPr>
          <w:p/>
        </w:tc>
        <w:tc>
          <w:tcPr>
            <w:tcW w:w="1141" w:type="dxa"/>
            <w:tcBorders>
              <w:top w:val="single" w:sz="4" w:space="0" w:color="000000"/>
              <w:left w:val="single" w:sz="4" w:space="0" w:color="auto"/>
              <w:bottom w:val="single" w:sz="4" w:space="0" w:color="000000"/>
              <w:right w:val="single" w:sz="4" w:space="0" w:color="000000"/>
            </w:tcBorders>
            <w:shd w:val="clear" w:color="auto" w:fill="auto"/>
            <w:vAlign w:val="center"/>
          </w:tcPr>
          <w:p>
            <w:pPr>
              <w:widowControl/>
              <w:jc w:val="left"/>
              <w:textAlignment w:val="center"/>
              <w:rPr>
                <w:rFonts w:ascii="宋体" w:cs="宋体" w:hAnsi="宋体"/>
                <w:color w:val="000000"/>
                <w:sz w:val="18"/>
                <w:szCs w:val="18"/>
              </w:rPr>
            </w:pPr>
            <w:r>
              <w:rPr>
                <w:rFonts w:ascii="宋体" w:cs="宋体" w:hAnsi="宋体" w:hint="eastAsia"/>
                <w:color w:val="000000"/>
                <w:kern w:val="0"/>
                <w:sz w:val="18"/>
                <w:szCs w:val="18"/>
              </w:rPr>
              <w:t>质量指标</w:t>
            </w:r>
          </w:p>
        </w:tc>
        <w:tc>
          <w:tcPr>
            <w:tcW w:w="129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left"/>
              <w:textAlignment w:val="center"/>
              <w:rPr>
                <w:rFonts w:ascii="宋体" w:cs="宋体" w:hAnsi="宋体"/>
                <w:color w:val="000000"/>
                <w:sz w:val="18"/>
                <w:szCs w:val="18"/>
              </w:rPr>
            </w:pPr>
            <w:r>
              <w:rPr>
                <w:rFonts w:ascii="宋体" w:hAnsi="宋体" w:hint="eastAsia"/>
                <w:sz w:val="18"/>
                <w:szCs w:val="18"/>
              </w:rPr>
              <w:t>结案审核通过率</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pPr>
              <w:spacing w:line="300" w:lineRule="exact"/>
              <w:jc w:val="left"/>
              <w:rPr>
                <w:rFonts w:ascii="宋体" w:hAnsi="宋体"/>
                <w:sz w:val="18"/>
                <w:szCs w:val="18"/>
              </w:rPr>
            </w:pPr>
            <w:r>
              <w:rPr>
                <w:rFonts w:ascii="宋体" w:hAnsi="宋体" w:hint="eastAsia"/>
                <w:sz w:val="18"/>
                <w:szCs w:val="18"/>
              </w:rPr>
              <w:t>承办案件结案后审核通过率</w:t>
            </w:r>
          </w:p>
        </w:tc>
        <w:tc>
          <w:tcPr>
            <w:tcW w:w="653" w:type="dxa"/>
            <w:tcBorders>
              <w:top w:val="single" w:sz="4" w:space="0" w:color="000000"/>
              <w:left w:val="single" w:sz="4" w:space="0" w:color="000000"/>
              <w:bottom w:val="single" w:sz="4" w:space="0" w:color="000000"/>
              <w:right w:val="single" w:sz="4" w:space="0" w:color="000000"/>
            </w:tcBorders>
            <w:shd w:val="clear" w:color="auto" w:fill="auto"/>
          </w:tcPr>
          <w:p>
            <w:pPr>
              <w:widowControl/>
              <w:jc w:val="left"/>
              <w:textAlignment w:val="top"/>
              <w:rPr>
                <w:rFonts w:ascii="宋体" w:cs="宋体" w:hAnsi="宋体"/>
                <w:color w:val="000000"/>
                <w:sz w:val="18"/>
                <w:szCs w:val="18"/>
              </w:rPr>
            </w:pPr>
            <w:r>
              <w:rPr>
                <w:rFonts w:ascii="宋体" w:cs="宋体" w:hAnsi="宋体" w:hint="eastAsia"/>
                <w:color w:val="000000"/>
                <w:kern w:val="0"/>
                <w:sz w:val="18"/>
                <w:szCs w:val="18"/>
              </w:rPr>
              <w:t>无</w:t>
            </w:r>
          </w:p>
        </w:tc>
        <w:tc>
          <w:tcPr>
            <w:tcW w:w="7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left"/>
              <w:textAlignment w:val="center"/>
              <w:rPr>
                <w:rFonts w:ascii="宋体" w:cs="宋体" w:hAnsi="宋体"/>
                <w:color w:val="000000"/>
                <w:sz w:val="18"/>
                <w:szCs w:val="18"/>
              </w:rPr>
            </w:pPr>
            <w:r>
              <w:rPr>
                <w:rFonts w:ascii="宋体" w:cs="宋体" w:hAnsi="宋体" w:hint="eastAsia"/>
                <w:color w:val="000000"/>
                <w:kern w:val="0"/>
                <w:sz w:val="18"/>
                <w:szCs w:val="18"/>
              </w:rPr>
              <w:t>≥</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hAnsi="宋体"/>
                <w:color w:val="000000"/>
                <w:sz w:val="18"/>
                <w:szCs w:val="18"/>
              </w:rPr>
            </w:pPr>
            <w:r>
              <w:rPr>
                <w:rFonts w:ascii="宋体" w:hAnsi="宋体"/>
                <w:sz w:val="18"/>
                <w:szCs w:val="18"/>
              </w:rPr>
              <w:t>98%</w:t>
            </w:r>
          </w:p>
        </w:tc>
        <w:tc>
          <w:tcPr>
            <w:tcW w:w="1361" w:type="dxa"/>
            <w:tcBorders>
              <w:top w:val="single" w:sz="4" w:space="0" w:color="000000"/>
              <w:left w:val="single" w:sz="4" w:space="0" w:color="000000"/>
              <w:bottom w:val="single" w:sz="4" w:space="0" w:color="000000"/>
              <w:right w:val="single" w:sz="4" w:space="0" w:color="000000"/>
            </w:tcBorders>
            <w:shd w:val="clear" w:color="auto" w:fill="auto"/>
            <w:vAlign w:val="center"/>
          </w:tcPr>
          <w:p>
            <w:pPr>
              <w:spacing w:line="300" w:lineRule="exact"/>
              <w:jc w:val="left"/>
              <w:rPr>
                <w:rFonts w:ascii="宋体" w:hAnsi="宋体"/>
                <w:sz w:val="18"/>
                <w:szCs w:val="18"/>
              </w:rPr>
            </w:pPr>
            <w:r>
              <w:rPr>
                <w:rFonts w:ascii="宋体" w:hAnsi="宋体" w:hint="eastAsia"/>
                <w:sz w:val="18"/>
                <w:szCs w:val="18"/>
              </w:rPr>
              <w:t>承办案件结案后审核通过率</w:t>
            </w:r>
          </w:p>
        </w:tc>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pPr>
              <w:spacing w:line="300" w:lineRule="exact"/>
              <w:jc w:val="left"/>
              <w:rPr>
                <w:rFonts w:ascii="宋体" w:hAnsi="宋体"/>
                <w:sz w:val="18"/>
                <w:szCs w:val="18"/>
              </w:rPr>
            </w:pPr>
            <w:r>
              <w:rPr>
                <w:rFonts w:ascii="宋体" w:hAnsi="宋体" w:hint="eastAsia"/>
                <w:sz w:val="18"/>
                <w:szCs w:val="18"/>
              </w:rPr>
              <w:t>根据执纪</w:t>
            </w:r>
            <w:r>
              <w:rPr>
                <w:rFonts w:ascii="宋体" w:hAnsi="宋体"/>
                <w:sz w:val="18"/>
                <w:szCs w:val="18"/>
              </w:rPr>
              <w:t>执法</w:t>
            </w:r>
            <w:r>
              <w:rPr>
                <w:rFonts w:ascii="宋体" w:hAnsi="宋体" w:hint="eastAsia"/>
                <w:sz w:val="18"/>
                <w:szCs w:val="18"/>
              </w:rPr>
              <w:t>规则</w:t>
            </w:r>
          </w:p>
        </w:tc>
      </w:tr>
      <w:tr>
        <w:trPr>
          <w:trHeight w:val="675"/>
        </w:trPr>
        <w:tc>
          <w:tcPr>
            <w:tcW w:w="1371" w:type="dxa"/>
            <w:vMerge/>
            <w:tcBorders>
              <w:top w:val="single" w:sz="4" w:space="0" w:color="000000"/>
              <w:left w:val="single" w:sz="4" w:space="0" w:color="auto"/>
              <w:bottom w:val="single" w:sz="4" w:space="0" w:color="000000"/>
              <w:right w:val="single" w:sz="4" w:space="0" w:color="auto"/>
            </w:tcBorders>
            <w:shd w:val="clear" w:color="auto" w:fill="auto"/>
            <w:vAlign w:val="center"/>
          </w:tcPr>
          <w:p/>
        </w:tc>
        <w:tc>
          <w:tcPr>
            <w:tcW w:w="1141" w:type="dxa"/>
            <w:tcBorders>
              <w:top w:val="single" w:sz="4" w:space="0" w:color="000000"/>
              <w:left w:val="single" w:sz="4" w:space="0" w:color="auto"/>
              <w:bottom w:val="single" w:sz="4" w:space="0" w:color="000000"/>
              <w:right w:val="single" w:sz="4" w:space="0" w:color="000000"/>
            </w:tcBorders>
            <w:shd w:val="clear" w:color="auto" w:fill="auto"/>
            <w:vAlign w:val="center"/>
          </w:tcPr>
          <w:p>
            <w:pPr>
              <w:widowControl/>
              <w:jc w:val="left"/>
              <w:textAlignment w:val="center"/>
              <w:rPr>
                <w:rFonts w:ascii="宋体" w:cs="宋体" w:hAnsi="宋体"/>
                <w:color w:val="000000"/>
                <w:sz w:val="18"/>
                <w:szCs w:val="18"/>
              </w:rPr>
            </w:pPr>
            <w:r>
              <w:rPr>
                <w:rFonts w:ascii="宋体" w:cs="宋体" w:hAnsi="宋体" w:hint="eastAsia"/>
                <w:color w:val="000000"/>
                <w:kern w:val="0"/>
                <w:sz w:val="18"/>
                <w:szCs w:val="18"/>
              </w:rPr>
              <w:t>时效指标</w:t>
            </w:r>
          </w:p>
        </w:tc>
        <w:tc>
          <w:tcPr>
            <w:tcW w:w="129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left"/>
              <w:textAlignment w:val="center"/>
              <w:rPr>
                <w:rFonts w:ascii="宋体" w:cs="宋体" w:hAnsi="宋体"/>
                <w:color w:val="000000"/>
                <w:sz w:val="18"/>
                <w:szCs w:val="18"/>
              </w:rPr>
            </w:pPr>
            <w:r>
              <w:rPr>
                <w:rFonts w:ascii="宋体" w:hAnsi="宋体" w:hint="eastAsia"/>
                <w:sz w:val="18"/>
                <w:szCs w:val="18"/>
              </w:rPr>
              <w:t>监督检查完成及时率</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pPr>
              <w:spacing w:line="300" w:lineRule="exact"/>
              <w:jc w:val="left"/>
              <w:rPr>
                <w:rFonts w:ascii="宋体" w:hAnsi="宋体"/>
                <w:sz w:val="18"/>
                <w:szCs w:val="18"/>
              </w:rPr>
            </w:pPr>
            <w:r>
              <w:rPr>
                <w:rFonts w:ascii="宋体" w:hAnsi="宋体" w:hint="eastAsia"/>
                <w:sz w:val="18"/>
                <w:szCs w:val="18"/>
              </w:rPr>
              <w:t>监督检查完成及时率</w:t>
            </w:r>
          </w:p>
        </w:tc>
        <w:tc>
          <w:tcPr>
            <w:tcW w:w="653" w:type="dxa"/>
            <w:tcBorders>
              <w:top w:val="single" w:sz="4" w:space="0" w:color="000000"/>
              <w:left w:val="single" w:sz="4" w:space="0" w:color="000000"/>
              <w:bottom w:val="single" w:sz="4" w:space="0" w:color="000000"/>
              <w:right w:val="single" w:sz="4" w:space="0" w:color="000000"/>
            </w:tcBorders>
            <w:shd w:val="clear" w:color="auto" w:fill="auto"/>
          </w:tcPr>
          <w:p>
            <w:pPr>
              <w:widowControl/>
              <w:jc w:val="left"/>
              <w:textAlignment w:val="top"/>
              <w:rPr>
                <w:rFonts w:ascii="宋体" w:cs="宋体" w:hAnsi="宋体"/>
                <w:color w:val="000000"/>
                <w:sz w:val="18"/>
                <w:szCs w:val="18"/>
              </w:rPr>
            </w:pPr>
            <w:r>
              <w:rPr>
                <w:rFonts w:ascii="宋体" w:cs="宋体" w:hAnsi="宋体" w:hint="eastAsia"/>
                <w:color w:val="000000"/>
                <w:kern w:val="0"/>
                <w:sz w:val="18"/>
                <w:szCs w:val="18"/>
              </w:rPr>
              <w:t>无</w:t>
            </w:r>
          </w:p>
        </w:tc>
        <w:tc>
          <w:tcPr>
            <w:tcW w:w="7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left"/>
              <w:textAlignment w:val="center"/>
              <w:rPr>
                <w:rFonts w:ascii="宋体" w:cs="宋体" w:hAnsi="宋体"/>
                <w:color w:val="000000"/>
                <w:sz w:val="18"/>
                <w:szCs w:val="18"/>
              </w:rPr>
            </w:pPr>
            <w:r>
              <w:rPr>
                <w:rFonts w:ascii="宋体" w:cs="宋体" w:hAnsi="宋体" w:hint="eastAsia"/>
                <w:color w:val="000000"/>
                <w:kern w:val="0"/>
                <w:sz w:val="18"/>
                <w:szCs w:val="18"/>
              </w:rPr>
              <w:t>≥</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hAnsi="宋体"/>
                <w:color w:val="000000"/>
                <w:sz w:val="18"/>
                <w:szCs w:val="18"/>
              </w:rPr>
            </w:pPr>
            <w:r>
              <w:rPr>
                <w:rFonts w:ascii="宋体" w:cs="宋体" w:hAnsi="宋体" w:hint="eastAsia"/>
                <w:color w:val="000000"/>
                <w:kern w:val="0"/>
                <w:sz w:val="18"/>
                <w:szCs w:val="18"/>
              </w:rPr>
              <w:t>98%</w:t>
            </w:r>
          </w:p>
        </w:tc>
        <w:tc>
          <w:tcPr>
            <w:tcW w:w="1361" w:type="dxa"/>
            <w:tcBorders>
              <w:top w:val="single" w:sz="4" w:space="0" w:color="000000"/>
              <w:left w:val="single" w:sz="4" w:space="0" w:color="000000"/>
              <w:bottom w:val="single" w:sz="4" w:space="0" w:color="000000"/>
              <w:right w:val="single" w:sz="4" w:space="0" w:color="000000"/>
            </w:tcBorders>
            <w:shd w:val="clear" w:color="auto" w:fill="auto"/>
            <w:vAlign w:val="center"/>
          </w:tcPr>
          <w:p>
            <w:pPr>
              <w:spacing w:line="300" w:lineRule="exact"/>
              <w:jc w:val="left"/>
              <w:rPr>
                <w:rFonts w:ascii="宋体" w:hAnsi="宋体"/>
                <w:sz w:val="18"/>
                <w:szCs w:val="18"/>
              </w:rPr>
            </w:pPr>
            <w:r>
              <w:rPr>
                <w:rFonts w:ascii="宋体" w:hAnsi="宋体" w:hint="eastAsia"/>
                <w:sz w:val="18"/>
                <w:szCs w:val="18"/>
              </w:rPr>
              <w:t>监督</w:t>
            </w:r>
            <w:r>
              <w:rPr>
                <w:rFonts w:ascii="宋体" w:hAnsi="宋体"/>
                <w:sz w:val="18"/>
                <w:szCs w:val="18"/>
              </w:rPr>
              <w:t>检查</w:t>
            </w:r>
            <w:r>
              <w:rPr>
                <w:rFonts w:ascii="宋体" w:hAnsi="宋体" w:hint="eastAsia"/>
                <w:sz w:val="18"/>
                <w:szCs w:val="18"/>
              </w:rPr>
              <w:t>按时完成率</w:t>
            </w:r>
          </w:p>
        </w:tc>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pPr>
              <w:spacing w:line="300" w:lineRule="exact"/>
              <w:jc w:val="left"/>
              <w:rPr>
                <w:rFonts w:ascii="宋体" w:hAnsi="宋体"/>
                <w:sz w:val="18"/>
                <w:szCs w:val="18"/>
              </w:rPr>
            </w:pPr>
            <w:r>
              <w:rPr>
                <w:rFonts w:ascii="宋体" w:hAnsi="宋体" w:hint="eastAsia"/>
                <w:sz w:val="18"/>
                <w:szCs w:val="18"/>
              </w:rPr>
              <w:t>根据工作计划</w:t>
            </w:r>
          </w:p>
        </w:tc>
      </w:tr>
      <w:tr>
        <w:trPr>
          <w:trHeight w:val="675"/>
        </w:trPr>
        <w:tc>
          <w:tcPr>
            <w:tcW w:w="1081" w:type="dxa"/>
            <w:tcBorders>
              <w:top w:val="single" w:sz="4" w:space="0" w:color="000000"/>
              <w:left w:val="single" w:sz="4" w:space="0" w:color="auto"/>
              <w:bottom w:val="single" w:sz="4" w:space="0" w:color="auto"/>
              <w:right w:val="single" w:sz="4" w:space="0" w:color="auto"/>
            </w:tcBorders>
            <w:shd w:val="clear" w:color="auto" w:fill="auto"/>
            <w:vAlign w:val="center"/>
          </w:tcPr>
          <w:p>
            <w:pPr>
              <w:jc w:val="center"/>
              <w:rPr>
                <w:rFonts w:ascii="宋体" w:cs="宋体" w:hAnsi="宋体"/>
                <w:b/>
                <w:color w:val="000000"/>
                <w:sz w:val="18"/>
                <w:szCs w:val="18"/>
              </w:rPr>
            </w:pPr>
          </w:p>
        </w:tc>
        <w:tc>
          <w:tcPr>
            <w:tcW w:w="1141" w:type="dxa"/>
            <w:tcBorders>
              <w:top w:val="single" w:sz="4" w:space="0" w:color="000000"/>
              <w:left w:val="single" w:sz="4" w:space="0" w:color="auto"/>
              <w:bottom w:val="single" w:sz="4" w:space="0" w:color="000000"/>
              <w:right w:val="single" w:sz="4" w:space="0" w:color="000000"/>
            </w:tcBorders>
            <w:shd w:val="clear" w:color="auto" w:fill="auto"/>
            <w:vAlign w:val="center"/>
          </w:tcPr>
          <w:p>
            <w:pPr>
              <w:spacing w:line="300" w:lineRule="exact"/>
              <w:jc w:val="left"/>
              <w:rPr>
                <w:rFonts w:ascii="方正书宋_GBK" w:eastAsia="方正书宋_GBK"/>
              </w:rPr>
            </w:pPr>
            <w:r>
              <w:rPr>
                <w:rFonts w:ascii="方正书宋_GBK" w:eastAsia="方正书宋_GBK" w:hint="eastAsia"/>
              </w:rPr>
              <w:t>成本指标</w:t>
            </w:r>
          </w:p>
        </w:tc>
        <w:tc>
          <w:tcPr>
            <w:tcW w:w="1291" w:type="dxa"/>
            <w:tcBorders>
              <w:top w:val="single" w:sz="4" w:space="0" w:color="000000"/>
              <w:left w:val="single" w:sz="4" w:space="0" w:color="000000"/>
              <w:bottom w:val="single" w:sz="4" w:space="0" w:color="000000"/>
              <w:right w:val="single" w:sz="4" w:space="0" w:color="000000"/>
            </w:tcBorders>
            <w:shd w:val="clear" w:color="auto" w:fill="auto"/>
            <w:vAlign w:val="center"/>
          </w:tcPr>
          <w:p>
            <w:pPr>
              <w:spacing w:line="300" w:lineRule="exact"/>
              <w:jc w:val="left"/>
              <w:rPr>
                <w:rFonts w:ascii="宋体" w:hAnsi="宋体"/>
                <w:sz w:val="18"/>
                <w:szCs w:val="18"/>
              </w:rPr>
            </w:pPr>
            <w:r>
              <w:rPr>
                <w:rFonts w:ascii="宋体" w:hAnsi="宋体" w:hint="eastAsia"/>
                <w:sz w:val="18"/>
                <w:szCs w:val="18"/>
              </w:rPr>
              <w:t>接待标准</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pPr>
              <w:spacing w:line="300" w:lineRule="exact"/>
              <w:jc w:val="left"/>
              <w:rPr>
                <w:rFonts w:ascii="宋体" w:hAnsi="宋体"/>
                <w:sz w:val="18"/>
                <w:szCs w:val="18"/>
              </w:rPr>
            </w:pPr>
            <w:r>
              <w:rPr>
                <w:rFonts w:ascii="宋体" w:hAnsi="宋体" w:hint="eastAsia"/>
                <w:sz w:val="18"/>
                <w:szCs w:val="18"/>
              </w:rPr>
              <w:t>来区执纪监督人员的接待费用</w:t>
            </w:r>
          </w:p>
        </w:tc>
        <w:tc>
          <w:tcPr>
            <w:tcW w:w="653" w:type="dxa"/>
            <w:tcBorders>
              <w:top w:val="single" w:sz="4" w:space="0" w:color="000000"/>
              <w:left w:val="single" w:sz="4" w:space="0" w:color="000000"/>
              <w:bottom w:val="single" w:sz="4" w:space="0" w:color="000000"/>
              <w:right w:val="single" w:sz="4" w:space="0" w:color="000000"/>
            </w:tcBorders>
            <w:shd w:val="clear" w:color="auto" w:fill="auto"/>
          </w:tcPr>
          <w:p>
            <w:pPr>
              <w:widowControl/>
              <w:jc w:val="left"/>
              <w:textAlignment w:val="top"/>
              <w:rPr>
                <w:rFonts w:ascii="宋体" w:cs="宋体" w:hAnsi="宋体"/>
                <w:color w:val="000000"/>
                <w:kern w:val="0"/>
                <w:sz w:val="18"/>
                <w:szCs w:val="18"/>
              </w:rPr>
            </w:pPr>
            <w:r>
              <w:rPr>
                <w:rFonts w:ascii="宋体" w:cs="宋体" w:hAnsi="宋体" w:hint="eastAsia"/>
                <w:color w:val="000000"/>
                <w:kern w:val="0"/>
                <w:sz w:val="18"/>
                <w:szCs w:val="18"/>
              </w:rPr>
              <w:t>无</w:t>
            </w:r>
          </w:p>
        </w:tc>
        <w:tc>
          <w:tcPr>
            <w:tcW w:w="7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left"/>
              <w:textAlignment w:val="center"/>
              <w:rPr>
                <w:rFonts w:ascii="宋体" w:cs="宋体" w:hAnsi="宋体"/>
                <w:color w:val="000000"/>
                <w:kern w:val="0"/>
                <w:sz w:val="18"/>
                <w:szCs w:val="18"/>
              </w:rPr>
            </w:pPr>
            <w:r>
              <w:rPr>
                <w:rFonts w:ascii="宋体" w:hAnsi="宋体" w:hint="eastAsia"/>
                <w:sz w:val="18"/>
                <w:szCs w:val="18"/>
              </w:rPr>
              <w:t>≤</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hAnsi="宋体"/>
                <w:color w:val="000000"/>
                <w:kern w:val="0"/>
                <w:sz w:val="18"/>
                <w:szCs w:val="18"/>
              </w:rPr>
            </w:pPr>
            <w:r>
              <w:rPr>
                <w:rFonts w:ascii="宋体" w:hAnsi="宋体"/>
                <w:sz w:val="18"/>
                <w:szCs w:val="18"/>
              </w:rPr>
              <w:t>200</w:t>
            </w:r>
            <w:r>
              <w:rPr>
                <w:rFonts w:ascii="宋体" w:hAnsi="宋体" w:hint="eastAsia"/>
                <w:sz w:val="18"/>
                <w:szCs w:val="18"/>
              </w:rPr>
              <w:t>元</w:t>
            </w:r>
          </w:p>
        </w:tc>
        <w:tc>
          <w:tcPr>
            <w:tcW w:w="1361" w:type="dxa"/>
            <w:tcBorders>
              <w:top w:val="single" w:sz="4" w:space="0" w:color="000000"/>
              <w:left w:val="single" w:sz="4" w:space="0" w:color="000000"/>
              <w:bottom w:val="single" w:sz="4" w:space="0" w:color="000000"/>
              <w:right w:val="single" w:sz="4" w:space="0" w:color="000000"/>
            </w:tcBorders>
            <w:shd w:val="clear" w:color="auto" w:fill="auto"/>
            <w:vAlign w:val="center"/>
          </w:tcPr>
          <w:p>
            <w:pPr>
              <w:spacing w:line="300" w:lineRule="exact"/>
              <w:jc w:val="left"/>
              <w:rPr>
                <w:rFonts w:ascii="宋体" w:hAnsi="宋体"/>
                <w:sz w:val="18"/>
                <w:szCs w:val="18"/>
              </w:rPr>
            </w:pPr>
            <w:r>
              <w:rPr>
                <w:rFonts w:ascii="宋体" w:hAnsi="宋体" w:hint="eastAsia"/>
                <w:sz w:val="18"/>
                <w:szCs w:val="18"/>
              </w:rPr>
              <w:t>来区监督执纪人员人</w:t>
            </w:r>
            <w:r>
              <w:rPr>
                <w:rFonts w:ascii="宋体" w:hAnsi="宋体"/>
                <w:sz w:val="18"/>
                <w:szCs w:val="18"/>
              </w:rPr>
              <w:t>/</w:t>
            </w:r>
            <w:r>
              <w:rPr>
                <w:rFonts w:ascii="宋体" w:hAnsi="宋体" w:hint="eastAsia"/>
                <w:sz w:val="18"/>
                <w:szCs w:val="18"/>
              </w:rPr>
              <w:t>天不超过</w:t>
            </w:r>
            <w:r>
              <w:rPr>
                <w:rFonts w:ascii="宋体" w:hAnsi="宋体"/>
                <w:sz w:val="18"/>
                <w:szCs w:val="18"/>
              </w:rPr>
              <w:t>200</w:t>
            </w:r>
            <w:r>
              <w:rPr>
                <w:rFonts w:ascii="宋体" w:hAnsi="宋体" w:hint="eastAsia"/>
                <w:sz w:val="18"/>
                <w:szCs w:val="18"/>
              </w:rPr>
              <w:t>元</w:t>
            </w:r>
          </w:p>
        </w:tc>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pPr>
              <w:spacing w:line="300" w:lineRule="exact"/>
              <w:jc w:val="left"/>
              <w:rPr>
                <w:rFonts w:ascii="宋体" w:hAnsi="宋体"/>
                <w:sz w:val="18"/>
                <w:szCs w:val="18"/>
              </w:rPr>
            </w:pPr>
            <w:r>
              <w:rPr>
                <w:rFonts w:ascii="宋体" w:hAnsi="宋体" w:hint="eastAsia"/>
                <w:sz w:val="18"/>
                <w:szCs w:val="18"/>
              </w:rPr>
              <w:t>按照接待标准执行</w:t>
            </w:r>
          </w:p>
        </w:tc>
      </w:tr>
      <w:tr>
        <w:trPr>
          <w:trHeight w:val="1050"/>
        </w:trPr>
        <w:tc>
          <w:tcPr>
            <w:tcW w:w="1081" w:type="dxa"/>
            <w:tcBorders>
              <w:top w:val="single" w:sz="4" w:space="0" w:color="auto"/>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hAnsi="宋体"/>
                <w:b/>
                <w:color w:val="000000"/>
                <w:sz w:val="18"/>
                <w:szCs w:val="18"/>
              </w:rPr>
            </w:pPr>
            <w:r>
              <w:rPr>
                <w:rFonts w:ascii="宋体" w:cs="宋体" w:hAnsi="宋体" w:hint="eastAsia"/>
                <w:b/>
                <w:color w:val="000000"/>
                <w:kern w:val="0"/>
                <w:sz w:val="18"/>
                <w:szCs w:val="18"/>
              </w:rPr>
              <w:t>效益指标</w:t>
            </w:r>
          </w:p>
        </w:tc>
        <w:tc>
          <w:tcPr>
            <w:tcW w:w="11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left"/>
              <w:textAlignment w:val="center"/>
              <w:rPr>
                <w:rFonts w:ascii="宋体" w:cs="宋体" w:hAnsi="宋体"/>
                <w:color w:val="000000"/>
                <w:sz w:val="18"/>
                <w:szCs w:val="18"/>
              </w:rPr>
            </w:pPr>
            <w:r>
              <w:rPr>
                <w:rFonts w:ascii="宋体" w:cs="宋体" w:hAnsi="宋体" w:hint="eastAsia"/>
                <w:color w:val="000000"/>
                <w:kern w:val="0"/>
                <w:sz w:val="18"/>
                <w:szCs w:val="18"/>
              </w:rPr>
              <w:t>社会效益指标</w:t>
            </w:r>
          </w:p>
        </w:tc>
        <w:tc>
          <w:tcPr>
            <w:tcW w:w="1291" w:type="dxa"/>
            <w:tcBorders>
              <w:top w:val="single" w:sz="4" w:space="0" w:color="000000"/>
              <w:left w:val="single" w:sz="4" w:space="0" w:color="000000"/>
              <w:bottom w:val="single" w:sz="4" w:space="0" w:color="000000"/>
              <w:right w:val="single" w:sz="4" w:space="0" w:color="000000"/>
            </w:tcBorders>
            <w:shd w:val="clear" w:color="auto" w:fill="auto"/>
            <w:vAlign w:val="center"/>
          </w:tcPr>
          <w:p>
            <w:pPr>
              <w:spacing w:line="300" w:lineRule="exact"/>
              <w:jc w:val="left"/>
              <w:rPr>
                <w:rFonts w:ascii="宋体" w:hAnsi="宋体"/>
                <w:sz w:val="18"/>
                <w:szCs w:val="18"/>
              </w:rPr>
            </w:pPr>
            <w:r>
              <w:rPr>
                <w:rFonts w:ascii="宋体" w:hAnsi="宋体" w:hint="eastAsia"/>
                <w:sz w:val="18"/>
                <w:szCs w:val="18"/>
              </w:rPr>
              <w:t>提升人员素质</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pPr>
              <w:spacing w:line="300" w:lineRule="exact"/>
              <w:jc w:val="left"/>
              <w:rPr>
                <w:rFonts w:ascii="宋体" w:hAnsi="宋体"/>
                <w:sz w:val="18"/>
                <w:szCs w:val="18"/>
              </w:rPr>
            </w:pPr>
            <w:r>
              <w:rPr>
                <w:rFonts w:ascii="宋体" w:hAnsi="宋体" w:hint="eastAsia"/>
                <w:sz w:val="18"/>
                <w:szCs w:val="18"/>
              </w:rPr>
              <w:t>提升被检查对象人员素质</w:t>
            </w:r>
          </w:p>
        </w:tc>
        <w:tc>
          <w:tcPr>
            <w:tcW w:w="653" w:type="dxa"/>
            <w:tcBorders>
              <w:top w:val="single" w:sz="4" w:space="0" w:color="000000"/>
              <w:left w:val="single" w:sz="4" w:space="0" w:color="000000"/>
              <w:bottom w:val="single" w:sz="4" w:space="0" w:color="000000"/>
              <w:right w:val="single" w:sz="4" w:space="0" w:color="000000"/>
            </w:tcBorders>
            <w:shd w:val="clear" w:color="auto" w:fill="auto"/>
          </w:tcPr>
          <w:p>
            <w:pPr>
              <w:widowControl/>
              <w:jc w:val="left"/>
              <w:textAlignment w:val="top"/>
              <w:rPr>
                <w:rFonts w:ascii="宋体" w:cs="宋体" w:hAnsi="宋体"/>
                <w:color w:val="000000"/>
                <w:sz w:val="18"/>
                <w:szCs w:val="18"/>
              </w:rPr>
            </w:pPr>
            <w:r>
              <w:rPr>
                <w:rFonts w:ascii="宋体" w:cs="宋体" w:hAnsi="宋体" w:hint="eastAsia"/>
                <w:color w:val="000000"/>
                <w:kern w:val="0"/>
                <w:sz w:val="18"/>
                <w:szCs w:val="18"/>
              </w:rPr>
              <w:t>无</w:t>
            </w:r>
          </w:p>
        </w:tc>
        <w:tc>
          <w:tcPr>
            <w:tcW w:w="7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left"/>
              <w:textAlignment w:val="center"/>
              <w:rPr>
                <w:rFonts w:ascii="宋体" w:cs="宋体" w:hAnsi="宋体"/>
                <w:color w:val="000000"/>
                <w:sz w:val="18"/>
                <w:szCs w:val="18"/>
              </w:rPr>
            </w:pPr>
            <w:r>
              <w:rPr>
                <w:rFonts w:ascii="宋体" w:hAnsi="宋体" w:hint="eastAsia"/>
                <w:sz w:val="18"/>
                <w:szCs w:val="18"/>
              </w:rPr>
              <w:t>≥</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cs="宋体" w:hAnsi="宋体"/>
                <w:color w:val="000000"/>
                <w:sz w:val="18"/>
                <w:szCs w:val="18"/>
              </w:rPr>
            </w:pPr>
            <w:r>
              <w:rPr>
                <w:rFonts w:ascii="宋体" w:hAnsi="宋体"/>
                <w:sz w:val="18"/>
                <w:szCs w:val="18"/>
              </w:rPr>
              <w:t>20</w:t>
            </w:r>
            <w:r>
              <w:rPr>
                <w:rFonts w:ascii="宋体" w:hAnsi="宋体" w:hint="eastAsia"/>
                <w:sz w:val="18"/>
                <w:szCs w:val="18"/>
              </w:rPr>
              <w:t>人</w:t>
            </w:r>
          </w:p>
        </w:tc>
        <w:tc>
          <w:tcPr>
            <w:tcW w:w="136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left"/>
              <w:textAlignment w:val="center"/>
              <w:rPr>
                <w:rFonts w:ascii="宋体" w:cs="宋体" w:hAnsi="宋体"/>
                <w:color w:val="000000"/>
                <w:sz w:val="18"/>
                <w:szCs w:val="18"/>
              </w:rPr>
            </w:pPr>
            <w:r>
              <w:rPr>
                <w:rFonts w:ascii="宋体" w:hAnsi="宋体" w:hint="eastAsia"/>
                <w:sz w:val="18"/>
                <w:szCs w:val="18"/>
              </w:rPr>
              <w:t>受教育人员数量</w:t>
            </w:r>
          </w:p>
        </w:tc>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left"/>
              <w:textAlignment w:val="center"/>
              <w:rPr>
                <w:rFonts w:ascii="宋体" w:cs="宋体" w:hAnsi="宋体"/>
                <w:color w:val="000000"/>
                <w:sz w:val="18"/>
                <w:szCs w:val="18"/>
              </w:rPr>
            </w:pPr>
            <w:r>
              <w:rPr>
                <w:rFonts w:ascii="宋体" w:hAnsi="宋体" w:hint="eastAsia"/>
                <w:sz w:val="18"/>
                <w:szCs w:val="18"/>
              </w:rPr>
              <w:t>通过日常执纪</w:t>
            </w:r>
            <w:r>
              <w:rPr>
                <w:rFonts w:ascii="宋体" w:hAnsi="宋体"/>
                <w:sz w:val="18"/>
                <w:szCs w:val="18"/>
              </w:rPr>
              <w:t>执法</w:t>
            </w:r>
            <w:r>
              <w:rPr>
                <w:rFonts w:ascii="宋体" w:hAnsi="宋体" w:hint="eastAsia"/>
                <w:sz w:val="18"/>
                <w:szCs w:val="18"/>
              </w:rPr>
              <w:t>，被</w:t>
            </w:r>
            <w:r>
              <w:rPr>
                <w:rFonts w:ascii="宋体" w:hAnsi="宋体"/>
                <w:sz w:val="18"/>
                <w:szCs w:val="18"/>
              </w:rPr>
              <w:t>审查</w:t>
            </w:r>
            <w:r>
              <w:rPr>
                <w:rFonts w:ascii="宋体" w:hAnsi="宋体" w:hint="eastAsia"/>
                <w:sz w:val="18"/>
                <w:szCs w:val="18"/>
              </w:rPr>
              <w:t>调查人受教育改过人次</w:t>
            </w:r>
          </w:p>
        </w:tc>
      </w:tr>
      <w:tr>
        <w:trPr>
          <w:trHeight w:val="840"/>
        </w:trPr>
        <w:tc>
          <w:tcPr>
            <w:tcW w:w="108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rFonts w:ascii="宋体" w:cs="宋体" w:hAnsi="宋体"/>
                <w:b/>
                <w:color w:val="000000"/>
                <w:sz w:val="18"/>
                <w:szCs w:val="18"/>
              </w:rPr>
            </w:pPr>
            <w:r>
              <w:rPr>
                <w:rFonts w:ascii="宋体" w:cs="宋体" w:hAnsi="宋体" w:hint="eastAsia"/>
                <w:b/>
                <w:color w:val="000000"/>
                <w:kern w:val="0"/>
                <w:sz w:val="18"/>
                <w:szCs w:val="18"/>
              </w:rPr>
              <w:t>满意度指标</w:t>
            </w:r>
          </w:p>
        </w:tc>
        <w:tc>
          <w:tcPr>
            <w:tcW w:w="114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left"/>
              <w:textAlignment w:val="center"/>
              <w:rPr>
                <w:rFonts w:ascii="宋体" w:cs="宋体" w:hAnsi="宋体"/>
                <w:color w:val="000000"/>
                <w:sz w:val="18"/>
                <w:szCs w:val="18"/>
              </w:rPr>
            </w:pPr>
            <w:r>
              <w:rPr>
                <w:rFonts w:ascii="宋体" w:cs="宋体" w:hAnsi="宋体" w:hint="eastAsia"/>
                <w:color w:val="000000"/>
                <w:kern w:val="0"/>
                <w:sz w:val="18"/>
                <w:szCs w:val="18"/>
              </w:rPr>
              <w:t>服务对象满意度指标</w:t>
            </w:r>
          </w:p>
        </w:tc>
        <w:tc>
          <w:tcPr>
            <w:tcW w:w="129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left"/>
              <w:textAlignment w:val="center"/>
              <w:rPr>
                <w:rFonts w:ascii="宋体" w:cs="宋体" w:hAnsi="宋体"/>
                <w:color w:val="000000"/>
                <w:sz w:val="18"/>
                <w:szCs w:val="18"/>
              </w:rPr>
            </w:pPr>
            <w:r>
              <w:rPr>
                <w:rFonts w:ascii="宋体" w:cs="宋体" w:hAnsi="宋体" w:hint="eastAsia"/>
                <w:color w:val="000000"/>
                <w:kern w:val="0"/>
                <w:sz w:val="18"/>
                <w:szCs w:val="18"/>
              </w:rPr>
              <w:t>受益对象的满意度</w:t>
            </w:r>
          </w:p>
        </w:tc>
        <w:tc>
          <w:tcPr>
            <w:tcW w:w="121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left"/>
              <w:textAlignment w:val="center"/>
              <w:rPr>
                <w:rFonts w:ascii="宋体" w:cs="宋体" w:hAnsi="宋体"/>
                <w:color w:val="000000"/>
                <w:sz w:val="18"/>
                <w:szCs w:val="18"/>
              </w:rPr>
            </w:pPr>
            <w:r>
              <w:rPr>
                <w:rFonts w:ascii="宋体" w:cs="宋体" w:hAnsi="宋体" w:hint="eastAsia"/>
                <w:color w:val="000000"/>
                <w:kern w:val="0"/>
                <w:sz w:val="18"/>
                <w:szCs w:val="18"/>
              </w:rPr>
              <w:t>受益对象的满意度</w:t>
            </w:r>
          </w:p>
        </w:tc>
        <w:tc>
          <w:tcPr>
            <w:tcW w:w="653" w:type="dxa"/>
            <w:tcBorders>
              <w:top w:val="single" w:sz="4" w:space="0" w:color="000000"/>
              <w:left w:val="single" w:sz="4" w:space="0" w:color="000000"/>
              <w:bottom w:val="single" w:sz="4" w:space="0" w:color="000000"/>
              <w:right w:val="single" w:sz="4" w:space="0" w:color="000000"/>
            </w:tcBorders>
            <w:shd w:val="clear" w:color="auto" w:fill="auto"/>
          </w:tcPr>
          <w:p>
            <w:pPr>
              <w:widowControl/>
              <w:jc w:val="left"/>
              <w:textAlignment w:val="top"/>
              <w:rPr>
                <w:rFonts w:ascii="宋体" w:cs="宋体" w:hAnsi="宋体"/>
                <w:color w:val="000000"/>
                <w:sz w:val="18"/>
                <w:szCs w:val="18"/>
              </w:rPr>
            </w:pPr>
            <w:r>
              <w:rPr>
                <w:rFonts w:ascii="宋体" w:cs="宋体" w:hAnsi="宋体" w:hint="eastAsia"/>
                <w:color w:val="000000"/>
                <w:kern w:val="0"/>
                <w:sz w:val="18"/>
                <w:szCs w:val="18"/>
              </w:rPr>
              <w:t>无</w:t>
            </w:r>
          </w:p>
        </w:tc>
        <w:tc>
          <w:tcPr>
            <w:tcW w:w="76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left"/>
              <w:textAlignment w:val="center"/>
              <w:rPr>
                <w:rFonts w:ascii="宋体" w:cs="宋体" w:hAnsi="宋体"/>
                <w:color w:val="000000"/>
                <w:sz w:val="18"/>
                <w:szCs w:val="18"/>
              </w:rPr>
            </w:pPr>
            <w:r>
              <w:rPr>
                <w:rFonts w:ascii="宋体" w:cs="宋体" w:hAnsi="宋体" w:hint="eastAsia"/>
                <w:color w:val="000000"/>
                <w:kern w:val="0"/>
                <w:sz w:val="18"/>
                <w:szCs w:val="18"/>
              </w:rPr>
              <w:t>≥</w:t>
            </w:r>
          </w:p>
        </w:tc>
        <w:tc>
          <w:tcPr>
            <w:tcW w:w="74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right"/>
              <w:textAlignment w:val="center"/>
              <w:rPr>
                <w:rFonts w:ascii="宋体" w:cs="宋体" w:hAnsi="宋体"/>
                <w:color w:val="000000"/>
                <w:sz w:val="18"/>
                <w:szCs w:val="18"/>
              </w:rPr>
            </w:pPr>
            <w:r>
              <w:rPr>
                <w:rFonts w:ascii="宋体" w:cs="宋体" w:hAnsi="宋体" w:hint="eastAsia"/>
                <w:color w:val="000000"/>
                <w:kern w:val="0"/>
                <w:sz w:val="18"/>
                <w:szCs w:val="18"/>
              </w:rPr>
              <w:t>90.00</w:t>
            </w:r>
          </w:p>
        </w:tc>
        <w:tc>
          <w:tcPr>
            <w:tcW w:w="136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left"/>
              <w:textAlignment w:val="center"/>
              <w:rPr>
                <w:rFonts w:ascii="宋体" w:cs="宋体" w:hAnsi="宋体"/>
                <w:color w:val="000000"/>
                <w:sz w:val="18"/>
                <w:szCs w:val="18"/>
              </w:rPr>
            </w:pPr>
            <w:r>
              <w:rPr>
                <w:rFonts w:ascii="宋体" w:cs="宋体" w:hAnsi="宋体" w:hint="eastAsia"/>
                <w:color w:val="000000"/>
                <w:kern w:val="0"/>
                <w:sz w:val="18"/>
                <w:szCs w:val="18"/>
              </w:rPr>
              <w:t>%</w:t>
            </w:r>
          </w:p>
        </w:tc>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left"/>
              <w:textAlignment w:val="center"/>
              <w:rPr>
                <w:rFonts w:ascii="宋体" w:cs="宋体" w:hAnsi="宋体"/>
                <w:color w:val="000000"/>
                <w:sz w:val="18"/>
                <w:szCs w:val="18"/>
              </w:rPr>
            </w:pPr>
            <w:r>
              <w:rPr>
                <w:rFonts w:ascii="宋体" w:cs="宋体" w:hAnsi="宋体" w:hint="eastAsia"/>
                <w:color w:val="000000"/>
                <w:kern w:val="0"/>
                <w:sz w:val="18"/>
                <w:szCs w:val="18"/>
              </w:rPr>
              <w:t>问卷调查</w:t>
            </w:r>
          </w:p>
        </w:tc>
      </w:tr>
    </w:tbl>
    <w:p/>
    <w:p>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二、自评工作开展情况</w:t>
      </w:r>
    </w:p>
    <w:p>
      <w:pPr>
        <w:spacing w:line="560" w:lineRule="exact"/>
        <w:rPr>
          <w:rFonts w:ascii="楷体" w:eastAsia="楷体" w:cs="楷体_GB2312" w:hAnsi="楷体"/>
          <w:sz w:val="32"/>
          <w:szCs w:val="32"/>
        </w:rPr>
      </w:pPr>
      <w:r>
        <w:rPr>
          <w:rFonts w:ascii="仿宋" w:eastAsia="仿宋" w:cs="楷体_GB2312" w:hAnsi="仿宋" w:hint="eastAsia"/>
          <w:b/>
          <w:bCs/>
          <w:sz w:val="32"/>
          <w:szCs w:val="32"/>
        </w:rPr>
        <w:t xml:space="preserve">    </w:t>
      </w:r>
      <w:r>
        <w:rPr>
          <w:rFonts w:ascii="楷体" w:eastAsia="楷体" w:cs="楷体_GB2312" w:hAnsi="楷体" w:hint="eastAsia"/>
          <w:bCs/>
          <w:sz w:val="32"/>
          <w:szCs w:val="32"/>
        </w:rPr>
        <w:t>（一）自评的组织工作</w:t>
      </w:r>
    </w:p>
    <w:p>
      <w:pPr>
        <w:adjustRightInd w:val="0"/>
        <w:snapToGrid w:val="0"/>
        <w:spacing w:line="560" w:lineRule="exact"/>
        <w:ind w:left="0" w:firstLineChars="200" w:firstLine="640"/>
        <w:rPr>
          <w:rFonts w:ascii="仿宋_GB2312" w:eastAsia="仿宋_GB2312" w:cs="仿宋_GB2312" w:hAnsi="仿宋" w:hint="eastAsia"/>
          <w:sz w:val="32"/>
          <w:szCs w:val="32"/>
        </w:rPr>
      </w:pPr>
      <w:r>
        <w:rPr>
          <w:rFonts w:ascii="仿宋_GB2312" w:eastAsia="仿宋_GB2312" w:cs="仿宋_GB2312" w:hAnsi="仿宋" w:hint="eastAsia"/>
          <w:sz w:val="32"/>
          <w:szCs w:val="32"/>
        </w:rPr>
        <w:t>为进一步提高绩效预算管理工作，根据《中共井陉矿区委、井陉矿区人民政府关于全面落实预算绩效管理的实施意见》（矿发〔2019〕7号）要求，成立绩效评价工作组，对我委所有的资金项目，开展202</w:t>
      </w:r>
      <w:r>
        <w:rPr>
          <w:rFonts w:ascii="仿宋_GB2312" w:eastAsia="仿宋_GB2312" w:cs="仿宋_GB2312" w:hAnsi="仿宋"/>
          <w:sz w:val="32"/>
          <w:szCs w:val="32"/>
        </w:rPr>
        <w:t>5</w:t>
      </w:r>
      <w:r>
        <w:rPr>
          <w:rFonts w:ascii="仿宋_GB2312" w:eastAsia="仿宋_GB2312" w:cs="仿宋_GB2312" w:hAnsi="仿宋" w:hint="eastAsia"/>
          <w:sz w:val="32"/>
          <w:szCs w:val="32"/>
        </w:rPr>
        <w:t>年度部门整体绩效自评工作。</w:t>
      </w:r>
    </w:p>
    <w:p>
      <w:pPr>
        <w:adjustRightInd w:val="0"/>
        <w:snapToGrid w:val="0"/>
        <w:spacing w:line="560" w:lineRule="exact"/>
        <w:ind w:firstLineChars="200" w:firstLine="640"/>
        <w:rPr>
          <w:rFonts w:ascii="仿宋_GB2312" w:eastAsia="仿宋_GB2312" w:cs="仿宋_GB2312" w:hAnsi="仿宋" w:hint="eastAsia"/>
          <w:sz w:val="32"/>
          <w:szCs w:val="32"/>
        </w:rPr>
      </w:pPr>
      <w:r>
        <w:rPr>
          <w:rFonts w:ascii="仿宋_GB2312" w:eastAsia="仿宋_GB2312" w:cs="仿宋_GB2312" w:hAnsi="仿宋" w:hint="eastAsia"/>
          <w:sz w:val="32"/>
          <w:szCs w:val="32"/>
        </w:rPr>
        <w:t>绩效评价工作组根据工作方案，明确任务分工，确定评价程序及时间安排。根据202</w:t>
      </w:r>
      <w:r>
        <w:rPr>
          <w:rFonts w:ascii="仿宋_GB2312" w:eastAsia="仿宋_GB2312" w:cs="仿宋_GB2312" w:hAnsi="仿宋"/>
          <w:sz w:val="32"/>
          <w:szCs w:val="32"/>
        </w:rPr>
        <w:t>5</w:t>
      </w:r>
      <w:r>
        <w:rPr>
          <w:rFonts w:ascii="仿宋_GB2312" w:eastAsia="仿宋_GB2312" w:cs="仿宋_GB2312" w:hAnsi="仿宋" w:hint="eastAsia"/>
          <w:sz w:val="32"/>
          <w:szCs w:val="32"/>
        </w:rPr>
        <w:t>年初设定的绩效目标完成情况和各绩效指标完成情况进行核实分析，填报《202</w:t>
      </w:r>
      <w:r>
        <w:rPr>
          <w:rFonts w:ascii="仿宋_GB2312" w:eastAsia="仿宋_GB2312" w:cs="仿宋_GB2312" w:hAnsi="仿宋"/>
          <w:sz w:val="32"/>
          <w:szCs w:val="32"/>
        </w:rPr>
        <w:t>5</w:t>
      </w:r>
      <w:r>
        <w:rPr>
          <w:rFonts w:ascii="仿宋_GB2312" w:eastAsia="仿宋_GB2312" w:cs="仿宋_GB2312" w:hAnsi="仿宋" w:hint="eastAsia"/>
          <w:sz w:val="32"/>
          <w:szCs w:val="32"/>
        </w:rPr>
        <w:t>年区级项目绩效自评表》，并撰写绩效自评报告。</w:t>
      </w:r>
    </w:p>
    <w:p>
      <w:pPr>
        <w:adjustRightInd w:val="0"/>
        <w:snapToGrid w:val="0"/>
        <w:spacing w:line="560" w:lineRule="exact"/>
        <w:ind w:firstLineChars="200" w:firstLine="640"/>
        <w:rPr>
          <w:rFonts w:ascii="仿宋_GB2312" w:eastAsia="仿宋_GB2312" w:cs="仿宋_GB2312" w:hAnsi="仿宋" w:hint="eastAsia"/>
          <w:sz w:val="32"/>
          <w:szCs w:val="32"/>
        </w:rPr>
      </w:pPr>
      <w:r>
        <w:rPr>
          <w:rFonts w:ascii="仿宋_GB2312" w:eastAsia="仿宋_GB2312" w:cs="仿宋_GB2312" w:hAnsi="仿宋" w:hint="eastAsia"/>
          <w:sz w:val="32"/>
          <w:szCs w:val="32"/>
        </w:rPr>
        <w:t>202</w:t>
      </w:r>
      <w:r>
        <w:rPr>
          <w:rFonts w:ascii="仿宋_GB2312" w:eastAsia="仿宋_GB2312" w:cs="仿宋_GB2312" w:hAnsi="仿宋"/>
          <w:sz w:val="32"/>
          <w:szCs w:val="32"/>
        </w:rPr>
        <w:t>5</w:t>
      </w:r>
      <w:r>
        <w:rPr>
          <w:rFonts w:ascii="仿宋_GB2312" w:eastAsia="仿宋_GB2312" w:cs="仿宋_GB2312" w:hAnsi="仿宋" w:hint="eastAsia"/>
          <w:sz w:val="32"/>
          <w:szCs w:val="32"/>
        </w:rPr>
        <w:t>年度年</w:t>
      </w:r>
      <w:r>
        <w:rPr>
          <w:rFonts w:ascii="仿宋_GB2312" w:eastAsia="仿宋_GB2312" w:cs="仿宋_GB2312" w:hAnsi="仿宋" w:hint="eastAsia"/>
          <w:color w:val="000000"/>
          <w:sz w:val="32"/>
          <w:szCs w:val="32"/>
        </w:rPr>
        <w:t>初预算共</w:t>
      </w:r>
      <w:r>
        <w:rPr>
          <w:rFonts w:ascii="仿宋_GB2312" w:eastAsia="仿宋_GB2312" w:cs="仿宋_GB2312" w:hAnsi="仿宋"/>
          <w:color w:val="000000"/>
          <w:sz w:val="32"/>
          <w:szCs w:val="32"/>
        </w:rPr>
        <w:t>735.34</w:t>
      </w:r>
      <w:r>
        <w:rPr>
          <w:rFonts w:ascii="仿宋_GB2312" w:eastAsia="仿宋_GB2312" w:cs="仿宋_GB2312" w:hAnsi="仿宋" w:hint="eastAsia"/>
          <w:color w:val="000000"/>
          <w:sz w:val="32"/>
          <w:szCs w:val="32"/>
        </w:rPr>
        <w:t>万元：人员预算</w:t>
      </w:r>
      <w:r>
        <w:rPr>
          <w:rFonts w:ascii="仿宋_GB2312" w:eastAsia="仿宋_GB2312" w:cs="仿宋_GB2312" w:hAnsi="仿宋"/>
          <w:color w:val="000000"/>
          <w:sz w:val="32"/>
          <w:szCs w:val="32"/>
        </w:rPr>
        <w:t>592.59</w:t>
      </w:r>
      <w:r>
        <w:rPr>
          <w:rFonts w:ascii="仿宋_GB2312" w:eastAsia="仿宋_GB2312" w:cs="仿宋_GB2312" w:hAnsi="仿宋" w:hint="eastAsia"/>
          <w:color w:val="000000"/>
          <w:sz w:val="32"/>
          <w:szCs w:val="32"/>
        </w:rPr>
        <w:t>万元；日常公用经费预算</w:t>
      </w:r>
      <w:r>
        <w:rPr>
          <w:rFonts w:ascii="仿宋_GB2312" w:eastAsia="仿宋_GB2312" w:cs="仿宋_GB2312" w:hAnsi="仿宋"/>
          <w:color w:val="000000"/>
          <w:sz w:val="32"/>
          <w:szCs w:val="32"/>
        </w:rPr>
        <w:t>37.58</w:t>
      </w:r>
      <w:r>
        <w:rPr>
          <w:rFonts w:ascii="仿宋_GB2312" w:eastAsia="仿宋_GB2312" w:cs="仿宋_GB2312" w:hAnsi="仿宋" w:hint="eastAsia"/>
          <w:color w:val="000000"/>
          <w:sz w:val="32"/>
          <w:szCs w:val="32"/>
        </w:rPr>
        <w:t>万元；</w:t>
      </w:r>
      <w:r>
        <w:rPr>
          <w:rFonts w:ascii="仿宋_GB2312" w:eastAsia="仿宋_GB2312" w:cs="仿宋_GB2312" w:hAnsi="仿宋" w:hint="eastAsia"/>
          <w:sz w:val="32"/>
          <w:szCs w:val="32"/>
        </w:rPr>
        <w:t>项目经费共涉及</w:t>
      </w:r>
      <w:r>
        <w:rPr>
          <w:rFonts w:ascii="仿宋_GB2312" w:eastAsia="仿宋_GB2312" w:cs="仿宋_GB2312" w:hAnsi="仿宋"/>
          <w:sz w:val="32"/>
          <w:szCs w:val="32"/>
        </w:rPr>
        <w:t>3</w:t>
      </w:r>
      <w:r>
        <w:rPr>
          <w:rFonts w:ascii="仿宋_GB2312" w:eastAsia="仿宋_GB2312" w:cs="仿宋_GB2312" w:hAnsi="仿宋" w:hint="eastAsia"/>
          <w:sz w:val="32"/>
          <w:szCs w:val="32"/>
        </w:rPr>
        <w:t>个项目资金</w:t>
      </w:r>
      <w:r>
        <w:rPr>
          <w:rFonts w:ascii="仿宋_GB2312" w:eastAsia="仿宋_GB2312" w:cs="仿宋_GB2312" w:hAnsi="仿宋"/>
          <w:sz w:val="32"/>
          <w:szCs w:val="32"/>
        </w:rPr>
        <w:t>（预算调整后）</w:t>
      </w:r>
      <w:r>
        <w:rPr>
          <w:rFonts w:ascii="仿宋_GB2312" w:eastAsia="仿宋_GB2312" w:cs="仿宋_GB2312" w:hAnsi="仿宋" w:hint="eastAsia"/>
          <w:sz w:val="32"/>
          <w:szCs w:val="32"/>
        </w:rPr>
        <w:t>分别为：</w:t>
      </w:r>
      <w:r>
        <w:rPr>
          <w:rFonts w:ascii="仿宋_GB2312" w:eastAsia="仿宋_GB2312" w:cs="仿宋_GB2312" w:hAnsi="仿宋"/>
          <w:sz w:val="32"/>
          <w:szCs w:val="32"/>
        </w:rPr>
        <w:t>办案</w:t>
      </w:r>
      <w:r>
        <w:rPr>
          <w:rFonts w:ascii="仿宋_GB2312" w:eastAsia="仿宋_GB2312" w:cs="仿宋_GB2312" w:hAnsi="仿宋" w:hint="eastAsia"/>
          <w:sz w:val="32"/>
          <w:szCs w:val="32"/>
        </w:rPr>
        <w:t>经费</w:t>
      </w:r>
      <w:r>
        <w:rPr>
          <w:rFonts w:ascii="仿宋_GB2312" w:eastAsia="仿宋_GB2312" w:cs="仿宋_GB2312" w:hAnsi="仿宋"/>
          <w:sz w:val="32"/>
          <w:szCs w:val="32"/>
        </w:rPr>
        <w:t>83.84</w:t>
      </w:r>
      <w:r>
        <w:rPr>
          <w:rFonts w:ascii="仿宋_GB2312" w:eastAsia="仿宋_GB2312" w:cs="仿宋_GB2312" w:hAnsi="仿宋" w:hint="eastAsia"/>
          <w:sz w:val="32"/>
          <w:szCs w:val="32"/>
        </w:rPr>
        <w:t>万元；劳务派遣经费</w:t>
      </w:r>
      <w:r>
        <w:rPr>
          <w:rFonts w:ascii="仿宋_GB2312" w:eastAsia="仿宋_GB2312" w:cs="仿宋_GB2312" w:hAnsi="仿宋"/>
          <w:sz w:val="32"/>
          <w:szCs w:val="32"/>
        </w:rPr>
        <w:t>8.97</w:t>
      </w:r>
      <w:r>
        <w:rPr>
          <w:rFonts w:ascii="仿宋_GB2312" w:eastAsia="仿宋_GB2312" w:cs="仿宋_GB2312" w:hAnsi="仿宋" w:hint="eastAsia"/>
          <w:sz w:val="32"/>
          <w:szCs w:val="32"/>
        </w:rPr>
        <w:t>万元</w:t>
      </w:r>
      <w:r>
        <w:rPr>
          <w:rFonts w:ascii="仿宋_GB2312" w:eastAsia="仿宋_GB2312" w:cs="仿宋_GB2312" w:hAnsi="仿宋"/>
          <w:sz w:val="32"/>
          <w:szCs w:val="32"/>
        </w:rPr>
        <w:t>；2025年中央纪委监察转移支付资金12.2万元</w:t>
      </w:r>
      <w:r>
        <w:rPr>
          <w:rFonts w:ascii="仿宋_GB2312" w:eastAsia="仿宋_GB2312" w:cs="仿宋_GB2312" w:hAnsi="仿宋" w:hint="eastAsia"/>
          <w:sz w:val="32"/>
          <w:szCs w:val="32"/>
        </w:rPr>
        <w:t>。</w:t>
      </w:r>
    </w:p>
    <w:p>
      <w:pPr>
        <w:pStyle w:val="15"/>
        <w:rPr>
          <w:rFonts w:ascii="楷体" w:eastAsia="楷体" w:cs="楷体_GB2312" w:hAnsi="楷体"/>
          <w:bCs/>
          <w:sz w:val="32"/>
          <w:szCs w:val="32"/>
        </w:rPr>
      </w:pPr>
      <w:r>
        <w:rPr>
          <w:rFonts w:ascii="楷体" w:eastAsia="楷体" w:cs="楷体_GB2312" w:hAnsi="楷体"/>
          <w:bCs/>
          <w:sz w:val="32"/>
          <w:szCs w:val="32"/>
        </w:rPr>
        <w:t>(二)</w:t>
      </w:r>
      <w:r>
        <w:rPr>
          <w:rFonts w:ascii="楷体" w:eastAsia="楷体" w:cs="楷体_GB2312" w:hAnsi="楷体" w:hint="eastAsia"/>
          <w:bCs/>
          <w:sz w:val="32"/>
          <w:szCs w:val="32"/>
        </w:rPr>
        <w:t>自评的方法和过程</w:t>
      </w:r>
    </w:p>
    <w:p>
      <w:pPr>
        <w:pStyle w:val="15"/>
        <w:rPr>
          <w:rFonts w:ascii="仿宋_GB2312" w:cs="仿宋_GB2312" w:hint="eastAsia"/>
          <w:sz w:val="32"/>
          <w:szCs w:val="32"/>
        </w:rPr>
      </w:pPr>
      <w:r>
        <w:rPr>
          <w:rFonts w:ascii="仿宋_GB2312" w:cs="仿宋_GB2312" w:hAnsi="仿宋" w:hint="eastAsia"/>
          <w:sz w:val="32"/>
          <w:szCs w:val="32"/>
        </w:rPr>
        <w:t>本次绩效评价证据收集方法包括了：研究、分析项目预算科室提供的相关文件；整理汇总项目预算科室提供的项目资料、工作总结和合同；根据预算科室提供的基础数据表逐项进行核实；根据项目服务对象填写的问卷调查结果汇总满意度情况。项目在前期的调研基础上，完成了项目绩效评价工作方案，设计了指标体系、评价标准、问卷调查方案等，明确了评价的目的、方法，评价原则。项目严格按照工作方案，通过调研、相关文件的解读、数据采集、文件调查、数据分析、指标评分和撰写的环节，顺利完成了本次绩效评价工作。</w:t>
      </w:r>
    </w:p>
    <w:p>
      <w:pPr>
        <w:spacing w:line="560" w:lineRule="exact"/>
        <w:rPr>
          <w:rFonts w:ascii="黑体" w:eastAsia="黑体" w:hAnsi="黑体"/>
          <w:b/>
          <w:bCs/>
          <w:sz w:val="32"/>
          <w:szCs w:val="32"/>
        </w:rPr>
      </w:pPr>
      <w:r>
        <w:rPr>
          <w:rFonts w:ascii="黑体" w:eastAsia="黑体" w:hAnsi="黑体" w:hint="eastAsia"/>
          <w:sz w:val="32"/>
          <w:szCs w:val="32"/>
        </w:rPr>
        <w:t xml:space="preserve">    三、部门整体支出绩效目标实现情况及指标分析</w:t>
      </w:r>
    </w:p>
    <w:p>
      <w:pPr>
        <w:numPr>
          <w:ilvl w:val="0"/>
          <w:numId w:val="1"/>
        </w:numPr>
        <w:spacing w:beforeAutospacing="0" w:afterAutospacing="0" w:line="580" w:lineRule="exact"/>
        <w:ind w:left="0" w:firstLineChars="200" w:firstLine="640"/>
        <w:rPr>
          <w:rFonts w:ascii="楷体" w:eastAsia="楷体" w:cs="楷体_GB2312" w:hAnsi="楷体"/>
          <w:bCs/>
          <w:sz w:val="32"/>
          <w:szCs w:val="32"/>
        </w:rPr>
      </w:pPr>
      <w:r>
        <w:rPr>
          <w:rFonts w:ascii="楷体" w:eastAsia="楷体" w:cs="楷体_GB2312" w:hAnsi="楷体" w:hint="eastAsia"/>
          <w:bCs/>
          <w:sz w:val="32"/>
          <w:szCs w:val="32"/>
        </w:rPr>
        <w:t>总体绩效目标实现情况</w:t>
      </w:r>
    </w:p>
    <w:p>
      <w:pPr>
        <w:spacing w:line="580" w:lineRule="exact"/>
        <w:ind w:firstLineChars="200" w:firstLine="640"/>
        <w:rPr>
          <w:rStyle w:val="0"/>
          <w:rFonts w:ascii="仿宋_GB2312" w:eastAsia="仿宋_GB2312" w:cs="仿宋_GB2312" w:hAnsi="仿宋" w:hint="eastAsia"/>
          <w:sz w:val="32"/>
          <w:szCs w:val="32"/>
        </w:rPr>
      </w:pPr>
      <w:r>
        <w:rPr>
          <w:rStyle w:val="0"/>
          <w:rFonts w:ascii="仿宋_GB2312" w:eastAsia="仿宋_GB2312" w:cs="仿宋_GB2312" w:hAnsi="仿宋" w:hint="eastAsia"/>
          <w:sz w:val="32"/>
          <w:szCs w:val="32"/>
        </w:rPr>
        <w:t>一是绩效目标设定依据清晰准确，符合部门职责，能够紧扣中心任务和年度工作要点，充分发挥参谋助手、综合协调和后勤保障作用。</w:t>
      </w:r>
    </w:p>
    <w:p>
      <w:pPr>
        <w:spacing w:line="580" w:lineRule="exact"/>
        <w:ind w:firstLineChars="200" w:firstLine="640"/>
        <w:rPr>
          <w:rStyle w:val="0"/>
          <w:rFonts w:ascii="仿宋_GB2312" w:eastAsia="仿宋_GB2312" w:cs="仿宋_GB2312" w:hAnsi="仿宋" w:hint="eastAsia"/>
          <w:sz w:val="32"/>
          <w:szCs w:val="32"/>
        </w:rPr>
      </w:pPr>
      <w:r>
        <w:rPr>
          <w:rStyle w:val="0"/>
          <w:rFonts w:ascii="仿宋_GB2312" w:eastAsia="仿宋_GB2312" w:cs="仿宋_GB2312" w:hAnsi="仿宋" w:hint="eastAsia"/>
          <w:sz w:val="32"/>
          <w:szCs w:val="32"/>
        </w:rPr>
        <w:t>二是绩效指标科学合理、易于评价，能够围绕绩效目标设定，全面真实反映被评价项目的实际情况。</w:t>
      </w:r>
    </w:p>
    <w:p>
      <w:pPr>
        <w:spacing w:line="580" w:lineRule="exact"/>
        <w:ind w:firstLineChars="200" w:firstLine="640"/>
        <w:rPr>
          <w:rStyle w:val="0"/>
          <w:rFonts w:ascii="仿宋_GB2312" w:eastAsia="仿宋_GB2312" w:cs="仿宋_GB2312" w:hAnsi="仿宋" w:hint="eastAsia"/>
          <w:sz w:val="32"/>
          <w:szCs w:val="32"/>
        </w:rPr>
      </w:pPr>
      <w:r>
        <w:rPr>
          <w:rStyle w:val="0"/>
          <w:rFonts w:ascii="仿宋_GB2312" w:eastAsia="仿宋_GB2312" w:cs="仿宋_GB2312" w:hAnsi="仿宋" w:hint="eastAsia"/>
          <w:sz w:val="32"/>
          <w:szCs w:val="32"/>
        </w:rPr>
        <w:t>三是绩效标准切实可行，客观合理，能够实际执行或实现，预算资金额与实际支出资金量相匹配。</w:t>
      </w:r>
    </w:p>
    <w:p>
      <w:pPr>
        <w:spacing w:beforeAutospacing="0" w:afterAutospacing="0" w:line="580" w:lineRule="exact"/>
        <w:jc w:val="both"/>
        <w:rPr>
          <w:rFonts w:ascii="楷体" w:eastAsia="楷体" w:hAnsi="楷体"/>
          <w:bCs/>
          <w:sz w:val="32"/>
          <w:szCs w:val="32"/>
        </w:rPr>
      </w:pPr>
      <w:r>
        <w:rPr>
          <w:rFonts w:ascii="仿宋" w:eastAsia="仿宋" w:cs="楷体_GB2312" w:hAnsi="仿宋" w:hint="eastAsia"/>
          <w:b/>
          <w:bCs/>
          <w:sz w:val="32"/>
          <w:szCs w:val="32"/>
        </w:rPr>
        <w:t xml:space="preserve">    </w:t>
      </w:r>
      <w:r>
        <w:rPr>
          <w:rFonts w:ascii="楷体" w:eastAsia="楷体" w:cs="楷体_GB2312" w:hAnsi="楷体" w:hint="eastAsia"/>
          <w:bCs/>
          <w:sz w:val="32"/>
          <w:szCs w:val="32"/>
        </w:rPr>
        <w:t>（二）分项绩效目标实现情况及指标分析</w:t>
      </w:r>
    </w:p>
    <w:p>
      <w:pPr>
        <w:adjustRightInd w:val="0"/>
        <w:snapToGrid w:val="0"/>
        <w:spacing w:beforeAutospacing="0" w:afterAutospacing="0" w:line="580" w:lineRule="exact"/>
        <w:ind w:firstLineChars="200" w:firstLine="640"/>
        <w:rPr>
          <w:rFonts w:ascii="仿宋_GB2312" w:eastAsia="仿宋_GB2312" w:cs="仿宋_GB2312" w:hAnsi="仿宋" w:hint="eastAsia"/>
          <w:sz w:val="32"/>
          <w:szCs w:val="32"/>
        </w:rPr>
      </w:pPr>
      <w:r>
        <w:rPr>
          <w:rFonts w:ascii="仿宋_GB2312" w:eastAsia="仿宋_GB2312" w:cs="仿宋_GB2312" w:hAnsi="仿宋" w:hint="eastAsia"/>
          <w:sz w:val="32"/>
          <w:szCs w:val="32"/>
        </w:rPr>
        <w:t>（</w:t>
      </w:r>
      <w:r>
        <w:rPr>
          <w:rFonts w:ascii="仿宋_GB2312" w:eastAsia="仿宋_GB2312" w:cs="仿宋_GB2312" w:hAnsi="仿宋"/>
          <w:sz w:val="32"/>
          <w:szCs w:val="32"/>
        </w:rPr>
        <w:t>一</w:t>
      </w:r>
      <w:r>
        <w:rPr>
          <w:rFonts w:ascii="仿宋_GB2312" w:eastAsia="仿宋_GB2312" w:cs="仿宋_GB2312" w:hAnsi="仿宋" w:hint="eastAsia"/>
          <w:sz w:val="32"/>
          <w:szCs w:val="32"/>
        </w:rPr>
        <w:t>）</w:t>
      </w:r>
      <w:r>
        <w:rPr>
          <w:rFonts w:ascii="仿宋_GB2312" w:eastAsia="仿宋_GB2312" w:cs="仿宋_GB2312" w:hAnsi="仿宋"/>
          <w:sz w:val="32"/>
          <w:szCs w:val="32"/>
        </w:rPr>
        <w:t>办案</w:t>
      </w:r>
      <w:r>
        <w:rPr>
          <w:rFonts w:ascii="仿宋_GB2312" w:eastAsia="仿宋_GB2312" w:cs="仿宋_GB2312" w:hAnsi="仿宋" w:hint="eastAsia"/>
          <w:sz w:val="32"/>
          <w:szCs w:val="32"/>
        </w:rPr>
        <w:t>经费</w:t>
      </w:r>
    </w:p>
    <w:p>
      <w:pPr>
        <w:adjustRightInd w:val="0"/>
        <w:snapToGrid w:val="0"/>
        <w:spacing w:line="560" w:lineRule="exact"/>
        <w:ind w:firstLineChars="200" w:firstLine="640"/>
        <w:rPr>
          <w:rFonts w:ascii="仿宋_GB2312" w:eastAsia="仿宋_GB2312" w:cs="仿宋_GB2312" w:hAnsi="仿宋" w:hint="eastAsia"/>
          <w:sz w:val="32"/>
          <w:szCs w:val="32"/>
        </w:rPr>
      </w:pPr>
      <w:r>
        <w:rPr>
          <w:rFonts w:ascii="仿宋_GB2312" w:eastAsia="仿宋_GB2312" w:cs="仿宋_GB2312" w:hAnsi="仿宋" w:hint="eastAsia"/>
          <w:sz w:val="32"/>
          <w:szCs w:val="32"/>
        </w:rPr>
        <w:t>1.资金支出进度</w:t>
      </w:r>
    </w:p>
    <w:p>
      <w:pPr>
        <w:adjustRightInd w:val="0"/>
        <w:snapToGrid w:val="0"/>
        <w:spacing w:line="560" w:lineRule="exact"/>
        <w:ind w:firstLineChars="200" w:firstLine="640"/>
        <w:rPr>
          <w:rFonts w:ascii="仿宋_GB2312" w:eastAsia="仿宋_GB2312" w:cs="仿宋_GB2312" w:hAnsi="仿宋"/>
          <w:sz w:val="32"/>
          <w:szCs w:val="32"/>
        </w:rPr>
      </w:pPr>
      <w:r>
        <w:rPr>
          <w:rFonts w:ascii="仿宋_GB2312" w:eastAsia="仿宋_GB2312" w:cs="仿宋_GB2312" w:hAnsi="仿宋" w:hint="eastAsia"/>
          <w:sz w:val="32"/>
          <w:szCs w:val="32"/>
        </w:rPr>
        <w:t>该项目年初预算为</w:t>
      </w:r>
      <w:r>
        <w:rPr>
          <w:rFonts w:ascii="仿宋_GB2312" w:eastAsia="仿宋_GB2312" w:cs="仿宋_GB2312" w:hAnsi="仿宋"/>
          <w:sz w:val="32"/>
          <w:szCs w:val="32"/>
        </w:rPr>
        <w:t>79.21</w:t>
      </w:r>
      <w:r>
        <w:rPr>
          <w:rFonts w:ascii="仿宋_GB2312" w:eastAsia="仿宋_GB2312" w:cs="仿宋_GB2312" w:hAnsi="仿宋" w:hint="eastAsia"/>
          <w:sz w:val="32"/>
          <w:szCs w:val="32"/>
        </w:rPr>
        <w:t>万元，支出</w:t>
      </w:r>
      <w:r>
        <w:rPr>
          <w:rFonts w:ascii="仿宋_GB2312" w:eastAsia="仿宋_GB2312" w:cs="仿宋_GB2312" w:hAnsi="仿宋"/>
          <w:sz w:val="32"/>
          <w:szCs w:val="32"/>
        </w:rPr>
        <w:t>79.21</w:t>
      </w:r>
      <w:r>
        <w:rPr>
          <w:rFonts w:ascii="仿宋_GB2312" w:eastAsia="仿宋_GB2312" w:cs="仿宋_GB2312" w:hAnsi="仿宋" w:hint="eastAsia"/>
          <w:sz w:val="32"/>
          <w:szCs w:val="32"/>
        </w:rPr>
        <w:t>万元，总体支出进度为</w:t>
      </w:r>
      <w:r>
        <w:rPr>
          <w:rFonts w:ascii="仿宋_GB2312" w:eastAsia="仿宋_GB2312" w:cs="仿宋_GB2312" w:hAnsi="仿宋"/>
          <w:sz w:val="32"/>
          <w:szCs w:val="32"/>
        </w:rPr>
        <w:t>100</w:t>
      </w:r>
      <w:r>
        <w:rPr>
          <w:rFonts w:ascii="仿宋_GB2312" w:eastAsia="仿宋_GB2312" w:cs="仿宋_GB2312" w:hAnsi="仿宋" w:hint="eastAsia"/>
          <w:sz w:val="32"/>
          <w:szCs w:val="32"/>
        </w:rPr>
        <w:t>%。</w:t>
      </w:r>
    </w:p>
    <w:p>
      <w:pPr>
        <w:spacing w:line="580" w:lineRule="exact"/>
        <w:ind w:firstLineChars="200" w:firstLine="640"/>
        <w:rPr>
          <w:rFonts w:ascii="仿宋_GB2312" w:eastAsia="仿宋_GB2312" w:cs="仿宋_GB2312" w:hAnsi="仿宋"/>
          <w:sz w:val="32"/>
          <w:szCs w:val="32"/>
        </w:rPr>
      </w:pPr>
      <w:r>
        <w:rPr>
          <w:rFonts w:ascii="仿宋_GB2312" w:eastAsia="仿宋_GB2312" w:cs="仿宋_GB2312" w:hAnsi="仿宋" w:hint="eastAsia"/>
          <w:sz w:val="32"/>
          <w:szCs w:val="32"/>
        </w:rPr>
        <w:t>2.产出指标和效果指标完成情况</w:t>
      </w:r>
    </w:p>
    <w:p>
      <w:pPr>
        <w:adjustRightInd w:val="0"/>
        <w:snapToGrid w:val="0"/>
        <w:spacing w:line="560" w:lineRule="exact"/>
        <w:ind w:firstLineChars="200" w:firstLine="640"/>
        <w:rPr>
          <w:rFonts w:ascii="仿宋_GB2312" w:eastAsia="仿宋_GB2312" w:cs="仿宋_GB2312" w:hAnsi="仿宋" w:hint="eastAsia"/>
          <w:sz w:val="32"/>
          <w:szCs w:val="32"/>
        </w:rPr>
      </w:pPr>
      <w:r>
        <w:rPr>
          <w:rFonts w:ascii="仿宋_GB2312" w:eastAsia="仿宋_GB2312" w:cs="仿宋_GB2312" w:hAnsi="仿宋" w:hint="eastAsia"/>
          <w:sz w:val="32"/>
          <w:szCs w:val="32"/>
        </w:rPr>
        <w:t>本年度已圆满完成上级交办和本级自办案件，</w:t>
      </w:r>
      <w:r>
        <w:rPr>
          <w:rFonts w:ascii="仿宋_GB2312" w:eastAsia="仿宋_GB2312" w:cs="仿宋_GB2312" w:hAnsi="仿宋"/>
          <w:sz w:val="32"/>
          <w:szCs w:val="32"/>
        </w:rPr>
        <w:t>营造了</w:t>
      </w:r>
      <w:r>
        <w:rPr>
          <w:rFonts w:ascii="仿宋_GB2312" w:eastAsia="仿宋_GB2312" w:cs="仿宋_GB2312" w:hAnsi="仿宋" w:hint="eastAsia"/>
          <w:bCs/>
          <w:sz w:val="32"/>
          <w:szCs w:val="32"/>
        </w:rPr>
        <w:t>我区风清气正、干事创业的工作氛围。</w:t>
      </w:r>
    </w:p>
    <w:p>
      <w:pPr>
        <w:spacing w:line="560" w:lineRule="exact"/>
        <w:ind w:firstLineChars="250" w:firstLine="800"/>
        <w:rPr>
          <w:rFonts w:ascii="仿宋_GB2312" w:eastAsia="仿宋_GB2312" w:cs="仿宋_GB2312" w:hAnsi="仿宋"/>
          <w:sz w:val="32"/>
          <w:szCs w:val="32"/>
        </w:rPr>
      </w:pPr>
      <w:r>
        <w:rPr>
          <w:rFonts w:ascii="仿宋_GB2312" w:eastAsia="仿宋_GB2312" w:cs="仿宋_GB2312" w:hAnsi="仿宋" w:hint="eastAsia"/>
          <w:sz w:val="32"/>
          <w:szCs w:val="32"/>
        </w:rPr>
        <w:t>绩效指标为 4 个，评价等级为优。</w:t>
      </w:r>
    </w:p>
    <w:p>
      <w:pPr>
        <w:spacing w:line="560" w:lineRule="exact"/>
        <w:ind w:left="0" w:firstLineChars="200" w:firstLine="640"/>
        <w:rPr>
          <w:rFonts w:ascii="仿宋_GB2312" w:eastAsia="仿宋_GB2312" w:cs="仿宋_GB2312" w:hAnsi="仿宋"/>
          <w:sz w:val="32"/>
          <w:szCs w:val="32"/>
        </w:rPr>
      </w:pPr>
      <w:r>
        <w:rPr>
          <w:rFonts w:ascii="仿宋_GB2312" w:eastAsia="仿宋_GB2312" w:cs="仿宋_GB2312" w:hAnsi="仿宋" w:hint="eastAsia"/>
          <w:sz w:val="32"/>
          <w:szCs w:val="32"/>
        </w:rPr>
        <w:t>（</w:t>
      </w:r>
      <w:r>
        <w:rPr>
          <w:rFonts w:ascii="仿宋_GB2312" w:eastAsia="仿宋_GB2312" w:cs="仿宋_GB2312" w:hAnsi="仿宋"/>
          <w:sz w:val="32"/>
          <w:szCs w:val="32"/>
        </w:rPr>
        <w:t>二</w:t>
      </w:r>
      <w:r>
        <w:rPr>
          <w:rFonts w:ascii="仿宋_GB2312" w:eastAsia="仿宋_GB2312" w:cs="仿宋_GB2312" w:hAnsi="仿宋" w:hint="eastAsia"/>
          <w:sz w:val="32"/>
          <w:szCs w:val="32"/>
        </w:rPr>
        <w:t>）</w:t>
      </w:r>
      <w:r>
        <w:rPr>
          <w:rFonts w:ascii="仿宋_GB2312" w:eastAsia="仿宋_GB2312" w:cs="仿宋_GB2312" w:hAnsi="仿宋"/>
          <w:sz w:val="32"/>
          <w:szCs w:val="32"/>
        </w:rPr>
        <w:t>劳务派遣经费</w:t>
      </w:r>
    </w:p>
    <w:p>
      <w:pPr>
        <w:adjustRightInd w:val="0"/>
        <w:snapToGrid w:val="0"/>
        <w:spacing w:line="560" w:lineRule="exact"/>
        <w:ind w:firstLineChars="200" w:firstLine="640"/>
        <w:rPr>
          <w:rFonts w:ascii="仿宋_GB2312" w:eastAsia="仿宋_GB2312" w:cs="仿宋_GB2312" w:hAnsi="仿宋" w:hint="eastAsia"/>
          <w:sz w:val="32"/>
          <w:szCs w:val="32"/>
        </w:rPr>
      </w:pPr>
      <w:r>
        <w:rPr>
          <w:rFonts w:ascii="仿宋_GB2312" w:eastAsia="仿宋_GB2312" w:cs="仿宋_GB2312" w:hAnsi="仿宋" w:hint="eastAsia"/>
          <w:sz w:val="32"/>
          <w:szCs w:val="32"/>
        </w:rPr>
        <w:t>1.资金支出进度</w:t>
      </w:r>
    </w:p>
    <w:p>
      <w:pPr>
        <w:adjustRightInd w:val="0"/>
        <w:snapToGrid w:val="0"/>
        <w:spacing w:line="560" w:lineRule="exact"/>
        <w:ind w:firstLineChars="200" w:firstLine="640"/>
        <w:rPr>
          <w:rFonts w:ascii="仿宋_GB2312" w:eastAsia="仿宋_GB2312" w:cs="仿宋_GB2312" w:hAnsi="仿宋"/>
          <w:sz w:val="32"/>
          <w:szCs w:val="32"/>
        </w:rPr>
      </w:pPr>
      <w:r>
        <w:rPr>
          <w:rFonts w:ascii="仿宋_GB2312" w:eastAsia="仿宋_GB2312" w:cs="仿宋_GB2312" w:hAnsi="仿宋" w:hint="eastAsia"/>
          <w:sz w:val="32"/>
          <w:szCs w:val="32"/>
        </w:rPr>
        <w:t>该项目年初预算为</w:t>
      </w:r>
      <w:r>
        <w:rPr>
          <w:rFonts w:ascii="仿宋_GB2312" w:eastAsia="仿宋_GB2312" w:cs="仿宋_GB2312" w:hAnsi="仿宋"/>
          <w:sz w:val="32"/>
          <w:szCs w:val="32"/>
        </w:rPr>
        <w:t>8.97</w:t>
      </w:r>
      <w:r>
        <w:rPr>
          <w:rFonts w:ascii="仿宋_GB2312" w:eastAsia="仿宋_GB2312" w:cs="仿宋_GB2312" w:hAnsi="仿宋" w:hint="eastAsia"/>
          <w:sz w:val="32"/>
          <w:szCs w:val="32"/>
        </w:rPr>
        <w:t>万元，支出</w:t>
      </w:r>
      <w:r>
        <w:rPr>
          <w:rFonts w:ascii="仿宋_GB2312" w:eastAsia="仿宋_GB2312" w:cs="仿宋_GB2312" w:hAnsi="仿宋"/>
          <w:sz w:val="32"/>
          <w:szCs w:val="32"/>
        </w:rPr>
        <w:t>8.97</w:t>
      </w:r>
      <w:r>
        <w:rPr>
          <w:rFonts w:ascii="仿宋_GB2312" w:eastAsia="仿宋_GB2312" w:cs="仿宋_GB2312" w:hAnsi="仿宋" w:hint="eastAsia"/>
          <w:sz w:val="32"/>
          <w:szCs w:val="32"/>
        </w:rPr>
        <w:t>万元，总体支出进度为</w:t>
      </w:r>
      <w:r>
        <w:rPr>
          <w:rFonts w:ascii="仿宋_GB2312" w:eastAsia="仿宋_GB2312" w:cs="仿宋_GB2312" w:hAnsi="仿宋"/>
          <w:sz w:val="32"/>
          <w:szCs w:val="32"/>
        </w:rPr>
        <w:t>100</w:t>
      </w:r>
      <w:r>
        <w:rPr>
          <w:rFonts w:ascii="仿宋_GB2312" w:eastAsia="仿宋_GB2312" w:cs="仿宋_GB2312" w:hAnsi="仿宋" w:hint="eastAsia"/>
          <w:sz w:val="32"/>
          <w:szCs w:val="32"/>
        </w:rPr>
        <w:t>%。</w:t>
      </w:r>
    </w:p>
    <w:p>
      <w:pPr>
        <w:spacing w:line="580" w:lineRule="exact"/>
        <w:ind w:firstLineChars="200" w:firstLine="640"/>
        <w:rPr>
          <w:rFonts w:ascii="仿宋_GB2312" w:eastAsia="仿宋_GB2312" w:cs="仿宋_GB2312" w:hAnsi="仿宋"/>
          <w:sz w:val="32"/>
          <w:szCs w:val="32"/>
        </w:rPr>
      </w:pPr>
      <w:r>
        <w:rPr>
          <w:rFonts w:ascii="仿宋_GB2312" w:eastAsia="仿宋_GB2312" w:cs="仿宋_GB2312" w:hAnsi="仿宋" w:hint="eastAsia"/>
          <w:sz w:val="32"/>
          <w:szCs w:val="32"/>
        </w:rPr>
        <w:t>2.产出指标和效果指标完成情况</w:t>
      </w:r>
    </w:p>
    <w:p>
      <w:pPr>
        <w:widowControl/>
        <w:spacing w:line="600" w:lineRule="exact"/>
        <w:ind w:firstLineChars="200" w:firstLine="640"/>
        <w:rPr>
          <w:rFonts w:ascii="仿宋_GB2312" w:eastAsia="仿宋_GB2312" w:cs="仿宋_GB2312" w:hAnsi="仿宋" w:hint="eastAsia"/>
          <w:sz w:val="32"/>
          <w:szCs w:val="32"/>
        </w:rPr>
      </w:pPr>
      <w:r>
        <w:rPr>
          <w:rFonts w:ascii="仿宋_GB2312" w:eastAsia="仿宋_GB2312" w:cs="仿宋_GB2312" w:hAnsi="仿宋" w:hint="eastAsia"/>
          <w:sz w:val="32"/>
          <w:szCs w:val="32"/>
        </w:rPr>
        <w:t>本单位聘请劳务派遣人员</w:t>
      </w:r>
      <w:r>
        <w:rPr>
          <w:rFonts w:ascii="仿宋_GB2312" w:eastAsia="仿宋_GB2312" w:cs="仿宋_GB2312" w:hAnsi="仿宋"/>
          <w:sz w:val="32"/>
          <w:szCs w:val="32"/>
        </w:rPr>
        <w:t>6</w:t>
      </w:r>
      <w:r>
        <w:rPr>
          <w:rFonts w:ascii="仿宋_GB2312" w:eastAsia="仿宋_GB2312" w:cs="仿宋_GB2312" w:hAnsi="仿宋" w:hint="eastAsia"/>
          <w:sz w:val="32"/>
          <w:szCs w:val="32"/>
        </w:rPr>
        <w:t>名，能够较出色的完成交办的工作。劳务派遣人员的增加充分缓解了我委工作人员严重不足情况，保障日常工作顺利开展。</w:t>
      </w:r>
    </w:p>
    <w:p>
      <w:pPr>
        <w:spacing w:line="560" w:lineRule="exact"/>
        <w:ind w:left="0" w:firstLineChars="200" w:firstLine="640"/>
        <w:rPr>
          <w:rFonts w:ascii="仿宋_GB2312" w:eastAsia="仿宋_GB2312" w:cs="仿宋_GB2312" w:hAnsi="仿宋"/>
          <w:sz w:val="32"/>
          <w:szCs w:val="32"/>
        </w:rPr>
      </w:pPr>
      <w:r>
        <w:rPr>
          <w:rFonts w:ascii="仿宋_GB2312" w:eastAsia="仿宋_GB2312" w:cs="仿宋_GB2312" w:hAnsi="仿宋" w:hint="eastAsia"/>
          <w:sz w:val="32"/>
          <w:szCs w:val="32"/>
        </w:rPr>
        <w:t>绩效指标为 4 个，评价等级为优。</w:t>
      </w:r>
    </w:p>
    <w:p>
      <w:pPr>
        <w:spacing w:line="560" w:lineRule="exact"/>
        <w:ind w:left="0" w:firstLineChars="200" w:firstLine="640"/>
        <w:rPr>
          <w:rFonts w:ascii="仿宋_GB2312" w:eastAsia="仿宋_GB2312" w:cs="仿宋_GB2312" w:hAnsi="仿宋"/>
          <w:sz w:val="32"/>
          <w:szCs w:val="32"/>
        </w:rPr>
      </w:pPr>
      <w:r>
        <w:rPr>
          <w:rFonts w:ascii="仿宋_GB2312" w:eastAsia="仿宋_GB2312" w:cs="仿宋_GB2312" w:hAnsi="仿宋"/>
          <w:sz w:val="32"/>
          <w:szCs w:val="32"/>
        </w:rPr>
        <w:t>（三）2025年中央纪检监察转移支付资金</w:t>
      </w:r>
    </w:p>
    <w:p>
      <w:pPr>
        <w:adjustRightInd w:val="0"/>
        <w:snapToGrid w:val="0"/>
        <w:spacing w:line="560" w:lineRule="exact"/>
        <w:ind w:firstLineChars="200" w:firstLine="640"/>
        <w:rPr>
          <w:rFonts w:ascii="仿宋_GB2312" w:eastAsia="仿宋_GB2312" w:cs="仿宋_GB2312" w:hAnsi="仿宋" w:hint="eastAsia"/>
          <w:sz w:val="32"/>
          <w:szCs w:val="32"/>
        </w:rPr>
      </w:pPr>
      <w:r>
        <w:rPr>
          <w:rFonts w:ascii="仿宋_GB2312" w:eastAsia="仿宋_GB2312" w:cs="仿宋_GB2312" w:hAnsi="仿宋" w:hint="eastAsia"/>
          <w:sz w:val="32"/>
          <w:szCs w:val="32"/>
        </w:rPr>
        <w:t>1.资金支出进度</w:t>
      </w:r>
    </w:p>
    <w:p>
      <w:pPr>
        <w:adjustRightInd w:val="0"/>
        <w:snapToGrid w:val="0"/>
        <w:spacing w:line="560" w:lineRule="exact"/>
        <w:ind w:firstLineChars="200" w:firstLine="640"/>
        <w:rPr>
          <w:rFonts w:ascii="仿宋_GB2312" w:eastAsia="仿宋_GB2312" w:cs="仿宋_GB2312" w:hAnsi="仿宋"/>
          <w:sz w:val="32"/>
          <w:szCs w:val="32"/>
        </w:rPr>
      </w:pPr>
      <w:r>
        <w:rPr>
          <w:rFonts w:ascii="仿宋_GB2312" w:eastAsia="仿宋_GB2312" w:cs="仿宋_GB2312" w:hAnsi="仿宋" w:hint="eastAsia"/>
          <w:sz w:val="32"/>
          <w:szCs w:val="32"/>
        </w:rPr>
        <w:t>该项目年初预算为</w:t>
      </w:r>
      <w:r>
        <w:rPr>
          <w:rFonts w:ascii="仿宋_GB2312" w:eastAsia="仿宋_GB2312" w:cs="仿宋_GB2312" w:hAnsi="仿宋"/>
          <w:sz w:val="32"/>
          <w:szCs w:val="32"/>
        </w:rPr>
        <w:t>12.2</w:t>
      </w:r>
      <w:r>
        <w:rPr>
          <w:rFonts w:ascii="仿宋_GB2312" w:eastAsia="仿宋_GB2312" w:cs="仿宋_GB2312" w:hAnsi="仿宋" w:hint="eastAsia"/>
          <w:sz w:val="32"/>
          <w:szCs w:val="32"/>
        </w:rPr>
        <w:t>万元，支出</w:t>
      </w:r>
      <w:r>
        <w:rPr>
          <w:rFonts w:ascii="仿宋_GB2312" w:eastAsia="仿宋_GB2312" w:cs="仿宋_GB2312" w:hAnsi="仿宋"/>
          <w:sz w:val="32"/>
          <w:szCs w:val="32"/>
        </w:rPr>
        <w:t>12.2</w:t>
      </w:r>
      <w:r>
        <w:rPr>
          <w:rFonts w:ascii="仿宋_GB2312" w:eastAsia="仿宋_GB2312" w:cs="仿宋_GB2312" w:hAnsi="仿宋" w:hint="eastAsia"/>
          <w:sz w:val="32"/>
          <w:szCs w:val="32"/>
        </w:rPr>
        <w:t>万元，总体支出进度为</w:t>
      </w:r>
      <w:r>
        <w:rPr>
          <w:rFonts w:ascii="仿宋_GB2312" w:eastAsia="仿宋_GB2312" w:cs="仿宋_GB2312" w:hAnsi="仿宋"/>
          <w:sz w:val="32"/>
          <w:szCs w:val="32"/>
        </w:rPr>
        <w:t>100</w:t>
      </w:r>
      <w:r>
        <w:rPr>
          <w:rFonts w:ascii="仿宋_GB2312" w:eastAsia="仿宋_GB2312" w:cs="仿宋_GB2312" w:hAnsi="仿宋" w:hint="eastAsia"/>
          <w:sz w:val="32"/>
          <w:szCs w:val="32"/>
        </w:rPr>
        <w:t>%。</w:t>
      </w:r>
    </w:p>
    <w:p>
      <w:pPr>
        <w:spacing w:line="580" w:lineRule="exact"/>
        <w:ind w:firstLineChars="200" w:firstLine="640"/>
        <w:rPr>
          <w:rFonts w:ascii="仿宋_GB2312" w:eastAsia="仿宋_GB2312" w:cs="仿宋_GB2312" w:hAnsi="仿宋"/>
          <w:sz w:val="32"/>
          <w:szCs w:val="32"/>
        </w:rPr>
      </w:pPr>
      <w:r>
        <w:rPr>
          <w:rFonts w:ascii="仿宋_GB2312" w:eastAsia="仿宋_GB2312" w:cs="仿宋_GB2312" w:hAnsi="仿宋" w:hint="eastAsia"/>
          <w:sz w:val="32"/>
          <w:szCs w:val="32"/>
        </w:rPr>
        <w:t>2.产出指标和效果指标完成情况</w:t>
      </w:r>
    </w:p>
    <w:p>
      <w:pPr>
        <w:spacing w:line="580" w:lineRule="exact"/>
        <w:ind w:firstLineChars="200" w:firstLine="640"/>
        <w:rPr>
          <w:rFonts w:ascii="仿宋_GB2312" w:eastAsia="仿宋_GB2312" w:cs="仿宋_GB2312" w:hAnsi="仿宋" w:hint="eastAsia"/>
          <w:sz w:val="32"/>
          <w:szCs w:val="32"/>
        </w:rPr>
      </w:pPr>
      <w:r>
        <w:rPr>
          <w:rFonts w:ascii="仿宋_GB2312" w:eastAsia="仿宋_GB2312" w:cs="仿宋_GB2312"/>
          <w:color w:val="auto"/>
          <w:sz w:val="32"/>
          <w:szCs w:val="32"/>
          <w:lang w:val="en-US" w:eastAsia="zh-CN" w:bidi="ar-SA"/>
        </w:rPr>
        <w:t>按照有关规定使用管理资金，在规定时间内，全部完成中央转移支付资金支出进度，并按要求做好绩效运行和绩效评价，确保财政资金使用规范、安全、有效。</w:t>
      </w:r>
    </w:p>
    <w:p>
      <w:pPr>
        <w:spacing w:line="560" w:lineRule="exact"/>
        <w:ind w:firstLineChars="200" w:firstLine="640"/>
        <w:rPr>
          <w:rFonts w:ascii="仿宋_GB2312" w:eastAsia="仿宋_GB2312" w:cs="仿宋_GB2312" w:hAnsi="仿宋"/>
          <w:sz w:val="32"/>
          <w:szCs w:val="32"/>
        </w:rPr>
      </w:pPr>
      <w:r>
        <w:rPr>
          <w:rFonts w:ascii="仿宋_GB2312" w:eastAsia="仿宋_GB2312" w:cs="仿宋_GB2312" w:hAnsi="仿宋" w:hint="eastAsia"/>
          <w:sz w:val="32"/>
          <w:szCs w:val="32"/>
        </w:rPr>
        <w:t>绩效指标为 4 个，评价等级为优。</w:t>
      </w:r>
    </w:p>
    <w:p>
      <w:pPr>
        <w:spacing w:line="560" w:lineRule="exact"/>
        <w:ind w:firstLineChars="200" w:firstLine="640"/>
        <w:rPr>
          <w:rFonts w:ascii="黑体" w:eastAsia="黑体" w:hAnsi="黑体"/>
          <w:sz w:val="32"/>
          <w:szCs w:val="32"/>
        </w:rPr>
      </w:pPr>
      <w:r>
        <w:rPr>
          <w:rFonts w:ascii="黑体" w:eastAsia="黑体" w:hAnsi="黑体" w:hint="eastAsia"/>
          <w:sz w:val="32"/>
          <w:szCs w:val="32"/>
        </w:rPr>
        <w:t>四、评价结论和评价等级</w:t>
      </w:r>
    </w:p>
    <w:p>
      <w:pPr>
        <w:spacing w:line="560" w:lineRule="exact"/>
        <w:ind w:firstLineChars="200" w:firstLine="640"/>
        <w:rPr>
          <w:rFonts w:ascii="仿宋_GB2312" w:eastAsia="仿宋_GB2312" w:cs="仿宋_GB2312" w:hAnsi="仿宋" w:hint="eastAsia"/>
          <w:sz w:val="32"/>
          <w:szCs w:val="32"/>
        </w:rPr>
      </w:pPr>
      <w:r>
        <w:rPr>
          <w:rFonts w:ascii="仿宋_GB2312" w:eastAsia="仿宋_GB2312" w:cs="仿宋_GB2312" w:hAnsi="仿宋" w:hint="eastAsia"/>
          <w:sz w:val="32"/>
          <w:szCs w:val="32"/>
        </w:rPr>
        <w:t>根据部门职责定位和各项工作履职情况进行综合评价，给出总得</w:t>
      </w:r>
      <w:r>
        <w:rPr>
          <w:rFonts w:ascii="仿宋_GB2312" w:eastAsia="仿宋_GB2312" w:cs="仿宋_GB2312" w:hAnsi="仿宋"/>
          <w:sz w:val="32"/>
          <w:szCs w:val="32"/>
        </w:rPr>
        <w:t>分100分</w:t>
      </w:r>
      <w:r>
        <w:rPr>
          <w:rFonts w:ascii="仿宋_GB2312" w:eastAsia="仿宋_GB2312" w:cs="仿宋_GB2312" w:hAnsi="仿宋" w:hint="eastAsia"/>
          <w:sz w:val="32"/>
          <w:szCs w:val="32"/>
        </w:rPr>
        <w:t>，</w:t>
      </w:r>
      <w:r>
        <w:rPr>
          <w:rFonts w:ascii="仿宋_GB2312" w:eastAsia="仿宋_GB2312" w:cs="仿宋_GB2312" w:hAnsi="仿宋"/>
          <w:sz w:val="32"/>
          <w:szCs w:val="32"/>
        </w:rPr>
        <w:t>同时</w:t>
      </w:r>
      <w:r>
        <w:rPr>
          <w:rFonts w:ascii="仿宋_GB2312" w:eastAsia="仿宋_GB2312" w:cs="仿宋_GB2312" w:hAnsi="仿宋" w:hint="eastAsia"/>
          <w:sz w:val="32"/>
          <w:szCs w:val="32"/>
        </w:rPr>
        <w:t>得出综合绩效评价等级。部门整体支出综合绩效评价为优秀。</w:t>
      </w:r>
    </w:p>
    <w:p>
      <w:pPr>
        <w:spacing w:line="560" w:lineRule="exact"/>
        <w:ind w:firstLineChars="200" w:firstLine="640"/>
        <w:rPr>
          <w:rFonts w:ascii="黑体" w:eastAsia="黑体" w:hAnsi="黑体"/>
          <w:sz w:val="32"/>
          <w:szCs w:val="32"/>
        </w:rPr>
      </w:pPr>
      <w:r>
        <w:rPr>
          <w:rFonts w:ascii="黑体" w:eastAsia="黑体" w:hAnsi="黑体" w:hint="eastAsia"/>
          <w:sz w:val="32"/>
          <w:szCs w:val="32"/>
        </w:rPr>
        <w:t>五、</w:t>
      </w:r>
      <w:r>
        <w:rPr>
          <w:rFonts w:ascii="黑体" w:eastAsia="黑体" w:hAnsi="黑体"/>
          <w:sz w:val="32"/>
          <w:szCs w:val="32"/>
        </w:rPr>
        <w:t>整改</w:t>
      </w:r>
      <w:r>
        <w:rPr>
          <w:rFonts w:ascii="黑体" w:eastAsia="黑体" w:hAnsi="黑体" w:hint="eastAsia"/>
          <w:sz w:val="32"/>
          <w:szCs w:val="32"/>
        </w:rPr>
        <w:t>措施</w:t>
      </w:r>
      <w:r>
        <w:rPr>
          <w:rFonts w:ascii="黑体" w:eastAsia="黑体" w:hAnsi="黑体"/>
          <w:sz w:val="32"/>
          <w:szCs w:val="32"/>
        </w:rPr>
        <w:t>及结果应用</w:t>
      </w:r>
    </w:p>
    <w:p>
      <w:pPr>
        <w:ind w:firstLineChars="200" w:firstLine="640"/>
        <w:rPr>
          <w:rFonts w:ascii="仿宋_GB2312" w:eastAsia="仿宋_GB2312" w:cs="仿宋_GB2312" w:hAnsi="仿宋" w:hint="eastAsia"/>
          <w:sz w:val="32"/>
          <w:szCs w:val="32"/>
        </w:rPr>
      </w:pPr>
      <w:r>
        <w:rPr>
          <w:rFonts w:ascii="仿宋_GB2312" w:eastAsia="仿宋_GB2312" w:cs="仿宋_GB2312" w:hAnsi="仿宋" w:hint="eastAsia"/>
          <w:sz w:val="32"/>
          <w:szCs w:val="32"/>
        </w:rPr>
        <w:t>（一）优化绩效目标。进一步细化、量化预算绩效指标，从时效、数量、质量等维度，建立可细化、可量化、可考评的绩效指标体系，提高绩效评价指标体系的科学性、合理性。</w:t>
      </w:r>
    </w:p>
    <w:p>
      <w:pPr>
        <w:ind w:firstLineChars="200" w:firstLine="640"/>
        <w:rPr>
          <w:rFonts w:ascii="仿宋_GB2312" w:eastAsia="仿宋_GB2312" w:cs="仿宋_GB2312" w:hAnsi="仿宋" w:hint="eastAsia"/>
          <w:sz w:val="32"/>
          <w:szCs w:val="32"/>
        </w:rPr>
      </w:pPr>
      <w:r>
        <w:rPr>
          <w:rFonts w:ascii="仿宋_GB2312" w:eastAsia="仿宋_GB2312" w:cs="仿宋_GB2312" w:hAnsi="仿宋" w:hint="eastAsia"/>
          <w:sz w:val="32"/>
          <w:szCs w:val="32"/>
        </w:rPr>
        <w:t>（二）完善预算考核。进一步加强各项目的预算资金管理，加大对预算编制和执行的监督管理力度，提高预算资金使用效率。</w:t>
      </w:r>
    </w:p>
    <w:p>
      <w:pPr>
        <w:ind w:firstLineChars="200" w:firstLine="640"/>
        <w:rPr>
          <w:rFonts w:ascii="仿宋_GB2312" w:eastAsia="仿宋_GB2312" w:cs="仿宋_GB2312" w:hAnsi="仿宋" w:hint="eastAsia"/>
          <w:sz w:val="32"/>
          <w:szCs w:val="32"/>
        </w:rPr>
      </w:pPr>
      <w:r>
        <w:rPr>
          <w:rFonts w:ascii="仿宋_GB2312" w:eastAsia="仿宋_GB2312" w:cs="仿宋_GB2312" w:hAnsi="仿宋" w:hint="eastAsia"/>
          <w:sz w:val="32"/>
          <w:szCs w:val="32"/>
        </w:rPr>
        <w:t>（三）强化结果应用。重视绩效评价工作，切实发挥绩效评价结果应用的作用，通过绩效评价应用实践，积累连续的数据库，优化对比分析，总结实践经验和教训，强化资金管理水平、优化支出结构、提高资金使用效益。</w:t>
      </w:r>
    </w:p>
    <w:p>
      <w:pPr>
        <w:adjustRightInd w:val="0"/>
        <w:snapToGrid w:val="0"/>
        <w:spacing w:line="560" w:lineRule="exact"/>
        <w:ind w:firstLineChars="200" w:firstLine="640"/>
        <w:rPr>
          <w:rFonts w:ascii="黑体" w:eastAsia="黑体" w:hAnsi="黑体"/>
          <w:sz w:val="32"/>
          <w:szCs w:val="32"/>
        </w:rPr>
      </w:pPr>
      <w:r>
        <w:rPr>
          <w:rFonts w:ascii="黑体" w:eastAsia="黑体" w:hAnsi="黑体" w:hint="eastAsia"/>
          <w:sz w:val="32"/>
          <w:szCs w:val="32"/>
        </w:rPr>
        <w:t>六、评价工作组人员名单</w:t>
      </w:r>
      <w:bookmarkStart w:id="0" w:name="_GoBack"/>
      <w:bookmarkEnd w:id="0"/>
    </w:p>
    <w:tbl>
      <w:tblPr>
        <w:jc w:val="left"/>
        <w:tblInd w:w="0" w:type="dxa"/>
        <w:tblW w:w="8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17"/>
        <w:gridCol w:w="1561"/>
        <w:gridCol w:w="1694"/>
        <w:gridCol w:w="4747"/>
      </w:tblGrid>
      <w:tr>
        <w:tc>
          <w:tcPr>
            <w:tcW w:w="817" w:type="dxa"/>
          </w:tcPr>
          <w:p>
            <w:pPr>
              <w:pStyle w:val="15"/>
              <w:ind w:firstLineChars="0" w:firstLine="0"/>
              <w:jc w:val="center"/>
            </w:pPr>
            <w:r>
              <w:rPr>
                <w:rFonts w:hint="eastAsia"/>
              </w:rPr>
              <w:t>序号</w:t>
            </w:r>
          </w:p>
        </w:tc>
        <w:tc>
          <w:tcPr>
            <w:tcW w:w="1561" w:type="dxa"/>
          </w:tcPr>
          <w:p>
            <w:pPr>
              <w:pStyle w:val="15"/>
              <w:ind w:firstLineChars="0" w:firstLine="0"/>
              <w:jc w:val="center"/>
            </w:pPr>
            <w:r>
              <w:rPr>
                <w:rFonts w:hint="eastAsia"/>
              </w:rPr>
              <w:t>姓名</w:t>
            </w:r>
          </w:p>
        </w:tc>
        <w:tc>
          <w:tcPr>
            <w:tcW w:w="1694" w:type="dxa"/>
          </w:tcPr>
          <w:p>
            <w:pPr>
              <w:pStyle w:val="15"/>
              <w:ind w:firstLineChars="0" w:firstLine="0"/>
              <w:jc w:val="center"/>
            </w:pPr>
            <w:r>
              <w:rPr>
                <w:rFonts w:hint="eastAsia"/>
              </w:rPr>
              <w:t>单位</w:t>
            </w:r>
          </w:p>
        </w:tc>
        <w:tc>
          <w:tcPr>
            <w:tcW w:w="4747" w:type="dxa"/>
          </w:tcPr>
          <w:p>
            <w:pPr>
              <w:pStyle w:val="15"/>
              <w:ind w:left="0" w:firstLineChars="0" w:firstLine="0"/>
              <w:jc w:val="center"/>
            </w:pPr>
            <w:r>
              <w:rPr>
                <w:rFonts w:hint="eastAsia"/>
              </w:rPr>
              <w:t>职务</w:t>
            </w:r>
          </w:p>
        </w:tc>
      </w:tr>
      <w:tr>
        <w:tc>
          <w:tcPr>
            <w:tcW w:w="817" w:type="dxa"/>
            <w:tcBorders>
              <w:top w:val="single" w:sz="4" w:space="0" w:color="auto"/>
              <w:left w:val="single" w:sz="4" w:space="0" w:color="auto"/>
              <w:right w:val="single" w:sz="4" w:space="0" w:color="auto"/>
            </w:tcBorders>
            <w:vAlign w:val="center"/>
          </w:tcPr>
          <w:p>
            <w:pPr>
              <w:pStyle w:val="15"/>
              <w:ind w:firstLineChars="0" w:firstLine="0"/>
            </w:pPr>
            <w:r>
              <w:rPr>
                <w:rFonts w:hint="eastAsia"/>
              </w:rPr>
              <w:t xml:space="preserve">  1</w:t>
            </w:r>
          </w:p>
        </w:tc>
        <w:tc>
          <w:tcPr>
            <w:tcW w:w="1561" w:type="dxa"/>
            <w:tcBorders>
              <w:left w:val="single" w:sz="4" w:space="0" w:color="auto"/>
              <w:right w:val="single" w:sz="4" w:space="0" w:color="auto"/>
            </w:tcBorders>
          </w:tcPr>
          <w:p>
            <w:pPr>
              <w:pStyle w:val="15"/>
              <w:ind w:firstLineChars="0" w:firstLine="0"/>
              <w:jc w:val="center"/>
            </w:pPr>
            <w:r>
              <w:rPr>
                <w:rFonts w:hint="eastAsia"/>
              </w:rPr>
              <w:t>王志勇</w:t>
            </w:r>
          </w:p>
        </w:tc>
        <w:tc>
          <w:tcPr>
            <w:tcW w:w="1694" w:type="dxa"/>
            <w:tcBorders>
              <w:left w:val="single" w:sz="4" w:space="0" w:color="auto"/>
              <w:right w:val="single" w:sz="4" w:space="0" w:color="auto"/>
            </w:tcBorders>
            <w:vAlign w:val="center"/>
          </w:tcPr>
          <w:p>
            <w:pPr>
              <w:pStyle w:val="15"/>
              <w:ind w:firstLineChars="0" w:firstLine="0"/>
              <w:jc w:val="center"/>
            </w:pPr>
            <w:r>
              <w:rPr>
                <w:rFonts w:hint="eastAsia"/>
              </w:rPr>
              <w:t>区纪委</w:t>
            </w:r>
          </w:p>
        </w:tc>
        <w:tc>
          <w:tcPr>
            <w:tcW w:w="4747" w:type="dxa"/>
            <w:tcBorders>
              <w:left w:val="single" w:sz="4" w:space="0" w:color="auto"/>
              <w:right w:val="single" w:sz="4" w:space="0" w:color="auto"/>
            </w:tcBorders>
          </w:tcPr>
          <w:p>
            <w:pPr>
              <w:pStyle w:val="15"/>
              <w:ind w:firstLineChars="0" w:firstLine="0"/>
              <w:jc w:val="center"/>
            </w:pPr>
            <w:r>
              <w:rPr>
                <w:rFonts w:hint="eastAsia"/>
              </w:rPr>
              <w:t>纪委副书记、监委副主任</w:t>
            </w:r>
          </w:p>
        </w:tc>
      </w:tr>
      <w:tr>
        <w:tc>
          <w:tcPr>
            <w:tcW w:w="817" w:type="dxa"/>
            <w:tcBorders>
              <w:top w:val="single" w:sz="4" w:space="0" w:color="auto"/>
              <w:left w:val="single" w:sz="4" w:space="0" w:color="auto"/>
              <w:right w:val="single" w:sz="4" w:space="0" w:color="auto"/>
            </w:tcBorders>
            <w:vAlign w:val="center"/>
          </w:tcPr>
          <w:p>
            <w:pPr>
              <w:pStyle w:val="15"/>
              <w:ind w:firstLineChars="0" w:firstLine="0"/>
            </w:pPr>
            <w:r>
              <w:rPr>
                <w:rFonts w:hint="eastAsia"/>
              </w:rPr>
              <w:t xml:space="preserve">  2</w:t>
            </w:r>
          </w:p>
        </w:tc>
        <w:tc>
          <w:tcPr>
            <w:tcW w:w="1561" w:type="dxa"/>
            <w:tcBorders>
              <w:left w:val="single" w:sz="4" w:space="0" w:color="auto"/>
              <w:right w:val="single" w:sz="4" w:space="0" w:color="auto"/>
            </w:tcBorders>
          </w:tcPr>
          <w:p>
            <w:pPr>
              <w:pStyle w:val="15"/>
              <w:ind w:firstLineChars="0" w:firstLine="0"/>
              <w:jc w:val="center"/>
            </w:pPr>
            <w:r>
              <w:rPr>
                <w:rFonts w:hint="eastAsia"/>
              </w:rPr>
              <w:t>武</w:t>
            </w:r>
            <w:r>
              <w:t xml:space="preserve">  </w:t>
            </w:r>
            <w:r>
              <w:rPr>
                <w:rFonts w:hint="eastAsia"/>
              </w:rPr>
              <w:t>英</w:t>
            </w:r>
          </w:p>
        </w:tc>
        <w:tc>
          <w:tcPr>
            <w:tcW w:w="1694" w:type="dxa"/>
            <w:tcBorders>
              <w:left w:val="single" w:sz="4" w:space="0" w:color="auto"/>
              <w:right w:val="single" w:sz="4" w:space="0" w:color="auto"/>
            </w:tcBorders>
            <w:vAlign w:val="center"/>
          </w:tcPr>
          <w:p>
            <w:pPr>
              <w:pStyle w:val="15"/>
              <w:ind w:firstLineChars="0" w:firstLine="0"/>
              <w:jc w:val="center"/>
            </w:pPr>
            <w:r>
              <w:rPr>
                <w:rFonts w:hint="eastAsia"/>
              </w:rPr>
              <w:t>区纪委</w:t>
            </w:r>
          </w:p>
        </w:tc>
        <w:tc>
          <w:tcPr>
            <w:tcW w:w="4747" w:type="dxa"/>
            <w:tcBorders>
              <w:left w:val="single" w:sz="4" w:space="0" w:color="auto"/>
              <w:right w:val="single" w:sz="4" w:space="0" w:color="auto"/>
            </w:tcBorders>
          </w:tcPr>
          <w:p>
            <w:pPr>
              <w:pStyle w:val="15"/>
              <w:ind w:firstLineChars="0" w:firstLine="0"/>
              <w:jc w:val="center"/>
            </w:pPr>
            <w:r>
              <w:rPr>
                <w:rFonts w:hint="eastAsia"/>
              </w:rPr>
              <w:t>纪委副书记、监委副主任</w:t>
            </w:r>
          </w:p>
        </w:tc>
      </w:tr>
      <w:tr>
        <w:tc>
          <w:tcPr>
            <w:tcW w:w="817" w:type="dxa"/>
            <w:tcBorders>
              <w:top w:val="single" w:sz="4" w:space="0" w:color="auto"/>
              <w:left w:val="single" w:sz="4" w:space="0" w:color="auto"/>
              <w:right w:val="single" w:sz="4" w:space="0" w:color="auto"/>
            </w:tcBorders>
            <w:vAlign w:val="center"/>
          </w:tcPr>
          <w:p>
            <w:pPr>
              <w:pStyle w:val="15"/>
              <w:ind w:firstLineChars="0" w:firstLine="0"/>
            </w:pPr>
            <w:r>
              <w:rPr>
                <w:rFonts w:hint="eastAsia"/>
              </w:rPr>
              <w:t xml:space="preserve">  3</w:t>
            </w:r>
          </w:p>
        </w:tc>
        <w:tc>
          <w:tcPr>
            <w:tcW w:w="1561" w:type="dxa"/>
            <w:tcBorders>
              <w:left w:val="single" w:sz="4" w:space="0" w:color="auto"/>
              <w:right w:val="single" w:sz="4" w:space="0" w:color="auto"/>
            </w:tcBorders>
            <w:vAlign w:val="center"/>
          </w:tcPr>
          <w:p>
            <w:pPr>
              <w:pStyle w:val="15"/>
              <w:ind w:firstLineChars="0" w:firstLine="0"/>
              <w:jc w:val="center"/>
            </w:pPr>
            <w:r>
              <w:rPr>
                <w:rFonts w:hint="eastAsia"/>
              </w:rPr>
              <w:t>赵宏伟</w:t>
            </w:r>
          </w:p>
        </w:tc>
        <w:tc>
          <w:tcPr>
            <w:tcW w:w="1694" w:type="dxa"/>
            <w:tcBorders>
              <w:left w:val="single" w:sz="4" w:space="0" w:color="auto"/>
              <w:right w:val="single" w:sz="4" w:space="0" w:color="auto"/>
            </w:tcBorders>
            <w:vAlign w:val="center"/>
          </w:tcPr>
          <w:p>
            <w:pPr>
              <w:pStyle w:val="15"/>
              <w:ind w:firstLineChars="0" w:firstLine="0"/>
              <w:jc w:val="center"/>
            </w:pPr>
            <w:r>
              <w:rPr>
                <w:rFonts w:hint="eastAsia"/>
              </w:rPr>
              <w:t>区纪委</w:t>
            </w:r>
          </w:p>
        </w:tc>
        <w:tc>
          <w:tcPr>
            <w:tcW w:w="4747" w:type="dxa"/>
            <w:tcBorders>
              <w:left w:val="single" w:sz="4" w:space="0" w:color="auto"/>
              <w:right w:val="single" w:sz="4" w:space="0" w:color="auto"/>
            </w:tcBorders>
          </w:tcPr>
          <w:p>
            <w:pPr>
              <w:pStyle w:val="15"/>
              <w:ind w:left="0" w:firstLineChars="0" w:firstLine="0"/>
              <w:jc w:val="center"/>
            </w:pPr>
            <w:r>
              <w:t>纪委监委一级主任科员</w:t>
            </w:r>
          </w:p>
        </w:tc>
      </w:tr>
      <w:tr>
        <w:tc>
          <w:tcPr>
            <w:tcW w:w="817" w:type="dxa"/>
            <w:tcBorders>
              <w:top w:val="single" w:sz="4" w:space="0" w:color="auto"/>
              <w:left w:val="single" w:sz="4" w:space="0" w:color="auto"/>
              <w:right w:val="single" w:sz="4" w:space="0" w:color="auto"/>
            </w:tcBorders>
            <w:vAlign w:val="center"/>
          </w:tcPr>
          <w:p>
            <w:pPr>
              <w:pStyle w:val="15"/>
              <w:ind w:firstLineChars="0" w:firstLine="0"/>
            </w:pPr>
            <w:r>
              <w:rPr>
                <w:rFonts w:hint="eastAsia"/>
              </w:rPr>
              <w:t xml:space="preserve">  4</w:t>
            </w:r>
          </w:p>
        </w:tc>
        <w:tc>
          <w:tcPr>
            <w:tcW w:w="1561" w:type="dxa"/>
            <w:tcBorders>
              <w:left w:val="single" w:sz="4" w:space="0" w:color="auto"/>
              <w:right w:val="single" w:sz="4" w:space="0" w:color="auto"/>
            </w:tcBorders>
            <w:vAlign w:val="center"/>
          </w:tcPr>
          <w:p>
            <w:pPr>
              <w:pStyle w:val="15"/>
              <w:ind w:firstLineChars="0" w:firstLine="0"/>
              <w:jc w:val="center"/>
            </w:pPr>
            <w:r>
              <w:rPr>
                <w:rFonts w:hint="eastAsia"/>
              </w:rPr>
              <w:t>孙晓峰</w:t>
            </w:r>
          </w:p>
        </w:tc>
        <w:tc>
          <w:tcPr>
            <w:tcW w:w="1694" w:type="dxa"/>
            <w:tcBorders>
              <w:left w:val="single" w:sz="4" w:space="0" w:color="auto"/>
              <w:right w:val="single" w:sz="4" w:space="0" w:color="auto"/>
            </w:tcBorders>
            <w:vAlign w:val="center"/>
          </w:tcPr>
          <w:p>
            <w:pPr>
              <w:pStyle w:val="15"/>
              <w:ind w:firstLineChars="0" w:firstLine="0"/>
              <w:jc w:val="center"/>
            </w:pPr>
            <w:r>
              <w:rPr>
                <w:rFonts w:hint="eastAsia"/>
              </w:rPr>
              <w:t>区纪委</w:t>
            </w:r>
          </w:p>
        </w:tc>
        <w:tc>
          <w:tcPr>
            <w:tcW w:w="4747" w:type="dxa"/>
            <w:tcBorders>
              <w:left w:val="single" w:sz="4" w:space="0" w:color="auto"/>
              <w:right w:val="single" w:sz="4" w:space="0" w:color="auto"/>
            </w:tcBorders>
          </w:tcPr>
          <w:p>
            <w:pPr>
              <w:pStyle w:val="15"/>
              <w:ind w:left="0" w:firstLineChars="0" w:firstLine="0"/>
            </w:pPr>
            <w:r>
              <w:t>监委委员、纪委监委</w:t>
            </w:r>
            <w:r>
              <w:rPr>
                <w:rFonts w:hint="eastAsia"/>
              </w:rPr>
              <w:t>办公室</w:t>
            </w:r>
            <w:r>
              <w:t>主任</w:t>
            </w:r>
          </w:p>
        </w:tc>
      </w:tr>
    </w:tbl>
    <w:p>
      <w:pPr>
        <w:spacing w:line="560" w:lineRule="exact"/>
        <w:rPr>
          <w:rFonts w:ascii="仿宋" w:eastAsia="仿宋" w:hAnsi="仿宋"/>
        </w:rPr>
      </w:pPr>
    </w:p>
    <w:sectPr>
      <w:footerReference w:type="default" r:id="rId2"/>
      <w:pgSz w:w="11906" w:h="16838"/>
      <w:pgMar w:top="1440" w:right="1474" w:bottom="1440" w:left="1587" w:header="851" w:footer="992" w:gutter="0"/>
      <w:pgNumType w:fmt="numberInDash"/>
      <w:docGrid w:type="lines" w:linePitch="312" w:charSpace="0"/>
    </w:sectPr>
  </w:body>
</w:document>
</file>

<file path=word/fontTable.xml><?xml version="1.0" encoding="utf-8"?>
<w:fonts xmlns:w="http://schemas.openxmlformats.org/wordprocessingml/2006/main" xmlns:r="http://schemas.openxmlformats.org/officeDocument/2006/relationships">
  <w:font w:name="黑体">
    <w:panose1 w:val="02010609060101010101"/>
    <w:charset w:val="86"/>
    <w:family w:val="auto"/>
    <w:pitch w:val="variable"/>
    <w:sig w:usb0="800002BF" w:usb1="38CF7CFA" w:usb2="00000016" w:usb3="00000000" w:csb0="00040001" w:csb1="00000000"/>
  </w:font>
  <w:font w:name="宋体">
    <w:panose1 w:val="02010600030101010101"/>
    <w:charset w:val="86"/>
    <w:family w:val="auto"/>
    <w:pitch w:val="variable"/>
    <w:sig w:usb0="00000003" w:usb1="288F0000" w:usb2="00000006" w:usb3="00000000" w:csb0="00040001" w:csb1="00000000"/>
  </w:font>
  <w:font w:name="华文楷体">
    <w:panose1 w:val="02010600040101010101"/>
    <w:charset w:val="86"/>
    <w:family w:val="auto"/>
    <w:pitch w:val="variable"/>
    <w:sig w:usb0="00000287" w:usb1="080F0000" w:usb2="00000000" w:usb3="00000000" w:csb0="0004009F" w:csb1="DFD70000"/>
  </w:font>
  <w:font w:name="仿宋">
    <w:panose1 w:val="02010609060101010101"/>
    <w:charset w:val="86"/>
    <w:family w:val="modern"/>
    <w:pitch w:val="variable"/>
    <w:sig w:usb0="800002BF" w:usb1="38CF7CFA" w:usb2="00000016" w:usb3="00000000" w:csb0="00040001" w:csb1="00000000"/>
  </w:font>
  <w:font w:name="楷体">
    <w:panose1 w:val="02010609060101010101"/>
    <w:charset w:val="86"/>
    <w:family w:val="modern"/>
    <w:pitch w:val="variable"/>
    <w:sig w:usb0="800002BF" w:usb1="38CF7CFA" w:usb2="00000016" w:usb3="00000000" w:csb0="00040001" w:csb1="00000000"/>
  </w:font>
  <w:font w:name="楷体_GB2312">
    <w:altName w:val="楷体"/>
    <w:panose1 w:val="02010609030101010101"/>
    <w:charset w:val="86"/>
    <w:family w:val="auto"/>
    <w:pitch w:val="variable"/>
    <w:sig w:usb0="00000000" w:usb1="00000000" w:usb2="00000000" w:usb3="00000000" w:csb0="00040000" w:csb1="00000000"/>
  </w:font>
  <w:font w:name="仿宋_GB2312">
    <w:panose1 w:val="02010609030101010101"/>
    <w:charset w:val="86"/>
    <w:family w:val="auto"/>
    <w:pitch w:val="variable"/>
    <w:sig w:usb0="00000001" w:usb1="080E0000" w:usb2="00000000" w:usb3="00000000" w:csb0="00040000" w:csb1="00000000"/>
  </w:font>
  <w:font w:name="方正书宋_GBK">
    <w:altName w:val="宋体"/>
    <w:panose1 w:val="00000000000000000000"/>
    <w:charset w:val="00"/>
    <w:family w:val="auto"/>
    <w:pitch w:val="variable"/>
    <w:sig w:usb0="00000000" w:usb1="00000000" w:usb2="00000000" w:usb3="00000000" w:csb0="00000000" w:csb1="00000000"/>
  </w:font>
  <w:font w:name="Times New Roman">
    <w:panose1 w:val="02020603050405020304"/>
    <w:charset w:val="00"/>
    <w:family w:val="roman"/>
    <w:pitch w:val="variable"/>
    <w:sig w:usb0="20007A87" w:usb1="80000000" w:usb2="00000008" w:usb3="00000000" w:csb0="000001FF" w:csb1="00000000"/>
  </w:font>
  <w:font w:name="Arial">
    <w:panose1 w:val="020B0604020202020204"/>
    <w:charset w:val="01"/>
    <w:family w:val="swiss"/>
    <w:pitch w:val="variable"/>
    <w:sig w:usb0="E0002AFF" w:usb1="C0007843" w:usb2="00000009" w:usb3="00000000" w:csb0="400001FF" w:csb1="FFFF0000"/>
  </w:font>
  <w:font w:name="Calibri">
    <w:panose1 w:val="020F0502020204030204"/>
    <w:charset w:val="00"/>
    <w:family w:val="swiss"/>
    <w:pitch w:val="variable"/>
    <w:sig w:usb0="E00002FF" w:usb1="4000ACFF" w:usb2="00000001" w:usb3="00000000" w:csb0="2000019F" w:csb1="00000000"/>
  </w:font>
  <w:font w:name="Cambria">
    <w:panose1 w:val="02040503050406030204"/>
    <w:charset w:val="00"/>
    <w:family w:val="auto"/>
    <w:pitch w:val="variable"/>
    <w:sig w:usb0="E00002FF" w:usb1="400004FF" w:usb2="00000000" w:usb3="00000000" w:csb0="200001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tabs>
        <w:tab w:val="center" w:pos="4153"/>
        <w:tab w:val="right" w:pos="8306"/>
      </w:tabs>
    </w:pPr>
    <w:r>
      <mc:AlternateContent>
        <mc:Choice Requires="wps">
          <w:drawing>
            <wp:anchor distT="0" distB="0" distL="91437" distR="91437" simplePos="0" relativeHeight="12" behindDoc="0" locked="0" layoutInCell="1" hidden="0" allowOverlap="1">
              <wp:simplePos x="0" y="0"/>
              <wp:positionH relativeFrom="margin">
                <wp:align>center</wp:align>
              </wp:positionH>
              <wp:positionV relativeFrom="paragraph">
                <wp:posOffset>0</wp:posOffset>
              </wp:positionV>
              <wp:extent cx="209531" cy="162780"/>
              <wp:effectExtent l="0" t="0" r="0" b="0"/>
              <wp:wrapNone/>
              <wp:docPr id="1" name="Quad Arrow 3073"/>
              <wp:cNvGraphicFramePr>
                <a:graphicFrameLocks noChangeAspect="0"/>
              </wp:cNvGraphicFramePr>
              <a:graphic>
                <a:graphicData uri="http://schemas.microsoft.com/office/word/2010/wordprocessingShape">
                  <wps:wsp>
                    <wps:cNvSpPr/>
                    <wps:spPr>
                      <a:xfrm rot="0">
                        <a:off x="0" y="0"/>
                        <a:ext cx="209531" cy="162780"/>
                      </a:xfrm>
                      <a:prstGeom prst="rect"/>
                      <a:noFill/>
                      <a:ln w="9525" cmpd="sng" cap="flat">
                        <a:noFill/>
                        <a:prstDash val="solid"/>
                        <a:miter/>
                      </a:ln>
                    </wps:spPr>
                    <wps:txbx id="1">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wps:txbx>
                    <wps:bodyPr vert="horz" wrap="none" lIns="0" tIns="0" rIns="0" bIns="0" anchor="t" anchorCtr="0" upright="1">
                      <a:spAutoFit/>
                    </wps:bodyPr>
                  </wps:wsp>
                </a:graphicData>
              </a:graphic>
            </wp:anchor>
          </w:drawing>
        </mc:Choice>
        <mc:Fallback>
          <w:pict>
            <v:rect type="#_x0000_t1" id="Quad Arrow 3073" o:spid="_x0000_s2" filled="f" stroked="f" style="position:absolute;margin-left:0.0pt;margin-top:0.0pt;width:16.498505pt;height:12.817323pt;z-index:12;mso-position-horizontal:center;mso-position-horizontal-relative:margin;mso-position-vertical:absolute;mso-wrap-distance-left:7.199764pt;mso-wrap-distance-right:7.199764pt;mso-wrap-style:none;">
              <v:stroke/>
              <v:textbox id="848" inset="0mm,0mm,0mm,0mm" o:insetmode="custom" style="layout-flow:horizontal;v-text-anchor:top;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5E68489B"/>
    <w:multiLevelType w:val="singleLevel"/>
    <w:tmpl w:val="5E68489B"/>
    <w:lvl w:ilvl="0">
      <w:start w:val="1"/>
      <w:numFmt w:val="chineseCounting"/>
      <w:lvlRestart w:val="0"/>
      <w:suff w:val="nothing"/>
      <w:lvlText w:val="（%1）"/>
      <w:lvlJc w:val="left"/>
      <w:pPr>
        <w:ind w:left="0" w:hanging="0"/>
      </w:pPr>
      <w:rPr>
        <w:rFonts w:ascii="楷体" w:hAnsi="楷体" w:eastAsia="楷体"/>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94"/>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doNotUseIndentAsNumberingTabStop/>
    <w:useAltKinsokuLineBreakRules/>
    <w:doNotSuppressIndentation/>
    <w:splitPgBreakAndParaMark/>
    <w:compatSetting w:name="compatibilityMode" w:uri="http://schemas.microsoft.com/office/word" w:val="11"/>
  </w:compat>
  <w:docVars>
    <w:docVar w:name="commondata" w:val="eyJoZGlkIjoiYzgxMzVhZTBlNDUyZWUxNDVhMjNkN2E1NjFlOTE5NDcifQ=="/>
  </w:docVars>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pPr>
      <w:widowControl w:val="0"/>
      <w:jc w:val="both"/>
    </w:pPr>
    <w:rPr>
      <w:rFonts w:ascii="Calibri" w:eastAsia="宋体" w:cs="黑体" w:hAnsi="Calibri"/>
      <w:kern w:val="2"/>
      <w:sz w:val="21"/>
      <w:szCs w:val="22"/>
      <w:lang w:val="en-US" w:eastAsia="zh-CN" w:bidi="ar-SA"/>
    </w:rPr>
  </w:style>
  <w:style w:type="paragraph" w:styleId="1">
    <w:name w:val="heading 1"/>
    <w:qFormat/>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Calibri" w:eastAsia="宋体" w:cs="黑体" w:hAnsi="Calibri"/>
      <w:b/>
      <w:bCs/>
      <w:kern w:val="44"/>
      <w:sz w:val="44"/>
      <w:szCs w:val="44"/>
      <w:lang w:val="en-US" w:eastAsia="zh-CN" w:bidi="ar-SA"/>
    </w:rPr>
  </w:style>
  <w:style w:type="paragraph" w:styleId="2">
    <w:name w:val="heading 2"/>
    <w:qFormat/>
    <w:basedOn w:val="0"/>
    <w:next w:val="0"/>
    <w:link w:val="2Char"/>
    <w:pPr>
      <w:keepNext/>
      <w:keepLines/>
      <w:widowControl w:val="0"/>
      <w:spacing w:before="260" w:after="260" w:line="415" w:lineRule="auto"/>
      <w:outlineLvl w:val="1"/>
    </w:pPr>
    <w:rPr>
      <w:rFonts w:ascii="Times New Roman" w:eastAsia="黑体" w:hAnsi="Times New Roman"/>
      <w:b/>
      <w:bCs/>
      <w:sz w:val="32"/>
      <w:szCs w:val="32"/>
    </w:rPr>
  </w:style>
  <w:style w:type="character" w:customStyle="1" w:styleId="2Char">
    <w:name w:val="heading 2 Char"/>
    <w:basedOn w:val="10"/>
    <w:link w:val="2"/>
    <w:rPr>
      <w:rFonts w:ascii="Times New Roman" w:eastAsia="黑体" w:cs="黑体" w:hAnsi="Times New Roman"/>
      <w:b/>
      <w:bCs/>
      <w:kern w:val="2"/>
      <w:sz w:val="32"/>
      <w:szCs w:val="32"/>
      <w:lang w:val="en-US" w:eastAsia="zh-CN" w:bidi="ar-SA"/>
    </w:rPr>
  </w:style>
  <w:style w:type="paragraph" w:styleId="3">
    <w:name w:val="heading 3"/>
    <w:qFormat/>
    <w:basedOn w:val="0"/>
    <w:next w:val="0"/>
    <w:link w:val="3Char"/>
    <w:pPr>
      <w:keepNext/>
      <w:keepLines/>
      <w:widowControl w:val="0"/>
      <w:spacing w:before="260" w:after="260" w:line="415" w:lineRule="auto"/>
      <w:outlineLvl w:val="2"/>
    </w:pPr>
    <w:rPr>
      <w:b/>
      <w:bCs/>
      <w:sz w:val="32"/>
      <w:szCs w:val="32"/>
    </w:rPr>
  </w:style>
  <w:style w:type="character" w:customStyle="1" w:styleId="3Char">
    <w:name w:val="heading 3 Char"/>
    <w:basedOn w:val="10"/>
    <w:link w:val="3"/>
    <w:rPr>
      <w:rFonts w:ascii="Calibri" w:eastAsia="宋体" w:cs="黑体" w:hAnsi="Calibri"/>
      <w:b/>
      <w:bCs/>
      <w:kern w:val="2"/>
      <w:sz w:val="32"/>
      <w:szCs w:val="32"/>
      <w:lang w:val="en-US" w:eastAsia="zh-CN" w:bidi="ar-SA"/>
    </w:rPr>
  </w:style>
  <w:style w:type="character" w:default="1" w:styleId="10">
    <w:name w:val="Default Paragraph Font"/>
    <w:qFormat/>
  </w:style>
  <w:style w:type="paragraph" w:styleId="15">
    <w:name w:val="Normal Indent"/>
    <w:qFormat/>
    <w:basedOn w:val="0"/>
    <w:next w:val="16"/>
    <w:pPr>
      <w:widowControl w:val="0"/>
      <w:ind w:firstLineChars="200" w:firstLine="200"/>
      <w:jc w:val="both"/>
    </w:pPr>
    <w:rPr>
      <w:rFonts w:ascii="Calibri" w:eastAsia="仿宋_GB2312" w:cs="黑体" w:hAnsi="Calibri"/>
      <w:kern w:val="2"/>
      <w:sz w:val="30"/>
      <w:szCs w:val="22"/>
      <w:lang w:val="en-US" w:eastAsia="zh-CN" w:bidi="ar-SA"/>
    </w:rPr>
  </w:style>
  <w:style w:type="paragraph" w:styleId="16">
    <w:name w:val="header"/>
    <w:qFormat/>
    <w:basedOn w:val="0"/>
    <w:pPr>
      <w:pBdr>
        <w:top w:val="none" w:sz="0" w:space="0" w:color="auto"/>
        <w:left w:val="none" w:sz="0" w:space="0" w:color="auto"/>
        <w:bottom w:val="none" w:sz="0" w:space="0" w:color="auto"/>
        <w:right w:val="none" w:sz="0" w:space="0" w:color="auto"/>
      </w:pBdr>
      <w:tabs>
        <w:tab w:val="center" w:pos="4153"/>
        <w:tab w:val="right" w:pos="8306"/>
      </w:tabs>
      <w:snapToGrid w:val="0"/>
    </w:pPr>
    <w:rPr>
      <w:rFonts w:ascii="Times New Roman" w:hAnsi="Times New Roman"/>
      <w:sz w:val="18"/>
    </w:rPr>
  </w:style>
  <w:style w:type="paragraph" w:styleId="17">
    <w:name w:val="footer"/>
    <w:qFormat/>
    <w:basedOn w:val="0"/>
    <w:pPr>
      <w:tabs>
        <w:tab w:val="center" w:pos="4153"/>
        <w:tab w:val="right" w:pos="8306"/>
      </w:tabs>
      <w:snapToGrid w:val="0"/>
      <w:jc w:val="left"/>
    </w:pPr>
    <w:rPr>
      <w:sz w:val="18"/>
    </w:rPr>
  </w:style>
  <w:style w:type="paragraph" w:styleId="18">
    <w:name w:val="index 9"/>
    <w:qFormat/>
    <w:basedOn w:val="0"/>
    <w:autoRedefine/>
    <w:next w:val="0"/>
    <w:pPr>
      <w:ind w:left="3360"/>
    </w:pPr>
  </w:style>
  <w:style w:type="paragraph" w:styleId="19">
    <w:name w:val="Normal (Web)"/>
    <w:qFormat/>
    <w:basedOn w:val="0"/>
    <w:pPr>
      <w:widowControl w:val="0"/>
      <w:jc w:val="both"/>
    </w:pPr>
    <w:rPr>
      <w:rFonts w:ascii="Calibri" w:eastAsia="宋体" w:cs="黑体" w:hAnsi="Calibri"/>
      <w:kern w:val="2"/>
      <w:sz w:val="24"/>
      <w:szCs w:val="24"/>
      <w:lang w:val="en-US" w:eastAsia="zh-CN" w:bidi="ar-SA"/>
    </w:rPr>
  </w:style>
  <w:style w:type="paragraph" w:styleId="20">
    <w:name w:val="List Paragraph"/>
    <w:qFormat/>
    <w:basedOn w:val="0"/>
    <w:pPr>
      <w:widowControl w:val="0"/>
      <w:ind w:firstLineChars="200" w:firstLine="200"/>
      <w:jc w:val="both"/>
    </w:pPr>
    <w:rPr>
      <w:rFonts w:ascii="Calibri" w:eastAsia="宋体" w:cs="黑体" w:hAnsi="Calibri"/>
      <w:kern w:val="2"/>
      <w:sz w:val="21"/>
      <w:szCs w:val="22"/>
      <w:lang w:val="en-US" w:eastAsia="zh-CN" w:bidi="ar-SA"/>
    </w:rPr>
  </w:style>
  <w:style w:type="paragraph" w:customStyle="1" w:styleId="21">
    <w:name w:val="BodyText1I2"/>
    <w:qFormat/>
    <w:basedOn w:val="0"/>
    <w:pPr>
      <w:widowControl w:val="0"/>
      <w:spacing w:line="240" w:lineRule="auto"/>
      <w:ind w:firstLineChars="200" w:firstLine="200"/>
      <w:jc w:val="both"/>
    </w:pPr>
    <w:rPr>
      <w:rFonts w:ascii="Times New Roman" w:eastAsia="宋体" w:cs="Times New Roman" w:hAnsi="Times New Roman"/>
      <w:kern w:val="2"/>
      <w:sz w:val="32"/>
      <w:szCs w:val="20"/>
      <w:lang w:val="en-US" w:eastAsia="zh-CN" w:bidi="ar-SA"/>
    </w:rPr>
  </w:style>
  <w:style w:type="paragraph" w:customStyle="1" w:styleId="22">
    <w:name w:val="章标题"/>
    <w:qFormat/>
    <w:basedOn w:val="0"/>
    <w:pPr>
      <w:widowControl w:val="0"/>
      <w:spacing w:before="240" w:after="60"/>
      <w:jc w:val="center"/>
      <w:outlineLvl w:val="0"/>
    </w:pPr>
    <w:rPr>
      <w:rFonts w:ascii="Cambria" w:eastAsia="宋体" w:cs="Times New Roman" w:hAnsi="Cambria"/>
      <w:b/>
      <w:bCs/>
      <w:kern w:val="2"/>
      <w:sz w:val="32"/>
      <w:szCs w:val="3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customXml" Target="../customXml/item1.xml"/><Relationship Id="rId7"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mpd="sng" cap="flat">
          <a:solidFill>
            <a:schemeClr val="phClr"/>
          </a:solidFill>
          <a:prstDash val="solid"/>
          <a:miter/>
        </a:ln>
        <a:ln w="12700" cmpd="sng" cap="flat">
          <a:solidFill>
            <a:schemeClr val="phClr"/>
          </a:solidFill>
          <a:prstDash val="solid"/>
          <a:miter/>
        </a:ln>
        <a:ln w="19050" cmpd="sng" cap="flat">
          <a:solidFill>
            <a:schemeClr val="phClr"/>
          </a:solidFill>
          <a:prstDash val="solid"/>
          <a:miter/>
        </a:ln>
      </a:lnStyleLst>
      <a:effectStyleLst>
        <a:effectStyle>
          <a:effectLst/>
        </a:effectStyle>
        <a:effectStyle>
          <a:effectLst/>
        </a:effectStyle>
        <a:effectStyle>
          <a:effectLst>
            <a:outerShdw sx="100000" sy="100000" algn="b" rotWithShape="0" blurRad="57150" dist="19050" dir="540000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5F85F5F3-136A-4659-889B-5D4E81589378}">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183</TotalTime>
  <Application>Yozo_Office9.0.4819.102ZH</Application>
  <Pages>7</Pages>
  <Words>0</Words>
  <Characters>2682</Characters>
  <Lines>0</Lines>
  <Paragraphs>67</Paragraphs>
  <CharactersWithSpaces>3576</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title>附件3：</dc:title>
  <dc:creator>欣欣大人</dc:creator>
  <cp:lastModifiedBy>a</cp:lastModifiedBy>
  <cp:revision>3</cp:revision>
  <cp:lastPrinted>2026-09-16T06:15:18Z</cp:lastPrinted>
  <dcterms:created xsi:type="dcterms:W3CDTF">2020-02-04T03:46:00Z</dcterms:created>
  <dcterms:modified xsi:type="dcterms:W3CDTF">2026-09-16T07:39:02Z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2052-12.1.0.26381</vt:lpwstr>
  </property>
  <property fmtid="{D5CDD505-2E9C-101B-9397-08002B2CF9AE}" pid="3" name="ICV">
    <vt:lpwstr>96934721B1514D3FBAA28020338CE855_12</vt:lpwstr>
  </property>
  <property fmtid="{D5CDD505-2E9C-101B-9397-08002B2CF9AE}" pid="4" name="KSOTemplateDocerSaveRecord">
    <vt:lpwstr>eyJoZGlkIjoiOWM4NzJmZTg0OWUyODNlYzRlOTE4MjdiZmFkMjgyNTkifQ==</vt:lpwstr>
  </property>
</Properties>
</file>