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z w:val="44"/>
          <w:szCs w:val="44"/>
        </w:rPr>
      </w:pPr>
      <w:r>
        <w:rPr>
          <w:rFonts w:ascii="宋体" w:cs="宋体" w:hAnsi="宋体"/>
          <w:b/>
          <w:bCs/>
          <w:sz w:val="44"/>
          <w:szCs w:val="44"/>
        </w:rPr>
        <w:t>矿区科工局</w:t>
      </w:r>
      <w:r>
        <w:rPr>
          <w:rFonts w:ascii="宋体" w:cs="宋体" w:hAnsi="宋体" w:hint="eastAsia"/>
          <w:b/>
          <w:bCs/>
          <w:sz w:val="44"/>
          <w:szCs w:val="44"/>
        </w:rPr>
        <w:t>部门</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rPr>
        <w:t>5</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jc w:val="both"/>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w:t>
      </w:r>
      <w:r>
        <w:rPr>
          <w:rFonts w:ascii="仿宋" w:eastAsia="仿宋" w:hAnsi="仿宋"/>
          <w:sz w:val="32"/>
          <w:szCs w:val="32"/>
        </w:rPr>
        <w:t>我局</w:t>
      </w:r>
      <w:r>
        <w:rPr>
          <w:rFonts w:ascii="仿宋" w:eastAsia="仿宋" w:hAnsi="仿宋" w:hint="eastAsia"/>
          <w:sz w:val="32"/>
          <w:szCs w:val="32"/>
        </w:rPr>
        <w:t>202</w:t>
      </w:r>
      <w:r>
        <w:rPr>
          <w:rFonts w:ascii="仿宋" w:eastAsia="仿宋" w:hAnsi="仿宋"/>
          <w:sz w:val="32"/>
          <w:szCs w:val="32"/>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ind w:firstLineChars="200" w:firstLine="640"/>
        <w:jc w:val="both"/>
        <w:rPr>
          <w:rFonts w:ascii="黑体" w:eastAsia="黑体" w:hAnsi="黑体"/>
          <w:b/>
          <w:bCs/>
          <w:sz w:val="32"/>
          <w:szCs w:val="36"/>
        </w:rPr>
      </w:pPr>
      <w:r>
        <w:rPr>
          <w:rFonts w:ascii="黑体" w:eastAsia="黑体" w:hAnsi="黑体" w:hint="eastAsia"/>
          <w:sz w:val="32"/>
          <w:szCs w:val="32"/>
        </w:rPr>
        <w:t>一、部门</w:t>
      </w:r>
      <w:r>
        <w:rPr>
          <w:rFonts w:ascii="黑体" w:eastAsia="黑体" w:hAnsi="黑体" w:hint="eastAsia"/>
          <w:sz w:val="32"/>
          <w:szCs w:val="36"/>
        </w:rPr>
        <w:t>基本情况</w:t>
      </w:r>
    </w:p>
    <w:p>
      <w:pPr>
        <w:adjustRightInd w:val="0"/>
        <w:snapToGrid w:val="0"/>
        <w:spacing w:line="560" w:lineRule="exact"/>
        <w:ind w:left="0" w:firstLineChars="200" w:firstLine="640"/>
        <w:jc w:val="both"/>
        <w:rPr>
          <w:rFonts w:ascii="楷体" w:eastAsia="楷体" w:cs="楷体_GB2312" w:hAnsi="楷体"/>
          <w:bCs/>
          <w:sz w:val="32"/>
          <w:szCs w:val="32"/>
        </w:rPr>
      </w:pPr>
      <w:r>
        <w:rPr>
          <w:rFonts w:ascii="楷体" w:eastAsia="楷体" w:cs="楷体_GB2312" w:hAnsi="楷体" w:hint="eastAsia"/>
          <w:bCs/>
          <w:sz w:val="32"/>
          <w:szCs w:val="32"/>
        </w:rPr>
        <w:t>（一）部门概况</w:t>
      </w:r>
    </w:p>
    <w:p>
      <w:pPr>
        <w:adjustRightInd w:val="0"/>
        <w:snapToGrid w:val="0"/>
        <w:spacing w:line="560" w:lineRule="exact"/>
        <w:ind w:firstLineChars="200" w:firstLine="640"/>
        <w:jc w:val="both"/>
        <w:rPr>
          <w:rFonts w:ascii="仿宋" w:eastAsia="仿宋" w:hAnsi="仿宋" w:hint="eastAsia"/>
          <w:sz w:val="32"/>
          <w:szCs w:val="32"/>
        </w:rPr>
      </w:pPr>
      <w:r>
        <w:rPr>
          <w:rFonts w:ascii="仿宋" w:eastAsia="仿宋" w:hAnsi="仿宋" w:hint="eastAsia"/>
          <w:sz w:val="32"/>
          <w:szCs w:val="32"/>
        </w:rPr>
        <w:t>1、部门职能</w:t>
      </w:r>
    </w:p>
    <w:p>
      <w:pPr>
        <w:pStyle w:val="18"/>
        <w:keepNext w:val="0"/>
        <w:keepLines w:val="0"/>
        <w:pageBreakBefore w:val="0"/>
        <w:widowControl w:val="0"/>
        <w:kinsoku/>
        <w:wordWrap/>
        <w:overflowPunct/>
        <w:topLinePunct w:val="0"/>
        <w:autoSpaceDE/>
        <w:autoSpaceDN/>
        <w:adjustRightInd/>
        <w:snapToGrid/>
        <w:spacing w:line="560" w:lineRule="exact"/>
        <w:ind w:firstLineChars="200" w:firstLine="640"/>
        <w:jc w:val="both"/>
        <w:rPr>
          <w:rFonts w:ascii="仿宋" w:eastAsia="仿宋" w:hAnsi="仿宋" w:hint="eastAsia"/>
          <w:sz w:val="32"/>
          <w:szCs w:val="32"/>
          <w:lang w:val="en-US" w:eastAsia="zh-CN"/>
        </w:rPr>
      </w:pPr>
      <w:r>
        <w:rPr>
          <w:rFonts w:ascii="仿宋" w:eastAsia="仿宋" w:hAnsi="仿宋" w:hint="eastAsia"/>
          <w:sz w:val="32"/>
          <w:szCs w:val="32"/>
          <w:lang w:val="en-US" w:eastAsia="zh-CN"/>
        </w:rPr>
        <w:t>根据区委区政府关于印发《井陉矿区科学技术和工业信息化局职能配置、内设机构和人员编制规定》矿办字【2019】34号文件我部门负责（1）实施工业和信息化运行监测管理。编制并组织实施近期监测、分析工业经济运行态势统计相关信息，协调解决经济运行中突出问题并向区政府提出意见和建议。（2）大气污染防治相关工作。督导企业应对启动重污染天气实施相关工作。（3）推动新型工业化发展，支持全区工业技术改造。拟订新型工业化的发展战略，规划和相关推进全民创业。（4）推进全区信息化建设和工业化深度融合。做好中小企业融资和融资担保服务协调工作。(5）知识产权管理与保护。(6)科技创新环境建设与创新服务体系建设。 组织实施科技重大专项工作。(7)科学技术和工业信息化事务管理等相关工作。</w:t>
      </w:r>
    </w:p>
    <w:p>
      <w:pPr>
        <w:adjustRightInd w:val="0"/>
        <w:snapToGrid w:val="0"/>
        <w:spacing w:line="560" w:lineRule="exact"/>
        <w:ind w:left="0" w:firstLineChars="200" w:firstLine="640"/>
        <w:jc w:val="both"/>
        <w:rPr>
          <w:rFonts w:ascii="仿宋" w:eastAsia="仿宋" w:hAnsi="仿宋" w:hint="eastAsia"/>
          <w:sz w:val="32"/>
          <w:szCs w:val="32"/>
        </w:rPr>
      </w:pPr>
      <w:r>
        <w:rPr>
          <w:rFonts w:ascii="仿宋" w:eastAsia="仿宋" w:hAnsi="仿宋" w:hint="eastAsia"/>
          <w:sz w:val="32"/>
          <w:szCs w:val="32"/>
        </w:rPr>
        <w:t>2、组织机构及人员</w:t>
      </w:r>
    </w:p>
    <w:p>
      <w:pPr>
        <w:wordWrap/>
        <w:adjustRightInd w:val="0"/>
        <w:snapToGrid w:val="0"/>
        <w:spacing w:line="560" w:lineRule="exact"/>
        <w:ind w:firstLineChars="200" w:firstLine="640"/>
        <w:jc w:val="both"/>
        <w:rPr>
          <w:rFonts w:ascii="仿宋" w:eastAsia="仿宋" w:hAnsi="仿宋" w:hint="eastAsia"/>
          <w:sz w:val="32"/>
          <w:szCs w:val="32"/>
        </w:rPr>
      </w:pPr>
      <w:r>
        <w:rPr>
          <w:rFonts w:ascii="仿宋" w:eastAsia="仿宋" w:hAnsi="仿宋" w:hint="eastAsia"/>
          <w:sz w:val="32"/>
          <w:szCs w:val="32"/>
          <w:lang w:val="en-US" w:eastAsia="zh-CN"/>
        </w:rPr>
        <w:t>井陉矿区科学技术和工业信息化局为区政府工作部门，机构规格正科级，行政编制6名，年末实有人数6人；科技服务中心，设事业编制6名，年末实有人数3人。</w:t>
      </w:r>
    </w:p>
    <w:p>
      <w:pPr>
        <w:adjustRightInd w:val="0"/>
        <w:snapToGrid w:val="0"/>
        <w:spacing w:line="560" w:lineRule="exact"/>
        <w:ind w:firstLineChars="200" w:firstLine="640"/>
        <w:jc w:val="both"/>
        <w:rPr>
          <w:rFonts w:ascii="仿宋" w:eastAsia="仿宋" w:hAnsi="仿宋" w:hint="eastAsia"/>
          <w:sz w:val="32"/>
          <w:szCs w:val="32"/>
        </w:rPr>
      </w:pPr>
      <w:r>
        <w:rPr>
          <w:rFonts w:ascii="仿宋" w:eastAsia="仿宋" w:hAnsi="仿宋" w:hint="eastAsia"/>
          <w:sz w:val="32"/>
          <w:szCs w:val="32"/>
        </w:rPr>
        <w:t>3、资产情况</w:t>
      </w:r>
    </w:p>
    <w:p>
      <w:pPr>
        <w:keepNext w:val="0"/>
        <w:keepLines w:val="0"/>
        <w:pageBreakBefore w:val="0"/>
        <w:widowControl w:val="0"/>
        <w:kinsoku/>
        <w:wordWrap/>
        <w:overflowPunct/>
        <w:topLinePunct w:val="0"/>
        <w:autoSpaceDE/>
        <w:autoSpaceDN/>
        <w:adjustRightInd/>
        <w:snapToGrid/>
        <w:spacing w:line="580" w:lineRule="exact"/>
        <w:ind w:firstLineChars="200" w:firstLine="640"/>
        <w:jc w:val="both"/>
        <w:rPr>
          <w:rFonts w:ascii="仿宋" w:eastAsia="仿宋" w:hAnsi="仿宋"/>
          <w:sz w:val="32"/>
          <w:szCs w:val="32"/>
          <w:lang w:bidi="ar-SA"/>
        </w:rPr>
      </w:pPr>
      <w:r>
        <w:rPr>
          <w:rFonts w:ascii="仿宋" w:eastAsia="仿宋" w:hAnsi="仿宋" w:hint="eastAsia"/>
          <w:sz w:val="32"/>
          <w:szCs w:val="32"/>
          <w:lang w:val="en-US" w:eastAsia="zh-CN"/>
        </w:rPr>
        <w:t>2025年我单位资产合计64.42万元，其中流动资产为57.37万元，固定资产为7.05万元</w:t>
      </w:r>
      <w:r>
        <w:rPr>
          <w:rFonts w:ascii="仿宋" w:eastAsia="仿宋" w:hAnsi="仿宋" w:hint="eastAsia"/>
          <w:sz w:val="32"/>
          <w:szCs w:val="32"/>
          <w:lang w:bidi="ar-SA"/>
        </w:rPr>
        <w:t>。</w:t>
      </w:r>
    </w:p>
    <w:p>
      <w:pPr>
        <w:keepNext w:val="0"/>
        <w:keepLines w:val="0"/>
        <w:pageBreakBefore w:val="0"/>
        <w:widowControl w:val="0"/>
        <w:kinsoku/>
        <w:wordWrap/>
        <w:overflowPunct/>
        <w:topLinePunct w:val="0"/>
        <w:autoSpaceDE/>
        <w:autoSpaceDN/>
        <w:adjustRightInd/>
        <w:snapToGrid/>
        <w:spacing w:line="580" w:lineRule="exact"/>
        <w:ind w:left="0" w:firstLineChars="200" w:firstLine="640"/>
        <w:jc w:val="both"/>
        <w:rPr>
          <w:rFonts w:ascii="仿宋" w:eastAsia="仿宋" w:hAnsi="仿宋" w:hint="eastAsia"/>
          <w:bCs/>
          <w:sz w:val="32"/>
          <w:szCs w:val="32"/>
        </w:rPr>
      </w:pPr>
      <w:r>
        <w:rPr>
          <w:rFonts w:ascii="楷体" w:eastAsia="楷体" w:cs="楷体_GB2312" w:hAnsi="楷体" w:hint="eastAsia"/>
          <w:bCs/>
          <w:sz w:val="32"/>
          <w:szCs w:val="32"/>
        </w:rPr>
        <w:t>（二）部门收支预决算情况</w:t>
      </w:r>
    </w:p>
    <w:p>
      <w:pPr>
        <w:keepNext w:val="0"/>
        <w:keepLines w:val="0"/>
        <w:pageBreakBefore w:val="0"/>
        <w:widowControl w:val="0"/>
        <w:kinsoku/>
        <w:wordWrap/>
        <w:overflowPunct/>
        <w:topLinePunct w:val="0"/>
        <w:snapToGrid w:val="0"/>
        <w:spacing w:line="600" w:lineRule="exact"/>
        <w:ind w:firstLineChars="200" w:firstLine="640"/>
        <w:jc w:val="both"/>
        <w:outlineLvl w:val="0"/>
        <w:rPr>
          <w:rFonts w:ascii="仿宋" w:eastAsia="仿宋" w:hAnsi="仿宋" w:hint="eastAsia"/>
          <w:sz w:val="32"/>
          <w:szCs w:val="32"/>
        </w:rPr>
      </w:pPr>
      <w:r>
        <w:rPr>
          <w:rFonts w:ascii="仿宋" w:eastAsia="仿宋" w:hAnsi="仿宋" w:hint="eastAsia"/>
          <w:sz w:val="32"/>
          <w:szCs w:val="32"/>
        </w:rPr>
        <w:t>1、2025年财政年初预算安排2221.99万元，其中行政运行194.02万元，项目经费2027.97万元。</w:t>
      </w:r>
    </w:p>
    <w:p>
      <w:pPr>
        <w:keepNext w:val="0"/>
        <w:keepLines w:val="0"/>
        <w:pageBreakBefore w:val="0"/>
        <w:widowControl w:val="0"/>
        <w:kinsoku/>
        <w:wordWrap/>
        <w:overflowPunct/>
        <w:topLinePunct w:val="0"/>
        <w:autoSpaceDE w:val="0"/>
        <w:autoSpaceDN w:val="0"/>
        <w:adjustRightInd/>
        <w:snapToGrid w:val="0"/>
        <w:spacing w:line="580" w:lineRule="exact"/>
        <w:ind w:left="0" w:firstLineChars="200" w:firstLine="640"/>
        <w:jc w:val="both"/>
        <w:rPr>
          <w:rFonts w:ascii="仿宋" w:eastAsia="仿宋" w:hAnsi="仿宋" w:hint="eastAsia"/>
          <w:sz w:val="32"/>
          <w:szCs w:val="32"/>
        </w:rPr>
      </w:pPr>
      <w:r>
        <w:rPr>
          <w:rFonts w:ascii="仿宋" w:eastAsia="仿宋" w:hAnsi="仿宋" w:hint="eastAsia"/>
          <w:sz w:val="32"/>
          <w:szCs w:val="32"/>
          <w:highlight w:val="auto"/>
        </w:rPr>
        <w:t>2、收入支出决算情况：</w:t>
      </w:r>
      <w:r>
        <w:rPr>
          <w:rFonts w:ascii="仿宋" w:eastAsia="仿宋" w:hAnsi="仿宋" w:hint="eastAsia"/>
          <w:sz w:val="32"/>
          <w:szCs w:val="32"/>
        </w:rPr>
        <w:t>2025年实际收到财政拨款822.25元，其中人员支出199.66万元；公用支出8.1万元;项目支出614.49万元。</w:t>
      </w:r>
    </w:p>
    <w:p>
      <w:pPr>
        <w:adjustRightInd w:val="0"/>
        <w:snapToGrid w:val="0"/>
        <w:spacing w:line="560" w:lineRule="exact"/>
        <w:ind w:firstLineChars="200" w:firstLine="640"/>
        <w:jc w:val="both"/>
        <w:rPr>
          <w:rFonts w:ascii="楷体" w:eastAsia="楷体" w:cs="楷体_GB2312" w:hAnsi="楷体" w:hint="eastAsia"/>
          <w:bCs/>
          <w:sz w:val="32"/>
          <w:szCs w:val="32"/>
        </w:rPr>
      </w:pPr>
      <w:r>
        <w:rPr>
          <w:rFonts w:ascii="楷体" w:eastAsia="楷体" w:cs="楷体_GB2312" w:hAnsi="楷体" w:hint="eastAsia"/>
          <w:bCs/>
          <w:sz w:val="32"/>
          <w:szCs w:val="32"/>
        </w:rPr>
        <w:t>（三）部门整体支出绩效目标、指标</w:t>
      </w:r>
    </w:p>
    <w:p>
      <w:pPr>
        <w:keepNext w:val="0"/>
        <w:keepLines w:val="0"/>
        <w:pageBreakBefore w:val="0"/>
        <w:widowControl w:val="0"/>
        <w:kinsoku/>
        <w:wordWrap/>
        <w:overflowPunct/>
        <w:topLinePunct w:val="0"/>
        <w:autoSpaceDE/>
        <w:autoSpaceDN/>
        <w:spacing w:beforeAutospacing="0" w:afterAutospacing="0" w:line="560" w:lineRule="exact"/>
        <w:ind w:firstLineChars="200" w:firstLine="640"/>
        <w:jc w:val="both"/>
        <w:rPr>
          <w:rFonts w:ascii="仿宋" w:eastAsia="仿宋" w:hAnsi="仿宋" w:hint="eastAsia"/>
          <w:sz w:val="32"/>
          <w:szCs w:val="32"/>
        </w:rPr>
      </w:pPr>
      <w:r>
        <w:rPr>
          <w:rFonts w:ascii="仿宋" w:eastAsia="仿宋" w:hAnsi="仿宋" w:hint="eastAsia"/>
          <w:sz w:val="32"/>
          <w:szCs w:val="32"/>
        </w:rPr>
        <w:t>1、绩效管理工作开展情况。按照深化绩效预算管理的要求，2025年继续优化“部门职责-工作活动-预算项目”的绩效预算管理结构，分三个层次分别制定了绩效目标和指标，力争可审核、可监控、可评价，将绩效管理融入项目管理全过程，为提高资金使用效果，规范预算管理打下良好基础。</w:t>
      </w:r>
    </w:p>
    <w:p>
      <w:pPr>
        <w:adjustRightInd w:val="0"/>
        <w:snapToGrid w:val="0"/>
        <w:spacing w:line="560" w:lineRule="exact"/>
        <w:ind w:left="0" w:firstLineChars="200" w:firstLine="640"/>
        <w:jc w:val="both"/>
        <w:rPr>
          <w:rFonts w:ascii="黑体" w:eastAsia="黑体" w:hAnsi="黑体"/>
          <w:sz w:val="32"/>
          <w:szCs w:val="32"/>
        </w:rPr>
      </w:pPr>
      <w:r>
        <w:rPr>
          <w:rFonts w:ascii="黑体" w:eastAsia="黑体" w:hAnsi="黑体" w:hint="eastAsia"/>
          <w:sz w:val="32"/>
          <w:szCs w:val="32"/>
        </w:rPr>
        <w:t>二、自评工作开展情况</w:t>
      </w:r>
    </w:p>
    <w:p>
      <w:pPr>
        <w:adjustRightInd w:val="0"/>
        <w:snapToGrid w:val="0"/>
        <w:spacing w:line="560" w:lineRule="exact"/>
        <w:ind w:firstLineChars="200" w:firstLine="640"/>
        <w:jc w:val="both"/>
        <w:rPr>
          <w:rFonts w:ascii="黑体" w:eastAsia="黑体" w:hAnsi="黑体"/>
          <w:sz w:val="32"/>
          <w:szCs w:val="32"/>
        </w:rPr>
      </w:pPr>
      <w:r>
        <w:rPr>
          <w:rFonts w:ascii="楷体" w:eastAsia="楷体" w:cs="楷体_GB2312" w:hAnsi="楷体"/>
          <w:bCs/>
          <w:sz w:val="32"/>
          <w:szCs w:val="32"/>
        </w:rPr>
        <w:t>（一）</w:t>
      </w:r>
      <w:r>
        <w:rPr>
          <w:rFonts w:ascii="楷体" w:eastAsia="楷体" w:cs="楷体_GB2312" w:hAnsi="楷体" w:hint="eastAsia"/>
          <w:bCs/>
          <w:sz w:val="32"/>
          <w:szCs w:val="32"/>
        </w:rPr>
        <w:t>自评的组织工作</w:t>
      </w:r>
    </w:p>
    <w:p>
      <w:pPr>
        <w:wordWrap/>
        <w:spacing w:line="560" w:lineRule="exact"/>
        <w:ind w:left="0" w:firstLineChars="200" w:firstLine="640"/>
        <w:jc w:val="both"/>
        <w:rPr>
          <w:rFonts w:ascii="仿宋" w:eastAsia="仿宋" w:hAnsi="仿宋" w:hint="eastAsia"/>
          <w:sz w:val="32"/>
          <w:szCs w:val="32"/>
        </w:rPr>
      </w:pPr>
      <w:r>
        <w:rPr>
          <w:rFonts w:ascii="仿宋" w:eastAsia="仿宋" w:hAnsi="仿宋" w:hint="eastAsia"/>
          <w:sz w:val="32"/>
          <w:szCs w:val="32"/>
          <w:lang w:val="en-US" w:eastAsia="zh-CN"/>
        </w:rPr>
        <w:t>根据财政局的安排部署，</w:t>
      </w:r>
      <w:r>
        <w:rPr>
          <w:rFonts w:ascii="仿宋" w:eastAsia="仿宋" w:hAnsi="仿宋" w:hint="eastAsia"/>
          <w:sz w:val="32"/>
          <w:szCs w:val="32"/>
        </w:rPr>
        <w:t>建立项目自评工作组，采用查阅资料、</w:t>
      </w:r>
      <w:r>
        <w:rPr>
          <w:rFonts w:ascii="仿宋" w:eastAsia="仿宋" w:hAnsi="仿宋" w:hint="eastAsia"/>
          <w:sz w:val="32"/>
          <w:szCs w:val="32"/>
          <w:lang w:eastAsia="zh-CN"/>
        </w:rPr>
        <w:t>文件</w:t>
      </w:r>
      <w:r>
        <w:rPr>
          <w:rFonts w:ascii="仿宋" w:eastAsia="仿宋" w:hAnsi="仿宋" w:hint="eastAsia"/>
          <w:sz w:val="32"/>
          <w:szCs w:val="32"/>
        </w:rPr>
        <w:t>等方式进行自评。</w:t>
      </w:r>
    </w:p>
    <w:p>
      <w:pPr>
        <w:spacing w:line="560" w:lineRule="exact"/>
        <w:ind w:firstLineChars="200" w:firstLine="640"/>
        <w:jc w:val="both"/>
        <w:rPr>
          <w:rFonts w:ascii="楷体" w:eastAsia="楷体" w:cs="楷体_GB2312" w:hAnsi="楷体"/>
          <w:bCs/>
          <w:sz w:val="32"/>
          <w:szCs w:val="32"/>
        </w:rPr>
      </w:pPr>
      <w:r>
        <w:rPr>
          <w:rFonts w:ascii="楷体" w:eastAsia="楷体" w:cs="楷体_GB2312" w:hAnsi="楷体"/>
          <w:bCs/>
          <w:sz w:val="32"/>
          <w:szCs w:val="32"/>
        </w:rPr>
        <w:t>（二）</w:t>
      </w:r>
      <w:r>
        <w:rPr>
          <w:rFonts w:ascii="楷体" w:eastAsia="楷体" w:cs="楷体_GB2312" w:hAnsi="楷体" w:hint="eastAsia"/>
          <w:bCs/>
          <w:sz w:val="32"/>
          <w:szCs w:val="32"/>
        </w:rPr>
        <w:t>自评的方法和过程</w:t>
      </w:r>
    </w:p>
    <w:p>
      <w:pPr>
        <w:wordWrap/>
        <w:spacing w:line="560" w:lineRule="exact"/>
        <w:ind w:left="0" w:firstLineChars="200" w:firstLine="640"/>
        <w:jc w:val="both"/>
        <w:rPr>
          <w:rFonts w:ascii="仿宋" w:eastAsia="仿宋" w:hAnsi="仿宋" w:hint="eastAsia"/>
          <w:bCs/>
          <w:sz w:val="32"/>
          <w:szCs w:val="32"/>
        </w:rPr>
      </w:pPr>
      <w:r>
        <w:rPr>
          <w:rFonts w:ascii="仿宋" w:eastAsia="仿宋" w:hAnsi="仿宋" w:hint="eastAsia"/>
          <w:sz w:val="32"/>
          <w:szCs w:val="32"/>
        </w:rPr>
        <w:t>通过对所有项目的整体支出情况进行数据分析，采用历史比较法的方法完成自评工作。</w:t>
      </w:r>
    </w:p>
    <w:p>
      <w:pPr>
        <w:spacing w:line="560" w:lineRule="exact"/>
        <w:ind w:left="0" w:firstLineChars="200" w:firstLine="640"/>
        <w:jc w:val="both"/>
        <w:rPr>
          <w:rFonts w:ascii="黑体" w:eastAsia="黑体" w:hAnsi="黑体"/>
          <w:sz w:val="32"/>
          <w:szCs w:val="32"/>
        </w:rPr>
      </w:pPr>
      <w:r>
        <w:rPr>
          <w:rFonts w:ascii="黑体" w:eastAsia="黑体" w:hAnsi="黑体" w:hint="eastAsia"/>
          <w:sz w:val="32"/>
          <w:szCs w:val="32"/>
        </w:rPr>
        <w:t>三、部门整体支出绩效目标实现情况及指标分析</w:t>
      </w:r>
    </w:p>
    <w:p>
      <w:pPr>
        <w:spacing w:line="560" w:lineRule="exact"/>
        <w:ind w:firstLineChars="200" w:firstLine="640"/>
        <w:jc w:val="both"/>
        <w:rPr>
          <w:rFonts w:ascii="黑体" w:eastAsia="黑体" w:hAnsi="黑体"/>
          <w:b/>
          <w:bCs/>
          <w:sz w:val="32"/>
          <w:szCs w:val="32"/>
        </w:rPr>
      </w:pPr>
      <w:r>
        <w:rPr>
          <w:rFonts w:ascii="楷体" w:eastAsia="楷体" w:cs="楷体_GB2312" w:hAnsi="楷体"/>
          <w:bCs/>
          <w:sz w:val="32"/>
          <w:szCs w:val="32"/>
        </w:rPr>
        <w:t>（一）</w:t>
      </w:r>
      <w:r>
        <w:rPr>
          <w:rFonts w:ascii="楷体" w:eastAsia="楷体" w:cs="楷体_GB2312" w:hAnsi="楷体" w:hint="eastAsia"/>
          <w:bCs/>
          <w:sz w:val="32"/>
          <w:szCs w:val="32"/>
        </w:rPr>
        <w:t>总体绩效目标实现情况</w:t>
      </w:r>
    </w:p>
    <w:p>
      <w:pPr>
        <w:wordWrap/>
        <w:spacing w:line="560" w:lineRule="exact"/>
        <w:ind w:left="0" w:firstLineChars="200" w:firstLine="640"/>
        <w:jc w:val="both"/>
        <w:rPr>
          <w:rStyle w:val="0"/>
          <w:rFonts w:ascii="仿宋" w:eastAsia="仿宋" w:hAnsi="仿宋" w:hint="eastAsia"/>
          <w:sz w:val="32"/>
          <w:szCs w:val="32"/>
        </w:rPr>
      </w:pPr>
      <w:r>
        <w:rPr>
          <w:rStyle w:val="0"/>
          <w:rFonts w:ascii="仿宋" w:eastAsia="仿宋" w:hAnsi="仿宋" w:hint="eastAsia"/>
          <w:sz w:val="32"/>
          <w:szCs w:val="32"/>
          <w:lang w:val="en-US" w:eastAsia="zh-CN" w:bidi="ar-SA"/>
        </w:rPr>
        <w:t>2025年，区科工局认真贯彻落实区委区政府决策部署，紧密结合职责使命，牢固树立“服务企业就是服务矿区高质量发展”理念，</w:t>
      </w:r>
      <w:r>
        <w:rPr>
          <w:rStyle w:val="0"/>
          <w:rFonts w:ascii="仿宋" w:eastAsia="仿宋" w:hAnsi="仿宋" w:hint="eastAsia"/>
          <w:sz w:val="32"/>
          <w:szCs w:val="32"/>
          <w:lang w:bidi="ar-SA"/>
        </w:rPr>
        <w:t>顶住压力，克服困难，围绕中心、服务大局，科技创新和工业经济发展取得了明显成效</w:t>
      </w:r>
      <w:r>
        <w:rPr>
          <w:rStyle w:val="0"/>
          <w:rFonts w:ascii="仿宋" w:eastAsia="仿宋" w:hAnsi="仿宋" w:hint="eastAsia"/>
          <w:sz w:val="32"/>
          <w:szCs w:val="32"/>
          <w:lang w:eastAsia="zh-CN" w:bidi="ar-SA"/>
        </w:rPr>
        <w:t>，</w:t>
      </w:r>
      <w:r>
        <w:rPr>
          <w:rStyle w:val="0"/>
          <w:rFonts w:ascii="仿宋" w:eastAsia="仿宋" w:hAnsi="仿宋" w:hint="eastAsia"/>
          <w:sz w:val="32"/>
          <w:szCs w:val="32"/>
          <w:lang w:eastAsia="zh-CN"/>
        </w:rPr>
        <w:t>努力在</w:t>
      </w:r>
      <w:r>
        <w:rPr>
          <w:rStyle w:val="0"/>
          <w:rFonts w:ascii="仿宋" w:eastAsia="仿宋" w:hAnsi="仿宋" w:hint="eastAsia"/>
          <w:sz w:val="32"/>
          <w:szCs w:val="32"/>
        </w:rPr>
        <w:t>全区</w:t>
      </w:r>
      <w:r>
        <w:rPr>
          <w:rStyle w:val="0"/>
          <w:rFonts w:ascii="仿宋" w:eastAsia="仿宋" w:hAnsi="仿宋" w:hint="eastAsia"/>
          <w:sz w:val="32"/>
          <w:szCs w:val="32"/>
          <w:lang w:eastAsia="zh-CN"/>
        </w:rPr>
        <w:t>工业经济</w:t>
      </w:r>
      <w:r>
        <w:rPr>
          <w:rStyle w:val="0"/>
          <w:rFonts w:ascii="仿宋" w:eastAsia="仿宋" w:hAnsi="仿宋" w:hint="eastAsia"/>
          <w:sz w:val="32"/>
          <w:szCs w:val="32"/>
        </w:rPr>
        <w:t>高质量转型发展</w:t>
      </w:r>
      <w:r>
        <w:rPr>
          <w:rStyle w:val="0"/>
          <w:rFonts w:ascii="仿宋" w:eastAsia="仿宋" w:hAnsi="仿宋" w:hint="eastAsia"/>
          <w:sz w:val="32"/>
          <w:szCs w:val="32"/>
          <w:lang w:eastAsia="zh-CN"/>
        </w:rPr>
        <w:t>中</w:t>
      </w:r>
      <w:r>
        <w:rPr>
          <w:rStyle w:val="0"/>
          <w:rFonts w:ascii="仿宋" w:eastAsia="仿宋" w:hAnsi="仿宋" w:hint="eastAsia"/>
          <w:sz w:val="32"/>
          <w:szCs w:val="32"/>
          <w:lang w:val="en-US" w:eastAsia="zh-CN" w:bidi="ar-SA"/>
        </w:rPr>
        <w:t>贡献科工力量。</w:t>
      </w:r>
    </w:p>
    <w:p>
      <w:pPr>
        <w:pStyle w:val="20"/>
        <w:keepNext w:val="0"/>
        <w:keepLines w:val="0"/>
        <w:pageBreakBefore w:val="0"/>
        <w:widowControl w:val="0"/>
        <w:kinsoku/>
        <w:wordWrap/>
        <w:overflowPunct/>
        <w:topLinePunct w:val="0"/>
        <w:adjustRightInd/>
        <w:snapToGrid/>
        <w:spacing w:line="560" w:lineRule="exact"/>
        <w:ind w:leftChars="0" w:left="0" w:firstLineChars="200" w:firstLine="640"/>
        <w:jc w:val="both"/>
        <w:rPr>
          <w:rFonts w:hint="eastAsia"/>
        </w:rPr>
      </w:pPr>
      <w:r>
        <w:rPr>
          <w:rFonts w:ascii="仿宋_GB2312" w:eastAsia="仿宋_GB2312" w:cs="仿宋_GB2312" w:hAnsi="仿宋_GB2312"/>
          <w:color w:val="auto"/>
          <w:sz w:val="32"/>
          <w:szCs w:val="32"/>
          <w:lang w:val="en-US" w:eastAsia="zh-CN" w:bidi="ar-SA"/>
        </w:rPr>
        <w:t>1、</w:t>
      </w:r>
      <w:r>
        <w:rPr>
          <w:rFonts w:ascii="仿宋" w:eastAsia="仿宋" w:hAnsi="仿宋" w:hint="eastAsia"/>
          <w:bCs/>
          <w:sz w:val="32"/>
          <w:szCs w:val="32"/>
        </w:rPr>
        <w:t>工业技改目标及完成情况：</w:t>
      </w:r>
      <w:r>
        <w:rPr>
          <w:rFonts w:ascii="仿宋" w:eastAsia="仿宋" w:hAnsi="仿宋" w:hint="eastAsia"/>
          <w:sz w:val="32"/>
          <w:szCs w:val="32"/>
        </w:rPr>
        <w:t>1-11月完成工业投资8亿元，同比增长-9.8%；完成技改投资4.78亿元，同比增长3.5%。</w:t>
      </w:r>
    </w:p>
    <w:p>
      <w:pPr>
        <w:keepNext w:val="0"/>
        <w:keepLines w:val="0"/>
        <w:pageBreakBefore w:val="0"/>
        <w:widowControl w:val="0"/>
        <w:kinsoku/>
        <w:wordWrap/>
        <w:overflowPunct/>
        <w:topLinePunct w:val="0"/>
        <w:autoSpaceDE/>
        <w:autoSpaceDN/>
        <w:adjustRightInd/>
        <w:snapToGrid/>
        <w:spacing w:line="560" w:lineRule="exact"/>
        <w:ind w:left="0" w:firstLineChars="200" w:firstLine="640"/>
        <w:jc w:val="both"/>
        <w:rPr>
          <w:rFonts w:ascii="仿宋" w:eastAsia="仿宋" w:hAnsi="仿宋" w:hint="eastAsia"/>
          <w:bCs/>
          <w:sz w:val="32"/>
          <w:szCs w:val="32"/>
          <w:lang w:val="en-US" w:eastAsia="zh-CN"/>
        </w:rPr>
      </w:pPr>
      <w:r>
        <w:rPr>
          <w:rFonts w:ascii="仿宋_GB2312" w:eastAsia="仿宋_GB2312" w:cs="仿宋_GB2312" w:hAnsi="仿宋_GB2312"/>
          <w:b w:val="0"/>
          <w:bCs w:val="0"/>
          <w:color w:val="auto"/>
          <w:sz w:val="32"/>
          <w:szCs w:val="32"/>
          <w:lang w:val="en-US" w:eastAsia="zh-CN"/>
        </w:rPr>
        <w:t>2、</w:t>
      </w:r>
      <w:r>
        <w:rPr>
          <w:rFonts w:ascii="仿宋" w:eastAsia="仿宋" w:hAnsi="仿宋" w:hint="eastAsia"/>
          <w:bCs/>
          <w:sz w:val="32"/>
          <w:szCs w:val="32"/>
        </w:rPr>
        <w:t>规上工业增加值。</w:t>
      </w:r>
      <w:r>
        <w:rPr>
          <w:rFonts w:ascii="仿宋" w:eastAsia="仿宋" w:hAnsi="仿宋" w:hint="eastAsia"/>
          <w:bCs/>
          <w:sz w:val="32"/>
          <w:szCs w:val="32"/>
          <w:lang w:val="en-US" w:eastAsia="zh-CN"/>
        </w:rPr>
        <w:t>2025年规上工业增加值每月保持2位数增长，1-11月，规上工业增加值增长12.6%，全市排名6，预计全年规上工业增加值增长12.5%。</w:t>
      </w:r>
    </w:p>
    <w:p>
      <w:pPr>
        <w:pStyle w:val="20"/>
        <w:keepNext w:val="0"/>
        <w:keepLines w:val="0"/>
        <w:pageBreakBefore w:val="0"/>
        <w:widowControl w:val="0"/>
        <w:kinsoku/>
        <w:overflowPunct/>
        <w:topLinePunct w:val="0"/>
        <w:adjustRightInd/>
        <w:snapToGrid/>
        <w:spacing w:line="560" w:lineRule="exact"/>
        <w:ind w:leftChars="0" w:left="0" w:firstLineChars="200" w:firstLine="640"/>
        <w:jc w:val="both"/>
        <w:rPr>
          <w:rFonts w:ascii="仿宋" w:eastAsia="仿宋" w:hAnsi="仿宋"/>
          <w:bCs/>
          <w:sz w:val="32"/>
          <w:szCs w:val="32"/>
        </w:rPr>
      </w:pPr>
      <w:r>
        <w:rPr>
          <w:rFonts w:ascii="仿宋" w:eastAsia="仿宋" w:hAnsi="仿宋"/>
          <w:sz w:val="32"/>
          <w:szCs w:val="32"/>
        </w:rPr>
        <w:t>3</w:t>
      </w:r>
      <w:r>
        <w:rPr>
          <w:rFonts w:ascii="仿宋" w:eastAsia="仿宋" w:hAnsi="仿宋" w:hint="eastAsia"/>
          <w:bCs/>
          <w:sz w:val="32"/>
          <w:szCs w:val="32"/>
        </w:rPr>
        <w:t>、</w:t>
      </w:r>
      <w:r>
        <w:rPr>
          <w:rFonts w:ascii="仿宋" w:eastAsia="仿宋" w:hAnsi="仿宋" w:hint="eastAsia"/>
          <w:bCs/>
          <w:sz w:val="32"/>
          <w:szCs w:val="32"/>
          <w:lang w:val="en-US" w:eastAsia="zh-CN"/>
        </w:rPr>
        <w:t>科技型企业培育。</w:t>
      </w:r>
      <w:r>
        <w:rPr>
          <w:rFonts w:ascii="仿宋" w:eastAsia="仿宋" w:hAnsi="仿宋" w:hint="eastAsia"/>
          <w:bCs/>
          <w:sz w:val="32"/>
          <w:szCs w:val="32"/>
        </w:rPr>
        <w:t>国家科技型中小企业已备案成功45家；省科技型中小企业已认定通过51家。</w:t>
      </w:r>
    </w:p>
    <w:p>
      <w:pPr>
        <w:pStyle w:val="20"/>
        <w:keepNext w:val="0"/>
        <w:keepLines w:val="0"/>
        <w:pageBreakBefore w:val="0"/>
        <w:widowControl w:val="0"/>
        <w:kinsoku/>
        <w:overflowPunct/>
        <w:topLinePunct w:val="0"/>
        <w:adjustRightInd/>
        <w:snapToGrid/>
        <w:spacing w:line="560" w:lineRule="exact"/>
        <w:ind w:leftChars="0" w:left="0" w:firstLineChars="200" w:firstLine="640"/>
        <w:jc w:val="both"/>
        <w:rPr>
          <w:rFonts w:ascii="仿宋" w:eastAsia="仿宋" w:hAnsi="仿宋" w:hint="eastAsia"/>
          <w:bCs/>
          <w:sz w:val="32"/>
          <w:szCs w:val="32"/>
        </w:rPr>
      </w:pPr>
      <w:r>
        <w:rPr>
          <w:rFonts w:ascii="楷体" w:eastAsia="楷体" w:cs="楷体_GB2312" w:hAnsi="楷体" w:hint="eastAsia"/>
          <w:bCs/>
          <w:sz w:val="32"/>
          <w:szCs w:val="32"/>
        </w:rPr>
        <w:t>（二）分项绩效目标实现情况及指标分析</w:t>
      </w:r>
    </w:p>
    <w:p>
      <w:pPr>
        <w:pStyle w:val="21"/>
        <w:ind w:left="0" w:firstLineChars="200" w:firstLine="640"/>
        <w:jc w:val="both"/>
        <w:rPr>
          <w:rFonts w:ascii="仿宋" w:eastAsia="仿宋" w:cs="仿宋" w:hAnsi="仿宋" w:hint="eastAsia"/>
          <w:sz w:val="32"/>
          <w:szCs w:val="32"/>
        </w:rPr>
      </w:pPr>
      <w:r>
        <w:rPr>
          <w:rFonts w:ascii="仿宋" w:eastAsia="仿宋" w:cs="仿宋" w:hAnsi="仿宋" w:hint="eastAsia"/>
          <w:sz w:val="32"/>
          <w:szCs w:val="32"/>
        </w:rPr>
        <w:t>1、监测工业经济运行</w:t>
      </w:r>
    </w:p>
    <w:p>
      <w:pPr>
        <w:pStyle w:val="21"/>
        <w:ind w:left="23" w:firstLineChars="200" w:firstLine="640"/>
        <w:jc w:val="both"/>
        <w:rPr>
          <w:rFonts w:ascii="仿宋" w:eastAsia="仿宋" w:hAnsi="仿宋" w:hint="eastAsia"/>
          <w:bCs/>
          <w:sz w:val="32"/>
          <w:szCs w:val="32"/>
          <w:lang w:eastAsia="zh-CN"/>
        </w:rPr>
      </w:pPr>
      <w:r>
        <w:rPr>
          <w:rFonts w:ascii="仿宋" w:eastAsia="仿宋" w:hAnsi="仿宋" w:hint="eastAsia"/>
          <w:bCs/>
          <w:sz w:val="32"/>
          <w:szCs w:val="32"/>
          <w:lang w:eastAsia="zh-CN"/>
        </w:rPr>
        <w:t>绩效目标：实现工业经济平稳增长;提升工业和信息化综合事务管理水平;提升行业管理水平，促进行业健康发展。推动中小微企业和民营经济持续、健康发展。</w:t>
      </w:r>
    </w:p>
    <w:p>
      <w:pPr>
        <w:pStyle w:val="21"/>
        <w:ind w:left="23" w:firstLineChars="200" w:firstLine="640"/>
        <w:jc w:val="both"/>
        <w:rPr>
          <w:rFonts w:ascii="仿宋" w:eastAsia="仿宋" w:hAnsi="仿宋" w:hint="eastAsia"/>
          <w:bCs/>
          <w:sz w:val="32"/>
          <w:szCs w:val="32"/>
          <w:lang w:val="en-US" w:eastAsia="zh-CN"/>
        </w:rPr>
      </w:pPr>
      <w:r>
        <w:rPr>
          <w:rFonts w:ascii="仿宋" w:eastAsia="仿宋" w:hAnsi="仿宋" w:hint="eastAsia"/>
          <w:bCs/>
          <w:sz w:val="32"/>
          <w:szCs w:val="32"/>
          <w:lang w:eastAsia="zh-CN"/>
        </w:rPr>
        <w:t>绩效指标：</w:t>
      </w:r>
      <w:r>
        <w:rPr>
          <w:rFonts w:ascii="仿宋" w:eastAsia="仿宋" w:hAnsi="仿宋" w:hint="eastAsia"/>
          <w:bCs/>
          <w:sz w:val="32"/>
          <w:szCs w:val="32"/>
          <w:lang w:val="en-US" w:eastAsia="zh-CN"/>
        </w:rPr>
        <w:t>2025年规上工业增加值每月保持2位数增长，1-11月，规上工业增加值增长12.6%，全市排名6，预计全年规上工业增加值增长12.5%。</w:t>
      </w:r>
    </w:p>
    <w:p>
      <w:pPr>
        <w:pStyle w:val="21"/>
        <w:ind w:left="23" w:firstLineChars="200" w:firstLine="640"/>
        <w:jc w:val="both"/>
        <w:rPr>
          <w:rFonts w:ascii="仿宋" w:eastAsia="仿宋" w:hAnsi="仿宋" w:hint="eastAsia"/>
          <w:bCs/>
          <w:sz w:val="32"/>
          <w:szCs w:val="32"/>
          <w:lang w:eastAsia="zh-CN"/>
        </w:rPr>
      </w:pPr>
      <w:r>
        <w:rPr>
          <w:rFonts w:ascii="仿宋" w:eastAsia="仿宋" w:hAnsi="仿宋" w:hint="eastAsia"/>
          <w:bCs/>
          <w:sz w:val="32"/>
          <w:szCs w:val="32"/>
          <w:lang w:eastAsia="zh-CN"/>
        </w:rPr>
        <w:t>2、传统产业转型升级步伐加快</w:t>
      </w:r>
    </w:p>
    <w:p>
      <w:pPr>
        <w:pStyle w:val="21"/>
        <w:ind w:left="23" w:firstLineChars="200" w:firstLine="640"/>
        <w:jc w:val="both"/>
        <w:rPr>
          <w:rFonts w:ascii="仿宋" w:eastAsia="仿宋" w:hAnsi="仿宋" w:hint="eastAsia"/>
          <w:bCs/>
          <w:sz w:val="32"/>
          <w:szCs w:val="32"/>
          <w:lang w:eastAsia="zh-CN"/>
        </w:rPr>
      </w:pPr>
      <w:r>
        <w:rPr>
          <w:rFonts w:ascii="仿宋" w:eastAsia="仿宋" w:hAnsi="仿宋" w:hint="eastAsia"/>
          <w:bCs/>
          <w:sz w:val="32"/>
          <w:szCs w:val="32"/>
          <w:lang w:val="en-US" w:eastAsia="zh-CN"/>
        </w:rPr>
        <w:t>绩效目标：</w:t>
      </w:r>
      <w:r>
        <w:rPr>
          <w:rFonts w:ascii="仿宋" w:eastAsia="仿宋" w:hAnsi="仿宋" w:hint="eastAsia"/>
          <w:bCs/>
          <w:sz w:val="32"/>
          <w:szCs w:val="32"/>
          <w:lang w:eastAsia="zh-CN"/>
        </w:rPr>
        <w:t>深入开展对标工作，提高企业创新能力和竞争力。加快工业转型升级步伐，提升工业发展的质量和效益。</w:t>
      </w:r>
    </w:p>
    <w:p>
      <w:pPr>
        <w:pStyle w:val="21"/>
        <w:ind w:left="23" w:firstLineChars="200" w:firstLine="640"/>
        <w:jc w:val="both"/>
        <w:rPr>
          <w:rFonts w:ascii="仿宋" w:eastAsia="仿宋" w:hAnsi="仿宋" w:hint="eastAsia"/>
          <w:bCs/>
          <w:sz w:val="32"/>
          <w:szCs w:val="32"/>
          <w:lang w:val="en-US" w:eastAsia="zh-CN"/>
        </w:rPr>
      </w:pPr>
      <w:r>
        <w:rPr>
          <w:rFonts w:ascii="仿宋" w:eastAsia="仿宋" w:hAnsi="仿宋" w:hint="eastAsia"/>
          <w:bCs/>
          <w:sz w:val="32"/>
          <w:szCs w:val="32"/>
          <w:lang w:eastAsia="zh-CN"/>
        </w:rPr>
        <w:t>绩效指标：</w:t>
      </w:r>
      <w:r>
        <w:rPr>
          <w:rFonts w:ascii="仿宋" w:eastAsia="仿宋" w:hAnsi="仿宋" w:hint="eastAsia"/>
          <w:bCs/>
          <w:sz w:val="32"/>
          <w:szCs w:val="32"/>
          <w:lang w:val="en-US" w:eastAsia="zh-CN"/>
        </w:rPr>
        <w:t>全年共备案25个工业项目，总投资6.5亿元，同比增长44.8%。8个技改项目列入市“百项技改”计划。7家企业9个项目通过大规模设备更新专项再贷款审核。矿峰水泥顺利实现80万吨/年水泥产能置换，正在全力跑办4000吨/日水泥熟料补充产能置换，进一步优化产能结构，天汇水泥窑生产线设备升级技术改造项目顺利推进，亨孚利循环资源再利用项目完成前期手续办理跑办。</w:t>
      </w:r>
    </w:p>
    <w:p>
      <w:pPr>
        <w:pStyle w:val="21"/>
        <w:ind w:left="23" w:firstLineChars="200" w:firstLine="640"/>
        <w:jc w:val="both"/>
        <w:rPr>
          <w:rFonts w:ascii="仿宋" w:eastAsia="仿宋" w:hAnsi="仿宋" w:hint="eastAsia"/>
          <w:bCs/>
          <w:sz w:val="32"/>
          <w:szCs w:val="32"/>
          <w:lang w:eastAsia="zh-CN"/>
        </w:rPr>
      </w:pPr>
      <w:r>
        <w:rPr>
          <w:rFonts w:ascii="仿宋" w:eastAsia="仿宋" w:hAnsi="仿宋" w:hint="eastAsia"/>
          <w:bCs/>
          <w:sz w:val="32"/>
          <w:szCs w:val="32"/>
          <w:lang w:eastAsia="zh-CN"/>
        </w:rPr>
        <w:t>3、科技创新迈出新步伐</w:t>
      </w:r>
    </w:p>
    <w:p>
      <w:pPr>
        <w:pStyle w:val="21"/>
        <w:ind w:left="23" w:firstLineChars="200" w:firstLine="640"/>
        <w:jc w:val="both"/>
        <w:rPr>
          <w:rFonts w:ascii="仿宋" w:eastAsia="仿宋" w:hAnsi="仿宋" w:hint="eastAsia"/>
          <w:bCs/>
          <w:sz w:val="32"/>
          <w:szCs w:val="32"/>
          <w:lang w:eastAsia="zh-CN"/>
        </w:rPr>
      </w:pPr>
      <w:r>
        <w:rPr>
          <w:rFonts w:ascii="仿宋" w:eastAsia="仿宋" w:hAnsi="仿宋" w:hint="eastAsia"/>
          <w:bCs/>
          <w:sz w:val="32"/>
          <w:szCs w:val="32"/>
          <w:lang w:val="en-US" w:eastAsia="zh-CN"/>
        </w:rPr>
        <w:t>绩效目标：</w:t>
      </w:r>
      <w:r>
        <w:rPr>
          <w:rFonts w:ascii="仿宋" w:eastAsia="仿宋" w:hAnsi="仿宋" w:hint="eastAsia"/>
          <w:bCs/>
          <w:sz w:val="32"/>
          <w:szCs w:val="32"/>
          <w:lang w:eastAsia="zh-CN"/>
        </w:rPr>
        <w:t>获得一批重要原始创新成果，培养一批高层次科技人才和创新团队，提升科技开放与合作水平，提高科技成果转化和产业转化能力。</w:t>
      </w:r>
    </w:p>
    <w:p>
      <w:pPr>
        <w:pStyle w:val="21"/>
        <w:ind w:left="23" w:firstLineChars="200" w:firstLine="640"/>
        <w:jc w:val="both"/>
        <w:rPr>
          <w:rFonts w:ascii="仿宋" w:eastAsia="仿宋" w:hAnsi="仿宋" w:hint="eastAsia"/>
          <w:bCs/>
          <w:sz w:val="32"/>
          <w:szCs w:val="32"/>
          <w:lang w:eastAsia="zh-CN"/>
        </w:rPr>
      </w:pPr>
      <w:r>
        <w:rPr>
          <w:rFonts w:ascii="仿宋" w:eastAsia="仿宋" w:hAnsi="仿宋" w:hint="eastAsia"/>
          <w:bCs/>
          <w:sz w:val="32"/>
          <w:szCs w:val="32"/>
          <w:lang w:eastAsia="zh-CN"/>
        </w:rPr>
        <w:t>绩效指标：一是</w:t>
      </w:r>
      <w:r>
        <w:rPr>
          <w:rFonts w:ascii="仿宋" w:eastAsia="仿宋" w:hAnsi="仿宋" w:hint="eastAsia"/>
          <w:bCs/>
          <w:sz w:val="32"/>
          <w:szCs w:val="32"/>
          <w:lang w:val="en-US" w:eastAsia="zh-CN"/>
        </w:rPr>
        <w:t>推进科技成果转化。完成技术合同成交额2012万元，同比增长66.75%。</w:t>
      </w:r>
      <w:r>
        <w:rPr>
          <w:rFonts w:ascii="仿宋" w:eastAsia="仿宋" w:hAnsi="仿宋" w:hint="eastAsia"/>
          <w:bCs/>
          <w:snapToGrid w:val="0"/>
          <w:sz w:val="32"/>
          <w:szCs w:val="32"/>
          <w:lang w:val="en-US" w:eastAsia="zh-CN"/>
        </w:rPr>
        <w:t>吸纳京津技术合同13.6亿元，超额完成1000万元任务目标。二</w:t>
      </w:r>
      <w:r>
        <w:rPr>
          <w:rFonts w:ascii="仿宋" w:eastAsia="仿宋" w:hAnsi="仿宋" w:hint="eastAsia"/>
          <w:bCs/>
          <w:sz w:val="32"/>
          <w:szCs w:val="32"/>
          <w:lang w:val="en-US" w:eastAsia="zh-CN"/>
        </w:rPr>
        <w:t>是强化科技孵化载体培育。鑫鸿工业园被认定为省级众创空间。坚持科技创新以产业需求和应用为导向，引导企业与高校开展科研合作。</w:t>
      </w:r>
      <w:r>
        <w:rPr>
          <w:rFonts w:ascii="仿宋" w:eastAsia="仿宋" w:hAnsi="仿宋" w:hint="eastAsia"/>
          <w:bCs/>
          <w:sz w:val="32"/>
          <w:szCs w:val="32"/>
          <w:lang w:eastAsia="zh-CN"/>
        </w:rPr>
        <w:t>石钢与北京科技大学、河北科技大学联合申报冶金新材料装备制造产业集群系统化共性技术攻关项目《棒材智能点修磨技术与系统研发》，获得180万元项目补助资金。</w:t>
      </w:r>
    </w:p>
    <w:p>
      <w:pPr>
        <w:spacing w:line="560" w:lineRule="exact"/>
        <w:ind w:firstLineChars="200" w:firstLine="640"/>
        <w:jc w:val="both"/>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根据部门职责定位和各项工作履职情况进行综合评价，给出总得分，满分100分，得出综合绩效评价等级。部门整体支出综合绩效评价分为4个等级：得分≥85分为优秀；75≤得分＜85分为良好；60≤得分＜75分为一般；得分＜60分为较差。</w:t>
      </w:r>
    </w:p>
    <w:p>
      <w:pPr>
        <w:spacing w:line="56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lang w:eastAsia="zh-CN"/>
        </w:rPr>
        <w:t>通过对我局</w:t>
      </w:r>
      <w:r>
        <w:rPr>
          <w:rFonts w:ascii="仿宋" w:eastAsia="仿宋" w:cs="仿宋" w:hAnsi="仿宋" w:hint="eastAsia"/>
          <w:sz w:val="32"/>
          <w:szCs w:val="32"/>
          <w:lang w:val="en-US" w:eastAsia="zh-CN"/>
        </w:rPr>
        <w:t>19</w:t>
      </w:r>
      <w:r>
        <w:rPr>
          <w:rFonts w:ascii="仿宋" w:eastAsia="仿宋" w:cs="仿宋" w:hAnsi="仿宋" w:hint="eastAsia"/>
          <w:sz w:val="32"/>
          <w:szCs w:val="32"/>
          <w:lang w:val="en-US" w:eastAsia="zh-CN"/>
          <w:highlight w:val="auto"/>
        </w:rPr>
        <w:t>个项目进行综合评价，</w:t>
      </w:r>
      <w:r>
        <w:rPr>
          <w:rFonts w:ascii="仿宋" w:eastAsia="仿宋" w:cs="仿宋" w:hAnsi="仿宋" w:hint="eastAsia"/>
          <w:sz w:val="32"/>
          <w:szCs w:val="32"/>
          <w:lang w:eastAsia="zh-CN"/>
          <w:highlight w:val="auto"/>
        </w:rPr>
        <w:t>评价等级为优秀。</w:t>
      </w:r>
    </w:p>
    <w:p>
      <w:pPr>
        <w:spacing w:line="560" w:lineRule="exact"/>
        <w:ind w:left="0" w:firstLineChars="200" w:firstLine="640"/>
        <w:jc w:val="both"/>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left="0" w:firstLineChars="200" w:firstLine="640"/>
        <w:jc w:val="both"/>
        <w:rPr>
          <w:rFonts w:ascii="楷体" w:eastAsia="楷体" w:hAnsi="楷体"/>
          <w:bCs/>
          <w:sz w:val="32"/>
          <w:szCs w:val="32"/>
        </w:rPr>
      </w:pPr>
      <w:r>
        <w:rPr>
          <w:rFonts w:ascii="楷体" w:eastAsia="楷体" w:hAnsi="楷体" w:hint="eastAsia"/>
          <w:bCs/>
          <w:sz w:val="32"/>
          <w:szCs w:val="32"/>
        </w:rPr>
        <w:t>（一）存在的主要问题</w:t>
      </w:r>
    </w:p>
    <w:p>
      <w:pPr>
        <w:keepNext w:val="0"/>
        <w:keepLines w:val="0"/>
        <w:pageBreakBefore w:val="0"/>
        <w:widowControl w:val="0"/>
        <w:kinsoku/>
        <w:wordWrap/>
        <w:overflowPunct/>
        <w:topLinePunct w:val="0"/>
        <w:autoSpaceDE/>
        <w:autoSpaceDN/>
        <w:adjustRightInd/>
        <w:snapToGrid/>
        <w:spacing w:line="560" w:lineRule="exact"/>
        <w:ind w:left="0" w:firstLineChars="200" w:firstLine="640"/>
        <w:jc w:val="both"/>
        <w:rPr>
          <w:rFonts w:ascii="楷体" w:eastAsia="楷体" w:hAnsi="楷体"/>
          <w:bCs/>
          <w:sz w:val="32"/>
          <w:szCs w:val="32"/>
        </w:rPr>
      </w:pPr>
      <w:r>
        <w:rPr>
          <w:rFonts w:ascii="仿宋" w:eastAsia="仿宋" w:cs="仿宋" w:hAnsi="仿宋" w:hint="eastAsia"/>
          <w:sz w:val="32"/>
          <w:szCs w:val="32"/>
          <w:highlight w:val="auto"/>
        </w:rPr>
        <w:t>预</w:t>
      </w:r>
      <w:r>
        <w:rPr>
          <w:rFonts w:ascii="仿宋" w:eastAsia="仿宋" w:cs="仿宋" w:hAnsi="仿宋" w:hint="eastAsia"/>
          <w:sz w:val="32"/>
          <w:szCs w:val="32"/>
        </w:rPr>
        <w:t>算绩指标设定</w:t>
      </w:r>
      <w:r>
        <w:rPr>
          <w:rFonts w:ascii="仿宋" w:eastAsia="仿宋" w:cs="仿宋" w:hAnsi="仿宋" w:hint="eastAsia"/>
          <w:sz w:val="32"/>
          <w:szCs w:val="32"/>
          <w:lang w:eastAsia="zh-CN"/>
        </w:rPr>
        <w:t>不完善，</w:t>
      </w:r>
      <w:r>
        <w:rPr>
          <w:rFonts w:ascii="仿宋_GB2312" w:eastAsia="仿宋_GB2312" w:hAnsi="宋体" w:hint="eastAsia"/>
          <w:color w:val="000000"/>
          <w:sz w:val="32"/>
          <w:szCs w:val="32"/>
        </w:rPr>
        <w:t>考虑问题不够全面</w:t>
      </w:r>
      <w:r>
        <w:rPr>
          <w:rFonts w:ascii="仿宋_GB2312" w:eastAsia="仿宋_GB2312" w:hAnsi="宋体" w:hint="eastAsia"/>
          <w:color w:val="000000"/>
          <w:sz w:val="32"/>
          <w:szCs w:val="32"/>
          <w:lang w:eastAsia="zh-CN"/>
        </w:rPr>
        <w:t>。</w:t>
      </w:r>
    </w:p>
    <w:p>
      <w:pPr>
        <w:spacing w:line="560" w:lineRule="exact"/>
        <w:ind w:left="0" w:firstLineChars="200" w:firstLine="640"/>
        <w:jc w:val="both"/>
        <w:rPr>
          <w:rFonts w:ascii="楷体" w:eastAsia="楷体" w:hAnsi="楷体"/>
          <w:bCs/>
          <w:sz w:val="32"/>
          <w:szCs w:val="32"/>
        </w:rPr>
      </w:pPr>
      <w:r>
        <w:rPr>
          <w:rFonts w:ascii="楷体" w:eastAsia="楷体" w:hAnsi="楷体" w:hint="eastAsia"/>
          <w:bCs/>
          <w:sz w:val="32"/>
          <w:szCs w:val="32"/>
        </w:rPr>
        <w:t>（二）针对问题提出具体的改进措施或建议</w:t>
      </w:r>
    </w:p>
    <w:p>
      <w:pPr>
        <w:keepNext w:val="0"/>
        <w:keepLines w:val="0"/>
        <w:pageBreakBefore w:val="0"/>
        <w:widowControl w:val="0"/>
        <w:kinsoku/>
        <w:wordWrap/>
        <w:overflowPunct/>
        <w:topLinePunct w:val="0"/>
        <w:autoSpaceDE/>
        <w:autoSpaceDN/>
        <w:adjustRightInd w:val="0"/>
        <w:snapToGrid w:val="0"/>
        <w:spacing w:line="560" w:lineRule="exact"/>
        <w:ind w:firstLineChars="200" w:firstLine="640"/>
        <w:jc w:val="both"/>
        <w:rPr>
          <w:rFonts w:ascii="仿宋" w:eastAsia="仿宋" w:cs="仿宋" w:hAnsi="仿宋" w:hint="eastAsia"/>
          <w:sz w:val="32"/>
          <w:szCs w:val="32"/>
        </w:rPr>
      </w:pPr>
      <w:r>
        <w:rPr>
          <w:rFonts w:ascii="仿宋" w:eastAsia="仿宋" w:cs="仿宋" w:hAnsi="仿宋" w:hint="eastAsia"/>
          <w:sz w:val="32"/>
          <w:szCs w:val="32"/>
        </w:rPr>
        <w:t>在以后的工作中，要根据年度工作计划制定具体、可衡量、可实现的绩效目标，明确支出的必要性，并围绕绩效目标编制清晰、量化、便于考核的绩效指标。要重视绩效评价工作，强化财政资金管理水平、提高财政资金使用效益，在更高层次上实现财政资源配置的公平性和合理性。</w:t>
      </w:r>
    </w:p>
    <w:p>
      <w:pPr>
        <w:adjustRightInd w:val="0"/>
        <w:snapToGrid w:val="0"/>
        <w:spacing w:line="560" w:lineRule="exact"/>
        <w:ind w:left="0" w:firstLineChars="200" w:firstLine="640"/>
        <w:jc w:val="both"/>
        <w:rPr>
          <w:rFonts w:ascii="黑体" w:eastAsia="黑体" w:hAnsi="黑体"/>
          <w:sz w:val="32"/>
          <w:szCs w:val="32"/>
        </w:rPr>
      </w:pPr>
      <w:bookmarkStart w:id="0" w:name="_GoBack"/>
      <w:bookmarkEnd w:id="0"/>
      <w:r>
        <w:rPr>
          <w:rFonts w:ascii="黑体" w:eastAsia="黑体" w:hAnsi="黑体" w:hint="eastAsia"/>
          <w:sz w:val="32"/>
          <w:szCs w:val="32"/>
        </w:rPr>
        <w:t>六、评价工作组人员名单及签字（姓名、工作单位、职务、职称）</w:t>
      </w:r>
    </w:p>
    <w:p>
      <w:pPr>
        <w:wordWrap/>
        <w:spacing w:line="560" w:lineRule="exact"/>
        <w:ind w:left="0" w:firstLineChars="200" w:firstLine="640"/>
        <w:jc w:val="both"/>
        <w:rPr>
          <w:rFonts w:ascii="仿宋" w:eastAsia="仿宋" w:cs="仿宋" w:hAnsi="仿宋"/>
          <w:sz w:val="32"/>
          <w:szCs w:val="32"/>
        </w:rPr>
      </w:pPr>
      <w:r>
        <w:rPr>
          <w:rFonts w:ascii="仿宋" w:eastAsia="仿宋" w:cs="仿宋" w:hAnsi="仿宋"/>
          <w:sz w:val="32"/>
          <w:szCs w:val="32"/>
        </w:rPr>
        <w:t>张丽霞   科工局副局长</w:t>
      </w:r>
    </w:p>
    <w:p>
      <w:pPr>
        <w:wordWrap/>
        <w:spacing w:line="560" w:lineRule="exact"/>
        <w:ind w:left="0" w:firstLineChars="200" w:firstLine="640"/>
        <w:jc w:val="both"/>
        <w:rPr>
          <w:rFonts w:ascii="仿宋" w:eastAsia="仿宋" w:cs="仿宋" w:hAnsi="仿宋"/>
          <w:sz w:val="32"/>
          <w:szCs w:val="32"/>
        </w:rPr>
      </w:pPr>
      <w:r>
        <w:rPr>
          <w:rFonts w:ascii="仿宋" w:eastAsia="仿宋" w:cs="仿宋" w:hAnsi="仿宋"/>
          <w:sz w:val="32"/>
          <w:szCs w:val="32"/>
        </w:rPr>
        <w:t>刘玉霞  科工局办公室主任</w:t>
      </w: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203" w:usb1="288F0000" w:usb2="00000006" w:usb3="00000000" w:csb0="00040001" w:csb1="00000000"/>
  </w:font>
  <w:font w:name="华文楷体">
    <w:altName w:val="楷体"/>
    <w:panose1 w:val="02010600040101010101"/>
    <w:charset w:val="86"/>
    <w:family w:val="auto"/>
    <w:pitch w:val="variable"/>
    <w:sig w:usb0="00000287" w:usb1="080F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auto"/>
    <w:pitch w:val="variable"/>
    <w:sig w:usb0="00000001" w:usb1="080E0000" w:usb2="00000000" w:usb3="00000000" w:csb0="00040000" w:csb1="00000000"/>
  </w:font>
  <w:font w:name="仿宋_GB2312">
    <w:altName w:val="仿宋"/>
    <w:panose1 w:val="02010609030101010101"/>
    <w:charset w:val="86"/>
    <w:family w:val="auto"/>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1"/>
    <w:family w:val="swiss"/>
    <w:pitch w:val="variable"/>
    <w:sig w:usb0="E0002EFF" w:usb1="C000785B" w:usb2="00000009" w:usb3="00000000" w:csb0="400001FF" w:csb1="FFFF0000"/>
  </w:font>
  <w:font w:name="Calibri">
    <w:panose1 w:val="020F0502020204030204"/>
    <w:charset w:val="00"/>
    <w:family w:val="swiss"/>
    <w:pitch w:val="variable"/>
    <w:sig w:usb0="E4002EFF" w:usb1="C000247B" w:usb2="00000009" w:usb3="00000000" w:csb0="200001FF" w:csb1="00000000"/>
  </w:font>
  <w:font w:name="方正仿宋_GBK">
    <w:altName w:val="宋体"/>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91437" distR="91437" simplePos="0" relativeHeight="12" behindDoc="0" locked="0" layoutInCell="1" hidden="0" allowOverlap="1">
              <wp:simplePos x="0" y="0"/>
              <wp:positionH relativeFrom="margin">
                <wp:align>center</wp:align>
              </wp:positionH>
              <wp:positionV relativeFrom="paragraph">
                <wp:posOffset>0</wp:posOffset>
              </wp:positionV>
              <wp:extent cx="209492" cy="16282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492" cy="16282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495434pt;height:12.820473pt;z-index:12;mso-position-horizontal:center;mso-position-horizontal-relative:margin;mso-position-vertical:absolute;mso-wrap-distance-left:7.1997643pt;mso-wrap-distance-right:7.1997643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jc w:val="left"/>
    </w:pPr>
    <w:rPr>
      <w:sz w:val="18"/>
    </w:rPr>
  </w:style>
  <w:style w:type="paragraph" w:styleId="16">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styleId="17">
    <w:name w:val="toc 3"/>
    <w:qFormat/>
    <w:basedOn w:val="0"/>
    <w:autoRedefine/>
    <w:next w:val="0"/>
    <w:pPr>
      <w:ind w:left="840"/>
    </w:pPr>
  </w:style>
  <w:style w:type="paragraph" w:styleId="18">
    <w:name w:val="toa heading"/>
    <w:qFormat/>
    <w:basedOn w:val="0"/>
    <w:next w:val="0"/>
    <w:pPr>
      <w:widowControl w:val="0"/>
      <w:spacing w:before="120"/>
      <w:jc w:val="both"/>
    </w:pPr>
    <w:rPr>
      <w:rFonts w:ascii="Times New Roman" w:eastAsia="宋体" w:cs="黑体" w:hAnsi="Times New Roman"/>
      <w:kern w:val="2"/>
      <w:sz w:val="24"/>
      <w:szCs w:val="24"/>
      <w:lang w:val="en-US" w:eastAsia="zh-CN" w:bidi="ar-SA"/>
    </w:rPr>
  </w:style>
  <w:style w:type="paragraph" w:styleId="19">
    <w:name w:val="Normal (Web)"/>
    <w:qFormat/>
    <w:basedOn w:val="0"/>
    <w:pPr>
      <w:widowControl w:val="0"/>
      <w:spacing w:before="100" w:beforeAutospacing="1" w:after="100" w:afterAutospacing="1"/>
      <w:ind w:left="0" w:right="0"/>
      <w:jc w:val="left"/>
      <w:textAlignment w:val="baseline"/>
    </w:pPr>
    <w:rPr>
      <w:rFonts w:ascii="Calibri" w:eastAsia="宋体" w:cs="Times New Roman" w:hAnsi="Calibri"/>
      <w:kern w:val="0"/>
      <w:sz w:val="24"/>
      <w:szCs w:val="24"/>
      <w:lang w:val="en-US" w:eastAsia="zh-CN" w:bidi="ar-SA"/>
    </w:rPr>
  </w:style>
  <w:style w:type="paragraph" w:customStyle="1" w:styleId="20">
    <w:name w:val="BodyText1I2"/>
    <w:qFormat/>
    <w:basedOn w:val="0"/>
    <w:pPr>
      <w:keepNext w:val="0"/>
      <w:keepLines w:val="0"/>
      <w:widowControl/>
      <w:suppressLineNumbers w:val="0"/>
      <w:spacing w:before="0" w:beforeAutospacing="0" w:after="0" w:afterAutospacing="0" w:line="240" w:lineRule="auto"/>
      <w:ind w:leftChars="200" w:left="200" w:firstLineChars="200" w:firstLine="200"/>
      <w:jc w:val="both"/>
      <w:textAlignment w:val="baseline"/>
    </w:pPr>
    <w:rPr>
      <w:rFonts w:ascii="Times New Roman" w:eastAsia="宋体" w:cs="Times New Roman" w:hAnsi="Times New Roman"/>
      <w:kern w:val="2"/>
      <w:sz w:val="21"/>
      <w:szCs w:val="24"/>
      <w:lang w:val="en-US" w:eastAsia="zh-CN" w:bidi="ar-SA"/>
    </w:rPr>
  </w:style>
  <w:style w:type="paragraph" w:customStyle="1" w:styleId="21">
    <w:name w:val="插入文本样式-插入职责分类绩效目标文件"/>
    <w:qFormat/>
    <w:basedOn w:val="0"/>
    <w:pPr>
      <w:widowControl w:val="0"/>
      <w:spacing w:before="0" w:after="0" w:line="500" w:lineRule="exact"/>
      <w:ind w:firstLine="560"/>
      <w:jc w:val="left"/>
      <w:outlineLvl w:val="9"/>
    </w:pPr>
    <w:rPr>
      <w:rFonts w:ascii="Times New Roman" w:eastAsia="方正仿宋_GBK" w:cs="Times New Roman" w:hAnsi="Times New Roman"/>
      <w:kern w:val="2"/>
      <w:sz w:val="28"/>
      <w:szCs w:val="24"/>
      <w:lang w:val="en-US" w:eastAsia="uk-UA"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customXml" Target="../customXml/item1.xml"/><Relationship Id="rId6"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C045448F-A338-48FA-833F-16C6BBA26919}">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195</TotalTime>
  <Application>Yozo_Office9.0.4819.102ZH</Application>
  <Pages>5</Pages>
  <Words>0</Words>
  <Characters>1864</Characters>
  <Lines>0</Lines>
  <Paragraphs>51</Paragraphs>
  <CharactersWithSpaces>2486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2024-03-06T07:40:18Z</cp:lastPrinted>
  <dcterms:created xsi:type="dcterms:W3CDTF">2020-02-04T03:46:00Z</dcterms:created>
  <dcterms:modified xsi:type="dcterms:W3CDTF">2026-07-27T03:27:23Z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ICV">
    <vt:lpwstr>96934721B1514D3FBAA28020338CE855_12</vt:lpwstr>
  </property>
</Properties>
</file>