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附件4</w:t>
      </w:r>
    </w:p>
    <w:p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</w:rPr>
      </w:pPr>
    </w:p>
    <w:p>
      <w:pPr>
        <w:spacing w:line="560" w:lineRule="exact"/>
        <w:jc w:val="center"/>
        <w:rPr>
          <w:rFonts w:hint="eastAsia" w:ascii="宋体" w:hAnsi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eastAsia="zh-CN"/>
        </w:rPr>
        <w:t>矿区科协</w:t>
      </w:r>
    </w:p>
    <w:p>
      <w:pPr>
        <w:spacing w:line="560" w:lineRule="exact"/>
        <w:jc w:val="center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b/>
          <w:bCs/>
          <w:sz w:val="44"/>
          <w:szCs w:val="44"/>
        </w:rPr>
        <w:t>202</w:t>
      </w:r>
      <w:r>
        <w:rPr>
          <w:rFonts w:ascii="宋体" w:hAnsi="宋体" w:cs="宋体"/>
          <w:b/>
          <w:bCs/>
          <w:sz w:val="44"/>
          <w:szCs w:val="44"/>
        </w:rPr>
        <w:t>5</w:t>
      </w:r>
      <w:r>
        <w:rPr>
          <w:rFonts w:hint="eastAsia" w:ascii="宋体" w:hAnsi="宋体" w:cs="宋体"/>
          <w:b/>
          <w:bCs/>
          <w:sz w:val="44"/>
          <w:szCs w:val="44"/>
        </w:rPr>
        <w:t>年度整体支出绩效自评报告</w:t>
      </w:r>
    </w:p>
    <w:p>
      <w:pPr>
        <w:spacing w:line="560" w:lineRule="exact"/>
        <w:jc w:val="center"/>
        <w:rPr>
          <w:rFonts w:ascii="华文楷体" w:eastAsia="华文楷体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贯彻落实</w:t>
      </w:r>
      <w:r>
        <w:rPr>
          <w:rFonts w:ascii="仿宋" w:hAnsi="仿宋" w:eastAsia="仿宋"/>
          <w:sz w:val="32"/>
          <w:szCs w:val="32"/>
        </w:rPr>
        <w:t>区委区政府</w:t>
      </w:r>
      <w:r>
        <w:rPr>
          <w:rFonts w:hint="eastAsia" w:ascii="仿宋" w:hAnsi="仿宋" w:eastAsia="仿宋"/>
          <w:sz w:val="32"/>
          <w:szCs w:val="32"/>
        </w:rPr>
        <w:t>《关于全面落实预算绩效管理的实施意见》（</w:t>
      </w:r>
      <w:r>
        <w:rPr>
          <w:rFonts w:ascii="仿宋" w:hAnsi="仿宋" w:eastAsia="仿宋"/>
          <w:sz w:val="32"/>
          <w:szCs w:val="32"/>
        </w:rPr>
        <w:t>矿</w:t>
      </w:r>
      <w:r>
        <w:rPr>
          <w:rFonts w:hint="eastAsia" w:ascii="仿宋" w:hAnsi="仿宋" w:eastAsia="仿宋"/>
          <w:sz w:val="32"/>
          <w:szCs w:val="32"/>
        </w:rPr>
        <w:t>发﹝2019﹞</w:t>
      </w:r>
      <w:r>
        <w:rPr>
          <w:rFonts w:ascii="仿宋" w:hAnsi="仿宋" w:eastAsia="仿宋"/>
          <w:sz w:val="32"/>
          <w:szCs w:val="32"/>
        </w:rPr>
        <w:t>7</w:t>
      </w:r>
      <w:r>
        <w:rPr>
          <w:rFonts w:hint="eastAsia" w:ascii="仿宋" w:hAnsi="仿宋" w:eastAsia="仿宋"/>
          <w:sz w:val="32"/>
          <w:szCs w:val="32"/>
        </w:rPr>
        <w:t>号）文件精神，遵循“科学性、规范性、客观性和公正性”的原则，对</w:t>
      </w:r>
      <w:r>
        <w:rPr>
          <w:rFonts w:hint="eastAsia" w:ascii="仿宋" w:hAnsi="仿宋" w:eastAsia="仿宋"/>
          <w:sz w:val="32"/>
          <w:szCs w:val="32"/>
          <w:lang w:eastAsia="zh-CN"/>
        </w:rPr>
        <w:t>矿区科协</w:t>
      </w: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ascii="仿宋" w:hAnsi="仿宋" w:eastAsia="仿宋"/>
          <w:sz w:val="32"/>
          <w:szCs w:val="32"/>
        </w:rPr>
        <w:t>5</w:t>
      </w:r>
      <w:r>
        <w:rPr>
          <w:rFonts w:hint="eastAsia" w:ascii="仿宋" w:hAnsi="仿宋" w:eastAsia="仿宋"/>
          <w:sz w:val="32"/>
          <w:szCs w:val="32"/>
        </w:rPr>
        <w:t>年整体支出情况实施了财政支出绩效自评价，形成本评价报告。</w:t>
      </w:r>
    </w:p>
    <w:p>
      <w:pPr>
        <w:adjustRightInd w:val="0"/>
        <w:snapToGrid w:val="0"/>
        <w:spacing w:line="560" w:lineRule="exact"/>
        <w:rPr>
          <w:rFonts w:ascii="黑体" w:hAnsi="黑体" w:eastAsia="黑体"/>
          <w:b/>
          <w:bCs/>
          <w:sz w:val="32"/>
          <w:szCs w:val="36"/>
        </w:rPr>
      </w:pPr>
      <w:r>
        <w:rPr>
          <w:rFonts w:hint="eastAsia" w:ascii="黑体" w:hAnsi="黑体" w:eastAsia="黑体"/>
          <w:sz w:val="32"/>
          <w:szCs w:val="32"/>
        </w:rPr>
        <w:t xml:space="preserve">     一、部门</w:t>
      </w:r>
      <w:r>
        <w:rPr>
          <w:rFonts w:hint="eastAsia" w:ascii="黑体" w:hAnsi="黑体" w:eastAsia="黑体"/>
          <w:sz w:val="32"/>
          <w:szCs w:val="36"/>
        </w:rPr>
        <w:t>基本情况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（一）部门概况</w:t>
      </w:r>
    </w:p>
    <w:p>
      <w:pPr>
        <w:wordWrap/>
        <w:adjustRightInd w:val="0"/>
        <w:snapToGrid w:val="0"/>
        <w:spacing w:line="560" w:lineRule="exact"/>
        <w:ind w:left="0"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（1）开展学术交流，促进学术发展和科技进步。</w:t>
      </w:r>
    </w:p>
    <w:p>
      <w:pPr>
        <w:wordWrap/>
        <w:adjustRightInd w:val="0"/>
        <w:snapToGrid w:val="0"/>
        <w:spacing w:line="560" w:lineRule="exact"/>
        <w:ind w:left="0"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（2）普及和推广科技知识、先进技术。</w:t>
      </w:r>
    </w:p>
    <w:p>
      <w:pPr>
        <w:wordWrap/>
        <w:adjustRightInd w:val="0"/>
        <w:snapToGrid w:val="0"/>
        <w:spacing w:line="560" w:lineRule="exact"/>
        <w:ind w:left="0"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（3）表彰奖励优秀科技工作者，举荐人才。</w:t>
      </w:r>
    </w:p>
    <w:p>
      <w:pPr>
        <w:wordWrap/>
        <w:adjustRightInd w:val="0"/>
        <w:snapToGrid w:val="0"/>
        <w:spacing w:line="560" w:lineRule="exact"/>
        <w:ind w:left="0"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（4）开展技术咨询和技术服务。</w:t>
      </w:r>
    </w:p>
    <w:p>
      <w:pPr>
        <w:wordWrap/>
        <w:adjustRightInd w:val="0"/>
        <w:snapToGrid w:val="0"/>
        <w:spacing w:line="560" w:lineRule="exact"/>
        <w:ind w:left="0"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（5）开展继续教育和培训工作。</w:t>
      </w:r>
    </w:p>
    <w:p>
      <w:pPr>
        <w:wordWrap/>
        <w:adjustRightInd w:val="0"/>
        <w:snapToGrid w:val="0"/>
        <w:spacing w:line="560" w:lineRule="exact"/>
        <w:ind w:left="0"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（6）组织科技人员与专家建立各种专业协会、学会、研究会等，促进科技工作者的友好往来。</w:t>
      </w:r>
    </w:p>
    <w:p>
      <w:pPr>
        <w:wordWrap/>
        <w:adjustRightInd w:val="0"/>
        <w:snapToGrid w:val="0"/>
        <w:spacing w:line="560" w:lineRule="exact"/>
        <w:ind w:left="0"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（7）反映全区科技工作者的意见和要求，维护科技工作者的合法权益。</w:t>
      </w:r>
    </w:p>
    <w:p>
      <w:pPr>
        <w:wordWrap/>
        <w:adjustRightInd w:val="0"/>
        <w:snapToGrid w:val="0"/>
        <w:spacing w:line="560" w:lineRule="exact"/>
        <w:ind w:left="0"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（8）协助区委落实知识分子政策。</w:t>
      </w: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600" w:lineRule="exact"/>
        <w:ind w:firstLine="640" w:firstLineChars="200"/>
        <w:rPr>
          <w:rFonts w:hint="eastAsia" w:ascii="仿宋" w:hAnsi="仿宋" w:eastAsia="仿宋" w:cs="黑体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黑体"/>
          <w:b w:val="0"/>
          <w:kern w:val="2"/>
          <w:sz w:val="32"/>
          <w:szCs w:val="32"/>
          <w:lang w:val="en-US" w:eastAsia="zh-CN" w:bidi="ar-SA"/>
        </w:rPr>
        <w:t>（9）负责完成区委和上级科协部门交办的其它工作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60" w:lineRule="exact"/>
        <w:ind w:firstLine="640"/>
        <w:rPr>
          <w:rFonts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组织机构及人员：矿区科协为参公事业单位，设置一个综合办公室，负责日常工作。现有</w:t>
      </w:r>
      <w:r>
        <w:rPr>
          <w:rFonts w:hint="eastAsia" w:ascii="仿宋" w:hAnsi="仿宋" w:eastAsia="仿宋" w:cs="仿宋"/>
          <w:sz w:val="32"/>
          <w:szCs w:val="32"/>
        </w:rPr>
        <w:t>在职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资产情况：通用设备</w:t>
      </w:r>
      <w:r>
        <w:rPr>
          <w:rFonts w:ascii="仿宋" w:hAnsi="仿宋" w:eastAsia="仿宋" w:cs="仿宋"/>
          <w:sz w:val="32"/>
          <w:szCs w:val="32"/>
          <w:lang w:val="en-US" w:eastAsia="zh-CN"/>
        </w:rPr>
        <w:t>5.3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万元，家具、用具、装具1.</w:t>
      </w:r>
      <w:r>
        <w:rPr>
          <w:rFonts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万元。总价值为</w:t>
      </w:r>
      <w:r>
        <w:rPr>
          <w:rFonts w:ascii="仿宋" w:hAnsi="仿宋" w:eastAsia="仿宋" w:cs="仿宋"/>
          <w:sz w:val="32"/>
          <w:szCs w:val="32"/>
          <w:lang w:val="en-US" w:eastAsia="zh-CN"/>
        </w:rPr>
        <w:t>7.2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万元。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firstLine="640" w:firstLineChars="200"/>
        <w:rPr>
          <w:rFonts w:hint="eastAsia"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部门收支预决算情况</w:t>
      </w:r>
    </w:p>
    <w:p>
      <w:pPr>
        <w:pStyle w:val="12"/>
        <w:widowControl/>
        <w:spacing w:before="0" w:beforeAutospacing="0" w:after="0" w:afterAutospacing="0"/>
        <w:ind w:left="0" w:right="0" w:firstLine="640" w:firstLineChars="200"/>
        <w:rPr>
          <w:rFonts w:hint="eastAsia" w:ascii="仿宋_GB2312" w:eastAsia="宋体" w:cs="仿宋_GB2312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</w:pPr>
      <w:r>
        <w:rPr>
          <w:rFonts w:hint="eastAsia" w:ascii="仿宋_GB2312" w:eastAsia="宋体" w:cs="仿宋_GB2312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  <w:t>2025</w:t>
      </w:r>
      <w:r>
        <w:rPr>
          <w:rFonts w:hint="eastAsia" w:ascii="仿宋_GB2312" w:eastAsia="仿宋_GB2312" w:cs="仿宋_GB2312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  <w:t>年初预算</w:t>
      </w:r>
      <w:r>
        <w:rPr>
          <w:rFonts w:hint="eastAsia" w:ascii="仿宋_GB2312" w:hAnsi="宋体" w:eastAsia="宋体" w:cs="仿宋_GB2312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  <w:t>安排</w:t>
      </w:r>
      <w:r>
        <w:rPr>
          <w:rFonts w:hint="eastAsia" w:ascii="仿宋_GB2312" w:eastAsia="宋体" w:cs="仿宋_GB2312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  <w:t>95.4</w:t>
      </w:r>
      <w:r>
        <w:rPr>
          <w:rFonts w:hint="eastAsia" w:ascii="仿宋_GB2312" w:eastAsia="仿宋_GB2312" w:cs="仿宋_GB2312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  <w:t>万元，</w:t>
      </w:r>
      <w:r>
        <w:rPr>
          <w:rFonts w:hint="eastAsia" w:ascii="仿宋_GB2312" w:hAnsi="宋体" w:eastAsia="宋体" w:cs="仿宋_GB2312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  <w:t>其中基本支出</w:t>
      </w:r>
      <w:r>
        <w:rPr>
          <w:rFonts w:hint="eastAsia" w:ascii="仿宋_GB2312" w:eastAsia="宋体" w:cs="仿宋_GB2312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  <w:t>95.4</w:t>
      </w:r>
      <w:r>
        <w:rPr>
          <w:rFonts w:hint="eastAsia" w:ascii="仿宋_GB2312" w:hAnsi="宋体" w:eastAsia="宋体" w:cs="仿宋_GB2312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  <w:t>万元，项目支出</w:t>
      </w:r>
      <w:r>
        <w:rPr>
          <w:rFonts w:hint="eastAsia" w:ascii="仿宋_GB2312" w:eastAsia="宋体" w:cs="仿宋_GB2312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  <w:t>0</w:t>
      </w:r>
      <w:r>
        <w:rPr>
          <w:rFonts w:hint="eastAsia" w:ascii="仿宋_GB2312" w:hAnsi="宋体" w:eastAsia="宋体" w:cs="仿宋_GB2312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  <w:t>万元。</w:t>
      </w:r>
      <w:r>
        <w:rPr>
          <w:rFonts w:hint="eastAsia" w:ascii="仿宋_GB2312" w:eastAsia="宋体" w:cs="仿宋_GB2312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  <w:t>2025</w:t>
      </w:r>
      <w:r>
        <w:rPr>
          <w:rFonts w:hint="eastAsia" w:ascii="仿宋_GB2312" w:hAnsi="宋体" w:eastAsia="宋体" w:cs="仿宋_GB2312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  <w:t>年决算支出</w:t>
      </w:r>
      <w:r>
        <w:rPr>
          <w:rFonts w:hint="eastAsia" w:ascii="仿宋_GB2312" w:eastAsia="宋体" w:cs="仿宋_GB2312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  <w:t>100.5</w:t>
      </w:r>
      <w:r>
        <w:rPr>
          <w:rFonts w:hint="eastAsia" w:ascii="仿宋_GB2312" w:hAnsi="宋体" w:eastAsia="宋体" w:cs="仿宋_GB2312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  <w:t>万元，其中基本支出</w:t>
      </w:r>
      <w:r>
        <w:rPr>
          <w:rFonts w:hint="eastAsia" w:ascii="仿宋_GB2312" w:eastAsia="宋体" w:cs="仿宋_GB2312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  <w:t>94.2</w:t>
      </w:r>
      <w:r>
        <w:rPr>
          <w:rFonts w:hint="eastAsia" w:ascii="仿宋_GB2312" w:hAnsi="宋体" w:eastAsia="宋体" w:cs="仿宋_GB2312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  <w:t>万元，项目支出</w:t>
      </w:r>
      <w:r>
        <w:rPr>
          <w:rFonts w:hint="eastAsia" w:ascii="仿宋_GB2312" w:eastAsia="宋体" w:cs="仿宋_GB2312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  <w:t>6.3</w:t>
      </w:r>
      <w:r>
        <w:rPr>
          <w:rFonts w:hint="eastAsia" w:ascii="仿宋_GB2312" w:hAnsi="宋体" w:eastAsia="宋体" w:cs="仿宋_GB2312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  <w:t>万元。决算比预算增加</w:t>
      </w:r>
      <w:r>
        <w:rPr>
          <w:rFonts w:hint="eastAsia" w:ascii="仿宋_GB2312" w:eastAsia="宋体" w:cs="仿宋_GB2312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  <w:t>5.1</w:t>
      </w:r>
      <w:r>
        <w:rPr>
          <w:rFonts w:hint="eastAsia" w:ascii="仿宋_GB2312" w:hAnsi="宋体" w:eastAsia="宋体" w:cs="仿宋_GB2312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  <w:t>万元。</w:t>
      </w:r>
    </w:p>
    <w:tbl>
      <w:tblPr>
        <w:tblpPr w:leftFromText="144" w:rightFromText="144" w:vertAnchor="text" w:horzAnchor="page" w:tblpX="1771" w:tblpY="194"/>
        <w:tblOverlap w:val="never"/>
        <w:tblW w:w="82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8"/>
        <w:gridCol w:w="1459"/>
        <w:gridCol w:w="2564"/>
        <w:gridCol w:w="16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center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预  算</w:t>
            </w:r>
          </w:p>
        </w:tc>
        <w:tc>
          <w:tcPr>
            <w:tcW w:w="4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center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决  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预算总收入</w:t>
            </w: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金额（万元）</w:t>
            </w:r>
          </w:p>
        </w:tc>
        <w:tc>
          <w:tcPr>
            <w:tcW w:w="25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实际总收入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95.4</w:t>
            </w:r>
          </w:p>
        </w:tc>
        <w:tc>
          <w:tcPr>
            <w:tcW w:w="25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预算总支出</w:t>
            </w: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95.4</w:t>
            </w: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实际总支出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预算基本支出</w:t>
            </w: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95.4</w:t>
            </w: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实际基本支出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94.2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其中：人员经费</w:t>
            </w: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89.6</w:t>
            </w: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其中：人员经费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89.4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      日常公用经费</w:t>
            </w: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5.8</w:t>
            </w: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      日常公用经费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预算项目支出</w:t>
            </w: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right" w:pos="1243"/>
              </w:tabs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</w:t>
            </w: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实际项目支出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其中：</w:t>
            </w: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其中：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2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科普经费</w:t>
            </w: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</w:t>
            </w: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科协工作经费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全民科学素质经费</w:t>
            </w: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</w:t>
            </w: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全民科学素质经费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老科协经费</w:t>
            </w: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</w:t>
            </w: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老科协经费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2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党建经费</w:t>
            </w: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</w:t>
            </w: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党建经费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劳务派遣经费</w:t>
            </w: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</w:t>
            </w: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劳务派遣经费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C00000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C00000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adjustRightInd/>
              <w:spacing w:before="0" w:beforeAutospacing="0" w:after="0" w:afterAutospacing="0" w:line="400" w:lineRule="exact"/>
              <w:ind w:left="0" w:right="0" w:firstLine="0"/>
              <w:jc w:val="both"/>
              <w:rPr>
                <w:rFonts w:hint="eastAsia" w:ascii="仿宋_GB2312" w:eastAsia="仿宋_GB2312" w:cs="仿宋_GB2312"/>
                <w:caps w:val="0"/>
                <w:color w:val="auto"/>
                <w:sz w:val="24"/>
                <w:szCs w:val="24"/>
                <w:bdr w:val="none" w:color="auto" w:sz="0" w:space="0"/>
                <w:vertAlign w:val="baseline"/>
                <w:lang w:val="en-US" w:eastAsia="zh-CN"/>
              </w:rPr>
            </w:pPr>
          </w:p>
        </w:tc>
      </w:tr>
    </w:tbl>
    <w:p>
      <w:pPr>
        <w:numPr>
          <w:numId w:val="0"/>
        </w:numPr>
        <w:adjustRightInd w:val="0"/>
        <w:snapToGrid w:val="0"/>
        <w:spacing w:line="560" w:lineRule="exact"/>
        <w:rPr>
          <w:rFonts w:hint="eastAsia" w:ascii="楷体" w:hAnsi="楷体" w:eastAsia="楷体" w:cs="楷体_GB2312"/>
          <w:bCs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（三）部门整体支出绩效目标、指标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lang w:eastAsia="zh-CN"/>
        </w:rPr>
        <w:t>加强我区科协科普队伍建设，做好科普、全民科学素质、老科协宣传工作，提高科普及全民科学素质知识，开展各类宣传活动制作展牌、条幅和宣传材料等。完善党的领导和党的建设各项任务，全面提升机关基层党支部建设水平</w:t>
      </w:r>
      <w:r>
        <w:rPr>
          <w:rFonts w:ascii="仿宋" w:hAnsi="仿宋" w:eastAsia="仿宋"/>
          <w:sz w:val="32"/>
          <w:szCs w:val="32"/>
          <w:lang w:eastAsia="zh-CN"/>
        </w:rPr>
        <w:t>,</w:t>
      </w:r>
      <w:r>
        <w:rPr>
          <w:rFonts w:hint="eastAsia" w:ascii="仿宋" w:hAnsi="仿宋" w:eastAsia="仿宋"/>
          <w:sz w:val="32"/>
          <w:szCs w:val="32"/>
          <w:lang w:eastAsia="zh-CN"/>
        </w:rPr>
        <w:t>提高党员的党性</w:t>
      </w:r>
      <w:r>
        <w:rPr>
          <w:rFonts w:ascii="仿宋" w:hAnsi="仿宋" w:eastAsia="仿宋"/>
          <w:sz w:val="32"/>
          <w:szCs w:val="32"/>
          <w:lang w:eastAsia="zh-CN"/>
        </w:rPr>
        <w:t>修养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二、自评工作开展情况</w:t>
      </w:r>
    </w:p>
    <w:p>
      <w:pPr>
        <w:spacing w:line="560" w:lineRule="exact"/>
        <w:rPr>
          <w:rFonts w:ascii="楷体" w:hAnsi="楷体" w:eastAsia="楷体" w:cs="楷体_GB2312"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</w:rPr>
        <w:t xml:space="preserve">    </w:t>
      </w:r>
      <w:r>
        <w:rPr>
          <w:rFonts w:hint="eastAsia" w:ascii="楷体" w:hAnsi="楷体" w:eastAsia="楷体" w:cs="楷体_GB2312"/>
          <w:bCs/>
          <w:sz w:val="32"/>
          <w:szCs w:val="32"/>
        </w:rPr>
        <w:t>（一）自评的组织工作</w:t>
      </w:r>
    </w:p>
    <w:p>
      <w:pPr>
        <w:spacing w:line="56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</w:t>
      </w:r>
      <w:r>
        <w:rPr>
          <w:rFonts w:hint="eastAsia" w:ascii="仿宋" w:hAnsi="仿宋" w:eastAsia="仿宋"/>
          <w:sz w:val="32"/>
          <w:szCs w:val="32"/>
          <w:lang w:eastAsia="zh-CN"/>
        </w:rPr>
        <w:t>我单位</w:t>
      </w:r>
      <w:r>
        <w:rPr>
          <w:rFonts w:hint="eastAsia" w:ascii="仿宋" w:hAnsi="仿宋" w:eastAsia="仿宋" w:cs="楷体_GB2312"/>
          <w:b w:val="0"/>
          <w:bCs w:val="0"/>
          <w:sz w:val="32"/>
          <w:szCs w:val="32"/>
          <w:lang w:val="en-US" w:eastAsia="zh-CN"/>
        </w:rPr>
        <w:t>高度重视此项绩效自评工作，</w:t>
      </w:r>
      <w:r>
        <w:rPr>
          <w:rFonts w:hint="eastAsia" w:ascii="仿宋" w:hAnsi="仿宋" w:eastAsia="仿宋" w:cs="仿宋"/>
          <w:sz w:val="32"/>
          <w:szCs w:val="32"/>
        </w:rPr>
        <w:t>成立绩效评价工作组</w:t>
      </w:r>
      <w:r>
        <w:rPr>
          <w:rFonts w:hint="eastAsia" w:ascii="仿宋_GB2312" w:hAnsi="仿宋_GB2312" w:eastAsia="仿宋_GB2312" w:cs="仿宋_GB2312"/>
          <w:sz w:val="32"/>
          <w:szCs w:val="32"/>
        </w:rPr>
        <w:t>，组长由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单位一把手</w:t>
      </w:r>
      <w:r>
        <w:rPr>
          <w:rFonts w:hint="eastAsia" w:ascii="仿宋_GB2312" w:hAnsi="仿宋_GB2312" w:eastAsia="仿宋_GB2312" w:cs="仿宋_GB2312"/>
          <w:sz w:val="32"/>
          <w:szCs w:val="32"/>
        </w:rPr>
        <w:t>担任，成员包括财务</w:t>
      </w:r>
      <w:r>
        <w:rPr>
          <w:rFonts w:ascii="仿宋_GB2312" w:hAnsi="仿宋_GB2312" w:eastAsia="仿宋_GB2312" w:cs="仿宋_GB2312"/>
          <w:sz w:val="32"/>
          <w:szCs w:val="32"/>
        </w:rPr>
        <w:t>分</w:t>
      </w:r>
      <w:r>
        <w:rPr>
          <w:rFonts w:hint="eastAsia" w:ascii="仿宋_GB2312" w:hAnsi="仿宋_GB2312" w:eastAsia="仿宋_GB2312" w:cs="仿宋_GB2312"/>
          <w:sz w:val="32"/>
          <w:szCs w:val="32"/>
        </w:rPr>
        <w:t>管</w:t>
      </w:r>
      <w:r>
        <w:rPr>
          <w:rFonts w:ascii="仿宋_GB2312" w:hAnsi="仿宋_GB2312" w:eastAsia="仿宋_GB2312" w:cs="仿宋_GB2312"/>
          <w:sz w:val="32"/>
          <w:szCs w:val="32"/>
        </w:rPr>
        <w:t>领导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</w:t>
      </w:r>
      <w:r>
        <w:rPr>
          <w:rFonts w:ascii="仿宋_GB2312" w:hAnsi="仿宋_GB2312" w:eastAsia="仿宋_GB2312" w:cs="仿宋_GB2312"/>
          <w:sz w:val="32"/>
          <w:szCs w:val="32"/>
          <w:lang w:eastAsia="zh-CN"/>
        </w:rPr>
        <w:t>监督检查分管领导、财务工作人员组成</w:t>
      </w:r>
      <w:r>
        <w:rPr>
          <w:rFonts w:hint="eastAsia" w:ascii="仿宋_GB2312" w:hAnsi="仿宋_GB2312" w:eastAsia="仿宋_GB2312" w:cs="仿宋_GB2312"/>
          <w:sz w:val="32"/>
          <w:szCs w:val="32"/>
        </w:rPr>
        <w:t>，按照通知要求，评价组事先制定了自评工作方案，明确评价内容、评价程序及时间安排，并组织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单位相关人员召</w:t>
      </w:r>
      <w:r>
        <w:rPr>
          <w:rFonts w:hint="eastAsia" w:ascii="仿宋_GB2312" w:hAnsi="仿宋_GB2312" w:eastAsia="仿宋_GB2312" w:cs="仿宋_GB2312"/>
          <w:sz w:val="32"/>
          <w:szCs w:val="32"/>
        </w:rPr>
        <w:t>开专题会议，要求</w:t>
      </w:r>
      <w:r>
        <w:rPr>
          <w:rFonts w:ascii="仿宋_GB2312" w:hAnsi="仿宋_GB2312" w:eastAsia="仿宋_GB2312" w:cs="仿宋_GB2312"/>
          <w:sz w:val="32"/>
          <w:szCs w:val="32"/>
        </w:rPr>
        <w:t>财务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提前准备相关资料，积极配合做好自评工作。评价以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年初预算确定的项目绩效目标和绩效指标为依据，通过对相关账目进行核实，对比各绩效指标完成情况，进一步分析和总结，</w:t>
      </w:r>
      <w:r>
        <w:rPr>
          <w:rFonts w:hint="eastAsia" w:ascii="仿宋" w:hAnsi="仿宋" w:eastAsia="仿宋" w:cs="仿宋"/>
          <w:sz w:val="32"/>
          <w:szCs w:val="32"/>
        </w:rPr>
        <w:t>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督查工作经费</w:t>
      </w:r>
      <w:r>
        <w:rPr>
          <w:rFonts w:hint="eastAsia" w:ascii="仿宋" w:hAnsi="仿宋" w:eastAsia="仿宋" w:cs="仿宋"/>
          <w:sz w:val="32"/>
          <w:szCs w:val="32"/>
        </w:rPr>
        <w:t>项目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、重点工作经费项目</w:t>
      </w:r>
      <w:r>
        <w:rPr>
          <w:rFonts w:hint="eastAsia" w:ascii="仿宋" w:hAnsi="仿宋" w:eastAsia="仿宋" w:cs="仿宋"/>
          <w:sz w:val="32"/>
          <w:szCs w:val="32"/>
        </w:rPr>
        <w:t>，开展20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sz w:val="32"/>
          <w:szCs w:val="32"/>
        </w:rPr>
        <w:t>年度绩效自评工作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并撰写绩效自评报告。</w:t>
      </w:r>
    </w:p>
    <w:p>
      <w:pPr>
        <w:numPr>
          <w:ilvl w:val="0"/>
          <w:numId w:val="2"/>
        </w:numPr>
        <w:spacing w:line="560" w:lineRule="exact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自评的方法和过程</w:t>
      </w:r>
    </w:p>
    <w:p>
      <w:pPr>
        <w:spacing w:line="560" w:lineRule="exact"/>
        <w:ind w:firstLine="640" w:firstLineChars="200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仿宋" w:hAnsi="仿宋" w:eastAsia="仿宋" w:cs="楷体_GB2312"/>
          <w:b w:val="0"/>
          <w:bCs w:val="0"/>
          <w:sz w:val="32"/>
          <w:szCs w:val="32"/>
          <w:lang w:val="en-US" w:eastAsia="zh-CN"/>
        </w:rPr>
        <w:t>为确保该项目自评工作的科学性、严谨、公开、透明，绩效评价小组，从项目立项、预算编制、组织实施、绩效评价等关键环节，对照绩效指标及评分标准逐条开展自评。</w:t>
      </w:r>
    </w:p>
    <w:p>
      <w:pPr>
        <w:spacing w:line="560" w:lineRule="exact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    三、部门整体支出绩效目标实现情况及指标分析</w:t>
      </w:r>
    </w:p>
    <w:p>
      <w:pPr>
        <w:numPr>
          <w:ilvl w:val="0"/>
          <w:numId w:val="3"/>
        </w:numPr>
        <w:spacing w:line="560" w:lineRule="exact"/>
        <w:ind w:left="0" w:firstLine="640" w:firstLineChars="200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总体绩效目标实现情况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lang w:eastAsia="zh-CN"/>
        </w:rPr>
      </w:pPr>
      <w:r>
        <w:rPr>
          <w:rFonts w:hint="eastAsia" w:ascii="仿宋" w:hAnsi="仿宋" w:eastAsia="仿宋"/>
          <w:sz w:val="32"/>
          <w:lang w:eastAsia="zh-CN"/>
        </w:rPr>
        <w:t>区科协是联系科技工作者的桥梁和纽带，是发展科学技术事业的重要力量，主要工作任务是：根据省、市有关文件精神，贯彻《科普法》，紧扣《全民科学素质行动计划纲要》的目标任务，充分发挥各科普示范基地和社区、农技协、企业（园区）科协、乡镇科协的作用，团结和发动广大（老年）科技工作者，积极为全区工作大局服务，充分发挥科普工作主要社会力量作用，开展科普宣传、培训、讲座等各类活动，大力弘扬科学精神，普及科学知识，传播科学思想和科学方法，不断提高人民群众的科学文化素质和技能，为促进我区经济稳定发展服务。</w:t>
      </w:r>
    </w:p>
    <w:p>
      <w:pPr>
        <w:spacing w:line="560" w:lineRule="exact"/>
        <w:rPr>
          <w:rFonts w:ascii="楷体" w:hAnsi="楷体" w:eastAsia="楷体"/>
          <w:bCs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</w:rPr>
        <w:t xml:space="preserve">    </w:t>
      </w:r>
      <w:r>
        <w:rPr>
          <w:rFonts w:hint="eastAsia" w:ascii="楷体" w:hAnsi="楷体" w:eastAsia="楷体" w:cs="楷体_GB2312"/>
          <w:bCs/>
          <w:sz w:val="32"/>
          <w:szCs w:val="32"/>
        </w:rPr>
        <w:t>（二）分项绩效目标实现情况及指标分析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spacing w:line="560" w:lineRule="exact"/>
        <w:ind w:firstLine="64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2025年度绩效指标开展情况，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总分设定为100分。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统一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设置为：产出指标40分（包含数量、质量、时效、成本），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数量指标：组织宣传活动培训次数情况10分，质量指标：完成质量10分，时效指标：全年、服务周期、及时拨付10分，成本指标：项目总成本10分。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预算执行率指标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分、效益指标40分（包含经济效益、社会效益、生态效益、可持续影响），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完成率</w:t>
      </w:r>
      <w:r>
        <w:rPr>
          <w:rFonts w:ascii="仿宋" w:hAnsi="仿宋" w:eastAsia="仿宋" w:cs="仿宋"/>
          <w:sz w:val="32"/>
          <w:szCs w:val="32"/>
          <w:lang w:val="en-US" w:eastAsia="zh-CN"/>
        </w:rPr>
        <w:t>40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分。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满意度指标：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服务对象满意度10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分。</w:t>
      </w:r>
    </w:p>
    <w:p>
      <w:pPr>
        <w:wordWrap/>
        <w:spacing w:line="560" w:lineRule="exact"/>
        <w:ind w:left="0"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绩效指标为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6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个，评价等级为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优秀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我单位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2025年支出绩效自评98分。   </w:t>
      </w:r>
    </w:p>
    <w:p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四、评价结论和评价等级</w:t>
      </w:r>
    </w:p>
    <w:p>
      <w:pPr>
        <w:spacing w:line="560" w:lineRule="exact"/>
        <w:ind w:firstLine="640" w:firstLineChars="200"/>
        <w:rPr>
          <w:rFonts w:ascii="仿宋" w:hAnsi="仿宋" w:eastAsia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根据</w:t>
      </w:r>
      <w:r>
        <w:rPr>
          <w:rFonts w:hint="eastAsia" w:ascii="仿宋" w:hAnsi="仿宋" w:eastAsia="仿宋"/>
          <w:sz w:val="32"/>
          <w:szCs w:val="32"/>
          <w:lang w:eastAsia="zh-CN"/>
        </w:rPr>
        <w:t>部门职责定位和各项工作履职情况进行综合评价</w:t>
      </w:r>
      <w:r>
        <w:rPr>
          <w:rFonts w:hint="eastAsia" w:ascii="仿宋" w:hAnsi="仿宋" w:eastAsia="仿宋"/>
          <w:sz w:val="32"/>
          <w:szCs w:val="32"/>
        </w:rPr>
        <w:t>，给出总得分，满分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100</w:t>
      </w:r>
      <w:r>
        <w:rPr>
          <w:rFonts w:hint="eastAsia" w:ascii="仿宋" w:hAnsi="仿宋" w:eastAsia="仿宋"/>
          <w:sz w:val="32"/>
          <w:szCs w:val="32"/>
        </w:rPr>
        <w:t>分，得出综合绩效评价等级。</w:t>
      </w:r>
      <w:r>
        <w:rPr>
          <w:rFonts w:hint="eastAsia" w:ascii="仿宋" w:hAnsi="仿宋" w:eastAsia="仿宋"/>
          <w:sz w:val="32"/>
          <w:szCs w:val="32"/>
          <w:lang w:eastAsia="zh-CN"/>
        </w:rPr>
        <w:t>部门整体支出</w:t>
      </w:r>
      <w:r>
        <w:rPr>
          <w:rFonts w:hint="eastAsia" w:ascii="仿宋" w:hAnsi="仿宋" w:eastAsia="仿宋"/>
          <w:sz w:val="32"/>
          <w:szCs w:val="32"/>
        </w:rPr>
        <w:t>综合绩效评价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分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98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分为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eastAsia="zh-CN"/>
        </w:rPr>
        <w:t>优秀。</w:t>
      </w:r>
    </w:p>
    <w:p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五、存在的问题及改进措施</w:t>
      </w:r>
    </w:p>
    <w:p>
      <w:pPr>
        <w:spacing w:line="560" w:lineRule="exact"/>
        <w:ind w:firstLine="640" w:firstLineChars="200"/>
        <w:rPr>
          <w:rFonts w:hint="eastAsia" w:ascii="楷体" w:hAnsi="楷体" w:eastAsia="楷体"/>
          <w:bCs/>
          <w:sz w:val="32"/>
          <w:szCs w:val="32"/>
        </w:rPr>
      </w:pPr>
      <w:r>
        <w:rPr>
          <w:rFonts w:hint="eastAsia" w:ascii="楷体" w:hAnsi="楷体" w:eastAsia="楷体"/>
          <w:bCs/>
          <w:sz w:val="32"/>
          <w:szCs w:val="32"/>
        </w:rPr>
        <w:t>（一）存在的主要问题</w:t>
      </w:r>
    </w:p>
    <w:p>
      <w:pPr>
        <w:spacing w:line="560" w:lineRule="exact"/>
        <w:ind w:firstLine="640" w:firstLineChars="200"/>
        <w:rPr>
          <w:rFonts w:hint="eastAsia" w:ascii="楷体" w:hAnsi="楷体" w:eastAsia="楷体"/>
          <w:bCs/>
          <w:sz w:val="32"/>
          <w:szCs w:val="32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绩效指标能够围绕绩效目标来设定，从总体来看所设定的指标科学合理，易于评价，但在完整度方面尚可提升，全面真实反映被评价项目的实际情况。</w:t>
      </w:r>
    </w:p>
    <w:p>
      <w:pPr>
        <w:numPr>
          <w:ilvl w:val="0"/>
          <w:numId w:val="3"/>
        </w:numPr>
        <w:spacing w:line="560" w:lineRule="exact"/>
        <w:ind w:left="0" w:leftChars="0" w:firstLine="640" w:firstLineChars="200"/>
        <w:rPr>
          <w:rFonts w:hint="eastAsia" w:ascii="楷体" w:hAnsi="楷体" w:eastAsia="楷体"/>
          <w:bCs/>
          <w:sz w:val="32"/>
          <w:szCs w:val="32"/>
        </w:rPr>
      </w:pPr>
      <w:r>
        <w:rPr>
          <w:rFonts w:hint="eastAsia" w:ascii="楷体" w:hAnsi="楷体" w:eastAsia="楷体"/>
          <w:bCs/>
          <w:sz w:val="32"/>
          <w:szCs w:val="32"/>
        </w:rPr>
        <w:t>针对问题提出具体的改进措施或建议</w:t>
      </w:r>
    </w:p>
    <w:p>
      <w:pPr>
        <w:spacing w:line="560" w:lineRule="exact"/>
        <w:ind w:firstLine="420" w:firstLineChars="200"/>
        <w:rPr>
          <w:rFonts w:hint="eastAsia" w:ascii="楷体" w:hAnsi="楷体" w:eastAsia="楷体"/>
          <w:bCs/>
          <w:sz w:val="32"/>
          <w:szCs w:val="32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进一步细化、量化预算绩效指标设定，从时效、数量、质量等，建立可细化、可量化、可考评的绩效指标体系，提高绩效评价指标体系的科学性、合理性。</w:t>
      </w:r>
    </w:p>
    <w:p>
      <w:pPr>
        <w:numPr>
          <w:ilvl w:val="0"/>
          <w:numId w:val="4"/>
        </w:numPr>
        <w:adjustRightInd w:val="0"/>
        <w:snapToGrid w:val="0"/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评价工作组人员名单及签字（姓名、工作单位、职务、职称）</w:t>
      </w:r>
    </w:p>
    <w:p>
      <w:pPr>
        <w:wordWrap/>
        <w:adjustRightInd w:val="0"/>
        <w:snapToGrid w:val="0"/>
        <w:spacing w:line="560" w:lineRule="exact"/>
        <w:ind w:firstLine="1280" w:firstLineChars="4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王进军  矿区科协主席</w:t>
      </w:r>
    </w:p>
    <w:p>
      <w:pPr>
        <w:adjustRightInd w:val="0"/>
        <w:snapToGrid w:val="0"/>
        <w:spacing w:line="560" w:lineRule="exact"/>
        <w:ind w:firstLine="1280" w:firstLineChars="400"/>
        <w:rPr>
          <w:rFonts w:ascii="仿宋" w:hAnsi="仿宋" w:eastAsia="仿宋"/>
          <w:sz w:val="32"/>
          <w:szCs w:val="32"/>
          <w:lang w:val="en-US" w:eastAsia="zh-CN"/>
        </w:rPr>
      </w:pPr>
      <w:r>
        <w:rPr>
          <w:rFonts w:ascii="仿宋" w:hAnsi="仿宋" w:eastAsia="仿宋"/>
          <w:sz w:val="32"/>
          <w:szCs w:val="32"/>
          <w:lang w:val="en-US" w:eastAsia="zh-CN"/>
        </w:rPr>
        <w:t>刘志生  矿区科协三级主任科员</w:t>
      </w:r>
    </w:p>
    <w:p>
      <w:pPr>
        <w:adjustRightInd w:val="0"/>
        <w:snapToGrid w:val="0"/>
        <w:spacing w:line="560" w:lineRule="exact"/>
        <w:ind w:firstLine="1280" w:firstLineChars="400"/>
        <w:rPr>
          <w:rFonts w:ascii="黑体" w:hAnsi="黑体" w:eastAsia="黑体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赵怡欣  矿区科协工作人员</w:t>
      </w:r>
    </w:p>
    <w:p>
      <w:pPr>
        <w:numPr>
          <w:numId w:val="0"/>
        </w:numPr>
        <w:adjustRightInd w:val="0"/>
        <w:snapToGrid w:val="0"/>
        <w:spacing w:line="560" w:lineRule="exact"/>
        <w:rPr>
          <w:rFonts w:hint="eastAsia" w:ascii="黑体" w:hAnsi="黑体" w:eastAsia="黑体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474" w:bottom="1440" w:left="1587" w:header="851" w:footer="992" w:gutter="0"/>
      <w:pgNumType w:fmt="numberInDash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Wingdings">
    <w:panose1 w:val="05000000000000000000"/>
    <w:charset w:val="02"/>
    <w:family w:val="auto"/>
    <w:pitch w:val="variable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90805" distR="90805" simplePos="0" relativeHeight="102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09550" cy="162560"/>
              <wp:effectExtent l="0" t="0" r="0" b="0"/>
              <wp:wrapNone/>
              <wp:docPr id="1" name="Quad Arrow 30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9492" cy="16282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miter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 Arrow 3073" o:spid="_x0000_s1026" o:spt="1" style="position:absolute;left:0pt;margin-top:0pt;height:12.8pt;width:16.5pt;mso-position-horizontal:center;mso-position-horizontal-relative:margin;mso-wrap-style:none;z-index:1024;mso-width-relative:page;mso-height-relative:page;" filled="f" stroked="f" coordsize="21600,21600" o:gfxdata="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1qUiZ0QAAAAMBAAAPAAAAAAAA&#10;AAEAIAAAACIAAABkcnMvZG93bnJldi54bWxQSwECFAAUAAAACACHTuJA8TEkzeABAACqAwAADgAA&#10;AAAAAAABACAAAAAgAQAAZHJzL2Uyb0RvYy54bWxQSwUGAAAAAAYABgBZAQAAcgUAAAAA&#10;"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85371521">
    <w:nsid w:val="0516AA81"/>
    <w:multiLevelType w:val="singleLevel"/>
    <w:tmpl w:val="0516AA81"/>
    <w:lvl w:ilvl="0" w:tentative="1">
      <w:start w:val="2"/>
      <w:numFmt w:val="chineseCounting"/>
      <w:suff w:val="nothing"/>
      <w:lvlText w:val="（%1）"/>
      <w:lvlJc w:val="left"/>
      <w:pPr>
        <w:ind w:left="642" w:firstLine="0"/>
      </w:pPr>
      <w:rPr>
        <w:rFonts w:hint="eastAsia"/>
      </w:rPr>
    </w:lvl>
  </w:abstractNum>
  <w:abstractNum w:abstractNumId="1583892635">
    <w:nsid w:val="5E68489B"/>
    <w:multiLevelType w:val="singleLevel"/>
    <w:tmpl w:val="5E68489B"/>
    <w:lvl w:ilvl="0" w:tentative="1">
      <w:start w:val="1"/>
      <w:numFmt w:val="chineseCounting"/>
      <w:suff w:val="nothing"/>
      <w:lvlText w:val="（%1）"/>
      <w:lvlJc w:val="left"/>
      <w:pPr>
        <w:ind w:left="0" w:firstLine="0"/>
      </w:pPr>
      <w:rPr>
        <w:rFonts w:ascii="楷体" w:hAnsi="楷体" w:eastAsia="楷体"/>
      </w:rPr>
    </w:lvl>
  </w:abstractNum>
  <w:abstractNum w:abstractNumId="1782374265">
    <w:nsid w:val="6A3CDF79"/>
    <w:multiLevelType w:val="singleLevel"/>
    <w:tmpl w:val="6A3CDF79"/>
    <w:lvl w:ilvl="0" w:tentative="1">
      <w:start w:val="6"/>
      <w:numFmt w:val="chineseCounting"/>
      <w:suff w:val="nothing"/>
      <w:lvlText w:val="%1、"/>
      <w:lvlJc w:val="left"/>
    </w:lvl>
  </w:abstractNum>
  <w:abstractNum w:abstractNumId="1782374008">
    <w:nsid w:val="6A3CDE78"/>
    <w:multiLevelType w:val="singleLevel"/>
    <w:tmpl w:val="6A3CDE78"/>
    <w:lvl w:ilvl="0" w:tentative="1">
      <w:start w:val="2"/>
      <w:numFmt w:val="chineseCounting"/>
      <w:suff w:val="nothing"/>
      <w:lvlText w:val="（%1）"/>
      <w:lvlJc w:val="left"/>
    </w:lvl>
  </w:abstractNum>
  <w:num w:numId="1">
    <w:abstractNumId w:val="1782374008"/>
  </w:num>
  <w:num w:numId="2">
    <w:abstractNumId w:val="85371521"/>
  </w:num>
  <w:num w:numId="3">
    <w:abstractNumId w:val="1583892635"/>
  </w:num>
  <w:num w:numId="4">
    <w:abstractNumId w:val="17823742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doNotSuppressIndentation/>
    <w:splitPgBreakAndParaMark/>
    <w:compatSetting w:name="compatibilityMode" w:uri="http://schemas.microsoft.com/office/word" w:val="11"/>
  </w:compat>
  <w:docVars>
    <w:docVar w:name="commondata" w:val="eyJoZGlkIjoiYzgxMzVhZTBlNDUyZWUxNDVhMjNkN2E1NjFlOTE5NDcifQ=="/>
  </w:docVars>
  <w:rsids>
    <w:rsidRoot w:val="00000000"/>
    <w:rsid w:val="04116C45"/>
    <w:rsid w:val="4C60064C"/>
    <w:rsid w:val="68CA4FB2"/>
    <w:rsid w:val="6C8E0556"/>
    <w:rsid w:val="76F210B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0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link w:val="11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7">
    <w:name w:val="Default Paragraph Font"/>
    <w:qFormat/>
    <w:uiPriority w:val="0"/>
  </w:style>
  <w:style w:type="table" w:default="1" w:styleId="8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character" w:customStyle="1" w:styleId="9">
    <w:name w:val="heading 1 Char"/>
    <w:basedOn w:val="7"/>
    <w:link w:val="2"/>
    <w:uiPriority w:val="0"/>
    <w:rPr>
      <w:rFonts w:ascii="Calibri" w:hAnsi="Calibri" w:eastAsia="宋体" w:cs="黑体"/>
      <w:b/>
      <w:bCs/>
      <w:kern w:val="44"/>
      <w:sz w:val="44"/>
      <w:szCs w:val="44"/>
      <w:lang w:val="en-US" w:eastAsia="zh-CN" w:bidi="ar-SA"/>
    </w:rPr>
  </w:style>
  <w:style w:type="character" w:customStyle="1" w:styleId="10">
    <w:name w:val="heading 2 Char"/>
    <w:basedOn w:val="7"/>
    <w:link w:val="3"/>
    <w:uiPriority w:val="0"/>
    <w:rPr>
      <w:rFonts w:ascii="Times New Roman" w:hAnsi="Times New Roman" w:eastAsia="黑体" w:cs="黑体"/>
      <w:b/>
      <w:bCs/>
      <w:kern w:val="2"/>
      <w:sz w:val="32"/>
      <w:szCs w:val="32"/>
      <w:lang w:val="en-US" w:eastAsia="zh-CN" w:bidi="ar-SA"/>
    </w:rPr>
  </w:style>
  <w:style w:type="character" w:customStyle="1" w:styleId="11">
    <w:name w:val="heading 3 Char"/>
    <w:basedOn w:val="7"/>
    <w:link w:val="4"/>
    <w:uiPriority w:val="0"/>
    <w:rPr>
      <w:rFonts w:ascii="Calibri" w:hAnsi="Calibri" w:eastAsia="宋体" w:cs="黑体"/>
      <w:b/>
      <w:bCs/>
      <w:kern w:val="2"/>
      <w:sz w:val="32"/>
      <w:szCs w:val="32"/>
      <w:lang w:val="en-US" w:eastAsia="zh-CN" w:bidi="ar-SA"/>
    </w:rPr>
  </w:style>
  <w:style w:type="paragraph" w:customStyle="1" w:styleId="12">
    <w:name w:val="正文-公1"/>
    <w:next w:val="1"/>
    <w:uiPriority w:val="0"/>
    <w:pPr>
      <w:keepNext w:val="0"/>
      <w:keepLines w:val="0"/>
      <w:widowControl w:val="0"/>
      <w:suppressLineNumbers w:val="0"/>
      <w:spacing w:before="0" w:beforeAutospacing="0" w:after="0" w:afterAutospacing="0" w:line="240" w:lineRule="auto"/>
      <w:ind w:left="0" w:firstLine="200" w:firstLineChars="200"/>
      <w:jc w:val="both"/>
    </w:pPr>
    <w:rPr>
      <w:rFonts w:hint="default" w:ascii="Times New Roman" w:hAnsi="Times New Roman" w:eastAsia="宋体" w:cs="Times New Roman"/>
      <w:kern w:val="2"/>
      <w:sz w:val="21"/>
      <w:szCs w:val="20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9050" cap="flat" cmpd="sng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A899EF5-E6C6-4A85-B6D9-C2BDC251CC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</Pages>
  <Words>0</Words>
  <Characters>502</Characters>
  <Lines>0</Lines>
  <Paragraphs>29</Paragraphs>
  <TotalTime>0</TotalTime>
  <ScaleCrop>false</ScaleCrop>
  <LinksUpToDate>false</LinksUpToDate>
  <CharactersWithSpaces>670</CharactersWithSpaces>
  <Application>WPS Office_10.8.0.5562_F1E327BC-269C-435d-A152-05C5408002CA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2020-02-04T03:46:00Z</dcterms:created>
  <dc:creator>欣欣大人</dc:creator>
  <cp:lastModifiedBy>Administrator</cp:lastModifiedBy>
  <cp:lastPrinted>2024-03-06T07:40:00Z</cp:lastPrinted>
  <dcterms:modified xsi:type="dcterms:W3CDTF">2026-06-25T08:20:45Z</dcterms:modified>
  <dc:title>附件3：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2052-10.8.0.5562</vt:lpwstr>
  </property>
  <property fmtid="{D5CDD505-2E9C-101B-9397-08002B2CF9AE}" pid="3" name="ICV">
    <vt:lpwstr>96934721B1514D3FBAA28020338CE855_12</vt:lpwstr>
  </property>
</Properties>
</file>