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3083C3">
      <w:pPr>
        <w:adjustRightInd w:val="0"/>
        <w:snapToGrid w:val="0"/>
        <w:spacing w:line="560" w:lineRule="exact"/>
        <w:rPr>
          <w:rFonts w:hint="eastAsia" w:ascii="黑体" w:hAnsi="黑体" w:eastAsia="黑体" w:cs="黑体"/>
          <w:sz w:val="32"/>
          <w:szCs w:val="32"/>
        </w:rPr>
      </w:pPr>
      <w:r>
        <w:rPr>
          <w:rFonts w:hint="eastAsia" w:ascii="黑体" w:hAnsi="黑体" w:eastAsia="黑体" w:cs="黑体"/>
          <w:sz w:val="32"/>
          <w:szCs w:val="32"/>
        </w:rPr>
        <w:t>附件4</w:t>
      </w:r>
    </w:p>
    <w:p w14:paraId="1EAE0083">
      <w:pPr>
        <w:spacing w:line="560" w:lineRule="exact"/>
        <w:jc w:val="center"/>
        <w:rPr>
          <w:rFonts w:ascii="宋体" w:hAnsi="宋体" w:cs="宋体"/>
          <w:b/>
          <w:bCs/>
          <w:sz w:val="44"/>
          <w:szCs w:val="44"/>
        </w:rPr>
      </w:pPr>
    </w:p>
    <w:p w14:paraId="4CF91A31">
      <w:pPr>
        <w:spacing w:line="560" w:lineRule="exact"/>
        <w:jc w:val="center"/>
        <w:rPr>
          <w:rFonts w:hint="eastAsia" w:ascii="宋体" w:hAnsi="宋体" w:cs="宋体"/>
          <w:b/>
          <w:bCs/>
          <w:sz w:val="44"/>
          <w:szCs w:val="44"/>
          <w:lang w:val="en-US" w:eastAsia="zh-CN"/>
        </w:rPr>
      </w:pPr>
      <w:r>
        <w:rPr>
          <w:rFonts w:hint="eastAsia" w:ascii="宋体" w:hAnsi="宋体" w:cs="宋体"/>
          <w:b/>
          <w:bCs/>
          <w:sz w:val="44"/>
          <w:szCs w:val="44"/>
          <w:lang w:val="en-US" w:eastAsia="zh-CN"/>
        </w:rPr>
        <w:t>区审计局</w:t>
      </w:r>
    </w:p>
    <w:p w14:paraId="5253F09B">
      <w:pPr>
        <w:spacing w:line="560" w:lineRule="exact"/>
        <w:jc w:val="center"/>
        <w:rPr>
          <w:rFonts w:ascii="宋体" w:hAnsi="宋体" w:cs="宋体"/>
          <w:b/>
          <w:bCs/>
          <w:sz w:val="44"/>
          <w:szCs w:val="44"/>
        </w:rPr>
      </w:pPr>
      <w:r>
        <w:rPr>
          <w:rFonts w:hint="eastAsia" w:ascii="宋体" w:hAnsi="宋体" w:cs="宋体"/>
          <w:b/>
          <w:bCs/>
          <w:sz w:val="44"/>
          <w:szCs w:val="44"/>
        </w:rPr>
        <w:t>202</w:t>
      </w:r>
      <w:r>
        <w:rPr>
          <w:rFonts w:ascii="宋体" w:hAnsi="宋体" w:cs="宋体"/>
          <w:b/>
          <w:bCs/>
          <w:sz w:val="44"/>
          <w:szCs w:val="44"/>
        </w:rPr>
        <w:t>5</w:t>
      </w:r>
      <w:r>
        <w:rPr>
          <w:rFonts w:hint="eastAsia" w:ascii="宋体" w:hAnsi="宋体" w:cs="宋体"/>
          <w:b/>
          <w:bCs/>
          <w:sz w:val="44"/>
          <w:szCs w:val="44"/>
        </w:rPr>
        <w:t>年度整体支出绩效自评报告</w:t>
      </w:r>
    </w:p>
    <w:p w14:paraId="5E9D4D99">
      <w:pPr>
        <w:spacing w:line="560" w:lineRule="exact"/>
        <w:jc w:val="center"/>
        <w:rPr>
          <w:rFonts w:ascii="华文楷体" w:eastAsia="华文楷体"/>
          <w:sz w:val="32"/>
          <w:szCs w:val="32"/>
        </w:rPr>
      </w:pPr>
    </w:p>
    <w:p w14:paraId="51F7DBC8">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贯彻落实</w:t>
      </w:r>
      <w:r>
        <w:rPr>
          <w:rFonts w:ascii="仿宋" w:hAnsi="仿宋" w:eastAsia="仿宋"/>
          <w:sz w:val="32"/>
          <w:szCs w:val="32"/>
        </w:rPr>
        <w:t>区委区政府</w:t>
      </w:r>
      <w:r>
        <w:rPr>
          <w:rFonts w:hint="eastAsia" w:ascii="仿宋" w:hAnsi="仿宋" w:eastAsia="仿宋"/>
          <w:sz w:val="32"/>
          <w:szCs w:val="32"/>
        </w:rPr>
        <w:t>《关于全面落实预算绩效管理的实施意见》（</w:t>
      </w:r>
      <w:r>
        <w:rPr>
          <w:rFonts w:ascii="仿宋" w:hAnsi="仿宋" w:eastAsia="仿宋"/>
          <w:sz w:val="32"/>
          <w:szCs w:val="32"/>
        </w:rPr>
        <w:t>矿</w:t>
      </w:r>
      <w:r>
        <w:rPr>
          <w:rFonts w:hint="eastAsia" w:ascii="仿宋" w:hAnsi="仿宋" w:eastAsia="仿宋"/>
          <w:sz w:val="32"/>
          <w:szCs w:val="32"/>
        </w:rPr>
        <w:t>发﹝2019﹞</w:t>
      </w:r>
      <w:r>
        <w:rPr>
          <w:rFonts w:ascii="仿宋" w:hAnsi="仿宋" w:eastAsia="仿宋"/>
          <w:sz w:val="32"/>
          <w:szCs w:val="32"/>
        </w:rPr>
        <w:t>7</w:t>
      </w:r>
      <w:r>
        <w:rPr>
          <w:rFonts w:hint="eastAsia" w:ascii="仿宋" w:hAnsi="仿宋" w:eastAsia="仿宋"/>
          <w:sz w:val="32"/>
          <w:szCs w:val="32"/>
        </w:rPr>
        <w:t>号）文件精神，遵循“科学性、规范性、客观性和公正性”的原则，对</w:t>
      </w:r>
      <w:r>
        <w:rPr>
          <w:rFonts w:hint="eastAsia" w:ascii="仿宋" w:hAnsi="仿宋" w:eastAsia="仿宋"/>
          <w:sz w:val="32"/>
          <w:szCs w:val="32"/>
          <w:lang w:val="en-US" w:eastAsia="zh-CN"/>
        </w:rPr>
        <w:t>区审计局</w:t>
      </w:r>
      <w:r>
        <w:rPr>
          <w:rFonts w:hint="eastAsia" w:ascii="仿宋" w:hAnsi="仿宋" w:eastAsia="仿宋"/>
          <w:sz w:val="32"/>
          <w:szCs w:val="32"/>
        </w:rPr>
        <w:t>202</w:t>
      </w:r>
      <w:r>
        <w:rPr>
          <w:rFonts w:ascii="仿宋" w:hAnsi="仿宋" w:eastAsia="仿宋"/>
          <w:sz w:val="32"/>
          <w:szCs w:val="32"/>
        </w:rPr>
        <w:t>5</w:t>
      </w:r>
      <w:r>
        <w:rPr>
          <w:rFonts w:hint="eastAsia" w:ascii="仿宋" w:hAnsi="仿宋" w:eastAsia="仿宋"/>
          <w:sz w:val="32"/>
          <w:szCs w:val="32"/>
        </w:rPr>
        <w:t>年整体支出情况实施了财政支出绩效自评价，形成本评价报告。</w:t>
      </w:r>
    </w:p>
    <w:p w14:paraId="49137A86">
      <w:pPr>
        <w:adjustRightInd w:val="0"/>
        <w:snapToGrid w:val="0"/>
        <w:spacing w:line="560" w:lineRule="exact"/>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70B2A3DC">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（一）部门概况</w:t>
      </w:r>
    </w:p>
    <w:p w14:paraId="74117654">
      <w:pPr>
        <w:pStyle w:val="4"/>
        <w:pageBreakBefore w:val="0"/>
        <w:widowControl w:val="0"/>
        <w:kinsoku/>
        <w:wordWrap/>
        <w:overflowPunct/>
        <w:topLinePunct w:val="0"/>
        <w:autoSpaceDE/>
        <w:autoSpaceDN/>
        <w:bidi w:val="0"/>
        <w:adjustRightInd/>
        <w:snapToGrid/>
        <w:spacing w:before="0" w:beforeLines="0" w:beforeAutospacing="0" w:after="0" w:afterLines="0" w:afterAutospacing="0"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主要职能</w:t>
      </w:r>
    </w:p>
    <w:p w14:paraId="1E470142">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贯彻落实中央和省委、市委、区委关于审计工作的方针政策和决策部署，坚持和加强党对审计工作的集中统一领导。主要职责是：</w:t>
      </w:r>
    </w:p>
    <w:p w14:paraId="7AB4375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主管全区审计工作。负责对全区财政收支和依法属于审计监督范围的财务收支的真实、合法和效益进行审计监督，对公共资金、国有资产、国有资源和领导干部履行经济责任情况实行审计全覆盖，对领导干部实行自然资源资产离任审计，对省、市、区党委、政府有关重大政策措施贯彻落实情况进行跟踪审计。对审计、专项审计调查和核查社会审计机构相关审计报告的结果承担责任，并负有督促被审计单位整改的责任。</w:t>
      </w:r>
    </w:p>
    <w:p w14:paraId="67C8976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）贯彻执行审计法律、法规和方针、政策。拟订审计工作发展规划、专业领域审计工作规划，以及年度审计计划并组织实施，对直接审计、调查和核查的事项依法进行审计评价，作出审计决定或提出审计建议。</w:t>
      </w:r>
    </w:p>
    <w:p w14:paraId="30E9B674">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向中共</w:t>
      </w:r>
      <w:r>
        <w:rPr>
          <w:rFonts w:hint="eastAsia" w:ascii="仿宋_GB2312" w:hAnsi="仿宋_GB2312" w:eastAsia="仿宋_GB2312" w:cs="仿宋_GB2312"/>
          <w:sz w:val="32"/>
          <w:szCs w:val="32"/>
          <w:lang w:eastAsia="zh-CN"/>
        </w:rPr>
        <w:t>井陉</w:t>
      </w:r>
      <w:r>
        <w:rPr>
          <w:rFonts w:hint="eastAsia" w:ascii="仿宋_GB2312" w:hAnsi="仿宋_GB2312" w:eastAsia="仿宋_GB2312" w:cs="仿宋_GB2312"/>
          <w:sz w:val="32"/>
          <w:szCs w:val="32"/>
        </w:rPr>
        <w:t>矿区委审计委员会提出年度区本级预算执行和其他财政收支情况审计报告。向区长提出年度区本级预算执行和其他财政收支情况的审计结果报告。组织起草区政府向区人大常委会提出区本级预算执行和其他财政收支情况的审计工作报告、审计查出问题整改情况报告。向区委、区政府报告对其他事项的审计和专项审计调查情况及结果。依法向社会公布审计结果。向被审计单位通报审计情况和审计结果。</w:t>
      </w:r>
    </w:p>
    <w:p w14:paraId="1BBB63CF">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直接审计下列事项，出具审计报告，在法定职权范围内作出审计决定，包括国家和省、市、区有关重大政策措施贯彻落实情况；区本级预算执行情况和其他财政收支，区直各部门（含所属单位）预算执行情况、决算草案和其他财政收变；乡（镇）预算执行情况、决算草案和其他财政收支；中央、省和市财政转移支付资金；使用区本级财政资金的事业单位和社会团体的财务收支；区投资和以区投资为主的建设项目的预算执行情况和决算，区重大公共工程项目的资金管理使用和建设运营情况；自然资源管理、污染防治和生态保护与修复情况；区属国有企业、区属国有资本占控股或主导地位的企业，上级授权审计的金融机构的境内外资产、负债和损益，区驻外非经营性机构的财务收支；有关社会保障基金、社会捐赠资金和其他基金、资金的财务收支；上级授权审计的国际组织和外国政府援助、贷款项目的财务收支；法律法规规定的其他事项。</w:t>
      </w:r>
    </w:p>
    <w:p w14:paraId="02ADB5CB">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）按规定对区管党政主要领导干部及其他单位主要负责人实施经济责任审计和自然资源资产离任审计。</w:t>
      </w:r>
    </w:p>
    <w:p w14:paraId="618A1337">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）组织实施对财经法律法规、规章、政策和宏观调控措施执行情况、财政预算管理及国有资产管理使用等与财政收支有关的特定事项进行专项审计调查。</w:t>
      </w:r>
    </w:p>
    <w:p w14:paraId="13434F80">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）依法检查审计决定执行情况，督促整改审计查出的问题，依法办理被审计单位对审计决定提请行政复议、行政诉讼或区政府裁决中的有关事项；协助配合有关部门查处相关重大案件。</w:t>
      </w:r>
    </w:p>
    <w:p w14:paraId="5CBB1E8E">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）指导和监督内部审计工作，核查社会审计机构对依消属于审计监督对象的单位出具的相关审计报告。</w:t>
      </w:r>
    </w:p>
    <w:p w14:paraId="2D8B75AF">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）会同区委机构编制委员会办公室，对党政机关及直属事业单位的机构设置、编制使用，以及有关机构编制规定的执行情况进行审计调查。</w:t>
      </w:r>
    </w:p>
    <w:p w14:paraId="5320FF10">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）完成区委、区政府和上级审计机关交办的其他任务。</w:t>
      </w:r>
    </w:p>
    <w:p w14:paraId="5DB8B8BF">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一步完善审计管理体制机制，加强全区审计工作统筹，明晰审计机关职能定位，理顺内部职责关系，优化审计资源配置，充实加强一线审计力量，构建集中统一、全面覆盖、权威高效的审计监督体系。优化审计工作机制，坚持科技强审，完善业务流程，改进工作方式，加强与相关部门的沟通协调，充分调动内部审计和社会审计力量，增强监督合力。</w:t>
      </w:r>
    </w:p>
    <w:p w14:paraId="151CAFD3">
      <w:pPr>
        <w:pStyle w:val="4"/>
        <w:pageBreakBefore w:val="0"/>
        <w:widowControl w:val="0"/>
        <w:kinsoku/>
        <w:wordWrap/>
        <w:overflowPunct/>
        <w:topLinePunct w:val="0"/>
        <w:autoSpaceDE/>
        <w:autoSpaceDN/>
        <w:bidi w:val="0"/>
        <w:adjustRightInd/>
        <w:snapToGrid/>
        <w:spacing w:before="0" w:beforeLines="0" w:beforeAutospacing="0" w:after="0" w:afterLines="0" w:afterAutospacing="0"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机构情况</w:t>
      </w:r>
    </w:p>
    <w:p w14:paraId="41FC78E6">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机构</w:t>
      </w:r>
      <w:r>
        <w:rPr>
          <w:rFonts w:hint="eastAsia" w:ascii="仿宋_GB2312" w:hAnsi="仿宋_GB2312" w:eastAsia="仿宋_GB2312" w:cs="仿宋_GB2312"/>
          <w:sz w:val="32"/>
          <w:szCs w:val="32"/>
          <w:lang w:val="en-US" w:eastAsia="zh-CN"/>
        </w:rPr>
        <w:t>1个，内设办公室、财政审计股、行政事业审计股、固定资产投资审计股、经济责任审计股五个股室。</w:t>
      </w:r>
    </w:p>
    <w:p w14:paraId="2190D54E">
      <w:pPr>
        <w:pStyle w:val="4"/>
        <w:pageBreakBefore w:val="0"/>
        <w:widowControl w:val="0"/>
        <w:kinsoku/>
        <w:wordWrap/>
        <w:overflowPunct/>
        <w:topLinePunct w:val="0"/>
        <w:autoSpaceDE/>
        <w:autoSpaceDN/>
        <w:bidi w:val="0"/>
        <w:adjustRightInd/>
        <w:snapToGrid/>
        <w:spacing w:before="0" w:beforeLines="0" w:beforeAutospacing="0" w:after="0" w:afterLines="0" w:afterAutospacing="0"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人员情况</w:t>
      </w:r>
    </w:p>
    <w:p w14:paraId="326343A2">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在职</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退休人员</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人。</w:t>
      </w:r>
    </w:p>
    <w:p w14:paraId="5CC47BC9">
      <w:pPr>
        <w:pStyle w:val="4"/>
        <w:pageBreakBefore w:val="0"/>
        <w:widowControl w:val="0"/>
        <w:kinsoku/>
        <w:wordWrap/>
        <w:overflowPunct/>
        <w:topLinePunct w:val="0"/>
        <w:autoSpaceDE/>
        <w:autoSpaceDN/>
        <w:bidi w:val="0"/>
        <w:adjustRightInd/>
        <w:snapToGrid/>
        <w:spacing w:before="0" w:beforeLines="0" w:beforeAutospacing="0" w:after="0" w:afterLines="0" w:afterAutospacing="0"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4.资产情况</w:t>
      </w:r>
    </w:p>
    <w:p w14:paraId="30DB8D74">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outlineLvl w:val="9"/>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在用</w:t>
      </w:r>
      <w:r>
        <w:rPr>
          <w:rFonts w:hint="eastAsia" w:ascii="仿宋_GB2312" w:hAnsi="仿宋_GB2312" w:eastAsia="仿宋_GB2312" w:cs="仿宋_GB2312"/>
          <w:sz w:val="32"/>
          <w:szCs w:val="32"/>
        </w:rPr>
        <w:t>资产</w:t>
      </w:r>
      <w:r>
        <w:rPr>
          <w:rFonts w:hint="eastAsia" w:ascii="仿宋_GB2312" w:hAnsi="仿宋_GB2312" w:eastAsia="仿宋_GB2312" w:cs="仿宋_GB2312"/>
          <w:sz w:val="32"/>
          <w:szCs w:val="32"/>
          <w:lang w:val="en-US" w:eastAsia="zh-CN"/>
        </w:rPr>
        <w:t>40.93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14:paraId="3C744DED">
      <w:pPr>
        <w:numPr>
          <w:ilvl w:val="0"/>
          <w:numId w:val="1"/>
        </w:numPr>
        <w:adjustRightInd w:val="0"/>
        <w:snapToGrid w:val="0"/>
        <w:spacing w:line="560" w:lineRule="exact"/>
        <w:ind w:firstLine="640" w:firstLineChars="200"/>
        <w:rPr>
          <w:rFonts w:hint="eastAsia" w:ascii="楷体" w:hAnsi="楷体" w:eastAsia="楷体" w:cs="楷体_GB2312"/>
          <w:bCs/>
          <w:sz w:val="32"/>
          <w:szCs w:val="32"/>
        </w:rPr>
      </w:pPr>
      <w:r>
        <w:rPr>
          <w:rFonts w:hint="eastAsia" w:ascii="楷体" w:hAnsi="楷体" w:eastAsia="楷体" w:cs="楷体_GB2312"/>
          <w:bCs/>
          <w:sz w:val="32"/>
          <w:szCs w:val="32"/>
        </w:rPr>
        <w:t>部门收支预决算情况</w:t>
      </w:r>
    </w:p>
    <w:p w14:paraId="7E6672C2">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outlineLvl w:val="9"/>
      </w:pPr>
      <w:r>
        <w:rPr>
          <w:rFonts w:hint="eastAsia" w:ascii="仿宋_GB2312" w:hAnsi="仿宋_GB2312" w:eastAsia="仿宋_GB2312" w:cs="仿宋_GB2312"/>
          <w:sz w:val="32"/>
          <w:szCs w:val="32"/>
          <w:lang w:val="en-US" w:eastAsia="zh-CN"/>
        </w:rPr>
        <w:t>2025年年初预算176.43万元，其中人员经费78.11万元，日常公用经费5.9万元，项目经费92.42万元。2025年年底财政拨款收入118.68万元，其中人员经费85.97万元，日常公用经费4.39万元，项目支出28.32万元。</w:t>
      </w:r>
    </w:p>
    <w:p w14:paraId="702A4CA1">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40DC7E78">
      <w:pPr>
        <w:pageBreakBefore w:val="0"/>
        <w:widowControl w:val="0"/>
        <w:kinsoku/>
        <w:wordWrap/>
        <w:overflowPunct/>
        <w:topLinePunct w:val="0"/>
        <w:autoSpaceDE/>
        <w:autoSpaceDN/>
        <w:bidi w:val="0"/>
        <w:adjustRightInd w:val="0"/>
        <w:snapToGrid w:val="0"/>
        <w:spacing w:line="540" w:lineRule="exact"/>
        <w:ind w:left="0" w:leftChars="0" w:right="0" w:firstLine="640" w:firstLineChars="200"/>
        <w:textAlignment w:val="auto"/>
        <w:outlineLvl w:val="9"/>
        <w:rPr>
          <w:rFonts w:hint="eastAsia" w:ascii="仿宋" w:hAnsi="仿宋" w:eastAsia="仿宋"/>
          <w:sz w:val="32"/>
          <w:shd w:val="clear" w:color="auto" w:fill="FDFDFD"/>
        </w:rPr>
      </w:pPr>
      <w:r>
        <w:rPr>
          <w:rFonts w:hint="eastAsia" w:ascii="仿宋" w:hAnsi="仿宋" w:eastAsia="仿宋"/>
          <w:sz w:val="32"/>
          <w:shd w:val="clear" w:color="auto" w:fill="FDFDFD"/>
        </w:rPr>
        <w:t>总体目标：完成年度审计项目</w:t>
      </w:r>
      <w:r>
        <w:rPr>
          <w:rFonts w:hint="eastAsia" w:ascii="仿宋" w:hAnsi="仿宋" w:eastAsia="仿宋"/>
          <w:sz w:val="32"/>
          <w:shd w:val="clear" w:color="auto" w:fill="FDFDFD"/>
          <w:lang w:val="en-US" w:eastAsia="zh-CN"/>
        </w:rPr>
        <w:t>13</w:t>
      </w:r>
      <w:r>
        <w:rPr>
          <w:rFonts w:hint="eastAsia" w:ascii="仿宋" w:hAnsi="仿宋" w:eastAsia="仿宋"/>
          <w:sz w:val="32"/>
          <w:shd w:val="clear" w:color="auto" w:fill="FDFDFD"/>
        </w:rPr>
        <w:t>个，出具审计报告</w:t>
      </w:r>
      <w:r>
        <w:rPr>
          <w:rFonts w:hint="eastAsia" w:ascii="仿宋" w:hAnsi="仿宋" w:eastAsia="仿宋"/>
          <w:sz w:val="32"/>
          <w:shd w:val="clear" w:color="auto" w:fill="FDFDFD"/>
          <w:lang w:val="en-US" w:eastAsia="zh-CN"/>
        </w:rPr>
        <w:t>13</w:t>
      </w:r>
      <w:r>
        <w:rPr>
          <w:rFonts w:hint="eastAsia" w:ascii="仿宋" w:hAnsi="仿宋" w:eastAsia="仿宋"/>
          <w:sz w:val="32"/>
          <w:shd w:val="clear" w:color="auto" w:fill="FDFDFD"/>
        </w:rPr>
        <w:t>份，</w:t>
      </w:r>
      <w:r>
        <w:rPr>
          <w:rFonts w:hint="eastAsia" w:ascii="仿宋_GB2312" w:eastAsia="仿宋_GB2312" w:cs="仿宋_GB2312"/>
          <w:b w:val="0"/>
          <w:bCs w:val="0"/>
          <w:i w:val="0"/>
          <w:iCs w:val="0"/>
          <w:caps w:val="0"/>
          <w:smallCaps w:val="0"/>
          <w:color w:val="000000"/>
          <w:spacing w:val="0"/>
          <w:sz w:val="32"/>
          <w:szCs w:val="32"/>
        </w:rPr>
        <w:t>累计发现各类问题63个</w:t>
      </w:r>
      <w:r>
        <w:rPr>
          <w:rFonts w:hint="eastAsia" w:ascii="仿宋" w:hAnsi="仿宋" w:eastAsia="仿宋"/>
          <w:sz w:val="32"/>
          <w:shd w:val="clear" w:color="auto" w:fill="FDFDFD"/>
        </w:rPr>
        <w:t>，督促被审计单位整改问题率达90%以上，规范财政资金使用，提升审计监督效能。</w:t>
      </w:r>
    </w:p>
    <w:p w14:paraId="54A7D497">
      <w:pPr>
        <w:pageBreakBefore w:val="0"/>
        <w:widowControl w:val="0"/>
        <w:kinsoku/>
        <w:wordWrap/>
        <w:overflowPunct/>
        <w:topLinePunct w:val="0"/>
        <w:autoSpaceDE/>
        <w:autoSpaceDN/>
        <w:bidi w:val="0"/>
        <w:adjustRightInd w:val="0"/>
        <w:snapToGrid w:val="0"/>
        <w:spacing w:line="540" w:lineRule="exact"/>
        <w:ind w:left="0" w:leftChars="0" w:right="0" w:firstLine="640" w:firstLineChars="200"/>
        <w:textAlignment w:val="auto"/>
        <w:outlineLvl w:val="9"/>
        <w:rPr>
          <w:rFonts w:hint="eastAsia" w:ascii="仿宋" w:hAnsi="仿宋" w:eastAsia="仿宋"/>
          <w:sz w:val="32"/>
          <w:shd w:val="clear" w:color="auto" w:fill="FDFDFD"/>
        </w:rPr>
      </w:pPr>
      <w:r>
        <w:rPr>
          <w:rFonts w:hint="eastAsia" w:ascii="仿宋" w:hAnsi="仿宋" w:eastAsia="仿宋"/>
          <w:sz w:val="32"/>
          <w:shd w:val="clear" w:color="auto" w:fill="FDFDFD"/>
        </w:rPr>
        <w:t>核心指标：</w:t>
      </w:r>
    </w:p>
    <w:p w14:paraId="09311249">
      <w:pPr>
        <w:pageBreakBefore w:val="0"/>
        <w:widowControl w:val="0"/>
        <w:kinsoku/>
        <w:wordWrap/>
        <w:overflowPunct/>
        <w:topLinePunct w:val="0"/>
        <w:autoSpaceDE/>
        <w:autoSpaceDN/>
        <w:bidi w:val="0"/>
        <w:adjustRightInd w:val="0"/>
        <w:snapToGrid w:val="0"/>
        <w:spacing w:line="540" w:lineRule="exact"/>
        <w:ind w:left="0" w:leftChars="0" w:right="0" w:firstLine="640" w:firstLineChars="200"/>
        <w:textAlignment w:val="auto"/>
        <w:outlineLvl w:val="9"/>
        <w:rPr>
          <w:rFonts w:hint="eastAsia" w:ascii="仿宋" w:hAnsi="仿宋" w:eastAsia="仿宋"/>
          <w:sz w:val="32"/>
          <w:shd w:val="clear" w:color="auto" w:fill="FDFDFD"/>
        </w:rPr>
      </w:pPr>
      <w:r>
        <w:rPr>
          <w:rFonts w:hint="eastAsia" w:ascii="仿宋" w:hAnsi="仿宋" w:eastAsia="仿宋"/>
          <w:sz w:val="32"/>
          <w:shd w:val="clear" w:color="auto" w:fill="FDFDFD"/>
        </w:rPr>
        <w:t>完成审计项目数量：</w:t>
      </w:r>
      <w:r>
        <w:rPr>
          <w:rFonts w:hint="eastAsia" w:ascii="仿宋" w:hAnsi="仿宋" w:eastAsia="仿宋"/>
          <w:sz w:val="32"/>
          <w:shd w:val="clear" w:color="auto" w:fill="FDFDFD"/>
          <w:lang w:val="en-US" w:eastAsia="zh-CN"/>
        </w:rPr>
        <w:t>13</w:t>
      </w:r>
      <w:r>
        <w:rPr>
          <w:rFonts w:hint="eastAsia" w:ascii="仿宋" w:hAnsi="仿宋" w:eastAsia="仿宋"/>
          <w:sz w:val="32"/>
          <w:shd w:val="clear" w:color="auto" w:fill="FDFDFD"/>
        </w:rPr>
        <w:t>个（量化指标）。</w:t>
      </w:r>
    </w:p>
    <w:p w14:paraId="7EE0B1F1">
      <w:pPr>
        <w:pageBreakBefore w:val="0"/>
        <w:widowControl w:val="0"/>
        <w:kinsoku/>
        <w:wordWrap/>
        <w:overflowPunct/>
        <w:topLinePunct w:val="0"/>
        <w:autoSpaceDE/>
        <w:autoSpaceDN/>
        <w:bidi w:val="0"/>
        <w:adjustRightInd w:val="0"/>
        <w:snapToGrid w:val="0"/>
        <w:spacing w:line="540" w:lineRule="exact"/>
        <w:ind w:left="0" w:leftChars="0" w:right="0" w:firstLine="640" w:firstLineChars="200"/>
        <w:textAlignment w:val="auto"/>
        <w:outlineLvl w:val="9"/>
        <w:rPr>
          <w:rFonts w:hint="eastAsia" w:ascii="仿宋" w:hAnsi="仿宋" w:eastAsia="仿宋"/>
          <w:sz w:val="32"/>
          <w:shd w:val="clear" w:color="auto" w:fill="FDFDFD"/>
        </w:rPr>
      </w:pPr>
      <w:r>
        <w:rPr>
          <w:rFonts w:hint="eastAsia" w:ascii="仿宋" w:hAnsi="仿宋" w:eastAsia="仿宋"/>
          <w:sz w:val="32"/>
          <w:shd w:val="clear" w:color="auto" w:fill="FDFDFD"/>
        </w:rPr>
        <w:t>审计报告合格率：100%（质量指标）。</w:t>
      </w:r>
    </w:p>
    <w:p w14:paraId="2C35A105">
      <w:pPr>
        <w:pageBreakBefore w:val="0"/>
        <w:widowControl w:val="0"/>
        <w:kinsoku/>
        <w:wordWrap/>
        <w:overflowPunct/>
        <w:topLinePunct w:val="0"/>
        <w:autoSpaceDE/>
        <w:autoSpaceDN/>
        <w:bidi w:val="0"/>
        <w:adjustRightInd w:val="0"/>
        <w:snapToGrid w:val="0"/>
        <w:spacing w:line="540" w:lineRule="exact"/>
        <w:ind w:left="0" w:leftChars="0" w:right="0" w:firstLine="640" w:firstLineChars="200"/>
        <w:textAlignment w:val="auto"/>
        <w:outlineLvl w:val="9"/>
        <w:rPr>
          <w:rFonts w:hint="eastAsia" w:ascii="仿宋" w:hAnsi="仿宋" w:eastAsia="仿宋"/>
          <w:sz w:val="32"/>
          <w:shd w:val="clear" w:color="auto" w:fill="FDFDFD"/>
        </w:rPr>
      </w:pPr>
      <w:r>
        <w:rPr>
          <w:rFonts w:hint="eastAsia" w:ascii="仿宋" w:hAnsi="仿宋" w:eastAsia="仿宋"/>
          <w:sz w:val="32"/>
          <w:shd w:val="clear" w:color="auto" w:fill="FDFDFD"/>
        </w:rPr>
        <w:t>审计建议采纳率：</w:t>
      </w:r>
      <w:r>
        <w:rPr>
          <w:rFonts w:hint="eastAsia" w:ascii="仿宋" w:hAnsi="仿宋" w:eastAsia="仿宋"/>
          <w:sz w:val="32"/>
          <w:shd w:val="clear" w:color="auto" w:fill="FDFDFD"/>
          <w:lang w:val="en-US" w:eastAsia="zh-CN"/>
        </w:rPr>
        <w:t>95</w:t>
      </w:r>
      <w:r>
        <w:rPr>
          <w:rFonts w:hint="eastAsia" w:ascii="仿宋" w:hAnsi="仿宋" w:eastAsia="仿宋"/>
          <w:sz w:val="32"/>
          <w:shd w:val="clear" w:color="auto" w:fill="FDFDFD"/>
        </w:rPr>
        <w:t>%以上（效益指标）。</w:t>
      </w:r>
    </w:p>
    <w:p w14:paraId="300FC06A">
      <w:pPr>
        <w:adjustRightInd w:val="0"/>
        <w:snapToGrid w:val="0"/>
        <w:spacing w:line="560" w:lineRule="exact"/>
        <w:ind w:firstLine="640" w:firstLineChars="200"/>
        <w:rPr>
          <w:rFonts w:ascii="黑体" w:hAnsi="黑体" w:eastAsia="黑体"/>
          <w:sz w:val="32"/>
          <w:szCs w:val="32"/>
        </w:rPr>
      </w:pPr>
      <w:r>
        <w:rPr>
          <w:rFonts w:hint="eastAsia" w:ascii="仿宋" w:hAnsi="仿宋" w:eastAsia="仿宋"/>
          <w:sz w:val="32"/>
          <w:shd w:val="clear" w:color="auto" w:fill="FDFDFD"/>
        </w:rPr>
        <w:t>项目完成时效：所有项目在规定时限内完成（时效指标）。</w:t>
      </w:r>
      <w:r>
        <w:rPr>
          <w:rFonts w:hint="eastAsia" w:ascii="黑体" w:hAnsi="黑体" w:eastAsia="黑体"/>
          <w:sz w:val="32"/>
          <w:szCs w:val="32"/>
        </w:rPr>
        <w:t>二、自评工作开展情况</w:t>
      </w:r>
    </w:p>
    <w:p w14:paraId="06BAA960">
      <w:pPr>
        <w:spacing w:line="560" w:lineRule="exact"/>
        <w:rPr>
          <w:rFonts w:ascii="楷体" w:hAnsi="楷体" w:eastAsia="楷体" w:cs="楷体_GB2312"/>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（一）自评的组织工作</w:t>
      </w:r>
    </w:p>
    <w:p w14:paraId="578E878E">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成立绩效自评工作小组，由局长任组长，分管副局长任副组长，科室负责人为成员。通过收集财务凭证、审计项目档案、绩效目标申报表等资料，对部门整体支出情况进行梳理，明确评价范围和重点。</w:t>
      </w:r>
    </w:p>
    <w:p w14:paraId="1122B343">
      <w:pPr>
        <w:numPr>
          <w:ilvl w:val="0"/>
          <w:numId w:val="1"/>
        </w:numPr>
        <w:spacing w:line="240" w:lineRule="auto"/>
        <w:ind w:left="0" w:leftChars="0" w:firstLine="640" w:firstLineChars="200"/>
        <w:rPr>
          <w:rFonts w:hint="eastAsia" w:ascii="楷体" w:hAnsi="楷体" w:eastAsia="楷体" w:cs="楷体_GB2312"/>
          <w:bCs/>
          <w:sz w:val="32"/>
          <w:szCs w:val="32"/>
        </w:rPr>
      </w:pPr>
      <w:r>
        <w:rPr>
          <w:rFonts w:hint="eastAsia" w:ascii="楷体" w:hAnsi="楷体" w:eastAsia="楷体" w:cs="楷体_GB2312"/>
          <w:bCs/>
          <w:sz w:val="32"/>
          <w:szCs w:val="32"/>
        </w:rPr>
        <w:t>自评的方法和过程</w:t>
      </w:r>
    </w:p>
    <w:p w14:paraId="0483A39F">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本次绩效</w:t>
      </w:r>
      <w:r>
        <w:rPr>
          <w:rFonts w:hint="eastAsia" w:ascii="仿宋" w:hAnsi="仿宋" w:eastAsia="仿宋" w:cs="仿宋"/>
          <w:sz w:val="32"/>
          <w:szCs w:val="32"/>
          <w:lang w:val="en-US" w:eastAsia="zh-CN"/>
        </w:rPr>
        <w:t>自</w:t>
      </w:r>
      <w:r>
        <w:rPr>
          <w:rFonts w:hint="eastAsia" w:ascii="仿宋" w:hAnsi="仿宋" w:eastAsia="仿宋" w:cs="仿宋"/>
          <w:sz w:val="32"/>
          <w:szCs w:val="32"/>
          <w:lang w:eastAsia="zh-CN"/>
        </w:rPr>
        <w:t>评采用数据对比</w:t>
      </w:r>
      <w:r>
        <w:rPr>
          <w:rFonts w:hint="eastAsia" w:ascii="仿宋" w:hAnsi="仿宋" w:eastAsia="仿宋" w:cs="仿宋"/>
          <w:sz w:val="32"/>
          <w:szCs w:val="32"/>
          <w:lang w:val="en-US" w:eastAsia="zh-CN"/>
        </w:rPr>
        <w:t>的</w:t>
      </w:r>
      <w:r>
        <w:rPr>
          <w:rFonts w:hint="eastAsia" w:ascii="仿宋" w:hAnsi="仿宋" w:eastAsia="仿宋" w:cs="仿宋"/>
          <w:sz w:val="32"/>
          <w:szCs w:val="32"/>
          <w:lang w:eastAsia="zh-CN"/>
        </w:rPr>
        <w:t>方法，通过系统化流程全面评估项目执行情况，具体方法和过程如下：对比劳务费预算与实际支出、不同项目或专家的费用标准，分析资金使用效率；统计专家工作时长、成果产出数量等数据，评估投入产出比。</w:t>
      </w:r>
    </w:p>
    <w:p w14:paraId="4FE3D03C">
      <w:pPr>
        <w:spacing w:line="560" w:lineRule="exact"/>
        <w:rPr>
          <w:rFonts w:ascii="黑体" w:hAnsi="黑体" w:eastAsia="黑体"/>
          <w:b/>
          <w:bCs/>
          <w:sz w:val="32"/>
          <w:szCs w:val="32"/>
        </w:rPr>
      </w:pPr>
      <w:r>
        <w:rPr>
          <w:rFonts w:hint="eastAsia" w:ascii="黑体" w:hAnsi="黑体" w:eastAsia="黑体"/>
          <w:sz w:val="32"/>
          <w:szCs w:val="32"/>
        </w:rPr>
        <w:t xml:space="preserve">    三、部门整体支出绩效目标实现情况及指标分析</w:t>
      </w:r>
    </w:p>
    <w:p w14:paraId="27674E55">
      <w:pPr>
        <w:numPr>
          <w:ilvl w:val="0"/>
          <w:numId w:val="2"/>
        </w:numPr>
        <w:spacing w:line="560" w:lineRule="exact"/>
        <w:ind w:left="0" w:firstLine="640" w:firstLineChars="200"/>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14:paraId="7430A477">
      <w:pPr>
        <w:pStyle w:val="5"/>
        <w:pageBreakBefore w:val="0"/>
        <w:widowControl w:val="0"/>
        <w:kinsoku/>
        <w:wordWrap/>
        <w:overflowPunct/>
        <w:topLinePunct w:val="0"/>
        <w:autoSpaceDE/>
        <w:autoSpaceDN/>
        <w:bidi w:val="0"/>
        <w:spacing w:line="540" w:lineRule="exact"/>
        <w:textAlignment w:val="auto"/>
        <w:rPr>
          <w:rFonts w:ascii="仿宋" w:hAnsi="仿宋" w:eastAsia="仿宋"/>
          <w:sz w:val="32"/>
          <w:szCs w:val="32"/>
        </w:rPr>
      </w:pPr>
      <w:r>
        <w:rPr>
          <w:rFonts w:hint="eastAsia" w:ascii="仿宋" w:hAnsi="仿宋" w:eastAsia="仿宋" w:cs="楷体_GB2312"/>
          <w:b w:val="0"/>
          <w:bCs w:val="0"/>
          <w:sz w:val="32"/>
          <w:szCs w:val="32"/>
          <w:lang w:val="en-US" w:eastAsia="zh-CN"/>
        </w:rPr>
        <w:t>2025</w:t>
      </w:r>
      <w:r>
        <w:rPr>
          <w:rFonts w:hint="eastAsia" w:ascii="仿宋" w:hAnsi="仿宋" w:eastAsia="仿宋" w:cs="楷体_GB2312"/>
          <w:b w:val="0"/>
          <w:bCs w:val="0"/>
          <w:sz w:val="32"/>
          <w:szCs w:val="32"/>
          <w:lang w:eastAsia="zh-CN"/>
        </w:rPr>
        <w:t>年</w:t>
      </w:r>
      <w:r>
        <w:rPr>
          <w:rFonts w:hint="eastAsia" w:ascii="仿宋" w:hAnsi="仿宋" w:eastAsia="仿宋" w:cs="楷体_GB2312"/>
          <w:b w:val="0"/>
          <w:bCs w:val="0"/>
          <w:sz w:val="32"/>
          <w:szCs w:val="32"/>
          <w:lang w:val="en-US" w:eastAsia="zh-CN"/>
        </w:rPr>
        <w:t>我部门全年实际完成审计项目13个，出具审计报告13份，提出审计建议63条，被审计单位整改问题率90%，超额完成年度总体目标，有效发挥了审计监督作用，促进了财政资金规范管理。</w:t>
      </w:r>
    </w:p>
    <w:p w14:paraId="45DA9A09">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（二）分项绩效目标实现情况及指标分析</w:t>
      </w:r>
    </w:p>
    <w:p w14:paraId="3C61286C">
      <w:pPr>
        <w:pStyle w:val="5"/>
        <w:pageBreakBefore w:val="0"/>
        <w:widowControl w:val="0"/>
        <w:kinsoku/>
        <w:wordWrap/>
        <w:overflowPunct/>
        <w:topLinePunct w:val="0"/>
        <w:autoSpaceDE/>
        <w:autoSpaceDN/>
        <w:bidi w:val="0"/>
        <w:spacing w:line="540" w:lineRule="exact"/>
        <w:textAlignment w:val="auto"/>
        <w:rPr>
          <w:rFonts w:hint="eastAsia" w:ascii="仿宋" w:hAnsi="仿宋" w:eastAsia="仿宋" w:cs="楷体_GB2312"/>
          <w:b w:val="0"/>
          <w:bCs w:val="0"/>
          <w:sz w:val="32"/>
          <w:szCs w:val="32"/>
          <w:lang w:val="en-US" w:eastAsia="zh-CN"/>
        </w:rPr>
      </w:pPr>
      <w:r>
        <w:rPr>
          <w:rFonts w:hint="eastAsia" w:ascii="仿宋" w:hAnsi="仿宋" w:eastAsia="仿宋" w:cs="楷体_GB2312"/>
          <w:b w:val="0"/>
          <w:bCs w:val="0"/>
          <w:sz w:val="32"/>
          <w:szCs w:val="32"/>
          <w:lang w:val="en-US" w:eastAsia="zh-CN"/>
        </w:rPr>
        <w:t>审计项目完成数量：目标13个，实际完成13个，完成率100%，得分20分（满分20分）。</w:t>
      </w:r>
    </w:p>
    <w:p w14:paraId="7EFCBF80">
      <w:pPr>
        <w:pStyle w:val="5"/>
        <w:pageBreakBefore w:val="0"/>
        <w:widowControl w:val="0"/>
        <w:kinsoku/>
        <w:wordWrap/>
        <w:overflowPunct/>
        <w:topLinePunct w:val="0"/>
        <w:autoSpaceDE/>
        <w:autoSpaceDN/>
        <w:bidi w:val="0"/>
        <w:spacing w:line="540" w:lineRule="exact"/>
        <w:textAlignment w:val="auto"/>
        <w:rPr>
          <w:rFonts w:hint="eastAsia" w:ascii="仿宋" w:hAnsi="仿宋" w:eastAsia="仿宋" w:cs="楷体_GB2312"/>
          <w:b w:val="0"/>
          <w:bCs w:val="0"/>
          <w:sz w:val="32"/>
          <w:szCs w:val="32"/>
          <w:lang w:val="en-US" w:eastAsia="zh-CN"/>
        </w:rPr>
      </w:pPr>
      <w:r>
        <w:rPr>
          <w:rFonts w:hint="eastAsia" w:ascii="仿宋" w:hAnsi="仿宋" w:eastAsia="仿宋" w:cs="楷体_GB2312"/>
          <w:b w:val="0"/>
          <w:bCs w:val="0"/>
          <w:sz w:val="32"/>
          <w:szCs w:val="32"/>
          <w:lang w:val="en-US" w:eastAsia="zh-CN"/>
        </w:rPr>
        <w:t>审计报告质量：经抽查，所有报告均符合审计规范，数据准确、结论客观，合格率100%，得分25分（满分25分）。</w:t>
      </w:r>
    </w:p>
    <w:p w14:paraId="3DAD85C5">
      <w:pPr>
        <w:pStyle w:val="5"/>
        <w:pageBreakBefore w:val="0"/>
        <w:widowControl w:val="0"/>
        <w:kinsoku/>
        <w:wordWrap/>
        <w:overflowPunct/>
        <w:topLinePunct w:val="0"/>
        <w:autoSpaceDE/>
        <w:autoSpaceDN/>
        <w:bidi w:val="0"/>
        <w:spacing w:line="540" w:lineRule="exact"/>
        <w:textAlignment w:val="auto"/>
        <w:rPr>
          <w:rFonts w:hint="eastAsia" w:ascii="仿宋" w:hAnsi="仿宋" w:eastAsia="仿宋" w:cs="楷体_GB2312"/>
          <w:b w:val="0"/>
          <w:bCs w:val="0"/>
          <w:sz w:val="32"/>
          <w:szCs w:val="32"/>
          <w:lang w:val="en-US" w:eastAsia="zh-CN"/>
        </w:rPr>
      </w:pPr>
      <w:r>
        <w:rPr>
          <w:rFonts w:hint="eastAsia" w:ascii="仿宋" w:hAnsi="仿宋" w:eastAsia="仿宋" w:cs="楷体_GB2312"/>
          <w:b w:val="0"/>
          <w:bCs w:val="0"/>
          <w:sz w:val="32"/>
          <w:szCs w:val="32"/>
          <w:lang w:val="en-US" w:eastAsia="zh-CN"/>
        </w:rPr>
        <w:t>审计建议采纳：目标采纳率100%，实际采纳63条，采纳率100%，得分25分（满分25分）。</w:t>
      </w:r>
    </w:p>
    <w:p w14:paraId="7C8B727D">
      <w:pPr>
        <w:pStyle w:val="5"/>
        <w:pageBreakBefore w:val="0"/>
        <w:widowControl w:val="0"/>
        <w:kinsoku/>
        <w:wordWrap/>
        <w:overflowPunct/>
        <w:topLinePunct w:val="0"/>
        <w:autoSpaceDE/>
        <w:autoSpaceDN/>
        <w:bidi w:val="0"/>
        <w:spacing w:line="540" w:lineRule="exact"/>
        <w:textAlignment w:val="auto"/>
        <w:rPr>
          <w:rFonts w:hint="eastAsia" w:ascii="仿宋" w:hAnsi="仿宋" w:eastAsia="仿宋" w:cs="楷体_GB2312"/>
          <w:b w:val="0"/>
          <w:bCs w:val="0"/>
          <w:sz w:val="32"/>
          <w:szCs w:val="32"/>
          <w:lang w:val="en-US" w:eastAsia="zh-CN"/>
        </w:rPr>
      </w:pPr>
      <w:r>
        <w:rPr>
          <w:rFonts w:hint="eastAsia" w:ascii="仿宋" w:hAnsi="仿宋" w:eastAsia="仿宋" w:cs="楷体_GB2312"/>
          <w:b w:val="0"/>
          <w:bCs w:val="0"/>
          <w:sz w:val="32"/>
          <w:szCs w:val="32"/>
          <w:lang w:val="en-US" w:eastAsia="zh-CN"/>
        </w:rPr>
        <w:t>项目完成时效：所有项目均在合同约定或法定时限内完成，得分15分（满分15分）。</w:t>
      </w:r>
    </w:p>
    <w:p w14:paraId="6F9D480C">
      <w:pPr>
        <w:pStyle w:val="5"/>
        <w:pageBreakBefore w:val="0"/>
        <w:widowControl w:val="0"/>
        <w:kinsoku/>
        <w:wordWrap/>
        <w:overflowPunct/>
        <w:topLinePunct w:val="0"/>
        <w:autoSpaceDE/>
        <w:autoSpaceDN/>
        <w:bidi w:val="0"/>
        <w:spacing w:line="540" w:lineRule="exact"/>
        <w:textAlignment w:val="auto"/>
        <w:rPr>
          <w:rFonts w:hint="eastAsia" w:ascii="仿宋" w:hAnsi="仿宋" w:eastAsia="仿宋" w:cs="楷体_GB2312"/>
          <w:b w:val="0"/>
          <w:bCs w:val="0"/>
          <w:sz w:val="32"/>
          <w:szCs w:val="32"/>
          <w:lang w:val="en-US" w:eastAsia="zh-CN"/>
        </w:rPr>
      </w:pPr>
      <w:r>
        <w:rPr>
          <w:rFonts w:hint="eastAsia" w:ascii="仿宋" w:hAnsi="仿宋" w:eastAsia="仿宋" w:cs="楷体_GB2312"/>
          <w:b w:val="0"/>
          <w:bCs w:val="0"/>
          <w:sz w:val="32"/>
          <w:szCs w:val="32"/>
          <w:lang w:val="en-US" w:eastAsia="zh-CN"/>
        </w:rPr>
        <w:t>成本控制：项目支出控制在预算范围内，得分10分（满分10分）。</w:t>
      </w:r>
    </w:p>
    <w:p w14:paraId="609A5FD1">
      <w:pPr>
        <w:spacing w:line="560" w:lineRule="exact"/>
        <w:ind w:firstLine="640" w:firstLineChars="200"/>
        <w:rPr>
          <w:rFonts w:ascii="黑体" w:hAnsi="黑体" w:eastAsia="黑体"/>
          <w:sz w:val="32"/>
          <w:szCs w:val="32"/>
        </w:rPr>
      </w:pPr>
      <w:r>
        <w:rPr>
          <w:rFonts w:hint="eastAsia" w:ascii="黑体" w:hAnsi="黑体" w:eastAsia="黑体"/>
          <w:sz w:val="32"/>
          <w:szCs w:val="32"/>
        </w:rPr>
        <w:t>四、评价结论和评价等级</w:t>
      </w:r>
    </w:p>
    <w:p w14:paraId="75DDCBA1">
      <w:pPr>
        <w:spacing w:line="560" w:lineRule="exact"/>
        <w:ind w:firstLine="640" w:firstLineChars="200"/>
        <w:rPr>
          <w:rFonts w:ascii="仿宋" w:hAnsi="仿宋" w:eastAsia="仿宋"/>
          <w:sz w:val="32"/>
          <w:szCs w:val="32"/>
        </w:rPr>
      </w:pPr>
      <w:r>
        <w:rPr>
          <w:rFonts w:hint="eastAsia" w:ascii="仿宋" w:hAnsi="仿宋" w:eastAsia="仿宋"/>
          <w:sz w:val="32"/>
          <w:szCs w:val="32"/>
        </w:rPr>
        <w:t>根据部门职责定位和各项工作履职情况进行综合评价，给出总得分，满分100分，得出综合绩效评价等级</w:t>
      </w:r>
      <w:r>
        <w:rPr>
          <w:rFonts w:hint="eastAsia" w:ascii="仿宋" w:hAnsi="仿宋" w:eastAsia="仿宋"/>
          <w:sz w:val="32"/>
          <w:szCs w:val="32"/>
          <w:lang w:val="en-US" w:eastAsia="zh-CN"/>
        </w:rPr>
        <w:t>为“优秀”</w:t>
      </w:r>
      <w:r>
        <w:rPr>
          <w:rFonts w:hint="eastAsia" w:ascii="仿宋" w:hAnsi="仿宋" w:eastAsia="仿宋"/>
          <w:sz w:val="32"/>
          <w:szCs w:val="32"/>
        </w:rPr>
        <w:t>。部门整体支出综合绩效评价分为4个等级：得分</w:t>
      </w:r>
      <w:r>
        <w:rPr>
          <w:rFonts w:ascii="仿宋" w:hAnsi="仿宋" w:eastAsia="仿宋" w:cs="Arial"/>
          <w:sz w:val="32"/>
          <w:szCs w:val="32"/>
        </w:rPr>
        <w:t>≥</w:t>
      </w:r>
      <w:r>
        <w:rPr>
          <w:rFonts w:hint="eastAsia" w:ascii="仿宋" w:hAnsi="仿宋" w:eastAsia="仿宋"/>
          <w:sz w:val="32"/>
          <w:szCs w:val="32"/>
        </w:rPr>
        <w:t>85分为优秀；75</w:t>
      </w:r>
      <w:r>
        <w:rPr>
          <w:rFonts w:ascii="仿宋" w:hAnsi="仿宋" w:eastAsia="仿宋" w:cs="Arial"/>
          <w:sz w:val="32"/>
          <w:szCs w:val="32"/>
        </w:rPr>
        <w:t>≤</w:t>
      </w:r>
      <w:r>
        <w:rPr>
          <w:rFonts w:hint="eastAsia" w:ascii="仿宋" w:hAnsi="仿宋" w:eastAsia="仿宋"/>
          <w:sz w:val="32"/>
          <w:szCs w:val="32"/>
        </w:rPr>
        <w:t>得分＜85分为良好；60</w:t>
      </w:r>
      <w:r>
        <w:rPr>
          <w:rFonts w:ascii="仿宋" w:hAnsi="仿宋" w:eastAsia="仿宋" w:cs="Arial"/>
          <w:sz w:val="32"/>
          <w:szCs w:val="32"/>
        </w:rPr>
        <w:t>≤</w:t>
      </w:r>
      <w:r>
        <w:rPr>
          <w:rFonts w:hint="eastAsia" w:ascii="仿宋" w:hAnsi="仿宋" w:eastAsia="仿宋"/>
          <w:sz w:val="32"/>
          <w:szCs w:val="32"/>
        </w:rPr>
        <w:t>得分＜75分为一般；得分＜60分为较差。</w:t>
      </w:r>
    </w:p>
    <w:p w14:paraId="2A709155">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14:paraId="1259769B">
      <w:pPr>
        <w:spacing w:line="560" w:lineRule="exact"/>
        <w:ind w:firstLine="640" w:firstLineChars="200"/>
        <w:rPr>
          <w:rFonts w:hint="eastAsia" w:ascii="楷体" w:hAnsi="楷体" w:eastAsia="楷体"/>
          <w:bCs/>
          <w:sz w:val="32"/>
          <w:szCs w:val="32"/>
        </w:rPr>
      </w:pPr>
      <w:r>
        <w:rPr>
          <w:rFonts w:hint="eastAsia" w:ascii="楷体" w:hAnsi="楷体" w:eastAsia="楷体"/>
          <w:bCs/>
          <w:sz w:val="32"/>
          <w:szCs w:val="32"/>
        </w:rPr>
        <w:t>（一）存在的主要问题</w:t>
      </w:r>
    </w:p>
    <w:p w14:paraId="79D3286E">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审计信息化建设投入不足，部分项目数据采集效率有待提升。绩效指标细化程度不够，个别效益指标量化标准需进一步明确。</w:t>
      </w:r>
    </w:p>
    <w:p w14:paraId="75842D1E">
      <w:pPr>
        <w:numPr>
          <w:ilvl w:val="0"/>
          <w:numId w:val="2"/>
        </w:numPr>
        <w:spacing w:line="560" w:lineRule="exact"/>
        <w:ind w:left="0" w:leftChars="0" w:firstLine="640" w:firstLineChars="200"/>
        <w:rPr>
          <w:rFonts w:hint="eastAsia" w:ascii="楷体" w:hAnsi="楷体" w:eastAsia="楷体"/>
          <w:bCs/>
          <w:sz w:val="32"/>
          <w:szCs w:val="32"/>
        </w:rPr>
      </w:pPr>
      <w:r>
        <w:rPr>
          <w:rFonts w:hint="eastAsia" w:ascii="楷体" w:hAnsi="楷体" w:eastAsia="楷体"/>
          <w:bCs/>
          <w:sz w:val="32"/>
          <w:szCs w:val="32"/>
        </w:rPr>
        <w:t>针对问题提出具体的改进措施或建议</w:t>
      </w:r>
    </w:p>
    <w:p w14:paraId="12C36C8C">
      <w:pPr>
        <w:spacing w:line="560" w:lineRule="exact"/>
        <w:ind w:firstLine="640" w:firstLineChars="200"/>
      </w:pPr>
      <w:r>
        <w:rPr>
          <w:rFonts w:hint="eastAsia" w:ascii="仿宋" w:hAnsi="仿宋" w:eastAsia="仿宋"/>
          <w:sz w:val="32"/>
          <w:szCs w:val="32"/>
        </w:rPr>
        <w:t>202</w:t>
      </w:r>
      <w:r>
        <w:rPr>
          <w:rFonts w:hint="eastAsia" w:ascii="仿宋" w:hAnsi="仿宋" w:eastAsia="仿宋"/>
          <w:sz w:val="32"/>
          <w:szCs w:val="32"/>
          <w:lang w:val="en-US" w:eastAsia="zh-CN"/>
        </w:rPr>
        <w:t>6</w:t>
      </w:r>
      <w:r>
        <w:rPr>
          <w:rFonts w:hint="eastAsia" w:ascii="仿宋" w:hAnsi="仿宋" w:eastAsia="仿宋"/>
          <w:sz w:val="32"/>
          <w:szCs w:val="32"/>
        </w:rPr>
        <w:t>年</w:t>
      </w:r>
      <w:r>
        <w:rPr>
          <w:rFonts w:hint="eastAsia" w:ascii="仿宋" w:hAnsi="仿宋" w:eastAsia="仿宋"/>
          <w:sz w:val="32"/>
          <w:szCs w:val="32"/>
          <w:lang w:val="en-US" w:eastAsia="zh-CN"/>
        </w:rPr>
        <w:t>更有效利用</w:t>
      </w:r>
      <w:r>
        <w:rPr>
          <w:rFonts w:hint="eastAsia" w:ascii="仿宋" w:hAnsi="仿宋" w:eastAsia="仿宋"/>
          <w:sz w:val="32"/>
          <w:szCs w:val="32"/>
        </w:rPr>
        <w:t>审计软件系统，加强大数据分析能力，提高审计效率。结合年度重点工作，细化绩效指标设置，明确效益指标量化考核标准，强化绩效目标导向。</w:t>
      </w:r>
    </w:p>
    <w:p w14:paraId="2CAA9A9E">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六、评价工作组人员名单及签字（姓名、工作单位、职务、职称）</w:t>
      </w:r>
    </w:p>
    <w:p w14:paraId="31DD91CF">
      <w:pPr>
        <w:widowControl w:val="0"/>
        <w:wordWrap/>
        <w:spacing w:line="560" w:lineRule="exact"/>
        <w:ind w:left="0" w:leftChars="0" w:right="0"/>
        <w:jc w:val="center"/>
        <w:textAlignment w:val="auto"/>
        <w:outlineLvl w:val="9"/>
        <w:rPr>
          <w:rFonts w:hint="eastAsia" w:ascii="宋体" w:hAnsi="宋体" w:eastAsia="宋体" w:cs="宋体"/>
          <w:sz w:val="44"/>
          <w:szCs w:val="44"/>
          <w:lang w:eastAsia="zh-CN"/>
        </w:rPr>
      </w:pPr>
      <w:r>
        <w:rPr>
          <w:rFonts w:hint="eastAsia" w:ascii="宋体" w:hAnsi="宋体" w:eastAsia="宋体" w:cs="宋体"/>
          <w:sz w:val="44"/>
          <w:szCs w:val="44"/>
          <w:lang w:eastAsia="zh-CN"/>
        </w:rPr>
        <w:t>评价工作组人员名单</w:t>
      </w:r>
    </w:p>
    <w:tbl>
      <w:tblPr>
        <w:tblStyle w:val="10"/>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1172"/>
        <w:gridCol w:w="1856"/>
        <w:gridCol w:w="3071"/>
        <w:gridCol w:w="1813"/>
      </w:tblGrid>
      <w:tr w14:paraId="00A25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Align w:val="top"/>
          </w:tcPr>
          <w:p w14:paraId="16884C96">
            <w:pPr>
              <w:pStyle w:val="5"/>
              <w:ind w:left="0" w:leftChars="0" w:firstLine="0" w:firstLineChars="0"/>
              <w:jc w:val="both"/>
              <w:rPr>
                <w:rFonts w:hint="eastAsia"/>
                <w:vertAlign w:val="baseline"/>
                <w:lang w:eastAsia="zh-CN"/>
              </w:rPr>
            </w:pPr>
            <w:r>
              <w:rPr>
                <w:rFonts w:hint="eastAsia"/>
                <w:vertAlign w:val="baseline"/>
                <w:lang w:val="en-US" w:eastAsia="zh-CN"/>
              </w:rPr>
              <w:t xml:space="preserve"> 序</w:t>
            </w:r>
            <w:r>
              <w:rPr>
                <w:rFonts w:hint="eastAsia"/>
                <w:vertAlign w:val="baseline"/>
                <w:lang w:eastAsia="zh-CN"/>
              </w:rPr>
              <w:t>号</w:t>
            </w:r>
          </w:p>
        </w:tc>
        <w:tc>
          <w:tcPr>
            <w:tcW w:w="1172" w:type="dxa"/>
            <w:vAlign w:val="top"/>
          </w:tcPr>
          <w:p w14:paraId="0FF7FD55">
            <w:pPr>
              <w:pStyle w:val="5"/>
              <w:ind w:left="0" w:leftChars="0" w:firstLine="0" w:firstLineChars="0"/>
              <w:jc w:val="both"/>
              <w:rPr>
                <w:rFonts w:hint="eastAsia"/>
                <w:vertAlign w:val="baseline"/>
                <w:lang w:eastAsia="zh-CN"/>
              </w:rPr>
            </w:pPr>
            <w:r>
              <w:rPr>
                <w:rFonts w:hint="eastAsia"/>
                <w:vertAlign w:val="baseline"/>
                <w:lang w:val="en-US" w:eastAsia="zh-CN"/>
              </w:rPr>
              <w:t xml:space="preserve"> </w:t>
            </w:r>
            <w:r>
              <w:rPr>
                <w:rFonts w:hint="eastAsia"/>
                <w:vertAlign w:val="baseline"/>
                <w:lang w:eastAsia="zh-CN"/>
              </w:rPr>
              <w:t>姓名</w:t>
            </w:r>
          </w:p>
        </w:tc>
        <w:tc>
          <w:tcPr>
            <w:tcW w:w="1856" w:type="dxa"/>
            <w:vAlign w:val="top"/>
          </w:tcPr>
          <w:p w14:paraId="25CBC1B5">
            <w:pPr>
              <w:pStyle w:val="5"/>
              <w:ind w:left="0" w:leftChars="0" w:firstLine="0" w:firstLineChars="0"/>
              <w:jc w:val="both"/>
              <w:rPr>
                <w:rFonts w:hint="eastAsia"/>
                <w:vertAlign w:val="baseline"/>
                <w:lang w:eastAsia="zh-CN"/>
              </w:rPr>
            </w:pPr>
            <w:r>
              <w:rPr>
                <w:rFonts w:hint="eastAsia"/>
                <w:vertAlign w:val="baseline"/>
                <w:lang w:val="en-US" w:eastAsia="zh-CN"/>
              </w:rPr>
              <w:t xml:space="preserve"> </w:t>
            </w:r>
            <w:r>
              <w:rPr>
                <w:rFonts w:hint="eastAsia"/>
                <w:vertAlign w:val="baseline"/>
                <w:lang w:eastAsia="zh-CN"/>
              </w:rPr>
              <w:t>工作单位</w:t>
            </w:r>
          </w:p>
        </w:tc>
        <w:tc>
          <w:tcPr>
            <w:tcW w:w="3071" w:type="dxa"/>
            <w:vAlign w:val="top"/>
          </w:tcPr>
          <w:p w14:paraId="4043551F">
            <w:pPr>
              <w:pStyle w:val="5"/>
              <w:jc w:val="both"/>
              <w:rPr>
                <w:rFonts w:hint="eastAsia"/>
                <w:vertAlign w:val="baseline"/>
                <w:lang w:eastAsia="zh-CN"/>
              </w:rPr>
            </w:pPr>
            <w:r>
              <w:rPr>
                <w:rFonts w:hint="eastAsia"/>
                <w:vertAlign w:val="baseline"/>
                <w:lang w:val="en-US" w:eastAsia="zh-CN"/>
              </w:rPr>
              <w:t xml:space="preserve">  </w:t>
            </w:r>
            <w:r>
              <w:rPr>
                <w:rFonts w:hint="eastAsia"/>
                <w:vertAlign w:val="baseline"/>
                <w:lang w:eastAsia="zh-CN"/>
              </w:rPr>
              <w:t>职务</w:t>
            </w:r>
          </w:p>
        </w:tc>
        <w:tc>
          <w:tcPr>
            <w:tcW w:w="1813" w:type="dxa"/>
            <w:vAlign w:val="top"/>
          </w:tcPr>
          <w:p w14:paraId="748D83F2">
            <w:pPr>
              <w:pStyle w:val="5"/>
              <w:jc w:val="both"/>
              <w:rPr>
                <w:rFonts w:hint="eastAsia"/>
                <w:vertAlign w:val="baseline"/>
                <w:lang w:eastAsia="zh-CN"/>
              </w:rPr>
            </w:pPr>
            <w:r>
              <w:rPr>
                <w:rFonts w:hint="eastAsia"/>
                <w:vertAlign w:val="baseline"/>
                <w:lang w:eastAsia="zh-CN"/>
              </w:rPr>
              <w:t>签名</w:t>
            </w:r>
          </w:p>
        </w:tc>
      </w:tr>
      <w:tr w14:paraId="22E4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Align w:val="center"/>
          </w:tcPr>
          <w:p w14:paraId="12F66489">
            <w:pPr>
              <w:pStyle w:val="5"/>
              <w:ind w:left="0" w:leftChars="0" w:firstLine="0" w:firstLineChars="0"/>
              <w:jc w:val="both"/>
              <w:rPr>
                <w:rFonts w:hint="eastAsia"/>
                <w:vertAlign w:val="baseline"/>
                <w:lang w:val="en-US" w:eastAsia="zh-CN"/>
              </w:rPr>
            </w:pPr>
            <w:r>
              <w:rPr>
                <w:rFonts w:hint="eastAsia"/>
                <w:vertAlign w:val="baseline"/>
                <w:lang w:val="en-US" w:eastAsia="zh-CN"/>
              </w:rPr>
              <w:t xml:space="preserve">  1</w:t>
            </w:r>
          </w:p>
        </w:tc>
        <w:tc>
          <w:tcPr>
            <w:tcW w:w="1172" w:type="dxa"/>
            <w:vAlign w:val="top"/>
          </w:tcPr>
          <w:p w14:paraId="422B9B56">
            <w:pPr>
              <w:pStyle w:val="5"/>
              <w:ind w:left="0" w:leftChars="0" w:firstLine="0" w:firstLineChars="0"/>
              <w:jc w:val="both"/>
              <w:rPr>
                <w:rFonts w:hint="default"/>
                <w:vertAlign w:val="baseline"/>
                <w:lang w:val="en-US" w:eastAsia="zh-CN"/>
              </w:rPr>
            </w:pPr>
            <w:r>
              <w:rPr>
                <w:rFonts w:hint="eastAsia"/>
                <w:vertAlign w:val="baseline"/>
                <w:lang w:val="en-US" w:eastAsia="zh-CN"/>
              </w:rPr>
              <w:t>张  琨</w:t>
            </w:r>
          </w:p>
        </w:tc>
        <w:tc>
          <w:tcPr>
            <w:tcW w:w="1856" w:type="dxa"/>
            <w:vAlign w:val="center"/>
          </w:tcPr>
          <w:p w14:paraId="11905978">
            <w:pPr>
              <w:pStyle w:val="5"/>
              <w:ind w:left="0" w:leftChars="0" w:firstLine="0" w:firstLineChars="0"/>
              <w:jc w:val="center"/>
              <w:rPr>
                <w:rFonts w:hint="eastAsia"/>
                <w:vertAlign w:val="baseline"/>
                <w:lang w:eastAsia="zh-CN"/>
              </w:rPr>
            </w:pPr>
            <w:r>
              <w:rPr>
                <w:rFonts w:hint="eastAsia"/>
                <w:vertAlign w:val="baseline"/>
                <w:lang w:eastAsia="zh-CN"/>
              </w:rPr>
              <w:t>区</w:t>
            </w:r>
            <w:r>
              <w:rPr>
                <w:rFonts w:hint="eastAsia"/>
                <w:vertAlign w:val="baseline"/>
                <w:lang w:val="en-US" w:eastAsia="zh-CN"/>
              </w:rPr>
              <w:t>审计局</w:t>
            </w:r>
          </w:p>
        </w:tc>
        <w:tc>
          <w:tcPr>
            <w:tcW w:w="3071" w:type="dxa"/>
            <w:vAlign w:val="top"/>
          </w:tcPr>
          <w:p w14:paraId="7584DB9E">
            <w:pPr>
              <w:pStyle w:val="5"/>
              <w:ind w:left="0" w:leftChars="0" w:firstLine="0" w:firstLineChars="0"/>
              <w:jc w:val="center"/>
              <w:rPr>
                <w:rFonts w:hint="eastAsia"/>
                <w:vertAlign w:val="baseline"/>
                <w:lang w:eastAsia="zh-CN"/>
              </w:rPr>
            </w:pPr>
            <w:r>
              <w:rPr>
                <w:rFonts w:hint="eastAsia"/>
                <w:vertAlign w:val="baseline"/>
                <w:lang w:eastAsia="zh-CN"/>
              </w:rPr>
              <w:t>局长</w:t>
            </w:r>
          </w:p>
        </w:tc>
        <w:tc>
          <w:tcPr>
            <w:tcW w:w="1813" w:type="dxa"/>
            <w:vAlign w:val="top"/>
          </w:tcPr>
          <w:p w14:paraId="256D4D17">
            <w:pPr>
              <w:pStyle w:val="5"/>
              <w:jc w:val="both"/>
              <w:rPr>
                <w:rFonts w:hint="eastAsia"/>
                <w:vertAlign w:val="baseline"/>
                <w:lang w:eastAsia="zh-CN"/>
              </w:rPr>
            </w:pPr>
          </w:p>
        </w:tc>
      </w:tr>
      <w:tr w14:paraId="5EB6D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Align w:val="center"/>
          </w:tcPr>
          <w:p w14:paraId="74065DB9">
            <w:pPr>
              <w:pStyle w:val="5"/>
              <w:ind w:left="0" w:leftChars="0" w:firstLine="0" w:firstLineChars="0"/>
              <w:jc w:val="both"/>
              <w:rPr>
                <w:rFonts w:hint="eastAsia"/>
                <w:vertAlign w:val="baseline"/>
                <w:lang w:val="en-US" w:eastAsia="zh-CN"/>
              </w:rPr>
            </w:pPr>
            <w:r>
              <w:rPr>
                <w:rFonts w:hint="eastAsia"/>
                <w:vertAlign w:val="baseline"/>
                <w:lang w:val="en-US" w:eastAsia="zh-CN"/>
              </w:rPr>
              <w:t xml:space="preserve">  2</w:t>
            </w:r>
          </w:p>
        </w:tc>
        <w:tc>
          <w:tcPr>
            <w:tcW w:w="1172" w:type="dxa"/>
            <w:vAlign w:val="top"/>
          </w:tcPr>
          <w:p w14:paraId="72461A85">
            <w:pPr>
              <w:pStyle w:val="5"/>
              <w:ind w:left="0" w:leftChars="0" w:firstLine="0" w:firstLineChars="0"/>
              <w:jc w:val="both"/>
              <w:rPr>
                <w:rFonts w:hint="eastAsia"/>
                <w:vertAlign w:val="baseline"/>
                <w:lang w:eastAsia="zh-CN"/>
              </w:rPr>
            </w:pPr>
            <w:r>
              <w:rPr>
                <w:rFonts w:hint="eastAsia"/>
                <w:vertAlign w:val="baseline"/>
                <w:lang w:val="en-US" w:eastAsia="zh-CN"/>
              </w:rPr>
              <w:t>高海桐</w:t>
            </w:r>
          </w:p>
        </w:tc>
        <w:tc>
          <w:tcPr>
            <w:tcW w:w="1856" w:type="dxa"/>
            <w:vAlign w:val="center"/>
          </w:tcPr>
          <w:p w14:paraId="058160A4">
            <w:pPr>
              <w:pStyle w:val="5"/>
              <w:ind w:left="0" w:leftChars="0" w:firstLine="0" w:firstLineChars="0"/>
              <w:jc w:val="center"/>
              <w:rPr>
                <w:rFonts w:hint="eastAsia"/>
                <w:vertAlign w:val="baseline"/>
                <w:lang w:eastAsia="zh-CN"/>
              </w:rPr>
            </w:pPr>
            <w:r>
              <w:rPr>
                <w:rFonts w:hint="eastAsia"/>
                <w:vertAlign w:val="baseline"/>
                <w:lang w:eastAsia="zh-CN"/>
              </w:rPr>
              <w:t>区</w:t>
            </w:r>
            <w:r>
              <w:rPr>
                <w:rFonts w:hint="eastAsia"/>
                <w:vertAlign w:val="baseline"/>
                <w:lang w:val="en-US" w:eastAsia="zh-CN"/>
              </w:rPr>
              <w:t>审计局</w:t>
            </w:r>
          </w:p>
        </w:tc>
        <w:tc>
          <w:tcPr>
            <w:tcW w:w="3071" w:type="dxa"/>
            <w:vAlign w:val="top"/>
          </w:tcPr>
          <w:p w14:paraId="39294AB3">
            <w:pPr>
              <w:pStyle w:val="5"/>
              <w:ind w:left="0" w:leftChars="0" w:firstLine="0" w:firstLineChars="0"/>
              <w:jc w:val="center"/>
              <w:rPr>
                <w:rFonts w:hint="eastAsia"/>
                <w:vertAlign w:val="baseline"/>
                <w:lang w:eastAsia="zh-CN"/>
              </w:rPr>
            </w:pPr>
            <w:r>
              <w:rPr>
                <w:rFonts w:hint="eastAsia"/>
                <w:vertAlign w:val="baseline"/>
                <w:lang w:val="en-US" w:eastAsia="zh-CN"/>
              </w:rPr>
              <w:t>主管</w:t>
            </w:r>
            <w:r>
              <w:rPr>
                <w:rFonts w:hint="eastAsia"/>
                <w:vertAlign w:val="baseline"/>
                <w:lang w:eastAsia="zh-CN"/>
              </w:rPr>
              <w:t>副局长</w:t>
            </w:r>
          </w:p>
        </w:tc>
        <w:tc>
          <w:tcPr>
            <w:tcW w:w="1813" w:type="dxa"/>
            <w:vAlign w:val="top"/>
          </w:tcPr>
          <w:p w14:paraId="2CE6898D">
            <w:pPr>
              <w:pStyle w:val="5"/>
              <w:jc w:val="both"/>
              <w:rPr>
                <w:rFonts w:hint="eastAsia"/>
                <w:vertAlign w:val="baseline"/>
                <w:lang w:eastAsia="zh-CN"/>
              </w:rPr>
            </w:pPr>
          </w:p>
        </w:tc>
      </w:tr>
      <w:tr w14:paraId="5ABBC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vAlign w:val="center"/>
          </w:tcPr>
          <w:p w14:paraId="3FF9681B">
            <w:pPr>
              <w:pStyle w:val="5"/>
              <w:ind w:left="0" w:leftChars="0" w:firstLine="0" w:firstLineChars="0"/>
              <w:jc w:val="both"/>
              <w:rPr>
                <w:rFonts w:hint="eastAsia"/>
                <w:vertAlign w:val="baseline"/>
                <w:lang w:val="en-US" w:eastAsia="zh-CN"/>
              </w:rPr>
            </w:pPr>
            <w:r>
              <w:rPr>
                <w:rFonts w:hint="eastAsia"/>
                <w:vertAlign w:val="baseline"/>
                <w:lang w:val="en-US" w:eastAsia="zh-CN"/>
              </w:rPr>
              <w:t xml:space="preserve">  3</w:t>
            </w:r>
          </w:p>
        </w:tc>
        <w:tc>
          <w:tcPr>
            <w:tcW w:w="1172" w:type="dxa"/>
            <w:vAlign w:val="top"/>
          </w:tcPr>
          <w:p w14:paraId="3A353715">
            <w:pPr>
              <w:pStyle w:val="5"/>
              <w:ind w:left="0" w:leftChars="0" w:firstLine="0" w:firstLineChars="0"/>
              <w:jc w:val="both"/>
              <w:rPr>
                <w:rFonts w:hint="default" w:eastAsia="仿宋_GB2312"/>
                <w:vertAlign w:val="baseline"/>
                <w:lang w:val="en-US" w:eastAsia="zh-CN"/>
              </w:rPr>
            </w:pPr>
            <w:r>
              <w:rPr>
                <w:rFonts w:hint="eastAsia"/>
                <w:vertAlign w:val="baseline"/>
                <w:lang w:val="en-US" w:eastAsia="zh-CN"/>
              </w:rPr>
              <w:t>高俊菊</w:t>
            </w:r>
          </w:p>
        </w:tc>
        <w:tc>
          <w:tcPr>
            <w:tcW w:w="1856" w:type="dxa"/>
            <w:vAlign w:val="center"/>
          </w:tcPr>
          <w:p w14:paraId="0C5F9C10">
            <w:pPr>
              <w:pStyle w:val="5"/>
              <w:ind w:left="0" w:leftChars="0" w:firstLine="0" w:firstLineChars="0"/>
              <w:jc w:val="center"/>
              <w:rPr>
                <w:rFonts w:hint="eastAsia"/>
                <w:vertAlign w:val="baseline"/>
                <w:lang w:eastAsia="zh-CN"/>
              </w:rPr>
            </w:pPr>
            <w:r>
              <w:rPr>
                <w:rFonts w:hint="eastAsia"/>
                <w:vertAlign w:val="baseline"/>
                <w:lang w:eastAsia="zh-CN"/>
              </w:rPr>
              <w:t>区</w:t>
            </w:r>
            <w:r>
              <w:rPr>
                <w:rFonts w:hint="eastAsia"/>
                <w:vertAlign w:val="baseline"/>
                <w:lang w:val="en-US" w:eastAsia="zh-CN"/>
              </w:rPr>
              <w:t>审计局</w:t>
            </w:r>
          </w:p>
        </w:tc>
        <w:tc>
          <w:tcPr>
            <w:tcW w:w="3071" w:type="dxa"/>
            <w:vAlign w:val="top"/>
          </w:tcPr>
          <w:p w14:paraId="5F958D34">
            <w:pPr>
              <w:pStyle w:val="5"/>
              <w:tabs>
                <w:tab w:val="left" w:pos="287"/>
              </w:tabs>
              <w:ind w:left="0" w:leftChars="0" w:firstLine="0" w:firstLineChars="0"/>
              <w:jc w:val="center"/>
              <w:rPr>
                <w:rFonts w:hint="default"/>
                <w:vertAlign w:val="baseline"/>
                <w:lang w:val="en-US" w:eastAsia="zh-CN"/>
              </w:rPr>
            </w:pPr>
            <w:r>
              <w:rPr>
                <w:rFonts w:hint="eastAsia"/>
                <w:vertAlign w:val="baseline"/>
                <w:lang w:val="en-US" w:eastAsia="zh-CN"/>
              </w:rPr>
              <w:t>办公室工作人员</w:t>
            </w:r>
          </w:p>
        </w:tc>
        <w:tc>
          <w:tcPr>
            <w:tcW w:w="1813" w:type="dxa"/>
            <w:vAlign w:val="top"/>
          </w:tcPr>
          <w:p w14:paraId="3ACA9837">
            <w:pPr>
              <w:pStyle w:val="5"/>
              <w:jc w:val="both"/>
              <w:rPr>
                <w:rFonts w:hint="eastAsia"/>
                <w:vertAlign w:val="baseline"/>
                <w:lang w:eastAsia="zh-CN"/>
              </w:rPr>
            </w:pPr>
          </w:p>
        </w:tc>
      </w:tr>
    </w:tbl>
    <w:p w14:paraId="768039B1">
      <w:pPr>
        <w:spacing w:line="560" w:lineRule="exact"/>
        <w:rPr>
          <w:rFonts w:ascii="仿宋" w:hAnsi="仿宋" w:eastAsia="仿宋"/>
        </w:rPr>
      </w:pPr>
      <w:bookmarkStart w:id="0" w:name="_GoBack"/>
      <w:bookmarkEnd w:id="0"/>
    </w:p>
    <w:sectPr>
      <w:footerReference r:id="rId3" w:type="default"/>
      <w:pgSz w:w="11906" w:h="16838"/>
      <w:pgMar w:top="1440" w:right="1474" w:bottom="1440"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altName w:val="楷体_GB2312"/>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7C5D6">
    <w:pPr>
      <w:pStyle w:val="7"/>
    </w:pPr>
    <w:r>
      <mc:AlternateContent>
        <mc:Choice Requires="wps">
          <w:drawing>
            <wp:anchor distT="0" distB="0" distL="90805" distR="90805" simplePos="0" relativeHeight="251659264" behindDoc="0" locked="0" layoutInCell="1" allowOverlap="1">
              <wp:simplePos x="0" y="0"/>
              <wp:positionH relativeFrom="margin">
                <wp:align>center</wp:align>
              </wp:positionH>
              <wp:positionV relativeFrom="paragraph">
                <wp:posOffset>0</wp:posOffset>
              </wp:positionV>
              <wp:extent cx="209550" cy="162560"/>
              <wp:effectExtent l="0" t="0" r="0" b="0"/>
              <wp:wrapNone/>
              <wp:docPr id="1" name="Quad Arrow 3073"/>
              <wp:cNvGraphicFramePr/>
              <a:graphic xmlns:a="http://schemas.openxmlformats.org/drawingml/2006/main">
                <a:graphicData uri="http://schemas.microsoft.com/office/word/2010/wordprocessingShape">
                  <wps:wsp>
                    <wps:cNvSpPr/>
                    <wps:spPr>
                      <a:xfrm>
                        <a:off x="0" y="0"/>
                        <a:ext cx="209492" cy="162820"/>
                      </a:xfrm>
                      <a:prstGeom prst="rect">
                        <a:avLst/>
                      </a:prstGeom>
                      <a:noFill/>
                      <a:ln w="9525" cap="flat" cmpd="sng">
                        <a:noFill/>
                        <a:prstDash val="solid"/>
                        <a:miter/>
                      </a:ln>
                    </wps:spPr>
                    <wps:txbx>
                      <w:txbxContent>
                        <w:p w14:paraId="1F80727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vert="horz" wrap="none" lIns="0" tIns="0" rIns="0" bIns="0" anchor="t" anchorCtr="0" upright="1">
                      <a:spAutoFit/>
                    </wps:bodyPr>
                  </wps:wsp>
                </a:graphicData>
              </a:graphic>
            </wp:anchor>
          </w:drawing>
        </mc:Choice>
        <mc:Fallback>
          <w:pict>
            <v:rect id="Quad Arrow 3073" o:spid="_x0000_s1026" o:spt="1" style="position:absolute;left:0pt;margin-top:0pt;height:12.8pt;width:16.5pt;mso-position-horizontal:center;mso-position-horizontal-relative:margin;mso-wrap-style:none;z-index:251659264;mso-width-relative:page;mso-height-relative:page;" filled="f" stroked="f" coordsize="21600,21600" o:gfxdata="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1qUiZ0QAAAAMBAAAPAAAAAAAAAAEAIAAAACIAAABkcnMvZG93bnJldi54bWxQSwEC&#10;FAAUAAAACACHTuJAh+iDI/sBAAD4AwAADgAAAAAAAAABACAAAAAgAQAAZHJzL2Uyb0RvYy54bWxQ&#10;SwUGAAAAAAYABgBZAQAAjQUAAAAA&#10;">
              <v:fill on="f" focussize="0,0"/>
              <v:stroke on="f" joinstyle="miter"/>
              <v:imagedata o:title=""/>
              <o:lock v:ext="edit" aspectratio="f"/>
              <v:textbox inset="0mm,0mm,0mm,0mm" style="mso-fit-shape-to-text:t;">
                <w:txbxContent>
                  <w:p w14:paraId="1F80727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0C84C4"/>
    <w:multiLevelType w:val="singleLevel"/>
    <w:tmpl w:val="F80C84C4"/>
    <w:lvl w:ilvl="0" w:tentative="0">
      <w:start w:val="2"/>
      <w:numFmt w:val="chineseCounting"/>
      <w:suff w:val="nothing"/>
      <w:lvlText w:val="（%1）"/>
      <w:lvlJc w:val="left"/>
      <w:rPr>
        <w:rFonts w:hint="eastAsia"/>
      </w:rPr>
    </w:lvl>
  </w:abstractNum>
  <w:abstractNum w:abstractNumId="1">
    <w:nsid w:val="5E68489B"/>
    <w:multiLevelType w:val="singleLevel"/>
    <w:tmpl w:val="5E68489B"/>
    <w:lvl w:ilvl="0" w:tentative="0">
      <w:start w:val="1"/>
      <w:numFmt w:val="chineseCounting"/>
      <w:suff w:val="nothing"/>
      <w:lvlText w:val="（%1）"/>
      <w:lvlJc w:val="left"/>
      <w:pPr>
        <w:ind w:left="0" w:firstLine="0"/>
      </w:pPr>
      <w:rPr>
        <w:rFonts w:ascii="楷体" w:hAnsi="楷体" w:eastAsia="楷体"/>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doNotUseIndentAsNumberingTabStop/>
    <w:useAltKinsokuLineBreakRules/>
    <w:doNotSuppressIndentation/>
    <w:splitPgBreakAndParaMark/>
    <w:compatSetting w:name="compatibilityMode" w:uri="http://schemas.microsoft.com/office/word" w:val="11"/>
  </w:compat>
  <w:docVars>
    <w:docVar w:name="commondata" w:val="eyJoZGlkIjoiYzgxMzVhZTBlNDUyZWUxNDVhMjNkN2E1NjFlOTE5NDcifQ=="/>
  </w:docVars>
  <w:rsids>
    <w:rsidRoot w:val="00000000"/>
    <w:rsid w:val="2578740F"/>
    <w:rsid w:val="26BF54B3"/>
    <w:rsid w:val="47F21896"/>
    <w:rsid w:val="563E004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3">
    <w:name w:val="heading 1"/>
    <w:basedOn w:val="1"/>
    <w:next w:val="1"/>
    <w:link w:val="12"/>
    <w:qFormat/>
    <w:uiPriority w:val="0"/>
    <w:pPr>
      <w:keepNext/>
      <w:keepLines/>
      <w:spacing w:before="340" w:after="330" w:line="578" w:lineRule="auto"/>
      <w:outlineLvl w:val="0"/>
    </w:pPr>
    <w:rPr>
      <w:b/>
      <w:bCs/>
      <w:kern w:val="44"/>
      <w:sz w:val="44"/>
      <w:szCs w:val="44"/>
    </w:rPr>
  </w:style>
  <w:style w:type="paragraph" w:styleId="2">
    <w:name w:val="heading 2"/>
    <w:basedOn w:val="1"/>
    <w:next w:val="1"/>
    <w:link w:val="13"/>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4"/>
    <w:qFormat/>
    <w:uiPriority w:val="0"/>
    <w:pPr>
      <w:keepNext/>
      <w:keepLines/>
      <w:spacing w:before="260" w:after="260" w:line="415" w:lineRule="auto"/>
      <w:outlineLvl w:val="2"/>
    </w:pPr>
    <w:rPr>
      <w:b/>
      <w:bCs/>
      <w:sz w:val="32"/>
      <w:szCs w:val="32"/>
    </w:rPr>
  </w:style>
  <w:style w:type="character" w:default="1" w:styleId="11">
    <w:name w:val="Default Paragraph Font"/>
    <w:qFormat/>
    <w:uiPriority w:val="0"/>
  </w:style>
  <w:style w:type="table" w:default="1" w:styleId="9">
    <w:name w:val="Normal Table"/>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ind w:firstLine="420" w:firstLineChars="200"/>
    </w:pPr>
    <w:rPr>
      <w:rFonts w:eastAsia="仿宋_GB2312"/>
      <w:sz w:val="30"/>
    </w:rPr>
  </w:style>
  <w:style w:type="paragraph" w:styleId="6">
    <w:name w:val="Subtitle"/>
    <w:basedOn w:val="1"/>
    <w:qFormat/>
    <w:uiPriority w:val="0"/>
    <w:pPr>
      <w:spacing w:line="700" w:lineRule="exact"/>
      <w:jc w:val="center"/>
      <w:outlineLvl w:val="1"/>
    </w:pPr>
    <w:rPr>
      <w:rFonts w:ascii="Arial" w:hAnsi="Arial" w:eastAsia="方正小标宋简体" w:cs="Arial"/>
      <w:b/>
      <w:bCs/>
      <w:kern w:val="28"/>
      <w:sz w:val="44"/>
      <w:szCs w:val="44"/>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pPr>
    <w:rPr>
      <w:rFonts w:ascii="Times New Roman" w:hAnsi="Times New Roman"/>
      <w:sz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heading 1 Char"/>
    <w:basedOn w:val="11"/>
    <w:link w:val="3"/>
    <w:uiPriority w:val="0"/>
    <w:rPr>
      <w:rFonts w:ascii="Calibri" w:hAnsi="Calibri" w:eastAsia="宋体" w:cs="黑体"/>
      <w:b/>
      <w:bCs/>
      <w:kern w:val="44"/>
      <w:sz w:val="44"/>
      <w:szCs w:val="44"/>
      <w:lang w:val="en-US" w:eastAsia="zh-CN" w:bidi="ar-SA"/>
    </w:rPr>
  </w:style>
  <w:style w:type="character" w:customStyle="1" w:styleId="13">
    <w:name w:val="heading 2 Char"/>
    <w:basedOn w:val="11"/>
    <w:link w:val="2"/>
    <w:uiPriority w:val="0"/>
    <w:rPr>
      <w:rFonts w:ascii="Times New Roman" w:hAnsi="Times New Roman" w:eastAsia="黑体" w:cs="黑体"/>
      <w:b/>
      <w:bCs/>
      <w:kern w:val="2"/>
      <w:sz w:val="32"/>
      <w:szCs w:val="32"/>
      <w:lang w:val="en-US" w:eastAsia="zh-CN" w:bidi="ar-SA"/>
    </w:rPr>
  </w:style>
  <w:style w:type="character" w:customStyle="1" w:styleId="14">
    <w:name w:val="heading 3 Char"/>
    <w:basedOn w:val="11"/>
    <w:link w:val="4"/>
    <w:qFormat/>
    <w:uiPriority w:val="0"/>
    <w:rPr>
      <w:rFonts w:ascii="Calibri" w:hAnsi="Calibri" w:eastAsia="宋体" w:cs="黑体"/>
      <w:b/>
      <w:bCs/>
      <w:kern w:val="2"/>
      <w:sz w:val="32"/>
      <w:szCs w:val="32"/>
      <w:lang w:val="en-US" w:eastAsia="zh-CN" w:bidi="ar-SA"/>
    </w:rPr>
  </w:style>
  <w:style w:type="paragraph" w:customStyle="1" w:styleId="15">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899EF5-E6C6-4A85-B6D9-C2BDC251CCE7}">
  <ds:schemaRefs/>
</ds:datastoreItem>
</file>

<file path=docProps/app.xml><?xml version="1.0" encoding="utf-8"?>
<Properties xmlns="http://schemas.openxmlformats.org/officeDocument/2006/extended-properties" xmlns:vt="http://schemas.openxmlformats.org/officeDocument/2006/docPropsVTypes">
  <Template>Normal.eit</Template>
  <Pages>6</Pages>
  <Words>602</Words>
  <Characters>619</Characters>
  <Lines>0</Lines>
  <Paragraphs>29</Paragraphs>
  <TotalTime>0</TotalTime>
  <ScaleCrop>false</ScaleCrop>
  <LinksUpToDate>false</LinksUpToDate>
  <CharactersWithSpaces>641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蓝紫爱恋</cp:lastModifiedBy>
  <cp:lastPrinted>2024-03-06T07:40:00Z</cp:lastPrinted>
  <dcterms:modified xsi:type="dcterms:W3CDTF">2026-06-02T07:33:48Z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96934721B1514D3FBAA28020338CE855_12</vt:lpwstr>
  </property>
  <property fmtid="{D5CDD505-2E9C-101B-9397-08002B2CF9AE}" pid="4" name="KSOTemplateDocerSaveRecord">
    <vt:lpwstr>eyJoZGlkIjoiMDY4ODJmMDU4N2E3OGU5NWFlOTQyMjlmMzRhNDRkOTUiLCJ1c2VySWQiOiIzMjczNzE2MzEifQ==</vt:lpwstr>
  </property>
</Properties>
</file>