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adjustRightInd w:val="0"/>
        <w:snapToGrid w:val="0"/>
        <w:spacing w:line="560" w:lineRule="exact"/>
        <w:rPr>
          <w:rFonts w:ascii="黑体" w:eastAsia="黑体" w:cs="黑体" w:hAnsi="黑体" w:hint="eastAsia"/>
          <w:sz w:val="32"/>
          <w:szCs w:val="32"/>
        </w:rPr>
      </w:pPr>
      <w:r>
        <w:rPr>
          <w:rFonts w:ascii="黑体" w:eastAsia="黑体" w:cs="黑体" w:hAnsi="黑体" w:hint="eastAsia"/>
          <w:sz w:val="32"/>
          <w:szCs w:val="32"/>
        </w:rPr>
        <w:t>附件4</w:t>
      </w:r>
    </w:p>
    <w:p>
      <w:pPr>
        <w:spacing w:line="560" w:lineRule="exact"/>
        <w:jc w:val="center"/>
        <w:rPr>
          <w:rFonts w:ascii="宋体" w:cs="宋体" w:hAnsi="宋体"/>
          <w:b/>
          <w:bCs/>
          <w:sz w:val="44"/>
          <w:szCs w:val="44"/>
        </w:rPr>
      </w:pPr>
    </w:p>
    <w:p>
      <w:pPr>
        <w:spacing w:line="560" w:lineRule="exact"/>
        <w:jc w:val="center"/>
        <w:rPr>
          <w:rFonts w:ascii="宋体" w:cs="宋体" w:hAnsi="宋体" w:hint="eastAsia"/>
          <w:b/>
          <w:bCs/>
          <w:sz w:val="44"/>
          <w:szCs w:val="44"/>
        </w:rPr>
      </w:pPr>
      <w:r>
        <w:rPr>
          <w:rFonts w:ascii="宋体" w:cs="宋体" w:hAnsi="宋体"/>
          <w:b/>
          <w:bCs/>
          <w:sz w:val="44"/>
          <w:szCs w:val="44"/>
        </w:rPr>
        <w:t>区委社会工作部</w:t>
      </w:r>
    </w:p>
    <w:p>
      <w:pPr>
        <w:spacing w:line="560" w:lineRule="exact"/>
        <w:jc w:val="center"/>
        <w:rPr>
          <w:rFonts w:ascii="宋体" w:cs="宋体" w:hAnsi="宋体"/>
          <w:b/>
          <w:bCs/>
          <w:sz w:val="44"/>
          <w:szCs w:val="44"/>
        </w:rPr>
      </w:pPr>
      <w:r>
        <w:rPr>
          <w:rFonts w:ascii="宋体" w:cs="宋体" w:hAnsi="宋体" w:hint="eastAsia"/>
          <w:b/>
          <w:bCs/>
          <w:sz w:val="44"/>
          <w:szCs w:val="44"/>
        </w:rPr>
        <w:t>202</w:t>
      </w:r>
      <w:r>
        <w:rPr>
          <w:rFonts w:ascii="宋体" w:cs="宋体" w:hAnsi="宋体"/>
          <w:b/>
          <w:bCs/>
          <w:sz w:val="44"/>
          <w:szCs w:val="44"/>
        </w:rPr>
        <w:t>5</w:t>
      </w:r>
      <w:r>
        <w:rPr>
          <w:rFonts w:ascii="宋体" w:cs="宋体" w:hAnsi="宋体" w:hint="eastAsia"/>
          <w:b/>
          <w:bCs/>
          <w:sz w:val="44"/>
          <w:szCs w:val="44"/>
        </w:rPr>
        <w:t>年度整体支出绩效自评报告</w:t>
      </w:r>
    </w:p>
    <w:p>
      <w:pPr>
        <w:pStyle w:val="107"/>
        <w:adjustRightInd w:val="0"/>
        <w:snapToGrid w:val="0"/>
        <w:spacing w:line="560" w:lineRule="exact"/>
        <w:rPr>
          <w:rFonts w:ascii="仿宋_GB2312" w:eastAsia="仿宋_GB2312" w:cs="仿宋_GB2312" w:hAnsi="仿宋_GB2312" w:hint="eastAsia"/>
          <w:sz w:val="32"/>
          <w:szCs w:val="32"/>
        </w:rPr>
      </w:pPr>
    </w:p>
    <w:p>
      <w:pPr>
        <w:pStyle w:val="107"/>
        <w:adjustRightInd w:val="0"/>
        <w:snapToGrid w:val="0"/>
        <w:spacing w:line="560" w:lineRule="exact"/>
        <w:rPr>
          <w:rFonts w:ascii="仿宋_GB2312" w:eastAsia="仿宋_GB2312" w:cs="仿宋_GB2312" w:hAnsi="仿宋_GB2312" w:hint="eastAsia"/>
          <w:sz w:val="32"/>
          <w:szCs w:val="32"/>
        </w:rPr>
      </w:pPr>
      <w:r>
        <w:rPr>
          <w:rFonts w:ascii="仿宋_GB2312" w:eastAsia="仿宋_GB2312" w:cs="仿宋_GB2312" w:hAnsi="仿宋_GB2312" w:hint="eastAsia"/>
          <w:sz w:val="32"/>
          <w:szCs w:val="32"/>
        </w:rPr>
        <w:t>贯彻落实区委区政府《关于全面落实预算绩效管理的实施意见》（矿发﹝2019﹞7号）文件精神，遵循“科学性、规范性、客观性和公正性”的原则，对</w:t>
      </w:r>
      <w:r>
        <w:rPr>
          <w:rFonts w:ascii="仿宋_GB2312" w:eastAsia="仿宋_GB2312" w:cs="仿宋_GB2312" w:hAnsi="仿宋_GB2312" w:hint="eastAsia"/>
          <w:bCs/>
          <w:sz w:val="32"/>
          <w:szCs w:val="32"/>
        </w:rPr>
        <w:t>区委社会工作部</w:t>
      </w:r>
      <w:r>
        <w:rPr>
          <w:rFonts w:ascii="仿宋_GB2312" w:eastAsia="仿宋_GB2312" w:cs="仿宋_GB2312" w:hAnsi="仿宋_GB2312" w:hint="eastAsia"/>
          <w:sz w:val="32"/>
          <w:szCs w:val="32"/>
        </w:rPr>
        <w:t>2025年整体支出情况实施了财政支出绩效自评价，形成本评价报告。</w:t>
      </w:r>
    </w:p>
    <w:p>
      <w:pPr>
        <w:adjustRightInd w:val="0"/>
        <w:snapToGrid w:val="0"/>
        <w:spacing w:line="560" w:lineRule="exact"/>
        <w:rPr>
          <w:rFonts w:ascii="黑体" w:eastAsia="黑体" w:hAnsi="黑体"/>
          <w:b/>
          <w:bCs/>
          <w:sz w:val="32"/>
          <w:szCs w:val="36"/>
        </w:rPr>
      </w:pPr>
      <w:r>
        <w:rPr>
          <w:rFonts w:ascii="黑体" w:eastAsia="黑体" w:hAnsi="黑体" w:hint="eastAsia"/>
          <w:sz w:val="32"/>
          <w:szCs w:val="32"/>
        </w:rPr>
        <w:t xml:space="preserve">     一、部门</w:t>
      </w:r>
      <w:r>
        <w:rPr>
          <w:rFonts w:ascii="黑体" w:eastAsia="黑体" w:hAnsi="黑体" w:hint="eastAsia"/>
          <w:sz w:val="32"/>
          <w:szCs w:val="36"/>
        </w:rPr>
        <w:t>基本情况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楷体" w:eastAsia="楷体" w:cs="楷体_GB2312" w:hAnsi="楷体"/>
          <w:bCs/>
          <w:sz w:val="32"/>
          <w:szCs w:val="32"/>
        </w:rPr>
      </w:pPr>
      <w:r>
        <w:rPr>
          <w:rFonts w:ascii="楷体" w:eastAsia="楷体" w:cs="楷体_GB2312" w:hAnsi="楷体" w:hint="eastAsia"/>
          <w:bCs/>
          <w:sz w:val="32"/>
          <w:szCs w:val="32"/>
        </w:rPr>
        <w:t>（一）部门概况</w:t>
      </w:r>
    </w:p>
    <w:p>
      <w:pPr>
        <w:pStyle w:val="107"/>
        <w:adjustRightInd w:val="0"/>
        <w:snapToGrid w:val="0"/>
        <w:spacing w:line="560" w:lineRule="exact"/>
        <w:rPr>
          <w:rFonts w:ascii="仿宋_GB2312" w:eastAsia="仿宋_GB2312" w:cs="仿宋_GB2312" w:hAnsi="仿宋_GB2312" w:hint="eastAsia"/>
          <w:sz w:val="32"/>
          <w:szCs w:val="32"/>
        </w:rPr>
      </w:pPr>
      <w:r>
        <w:rPr>
          <w:rFonts w:ascii="仿宋_GB2312" w:eastAsia="仿宋_GB2312" w:cs="仿宋_GB2312" w:hAnsi="仿宋_GB2312" w:hint="eastAsia"/>
          <w:sz w:val="32"/>
          <w:szCs w:val="32"/>
        </w:rPr>
        <w:t>（1）研究相关理论、政策和规划，拟订社会工作方面相关规范性文件并组织实施。负责区委非公有制经济组织和社会组织工作委员会日常工作。深入调查研究，及时向区委报告工作情况并提出建议。</w:t>
      </w:r>
    </w:p>
    <w:p>
      <w:pPr>
        <w:pStyle w:val="107"/>
        <w:adjustRightInd w:val="0"/>
        <w:snapToGrid w:val="0"/>
        <w:spacing w:line="560" w:lineRule="exact"/>
        <w:rPr>
          <w:rFonts w:ascii="仿宋_GB2312" w:eastAsia="仿宋_GB2312" w:cs="仿宋_GB2312" w:hAnsi="仿宋_GB2312" w:hint="eastAsia"/>
          <w:sz w:val="32"/>
          <w:szCs w:val="32"/>
        </w:rPr>
      </w:pPr>
      <w:r>
        <w:rPr>
          <w:rFonts w:ascii="仿宋_GB2312" w:eastAsia="仿宋_GB2312" w:cs="仿宋_GB2312" w:hAnsi="仿宋_GB2312" w:hint="eastAsia"/>
          <w:sz w:val="32"/>
          <w:szCs w:val="32"/>
        </w:rPr>
        <w:t>（2）统筹指导群众利益协调、诉求表达、矛盾调处、权益保障等人民信访工作，协调解决人民群众急难愁盼的重大问题。指导人民建议征集工作，负责征集、办理公民、法人和其他组织提出的意见建议，向区委、区政府及时反映公民、法人和其他组织对党和国家事业发展提出的重要意见建议。</w:t>
      </w:r>
    </w:p>
    <w:p>
      <w:pPr>
        <w:pStyle w:val="107"/>
        <w:adjustRightInd w:val="0"/>
        <w:snapToGrid w:val="0"/>
        <w:spacing w:line="560" w:lineRule="exact"/>
        <w:rPr>
          <w:rFonts w:ascii="仿宋_GB2312" w:eastAsia="仿宋_GB2312" w:cs="仿宋_GB2312" w:hAnsi="仿宋_GB2312" w:hint="eastAsia"/>
          <w:sz w:val="32"/>
          <w:szCs w:val="32"/>
        </w:rPr>
      </w:pPr>
      <w:r>
        <w:rPr>
          <w:rFonts w:ascii="仿宋_GB2312" w:eastAsia="仿宋_GB2312" w:cs="仿宋_GB2312" w:hAnsi="仿宋_GB2312" w:hint="eastAsia"/>
          <w:sz w:val="32"/>
          <w:szCs w:val="32"/>
        </w:rPr>
        <w:t>（3）健全和落实党建引领基层治理工作机制，推动城乡社区治理体系和治理能力建设，提出加强和改进基层政权建设的建议，推动基层民主政治建设。指导监督基层群众自治制度的有效实施，健全基层群众自治机制。</w:t>
      </w:r>
    </w:p>
    <w:p>
      <w:pPr>
        <w:pStyle w:val="107"/>
        <w:adjustRightInd w:val="0"/>
        <w:snapToGrid w:val="0"/>
        <w:spacing w:line="560" w:lineRule="exact"/>
        <w:rPr>
          <w:rFonts w:ascii="仿宋_GB2312" w:eastAsia="仿宋_GB2312" w:cs="仿宋_GB2312" w:hAnsi="仿宋_GB2312" w:hint="eastAsia"/>
          <w:sz w:val="32"/>
          <w:szCs w:val="32"/>
        </w:rPr>
      </w:pPr>
      <w:r>
        <w:rPr>
          <w:rFonts w:ascii="仿宋_GB2312" w:eastAsia="仿宋_GB2312" w:cs="仿宋_GB2312" w:hAnsi="仿宋_GB2312" w:hint="eastAsia"/>
          <w:sz w:val="32"/>
          <w:szCs w:val="32"/>
        </w:rPr>
        <w:t>（4）统筹指导社会组织、行业协会商会党建工作，协调推动行业协会商会深化改革和转型发展。</w:t>
      </w:r>
    </w:p>
    <w:p>
      <w:pPr>
        <w:pStyle w:val="107"/>
        <w:adjustRightInd w:val="0"/>
        <w:snapToGrid w:val="0"/>
        <w:spacing w:line="560" w:lineRule="exact"/>
        <w:rPr>
          <w:rFonts w:ascii="仿宋_GB2312" w:eastAsia="仿宋_GB2312" w:cs="仿宋_GB2312" w:hAnsi="仿宋_GB2312" w:hint="eastAsia"/>
          <w:sz w:val="32"/>
          <w:szCs w:val="32"/>
        </w:rPr>
      </w:pPr>
      <w:r>
        <w:rPr>
          <w:rFonts w:ascii="仿宋_GB2312" w:eastAsia="仿宋_GB2312" w:cs="仿宋_GB2312" w:hAnsi="仿宋_GB2312" w:hint="eastAsia"/>
          <w:sz w:val="32"/>
          <w:szCs w:val="32"/>
        </w:rPr>
        <w:t>（5）指导混合所有制企业、非公有制企业和新经济组织、新社会组织、新就业群体党建工作，指导协调相关企业单位、社会组织、就业群体中党员的教育、管理、监督和服务工作，研究完善相关领域群众利益协调机制。</w:t>
      </w:r>
    </w:p>
    <w:p>
      <w:pPr>
        <w:pStyle w:val="107"/>
        <w:adjustRightInd w:val="0"/>
        <w:snapToGrid w:val="0"/>
        <w:spacing w:line="560" w:lineRule="exact"/>
        <w:rPr>
          <w:rFonts w:ascii="仿宋_GB2312" w:eastAsia="仿宋_GB2312" w:cs="仿宋_GB2312" w:hAnsi="仿宋_GB2312" w:hint="eastAsia"/>
          <w:sz w:val="32"/>
          <w:szCs w:val="32"/>
        </w:rPr>
      </w:pPr>
      <w:r>
        <w:rPr>
          <w:rFonts w:ascii="仿宋_GB2312" w:eastAsia="仿宋_GB2312" w:cs="仿宋_GB2312" w:hAnsi="仿宋_GB2312" w:hint="eastAsia"/>
          <w:sz w:val="32"/>
          <w:szCs w:val="32"/>
        </w:rPr>
        <w:t>（6）拟订全区社会工作发展规划、志愿服务规范和标准并组织实施，负责全区志愿服务工作的统筹规划、协调指导、督促检查。会同有关部门推进社会工作人才队伍建设和志愿者队伍建设。</w:t>
      </w:r>
    </w:p>
    <w:p>
      <w:pPr>
        <w:pStyle w:val="107"/>
        <w:adjustRightInd w:val="0"/>
        <w:snapToGrid w:val="0"/>
        <w:spacing w:line="560" w:lineRule="exact"/>
        <w:rPr>
          <w:rFonts w:ascii="仿宋_GB2312" w:eastAsia="仿宋_GB2312" w:cs="仿宋_GB2312" w:hAnsi="仿宋_GB2312" w:hint="eastAsia"/>
          <w:sz w:val="32"/>
          <w:szCs w:val="32"/>
        </w:rPr>
      </w:pPr>
      <w:r>
        <w:rPr>
          <w:rFonts w:ascii="仿宋_GB2312" w:eastAsia="仿宋_GB2312" w:cs="仿宋_GB2312" w:hAnsi="仿宋_GB2312" w:hint="eastAsia"/>
          <w:sz w:val="32"/>
          <w:szCs w:val="32"/>
        </w:rPr>
        <w:t>（7）完成区委交办的其他任务。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2.机构设置</w:t>
      </w:r>
    </w:p>
    <w:p>
      <w:pPr>
        <w:pStyle w:val="107"/>
        <w:adjustRightInd w:val="0"/>
        <w:snapToGrid w:val="0"/>
        <w:spacing w:line="560" w:lineRule="exact"/>
        <w:rPr>
          <w:rFonts w:ascii="仿宋_GB2312" w:eastAsia="仿宋_GB2312" w:cs="仿宋_GB2312" w:hAnsi="仿宋_GB2312" w:hint="eastAsia"/>
          <w:sz w:val="32"/>
          <w:szCs w:val="32"/>
        </w:rPr>
      </w:pPr>
      <w:r>
        <w:rPr>
          <w:rFonts w:ascii="仿宋_GB2312" w:eastAsia="仿宋_GB2312" w:cs="仿宋_GB2312" w:hAnsi="仿宋_GB2312" w:hint="eastAsia"/>
          <w:sz w:val="32"/>
          <w:szCs w:val="32"/>
        </w:rPr>
        <w:t>我单位系财政全额拨款单位，单位性质为行政单位，内设机构有：办公室、基层政权建设和社区治理股(社会工作和志愿服务股)。2个科室。</w:t>
      </w:r>
    </w:p>
    <w:p>
      <w:pPr>
        <w:pStyle w:val="107"/>
        <w:adjustRightInd w:val="0"/>
        <w:snapToGrid w:val="0"/>
        <w:spacing w:line="560" w:lineRule="exact"/>
        <w:rPr>
          <w:rFonts w:ascii="仿宋_GB2312" w:eastAsia="仿宋_GB2312" w:cs="仿宋_GB2312" w:hAnsi="仿宋_GB2312" w:hint="eastAsia"/>
          <w:sz w:val="32"/>
          <w:szCs w:val="32"/>
        </w:rPr>
      </w:pPr>
      <w:r>
        <w:rPr>
          <w:rFonts w:ascii="仿宋_GB2312" w:eastAsia="仿宋_GB2312" w:cs="仿宋_GB2312" w:hAnsi="仿宋_GB2312" w:hint="eastAsia"/>
          <w:sz w:val="32"/>
          <w:szCs w:val="32"/>
        </w:rPr>
        <w:t>截止2025年底，我单位有在编人员8人，其中行政人员6人，事业编2人，公益岗1人。</w:t>
      </w:r>
    </w:p>
    <w:p>
      <w:pPr>
        <w:pStyle w:val="107"/>
        <w:adjustRightInd w:val="0"/>
        <w:snapToGrid w:val="0"/>
        <w:spacing w:line="560" w:lineRule="exact"/>
        <w:rPr>
          <w:rFonts w:ascii="仿宋_GB2312" w:eastAsia="仿宋_GB2312" w:cs="仿宋_GB2312" w:hAnsi="仿宋_GB2312" w:hint="eastAsia"/>
          <w:sz w:val="32"/>
          <w:szCs w:val="32"/>
        </w:rPr>
      </w:pPr>
      <w:r>
        <w:rPr>
          <w:rFonts w:ascii="仿宋_GB2312" w:eastAsia="仿宋_GB2312" w:cs="仿宋_GB2312" w:hAnsi="仿宋_GB2312" w:hint="eastAsia"/>
          <w:sz w:val="32"/>
          <w:szCs w:val="32"/>
        </w:rPr>
        <w:t>3.资产情况</w:t>
      </w:r>
    </w:p>
    <w:p>
      <w:pPr>
        <w:pStyle w:val="107"/>
        <w:adjustRightInd w:val="0"/>
        <w:snapToGrid w:val="0"/>
        <w:spacing w:line="560" w:lineRule="exact"/>
        <w:rPr>
          <w:rFonts w:ascii="仿宋_GB2312" w:eastAsia="仿宋_GB2312" w:cs="仿宋_GB2312" w:hAnsi="仿宋_GB2312" w:hint="eastAsia"/>
          <w:sz w:val="32"/>
          <w:szCs w:val="32"/>
        </w:rPr>
      </w:pPr>
      <w:r>
        <w:rPr>
          <w:rFonts w:ascii="仿宋_GB2312" w:eastAsia="仿宋_GB2312" w:cs="仿宋_GB2312" w:hAnsi="仿宋_GB2312" w:hint="eastAsia"/>
          <w:sz w:val="32"/>
          <w:szCs w:val="32"/>
        </w:rPr>
        <w:t>截止2025年底，我单位共有资产16261.25元，其中：固定资产累计折旧15308.76元，固定资产净值952.49元，无对外出租出借资产。资产管理依照政府采购目录进行政府采购，加强固定资产登记、使用和报废处置管理，做到支出合理，物尽其用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楷体" w:eastAsia="楷体" w:cs="楷体_GB2312" w:hAnsi="楷体"/>
          <w:bCs/>
          <w:sz w:val="32"/>
          <w:szCs w:val="32"/>
        </w:rPr>
      </w:pPr>
      <w:r>
        <w:rPr>
          <w:rFonts w:ascii="楷体" w:eastAsia="楷体" w:cs="楷体_GB2312" w:hAnsi="楷体" w:hint="eastAsia"/>
          <w:bCs/>
          <w:sz w:val="32"/>
          <w:szCs w:val="32"/>
        </w:rPr>
        <w:t>（二）部门收支预决算情况</w:t>
      </w:r>
    </w:p>
    <w:p>
      <w:pPr>
        <w:pStyle w:val="107"/>
        <w:adjustRightInd w:val="0"/>
        <w:snapToGrid w:val="0"/>
        <w:spacing w:line="560" w:lineRule="exact"/>
        <w:rPr>
          <w:rFonts w:ascii="仿宋_GB2312" w:eastAsia="仿宋_GB2312" w:cs="仿宋_GB2312" w:hAnsi="仿宋_GB2312" w:hint="eastAsia"/>
          <w:sz w:val="32"/>
          <w:szCs w:val="32"/>
        </w:rPr>
      </w:pPr>
      <w:r>
        <w:rPr>
          <w:rFonts w:ascii="仿宋_GB2312" w:eastAsia="仿宋_GB2312" w:cs="仿宋_GB2312" w:hAnsi="仿宋_GB2312" w:hint="eastAsia"/>
          <w:sz w:val="32"/>
          <w:szCs w:val="32"/>
        </w:rPr>
        <w:t>2025年初预算为77.23万元。</w:t>
      </w:r>
    </w:p>
    <w:p>
      <w:pPr>
        <w:pStyle w:val="107"/>
        <w:adjustRightInd w:val="0"/>
        <w:snapToGrid w:val="0"/>
        <w:spacing w:line="560" w:lineRule="exact"/>
        <w:rPr>
          <w:rFonts w:ascii="仿宋_GB2312" w:eastAsia="仿宋_GB2312" w:cs="仿宋_GB2312" w:hAnsi="仿宋_GB2312" w:hint="eastAsia"/>
          <w:bCs/>
          <w:sz w:val="32"/>
          <w:szCs w:val="32"/>
        </w:rPr>
      </w:pPr>
      <w:r>
        <w:rPr>
          <w:rFonts w:ascii="仿宋_GB2312" w:eastAsia="仿宋_GB2312" w:cs="仿宋_GB2312" w:hAnsi="仿宋_GB2312" w:hint="eastAsia"/>
          <w:sz w:val="32"/>
          <w:szCs w:val="32"/>
        </w:rPr>
        <w:t>2024年决算收入119.71万元。基本支出93.72万元，项目支出25.99万元。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楷体" w:eastAsia="楷体" w:cs="楷体_GB2312" w:hAnsi="楷体"/>
          <w:bCs/>
          <w:sz w:val="32"/>
          <w:szCs w:val="32"/>
        </w:rPr>
      </w:pPr>
      <w:r>
        <w:rPr>
          <w:rFonts w:ascii="楷体" w:eastAsia="楷体" w:cs="楷体_GB2312" w:hAnsi="楷体" w:hint="eastAsia"/>
          <w:bCs/>
          <w:sz w:val="32"/>
          <w:szCs w:val="32"/>
        </w:rPr>
        <w:t>（三）部门整体支出绩效目标、指标</w:t>
      </w:r>
    </w:p>
    <w:p>
      <w:pPr>
        <w:pStyle w:val="107"/>
        <w:adjustRightInd w:val="0"/>
        <w:snapToGrid w:val="0"/>
        <w:spacing w:line="560" w:lineRule="exact"/>
        <w:rPr>
          <w:rFonts w:ascii="仿宋_GB2312" w:eastAsia="仿宋_GB2312" w:cs="仿宋_GB2312" w:hAnsi="仿宋_GB2312" w:hint="eastAsia"/>
          <w:sz w:val="32"/>
          <w:szCs w:val="32"/>
        </w:rPr>
      </w:pPr>
      <w:r>
        <w:rPr>
          <w:rFonts w:ascii="仿宋_GB2312" w:eastAsia="仿宋_GB2312" w:cs="仿宋_GB2312" w:hAnsi="仿宋_GB2312" w:hint="eastAsia"/>
          <w:sz w:val="32"/>
          <w:szCs w:val="32"/>
        </w:rPr>
        <w:t>（1）总体绩效目标</w:t>
      </w:r>
    </w:p>
    <w:p>
      <w:pPr>
        <w:pStyle w:val="107"/>
        <w:adjustRightInd w:val="0"/>
        <w:snapToGrid w:val="0"/>
        <w:spacing w:line="560" w:lineRule="exact"/>
        <w:rPr>
          <w:rFonts w:ascii="仿宋_GB2312" w:eastAsia="仿宋_GB2312" w:cs="仿宋_GB2312" w:hAnsi="仿宋_GB2312" w:hint="eastAsia"/>
          <w:sz w:val="32"/>
          <w:szCs w:val="32"/>
        </w:rPr>
      </w:pPr>
      <w:r>
        <w:rPr>
          <w:rFonts w:ascii="仿宋_GB2312" w:eastAsia="仿宋_GB2312" w:cs="仿宋_GB2312" w:hAnsi="仿宋_GB2312" w:hint="eastAsia"/>
          <w:sz w:val="32"/>
          <w:szCs w:val="32"/>
        </w:rPr>
        <w:t>以坚持党的全面领导为主线，聚焦“两企三新”党建、党建引领基层治理、志愿服务队伍建设和社会工作人才队伍建设三项工作，</w:t>
      </w:r>
      <w:r>
        <w:rPr>
          <w:rFonts w:ascii="仿宋_GB2312" w:eastAsia="仿宋_GB2312" w:cs="仿宋_GB2312" w:hAnsi="仿宋_GB2312" w:hint="eastAsia"/>
          <w:sz w:val="32"/>
          <w:szCs w:val="32"/>
          <w:lang w:val="en-US" w:eastAsia="zh-CN"/>
        </w:rPr>
        <w:t>勇于开拓、履职尽责，</w:t>
      </w:r>
      <w:r>
        <w:rPr>
          <w:rFonts w:ascii="仿宋_GB2312" w:eastAsia="仿宋_GB2312" w:cs="仿宋_GB2312" w:hAnsi="仿宋_GB2312" w:hint="eastAsia"/>
          <w:sz w:val="32"/>
          <w:szCs w:val="32"/>
        </w:rPr>
        <w:t>不断提升社会工作水平。</w:t>
      </w:r>
      <w:r>
        <w:rPr>
          <w:rFonts w:ascii="仿宋_GB2312" w:eastAsia="仿宋_GB2312" w:cs="仿宋_GB2312" w:hAnsi="仿宋_GB2312" w:hint="eastAsia"/>
          <w:sz w:val="32"/>
          <w:szCs w:val="32"/>
          <w:lang w:val="en-US" w:eastAsia="zh-CN"/>
        </w:rPr>
        <w:t>较好的完成了区委安排的各项任务。</w:t>
      </w:r>
    </w:p>
    <w:p>
      <w:pPr>
        <w:pStyle w:val="107"/>
        <w:adjustRightInd w:val="0"/>
        <w:snapToGrid w:val="0"/>
        <w:spacing w:line="560" w:lineRule="exact"/>
        <w:rPr>
          <w:rFonts w:ascii="仿宋_GB2312" w:eastAsia="仿宋_GB2312" w:cs="仿宋_GB2312" w:hAnsi="仿宋_GB2312" w:hint="eastAsia"/>
          <w:sz w:val="32"/>
          <w:szCs w:val="32"/>
        </w:rPr>
      </w:pPr>
      <w:r>
        <w:rPr>
          <w:rFonts w:ascii="仿宋_GB2312" w:eastAsia="仿宋_GB2312" w:cs="仿宋_GB2312" w:hAnsi="仿宋_GB2312" w:hint="eastAsia"/>
          <w:sz w:val="32"/>
          <w:szCs w:val="32"/>
        </w:rPr>
        <w:t>（2）分项绩效目标</w:t>
      </w:r>
    </w:p>
    <w:p>
      <w:pPr>
        <w:pStyle w:val="107"/>
        <w:adjustRightInd w:val="0"/>
        <w:snapToGrid w:val="0"/>
        <w:spacing w:line="560" w:lineRule="exact"/>
        <w:rPr>
          <w:rFonts w:ascii="仿宋_GB2312" w:eastAsia="仿宋_GB2312" w:cs="仿宋_GB2312" w:hAnsi="仿宋_GB2312" w:hint="eastAsia"/>
          <w:sz w:val="32"/>
          <w:szCs w:val="32"/>
          <w:lang w:eastAsia="zh-CN"/>
        </w:rPr>
      </w:pPr>
      <w:r>
        <w:rPr>
          <w:rFonts w:ascii="仿宋_GB2312" w:eastAsia="仿宋_GB2312" w:cs="仿宋_GB2312" w:hAnsi="仿宋_GB2312" w:hint="eastAsia"/>
          <w:sz w:val="32"/>
          <w:szCs w:val="32"/>
          <w:lang w:eastAsia="zh-CN"/>
        </w:rPr>
        <w:t>1.社会工作经费</w:t>
      </w:r>
    </w:p>
    <w:p>
      <w:pPr>
        <w:pStyle w:val="107"/>
        <w:adjustRightInd w:val="0"/>
        <w:snapToGrid w:val="0"/>
        <w:spacing w:line="560" w:lineRule="exact"/>
        <w:rPr>
          <w:rFonts w:ascii="仿宋_GB2312" w:eastAsia="仿宋_GB2312" w:cs="仿宋_GB2312" w:hAnsi="仿宋_GB2312" w:hint="eastAsia"/>
          <w:sz w:val="32"/>
          <w:szCs w:val="32"/>
          <w:lang w:eastAsia="zh-CN"/>
        </w:rPr>
      </w:pPr>
      <w:r>
        <w:rPr>
          <w:rFonts w:ascii="仿宋_GB2312" w:eastAsia="仿宋_GB2312" w:cs="仿宋_GB2312" w:hAnsi="仿宋_GB2312" w:hint="eastAsia"/>
          <w:sz w:val="32"/>
          <w:szCs w:val="32"/>
          <w:lang w:eastAsia="zh-CN"/>
        </w:rPr>
        <w:t>绩效目标：保障社会工作部日常工作顺利完成。</w:t>
        <w:tab/>
      </w:r>
    </w:p>
    <w:p>
      <w:pPr>
        <w:pStyle w:val="107"/>
        <w:adjustRightInd w:val="0"/>
        <w:snapToGrid w:val="0"/>
        <w:spacing w:line="560" w:lineRule="exact"/>
        <w:rPr>
          <w:rFonts w:ascii="仿宋_GB2312" w:eastAsia="仿宋_GB2312" w:cs="仿宋_GB2312" w:hAnsi="仿宋_GB2312" w:hint="eastAsia"/>
          <w:sz w:val="32"/>
          <w:szCs w:val="32"/>
          <w:lang w:eastAsia="zh-CN"/>
        </w:rPr>
      </w:pPr>
      <w:r>
        <w:rPr>
          <w:rFonts w:ascii="仿宋_GB2312" w:eastAsia="仿宋_GB2312" w:cs="仿宋_GB2312" w:hAnsi="仿宋_GB2312" w:hint="eastAsia"/>
          <w:sz w:val="32"/>
          <w:szCs w:val="32"/>
          <w:lang w:eastAsia="zh-CN"/>
        </w:rPr>
        <w:t>绩效指标：保障人员数量、人员正常工作率、任务完成及时率、群众满意度。</w:t>
      </w:r>
    </w:p>
    <w:p>
      <w:pPr>
        <w:pStyle w:val="107"/>
        <w:adjustRightInd w:val="0"/>
        <w:snapToGrid w:val="0"/>
        <w:spacing w:line="560" w:lineRule="exact"/>
        <w:rPr>
          <w:rFonts w:ascii="仿宋_GB2312" w:eastAsia="仿宋_GB2312" w:cs="仿宋_GB2312" w:hAnsi="仿宋_GB2312" w:hint="eastAsia"/>
          <w:sz w:val="32"/>
          <w:szCs w:val="32"/>
          <w:lang w:eastAsia="zh-CN"/>
        </w:rPr>
      </w:pPr>
      <w:r>
        <w:rPr>
          <w:rFonts w:ascii="仿宋_GB2312" w:eastAsia="仿宋_GB2312" w:cs="仿宋_GB2312" w:hAnsi="仿宋_GB2312" w:hint="eastAsia"/>
          <w:sz w:val="32"/>
          <w:szCs w:val="32"/>
          <w:lang w:eastAsia="zh-CN"/>
        </w:rPr>
        <w:t>2.石家庄市财政局关于提前下达2024年省级财政城乡社区建设补助预算的通知（石财社[2023]130号）冯家沟办公用房建设项目</w:t>
      </w:r>
    </w:p>
    <w:p>
      <w:pPr>
        <w:pStyle w:val="107"/>
        <w:adjustRightInd w:val="0"/>
        <w:snapToGrid w:val="0"/>
        <w:spacing w:line="560" w:lineRule="exact"/>
        <w:rPr>
          <w:rFonts w:ascii="仿宋_GB2312" w:eastAsia="仿宋_GB2312" w:cs="仿宋_GB2312" w:hAnsi="仿宋_GB2312" w:hint="eastAsia"/>
          <w:sz w:val="32"/>
          <w:szCs w:val="32"/>
          <w:lang w:eastAsia="zh-CN"/>
        </w:rPr>
      </w:pPr>
      <w:r>
        <w:rPr>
          <w:rFonts w:ascii="仿宋_GB2312" w:eastAsia="仿宋_GB2312" w:cs="仿宋_GB2312" w:hAnsi="仿宋_GB2312" w:hint="eastAsia"/>
          <w:sz w:val="32"/>
          <w:szCs w:val="32"/>
          <w:lang w:eastAsia="zh-CN"/>
        </w:rPr>
        <w:t>绩效目标：冯家沟办公用房建设。</w:t>
        <w:tab/>
      </w:r>
    </w:p>
    <w:p>
      <w:pPr>
        <w:pStyle w:val="107"/>
        <w:adjustRightInd w:val="0"/>
        <w:snapToGrid w:val="0"/>
        <w:spacing w:line="560" w:lineRule="exact"/>
        <w:rPr>
          <w:rFonts w:ascii="仿宋_GB2312" w:eastAsia="仿宋_GB2312" w:cs="仿宋_GB2312" w:hAnsi="仿宋_GB2312" w:hint="eastAsia"/>
          <w:sz w:val="32"/>
          <w:szCs w:val="32"/>
        </w:rPr>
      </w:pPr>
      <w:r>
        <w:rPr>
          <w:rFonts w:ascii="仿宋_GB2312" w:eastAsia="仿宋_GB2312" w:cs="仿宋_GB2312" w:hAnsi="仿宋_GB2312" w:hint="eastAsia"/>
          <w:sz w:val="32"/>
          <w:szCs w:val="32"/>
          <w:lang w:eastAsia="zh-CN"/>
        </w:rPr>
        <w:t>绩效指标：补助城乡综合服务设施项目数量、项目验收合格率、项目完成时间、补助标准。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二、自评工作开展情况</w:t>
      </w:r>
    </w:p>
    <w:p>
      <w:pPr>
        <w:spacing w:line="560" w:lineRule="exact"/>
        <w:rPr>
          <w:rFonts w:ascii="楷体" w:eastAsia="楷体" w:cs="楷体_GB2312" w:hAnsi="楷体"/>
          <w:sz w:val="32"/>
          <w:szCs w:val="32"/>
        </w:rPr>
      </w:pPr>
      <w:r>
        <w:rPr>
          <w:rFonts w:ascii="仿宋" w:eastAsia="仿宋" w:cs="楷体_GB2312" w:hAnsi="仿宋" w:hint="eastAsia"/>
          <w:b/>
          <w:bCs/>
          <w:sz w:val="32"/>
          <w:szCs w:val="32"/>
        </w:rPr>
        <w:t xml:space="preserve">    </w:t>
      </w:r>
      <w:r>
        <w:rPr>
          <w:rFonts w:ascii="楷体" w:eastAsia="楷体" w:cs="楷体_GB2312" w:hAnsi="楷体" w:hint="eastAsia"/>
          <w:bCs/>
          <w:sz w:val="32"/>
          <w:szCs w:val="32"/>
        </w:rPr>
        <w:t>（一）自评的组织工作</w:t>
      </w:r>
    </w:p>
    <w:p>
      <w:pPr>
        <w:pStyle w:val="107"/>
        <w:adjustRightInd w:val="0"/>
        <w:snapToGrid w:val="0"/>
        <w:spacing w:line="560" w:lineRule="exact"/>
        <w:rPr>
          <w:rFonts w:ascii="仿宋_GB2312" w:eastAsia="仿宋_GB2312" w:cs="仿宋_GB2312" w:hAnsi="仿宋_GB2312" w:hint="eastAsia"/>
          <w:sz w:val="32"/>
          <w:szCs w:val="32"/>
        </w:rPr>
      </w:pPr>
      <w:r>
        <w:rPr>
          <w:rFonts w:ascii="仿宋_GB2312" w:eastAsia="仿宋_GB2312" w:cs="仿宋_GB2312" w:hAnsi="仿宋_GB2312" w:hint="eastAsia"/>
          <w:sz w:val="32"/>
          <w:szCs w:val="32"/>
        </w:rPr>
        <w:t>我单位为推进本年度预算绩效评价工作，成立绩效工作组，其中由单位主要负责人任组长，财务主管任副组长，相关股室人员为成员。</w:t>
      </w:r>
    </w:p>
    <w:p>
      <w:pPr>
        <w:pStyle w:val="107"/>
        <w:adjustRightInd w:val="0"/>
        <w:snapToGrid w:val="0"/>
        <w:spacing w:line="560" w:lineRule="exact"/>
        <w:rPr>
          <w:rFonts w:ascii="仿宋_GB2312" w:eastAsia="仿宋_GB2312" w:cs="仿宋_GB2312" w:hAnsi="仿宋_GB2312" w:hint="eastAsia"/>
          <w:sz w:val="32"/>
          <w:szCs w:val="32"/>
        </w:rPr>
      </w:pPr>
      <w:r>
        <w:rPr>
          <w:rFonts w:ascii="仿宋_GB2312" w:eastAsia="仿宋_GB2312" w:cs="仿宋_GB2312" w:hAnsi="仿宋_GB2312" w:hint="eastAsia"/>
          <w:sz w:val="32"/>
          <w:szCs w:val="32"/>
        </w:rPr>
        <w:t>按照通知要求，评</w:t>
      </w:r>
      <w:bookmarkStart w:id="0" w:name="_Hlk43651802"/>
      <w:r>
        <w:rPr>
          <w:rFonts w:ascii="仿宋_GB2312" w:eastAsia="仿宋_GB2312" w:cs="仿宋_GB2312" w:hAnsi="仿宋_GB2312" w:hint="eastAsia"/>
          <w:sz w:val="32"/>
          <w:szCs w:val="32"/>
        </w:rPr>
        <w:t>价工作组制定自评工作方案，明确评价内容、评价程序及时间安排。组织相关人员召开专题会议，传达自评价工作要求和部署各项工作安排。全面收集评价所需基础信息资料并对资料进行分类整理、审查和分析</w:t>
      </w:r>
      <w:bookmarkEnd w:id="0"/>
      <w:r>
        <w:rPr>
          <w:rFonts w:ascii="仿宋_GB2312" w:eastAsia="仿宋_GB2312" w:cs="仿宋_GB2312" w:hAnsi="仿宋_GB2312" w:hint="eastAsia"/>
          <w:sz w:val="32"/>
          <w:szCs w:val="32"/>
        </w:rPr>
        <w:t>。</w:t>
      </w:r>
    </w:p>
    <w:p>
      <w:pPr>
        <w:spacing w:line="560" w:lineRule="exact"/>
        <w:ind w:firstLineChars="200" w:firstLine="640"/>
        <w:rPr>
          <w:rFonts w:ascii="楷体" w:eastAsia="楷体" w:cs="楷体_GB2312" w:hAnsi="楷体" w:hint="eastAsia"/>
          <w:bCs/>
          <w:sz w:val="32"/>
          <w:szCs w:val="32"/>
        </w:rPr>
      </w:pPr>
      <w:r>
        <w:rPr>
          <w:rFonts w:ascii="楷体" w:eastAsia="楷体" w:cs="楷体_GB2312" w:hAnsi="楷体" w:hint="eastAsia"/>
          <w:bCs/>
          <w:sz w:val="32"/>
          <w:szCs w:val="32"/>
        </w:rPr>
        <w:t>（二）自评的方法和过程</w:t>
      </w:r>
    </w:p>
    <w:p>
      <w:pPr>
        <w:pStyle w:val="107"/>
        <w:adjustRightInd w:val="0"/>
        <w:snapToGrid w:val="0"/>
        <w:spacing w:line="560" w:lineRule="exact"/>
        <w:rPr>
          <w:rFonts w:ascii="仿宋_GB2312" w:eastAsia="仿宋_GB2312" w:cs="仿宋_GB2312" w:hAnsi="仿宋_GB2312" w:hint="eastAsia"/>
          <w:sz w:val="32"/>
          <w:szCs w:val="32"/>
        </w:rPr>
      </w:pPr>
      <w:r>
        <w:rPr>
          <w:rFonts w:ascii="仿宋_GB2312" w:eastAsia="仿宋_GB2312" w:cs="仿宋_GB2312" w:hAnsi="仿宋_GB2312" w:hint="eastAsia"/>
          <w:sz w:val="32"/>
          <w:szCs w:val="32"/>
        </w:rPr>
        <w:t>自评方法：</w:t>
      </w:r>
    </w:p>
    <w:p>
      <w:pPr>
        <w:pStyle w:val="107"/>
        <w:adjustRightInd w:val="0"/>
        <w:snapToGrid w:val="0"/>
        <w:spacing w:line="560" w:lineRule="exact"/>
        <w:rPr>
          <w:rFonts w:ascii="仿宋_GB2312" w:eastAsia="仿宋_GB2312" w:cs="仿宋_GB2312" w:hAnsi="仿宋_GB2312" w:hint="eastAsia"/>
          <w:sz w:val="32"/>
          <w:szCs w:val="32"/>
        </w:rPr>
      </w:pPr>
      <w:r>
        <w:rPr>
          <w:rFonts w:ascii="仿宋_GB2312" w:eastAsia="仿宋_GB2312" w:cs="仿宋_GB2312" w:hAnsi="仿宋_GB2312" w:hint="eastAsia"/>
          <w:sz w:val="32"/>
          <w:szCs w:val="32"/>
        </w:rPr>
        <w:t>1.科学公正原则。此次绩效自评运用科学合理的方法，按照规范的程序，对我部门整体预算资金使用绩效进行客观、公正的反映。</w:t>
      </w:r>
    </w:p>
    <w:p>
      <w:pPr>
        <w:pStyle w:val="107"/>
        <w:adjustRightInd w:val="0"/>
        <w:snapToGrid w:val="0"/>
        <w:spacing w:line="560" w:lineRule="exact"/>
        <w:rPr>
          <w:rFonts w:ascii="仿宋_GB2312" w:eastAsia="仿宋_GB2312" w:cs="仿宋_GB2312" w:hAnsi="仿宋_GB2312" w:hint="eastAsia"/>
          <w:sz w:val="32"/>
          <w:szCs w:val="32"/>
        </w:rPr>
      </w:pPr>
      <w:r>
        <w:rPr>
          <w:rFonts w:ascii="仿宋_GB2312" w:eastAsia="仿宋_GB2312" w:cs="仿宋_GB2312" w:hAnsi="仿宋_GB2312" w:hint="eastAsia"/>
          <w:sz w:val="32"/>
          <w:szCs w:val="32"/>
        </w:rPr>
        <w:t>2.统筹兼顾原则。单位自评、部门自评和财政自评应职责明确，各有侧重，相互衔接，绩效自评结果将上报财政部门作为财政自评参考依据。</w:t>
      </w:r>
    </w:p>
    <w:p>
      <w:pPr>
        <w:pStyle w:val="107"/>
        <w:adjustRightInd w:val="0"/>
        <w:snapToGrid w:val="0"/>
        <w:spacing w:line="560" w:lineRule="exact"/>
        <w:rPr>
          <w:rFonts w:ascii="仿宋_GB2312" w:eastAsia="仿宋_GB2312" w:cs="仿宋_GB2312" w:hAnsi="仿宋_GB2312" w:hint="eastAsia"/>
          <w:sz w:val="32"/>
          <w:szCs w:val="32"/>
        </w:rPr>
      </w:pPr>
      <w:r>
        <w:rPr>
          <w:rFonts w:ascii="仿宋_GB2312" w:eastAsia="仿宋_GB2312" w:cs="仿宋_GB2312" w:hAnsi="仿宋_GB2312" w:hint="eastAsia"/>
          <w:sz w:val="32"/>
          <w:szCs w:val="32"/>
        </w:rPr>
        <w:t>3.激励约束原则。此次绩效自评结果与预算安排、政策调整、改进管理实质性挂钩，体现奖优罚劣和激励相容导向，有效安排、低效压减、无效问责。</w:t>
      </w:r>
    </w:p>
    <w:p>
      <w:pPr>
        <w:pStyle w:val="107"/>
        <w:adjustRightInd w:val="0"/>
        <w:snapToGrid w:val="0"/>
        <w:spacing w:line="560" w:lineRule="exact"/>
        <w:rPr>
          <w:rFonts w:ascii="仿宋_GB2312" w:eastAsia="仿宋_GB2312" w:cs="仿宋_GB2312" w:hAnsi="仿宋_GB2312" w:hint="eastAsia"/>
          <w:sz w:val="32"/>
          <w:szCs w:val="32"/>
        </w:rPr>
      </w:pPr>
      <w:r>
        <w:rPr>
          <w:rFonts w:ascii="仿宋_GB2312" w:eastAsia="仿宋_GB2312" w:cs="仿宋_GB2312" w:hAnsi="仿宋_GB2312" w:hint="eastAsia"/>
          <w:sz w:val="32"/>
          <w:szCs w:val="32"/>
        </w:rPr>
        <w:t>4.公开透明原则。此次绩效自评结果应依法依规在政府门户网站进行公开，并自觉接受社会监督。</w:t>
      </w:r>
    </w:p>
    <w:p>
      <w:pPr>
        <w:snapToGrid w:val="0"/>
        <w:spacing w:line="560" w:lineRule="exact"/>
        <w:ind w:firstLineChars="200" w:firstLine="640"/>
        <w:outlineLvl w:val="1"/>
        <w:rPr>
          <w:rFonts w:ascii="楷体" w:eastAsia="楷体" w:cs="楷体" w:hAnsi="楷体"/>
          <w:sz w:val="32"/>
          <w:szCs w:val="32"/>
        </w:rPr>
      </w:pPr>
      <w:bookmarkStart w:id="1" w:name="_Toc14749"/>
      <w:bookmarkStart w:id="2" w:name="_Toc8765"/>
      <w:bookmarkStart w:id="3" w:name="_Toc2163"/>
      <w:r>
        <w:rPr>
          <w:rFonts w:ascii="楷体" w:eastAsia="楷体" w:cs="楷体" w:hAnsi="楷体" w:hint="eastAsia"/>
          <w:sz w:val="32"/>
          <w:szCs w:val="32"/>
        </w:rPr>
        <w:t>绩效自评</w:t>
      </w:r>
      <w:bookmarkEnd w:id="1"/>
      <w:bookmarkEnd w:id="2"/>
      <w:r>
        <w:rPr>
          <w:rFonts w:ascii="楷体" w:eastAsia="楷体" w:cs="楷体" w:hAnsi="楷体" w:hint="eastAsia"/>
          <w:sz w:val="32"/>
          <w:szCs w:val="32"/>
        </w:rPr>
        <w:t>过程</w:t>
      </w:r>
      <w:bookmarkEnd w:id="3"/>
    </w:p>
    <w:p>
      <w:pPr>
        <w:pStyle w:val="107"/>
        <w:adjustRightInd w:val="0"/>
        <w:snapToGrid w:val="0"/>
        <w:spacing w:line="560" w:lineRule="exact"/>
        <w:rPr>
          <w:rFonts w:ascii="仿宋_GB2312" w:eastAsia="仿宋_GB2312" w:cs="仿宋_GB2312" w:hAnsi="仿宋_GB2312" w:hint="eastAsia"/>
          <w:sz w:val="32"/>
          <w:szCs w:val="32"/>
        </w:rPr>
      </w:pPr>
      <w:r>
        <w:rPr>
          <w:rFonts w:ascii="仿宋_GB2312" w:eastAsia="仿宋_GB2312" w:cs="仿宋_GB2312" w:hAnsi="仿宋_GB2312" w:hint="eastAsia"/>
          <w:sz w:val="32"/>
          <w:szCs w:val="32"/>
        </w:rPr>
        <w:t>本次绩效自评将资金使用产出及效益与年初指标值相比较，完成相应指标值的填报；对完成值高于指标值较多的，分析其形成原因，针对评价过程中发现的问题进一步提出相关意见建议，为以后年度我单位履行部门职责作出更好的预算管理和资金安排。</w:t>
      </w:r>
    </w:p>
    <w:p>
      <w:pPr>
        <w:spacing w:line="560" w:lineRule="exact"/>
        <w:rPr>
          <w:rFonts w:ascii="黑体" w:eastAsia="黑体" w:hAnsi="黑体"/>
          <w:b/>
          <w:bCs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 xml:space="preserve">    三、部门整体支出绩效目标实现情况及指标分析</w:t>
      </w:r>
    </w:p>
    <w:p>
      <w:pPr>
        <w:numPr>
          <w:ilvl w:val="0"/>
          <w:numId w:val="1"/>
        </w:numPr>
        <w:spacing w:line="560" w:lineRule="exact"/>
        <w:ind w:left="0" w:firstLineChars="200" w:firstLine="640"/>
        <w:rPr>
          <w:rFonts w:ascii="楷体" w:eastAsia="楷体" w:cs="楷体_GB2312" w:hAnsi="楷体"/>
          <w:bCs/>
          <w:sz w:val="32"/>
          <w:szCs w:val="32"/>
        </w:rPr>
      </w:pPr>
      <w:r>
        <w:rPr>
          <w:rFonts w:ascii="楷体" w:eastAsia="楷体" w:cs="楷体_GB2312" w:hAnsi="楷体" w:hint="eastAsia"/>
          <w:bCs/>
          <w:sz w:val="32"/>
          <w:szCs w:val="32"/>
        </w:rPr>
        <w:t>总体绩效目标实现情况</w:t>
      </w:r>
    </w:p>
    <w:p>
      <w:pPr>
        <w:pStyle w:val="107"/>
        <w:adjustRightInd w:val="0"/>
        <w:snapToGrid w:val="0"/>
        <w:spacing w:line="560" w:lineRule="exact"/>
        <w:rPr>
          <w:rFonts w:ascii="仿宋_GB2312" w:eastAsia="仿宋_GB2312" w:cs="仿宋_GB2312" w:hAnsi="仿宋_GB2312" w:hint="eastAsia"/>
          <w:sz w:val="32"/>
          <w:szCs w:val="32"/>
        </w:rPr>
      </w:pPr>
      <w:r>
        <w:rPr>
          <w:rFonts w:ascii="仿宋_GB2312" w:eastAsia="仿宋_GB2312" w:cs="仿宋_GB2312" w:hAnsi="仿宋_GB2312" w:hint="eastAsia"/>
          <w:sz w:val="32"/>
          <w:szCs w:val="32"/>
        </w:rPr>
        <w:t>2025年区财政局批复我单位2个项目，涉及预算资金25.99万元，年中调整预算数为25.99万元，预算资金支出25.99万元，预算执行率100%。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sz w:val="32"/>
          <w:szCs w:val="32"/>
        </w:rPr>
      </w:pPr>
      <w:r>
        <w:rPr>
          <w:rFonts w:ascii="仿宋_GB2312" w:eastAsia="仿宋_GB2312" w:cs="仿宋_GB2312" w:hAnsi="仿宋_GB2312" w:hint="eastAsia"/>
          <w:color w:val="auto"/>
          <w:kern w:val="0"/>
          <w:sz w:val="32"/>
          <w:szCs w:val="32"/>
          <w:lang w:val="en-US" w:eastAsia="zh-CN"/>
          <w:highlight w:val="auto"/>
        </w:rPr>
        <w:t>202</w:t>
      </w:r>
      <w:r>
        <w:rPr>
          <w:rFonts w:ascii="仿宋_GB2312" w:eastAsia="仿宋_GB2312" w:cs="仿宋_GB2312" w:hAnsi="仿宋_GB2312"/>
          <w:color w:val="auto"/>
          <w:kern w:val="0"/>
          <w:sz w:val="32"/>
          <w:szCs w:val="32"/>
          <w:lang w:val="en-US" w:eastAsia="zh-CN"/>
          <w:highlight w:val="auto"/>
        </w:rPr>
        <w:t>5</w:t>
      </w:r>
      <w:r>
        <w:rPr>
          <w:rFonts w:ascii="仿宋_GB2312" w:eastAsia="仿宋_GB2312" w:cs="仿宋_GB2312" w:hAnsi="仿宋_GB2312" w:hint="eastAsia"/>
          <w:color w:val="auto"/>
          <w:kern w:val="0"/>
          <w:sz w:val="32"/>
          <w:szCs w:val="32"/>
          <w:lang w:val="en-US" w:eastAsia="zh-CN"/>
          <w:highlight w:val="auto"/>
        </w:rPr>
        <w:t>年</w:t>
      </w:r>
      <w:r>
        <w:rPr>
          <w:rFonts w:ascii="仿宋_GB2312" w:eastAsia="仿宋_GB2312" w:cs="仿宋_GB2312" w:hAnsi="仿宋_GB2312"/>
          <w:color w:val="auto"/>
          <w:kern w:val="0"/>
          <w:sz w:val="32"/>
          <w:szCs w:val="32"/>
          <w:lang w:val="en-US" w:eastAsia="zh-CN"/>
          <w:highlight w:val="auto"/>
        </w:rPr>
        <w:t>以来</w:t>
      </w:r>
      <w:r>
        <w:rPr>
          <w:rFonts w:ascii="仿宋_GB2312" w:eastAsia="仿宋_GB2312" w:cs="仿宋_GB2312" w:hAnsi="仿宋_GB2312" w:hint="eastAsia"/>
          <w:color w:val="auto"/>
          <w:kern w:val="0"/>
          <w:sz w:val="32"/>
          <w:szCs w:val="32"/>
          <w:lang w:val="en-US" w:eastAsia="zh-CN"/>
          <w:highlight w:val="auto"/>
        </w:rPr>
        <w:t>，</w:t>
      </w:r>
      <w:r>
        <w:rPr>
          <w:rFonts w:ascii="仿宋_GB2312" w:eastAsia="仿宋_GB2312" w:cs="仿宋_GB2312" w:hAnsi="仿宋_GB2312"/>
          <w:color w:val="auto"/>
          <w:kern w:val="0"/>
          <w:sz w:val="32"/>
          <w:szCs w:val="32"/>
          <w:lang w:val="en-US" w:eastAsia="zh-CN"/>
          <w:highlight w:val="auto"/>
        </w:rPr>
        <w:t>在区委的正确领导下，区委社会工作部</w:t>
      </w:r>
      <w:r>
        <w:rPr>
          <w:rFonts w:ascii="仿宋_GB2312" w:eastAsia="仿宋_GB2312" w:cs="仿宋_GB2312" w:hAnsi="仿宋_GB2312" w:hint="eastAsia"/>
          <w:color w:val="auto"/>
          <w:kern w:val="0"/>
          <w:sz w:val="32"/>
          <w:szCs w:val="32"/>
          <w:lang w:val="en-US" w:eastAsia="zh-CN"/>
          <w:highlight w:val="auto"/>
        </w:rPr>
        <w:t>坚持以习近平新时代中国特色社会主义思想为指导，</w:t>
      </w:r>
      <w:r>
        <w:rPr>
          <w:rFonts w:ascii="仿宋_GB2312" w:eastAsia="仿宋_GB2312" w:cs="仿宋_GB2312" w:hAnsi="仿宋_GB2312" w:hint="eastAsia"/>
          <w:b w:val="0"/>
          <w:bCs w:val="0"/>
          <w:i w:val="0"/>
          <w:iCs w:val="0"/>
          <w:sz w:val="32"/>
          <w:szCs w:val="32"/>
          <w:lang w:val="en-US" w:eastAsia="zh-CN"/>
        </w:rPr>
        <w:t>深入学习贯彻党的</w:t>
      </w:r>
      <w:r>
        <w:rPr>
          <w:rFonts w:ascii="仿宋_GB2312" w:eastAsia="仿宋_GB2312" w:cs="仿宋_GB2312" w:hAnsi="仿宋_GB2312"/>
          <w:b w:val="0"/>
          <w:bCs w:val="0"/>
          <w:i w:val="0"/>
          <w:iCs w:val="0"/>
          <w:sz w:val="32"/>
          <w:szCs w:val="32"/>
          <w:lang w:val="en-US" w:eastAsia="zh-CN"/>
        </w:rPr>
        <w:t>二十届三中全会</w:t>
      </w:r>
      <w:r>
        <w:rPr>
          <w:rFonts w:ascii="仿宋_GB2312" w:eastAsia="仿宋_GB2312" w:cs="仿宋_GB2312" w:hAnsi="仿宋_GB2312" w:hint="eastAsia"/>
          <w:b w:val="0"/>
          <w:bCs w:val="0"/>
          <w:i w:val="0"/>
          <w:iCs w:val="0"/>
          <w:sz w:val="32"/>
          <w:szCs w:val="32"/>
          <w:lang w:val="en-US" w:eastAsia="zh-CN"/>
        </w:rPr>
        <w:t>精神，</w:t>
      </w:r>
      <w:r>
        <w:rPr>
          <w:rFonts w:ascii="仿宋_GB2312" w:eastAsia="仿宋_GB2312" w:cs="仿宋_GB2312" w:hAnsi="仿宋_GB2312" w:hint="eastAsia"/>
          <w:b w:val="0"/>
          <w:bCs w:val="0"/>
          <w:sz w:val="32"/>
          <w:szCs w:val="32"/>
        </w:rPr>
        <w:t>明确“一条主线，</w:t>
      </w:r>
      <w:r>
        <w:rPr>
          <w:rFonts w:ascii="仿宋_GB2312" w:eastAsia="仿宋_GB2312" w:cs="仿宋_GB2312" w:hAnsi="仿宋_GB2312" w:hint="eastAsia"/>
          <w:b w:val="0"/>
          <w:bCs w:val="0"/>
          <w:sz w:val="32"/>
          <w:szCs w:val="32"/>
          <w:lang w:eastAsia="zh-CN"/>
        </w:rPr>
        <w:t>三</w:t>
      </w:r>
      <w:r>
        <w:rPr>
          <w:rFonts w:ascii="仿宋_GB2312" w:eastAsia="仿宋_GB2312" w:cs="仿宋_GB2312" w:hAnsi="仿宋_GB2312" w:hint="eastAsia"/>
          <w:b w:val="0"/>
          <w:bCs w:val="0"/>
          <w:sz w:val="32"/>
          <w:szCs w:val="32"/>
        </w:rPr>
        <w:t>个聚焦”的工作理念，即:以坚持党的全面领导为主线，</w:t>
      </w:r>
      <w:r>
        <w:rPr>
          <w:rFonts w:ascii="仿宋_GB2312" w:eastAsia="仿宋_GB2312" w:cs="仿宋_GB2312" w:hAnsi="仿宋_GB2312"/>
          <w:b w:val="0"/>
          <w:bCs w:val="0"/>
          <w:sz w:val="32"/>
          <w:szCs w:val="32"/>
        </w:rPr>
        <w:t>聚焦</w:t>
      </w:r>
      <w:r>
        <w:rPr>
          <w:rFonts w:ascii="仿宋_GB2312" w:eastAsia="仿宋_GB2312" w:cs="仿宋_GB2312" w:hAnsi="仿宋_GB2312" w:hint="eastAsia"/>
          <w:b w:val="0"/>
          <w:bCs w:val="0"/>
          <w:sz w:val="32"/>
          <w:szCs w:val="32"/>
        </w:rPr>
        <w:t>“两企三新”党建、党建引领基层治理、志愿服务</w:t>
      </w:r>
      <w:r>
        <w:rPr>
          <w:rFonts w:ascii="仿宋_GB2312" w:eastAsia="仿宋_GB2312" w:cs="仿宋_GB2312" w:hAnsi="仿宋_GB2312"/>
          <w:b w:val="0"/>
          <w:bCs w:val="0"/>
          <w:sz w:val="32"/>
          <w:szCs w:val="32"/>
        </w:rPr>
        <w:t>队伍建设和社会工作人才队伍建设三</w:t>
      </w:r>
      <w:r>
        <w:rPr>
          <w:rFonts w:ascii="仿宋_GB2312" w:eastAsia="仿宋_GB2312" w:cs="仿宋_GB2312" w:hAnsi="仿宋_GB2312" w:hint="eastAsia"/>
          <w:b w:val="0"/>
          <w:bCs w:val="0"/>
          <w:sz w:val="32"/>
          <w:szCs w:val="32"/>
        </w:rPr>
        <w:t>项工作，</w:t>
      </w:r>
      <w:r>
        <w:rPr>
          <w:rFonts w:ascii="仿宋_GB2312" w:eastAsia="仿宋_GB2312" w:cs="仿宋_GB2312" w:hAnsi="仿宋_GB2312" w:hint="eastAsia"/>
          <w:b w:val="0"/>
          <w:bCs w:val="0"/>
          <w:i w:val="0"/>
          <w:iCs w:val="0"/>
          <w:sz w:val="32"/>
          <w:szCs w:val="32"/>
          <w:lang w:val="en-US" w:eastAsia="zh-CN"/>
        </w:rPr>
        <w:t>勇于开拓、履职尽责，</w:t>
      </w:r>
      <w:r>
        <w:rPr>
          <w:rFonts w:ascii="仿宋_GB2312" w:eastAsia="仿宋_GB2312" w:cs="仿宋_GB2312" w:hAnsi="仿宋_GB2312" w:hint="eastAsia"/>
          <w:b w:val="0"/>
          <w:bCs w:val="0"/>
          <w:sz w:val="32"/>
          <w:szCs w:val="32"/>
        </w:rPr>
        <w:t>不断提升社会</w:t>
      </w:r>
      <w:r>
        <w:rPr>
          <w:rFonts w:ascii="仿宋_GB2312" w:eastAsia="仿宋_GB2312" w:cs="仿宋_GB2312" w:hAnsi="仿宋_GB2312"/>
          <w:b w:val="0"/>
          <w:bCs w:val="0"/>
          <w:sz w:val="32"/>
          <w:szCs w:val="32"/>
        </w:rPr>
        <w:t>工作</w:t>
      </w:r>
      <w:r>
        <w:rPr>
          <w:rFonts w:ascii="仿宋_GB2312" w:eastAsia="仿宋_GB2312" w:cs="仿宋_GB2312" w:hAnsi="仿宋_GB2312" w:hint="eastAsia"/>
          <w:b w:val="0"/>
          <w:bCs w:val="0"/>
          <w:sz w:val="32"/>
          <w:szCs w:val="32"/>
        </w:rPr>
        <w:t>水平。</w:t>
      </w:r>
      <w:r>
        <w:rPr>
          <w:rFonts w:ascii="仿宋_GB2312" w:eastAsia="仿宋_GB2312" w:cs="仿宋_GB2312" w:hAnsi="仿宋_GB2312" w:hint="eastAsia"/>
          <w:b w:val="0"/>
          <w:bCs w:val="0"/>
          <w:i w:val="0"/>
          <w:iCs w:val="0"/>
          <w:sz w:val="32"/>
          <w:szCs w:val="32"/>
          <w:lang w:val="en-US" w:eastAsia="zh-CN"/>
        </w:rPr>
        <w:t>较好的完成了区委安排的各项任务。</w:t>
      </w:r>
    </w:p>
    <w:p>
      <w:pPr>
        <w:spacing w:line="560" w:lineRule="exact"/>
        <w:rPr>
          <w:rFonts w:ascii="楷体" w:eastAsia="楷体" w:hAnsi="楷体"/>
          <w:bCs/>
          <w:sz w:val="32"/>
          <w:szCs w:val="32"/>
        </w:rPr>
      </w:pPr>
      <w:r>
        <w:rPr>
          <w:rFonts w:ascii="仿宋" w:eastAsia="仿宋" w:cs="楷体_GB2312" w:hAnsi="仿宋" w:hint="eastAsia"/>
          <w:b/>
          <w:bCs/>
          <w:sz w:val="32"/>
          <w:szCs w:val="32"/>
        </w:rPr>
        <w:t xml:space="preserve">    </w:t>
      </w:r>
      <w:r>
        <w:rPr>
          <w:rFonts w:ascii="楷体" w:eastAsia="楷体" w:cs="楷体_GB2312" w:hAnsi="楷体" w:hint="eastAsia"/>
          <w:bCs/>
          <w:sz w:val="32"/>
          <w:szCs w:val="32"/>
        </w:rPr>
        <w:t>（二）分项绩效目标实现情况及指标分析</w:t>
      </w:r>
    </w:p>
    <w:p>
      <w:pPr>
        <w:pStyle w:val="107"/>
        <w:adjustRightInd w:val="0"/>
        <w:snapToGrid w:val="0"/>
        <w:spacing w:line="560" w:lineRule="exact"/>
        <w:rPr>
          <w:rFonts w:ascii="仿宋_GB2312" w:eastAsia="仿宋_GB2312" w:cs="仿宋_GB2312" w:hAnsi="仿宋_GB2312" w:hint="eastAsia"/>
          <w:sz w:val="32"/>
          <w:szCs w:val="32"/>
        </w:rPr>
      </w:pPr>
      <w:r>
        <w:rPr>
          <w:rFonts w:ascii="仿宋_GB2312" w:eastAsia="仿宋_GB2312" w:cs="仿宋_GB2312" w:hAnsi="仿宋_GB2312" w:hint="eastAsia"/>
          <w:sz w:val="32"/>
          <w:szCs w:val="32"/>
        </w:rPr>
        <w:t>1、</w:t>
      </w:r>
      <w:r>
        <w:rPr>
          <w:rFonts w:ascii="仿宋_GB2312" w:eastAsia="仿宋_GB2312" w:cs="仿宋_GB2312" w:hAnsi="仿宋_GB2312"/>
          <w:sz w:val="32"/>
          <w:szCs w:val="32"/>
        </w:rPr>
        <w:t>社会工作经费0.99万</w:t>
      </w:r>
      <w:r>
        <w:rPr>
          <w:rFonts w:ascii="仿宋_GB2312" w:eastAsia="仿宋_GB2312" w:cs="仿宋_GB2312" w:hAnsi="仿宋_GB2312" w:hint="eastAsia"/>
          <w:sz w:val="32"/>
          <w:szCs w:val="32"/>
        </w:rPr>
        <w:t>元，用于</w:t>
      </w:r>
      <w:r>
        <w:rPr>
          <w:rFonts w:ascii="仿宋_GB2312" w:eastAsia="仿宋_GB2312" w:cs="仿宋_GB2312" w:hAnsi="仿宋_GB2312"/>
          <w:sz w:val="32"/>
          <w:szCs w:val="32"/>
        </w:rPr>
        <w:t>保障社会工作部日常工作顺利完成</w:t>
      </w:r>
      <w:r>
        <w:rPr>
          <w:rFonts w:ascii="仿宋_GB2312" w:eastAsia="仿宋_GB2312" w:cs="仿宋_GB2312" w:hAnsi="仿宋_GB2312" w:hint="eastAsia"/>
          <w:sz w:val="32"/>
          <w:szCs w:val="32"/>
        </w:rPr>
        <w:t>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cs="仿宋_GB2312" w:hAnsi="仿宋_GB2312"/>
          <w:sz w:val="32"/>
          <w:szCs w:val="32"/>
        </w:rPr>
      </w:pPr>
      <w:r>
        <w:rPr>
          <w:rFonts w:ascii="仿宋_GB2312" w:eastAsia="仿宋_GB2312" w:cs="仿宋_GB2312" w:hAnsi="仿宋_GB2312" w:hint="eastAsia"/>
          <w:sz w:val="32"/>
          <w:szCs w:val="32"/>
        </w:rPr>
        <w:t>产出指标目标分值40分，自评得分</w:t>
      </w:r>
      <w:r>
        <w:rPr>
          <w:rFonts w:ascii="仿宋_GB2312" w:eastAsia="仿宋_GB2312" w:cs="仿宋_GB2312" w:hAnsi="仿宋_GB2312"/>
          <w:sz w:val="32"/>
          <w:szCs w:val="32"/>
        </w:rPr>
        <w:t>38</w:t>
      </w:r>
      <w:r>
        <w:rPr>
          <w:rFonts w:ascii="仿宋_GB2312" w:eastAsia="仿宋_GB2312" w:cs="仿宋_GB2312" w:hAnsi="仿宋_GB2312" w:hint="eastAsia"/>
          <w:sz w:val="32"/>
          <w:szCs w:val="32"/>
        </w:rPr>
        <w:t>分，其中数量指标为：①</w:t>
      </w:r>
      <w:r>
        <w:rPr>
          <w:rFonts w:ascii="仿宋_GB2312" w:eastAsia="仿宋_GB2312" w:cs="仿宋_GB2312" w:hAnsi="仿宋_GB2312"/>
          <w:sz w:val="32"/>
          <w:szCs w:val="32"/>
        </w:rPr>
        <w:t>保障人员数量</w:t>
      </w:r>
      <w:r>
        <w:rPr>
          <w:rFonts w:ascii="仿宋_GB2312" w:eastAsia="仿宋_GB2312" w:cs="仿宋_GB2312" w:hAnsi="仿宋_GB2312" w:hint="eastAsia"/>
          <w:sz w:val="32"/>
          <w:szCs w:val="32"/>
        </w:rPr>
        <w:t>≥</w:t>
      </w:r>
      <w:r>
        <w:rPr>
          <w:rFonts w:ascii="仿宋_GB2312" w:eastAsia="仿宋_GB2312" w:cs="仿宋_GB2312" w:hAnsi="仿宋_GB2312"/>
          <w:sz w:val="32"/>
          <w:szCs w:val="32"/>
        </w:rPr>
        <w:t>5</w:t>
      </w:r>
      <w:r>
        <w:rPr>
          <w:rFonts w:ascii="仿宋_GB2312" w:eastAsia="仿宋_GB2312" w:cs="仿宋_GB2312" w:hAnsi="仿宋_GB2312" w:hint="eastAsia"/>
          <w:sz w:val="32"/>
          <w:szCs w:val="32"/>
        </w:rPr>
        <w:t>，实际完成值为</w:t>
      </w:r>
      <w:r>
        <w:rPr>
          <w:rFonts w:ascii="仿宋_GB2312" w:eastAsia="仿宋_GB2312" w:cs="仿宋_GB2312" w:hAnsi="仿宋_GB2312"/>
          <w:sz w:val="32"/>
          <w:szCs w:val="32"/>
        </w:rPr>
        <w:t>8</w:t>
      </w:r>
      <w:bookmarkStart w:id="4" w:name="_GoBack"/>
      <w:bookmarkEnd w:id="4"/>
      <w:r>
        <w:rPr>
          <w:rFonts w:ascii="仿宋_GB2312" w:eastAsia="仿宋_GB2312" w:cs="仿宋_GB2312" w:hAnsi="仿宋_GB2312" w:hint="eastAsia"/>
          <w:sz w:val="32"/>
          <w:szCs w:val="32"/>
        </w:rPr>
        <w:t>人，自评得分</w:t>
      </w:r>
      <w:r>
        <w:rPr>
          <w:rFonts w:ascii="仿宋_GB2312" w:eastAsia="仿宋_GB2312" w:cs="仿宋_GB2312" w:hAnsi="仿宋_GB2312"/>
          <w:sz w:val="32"/>
          <w:szCs w:val="32"/>
        </w:rPr>
        <w:t>10</w:t>
      </w:r>
      <w:r>
        <w:rPr>
          <w:rFonts w:ascii="仿宋_GB2312" w:eastAsia="仿宋_GB2312" w:cs="仿宋_GB2312" w:hAnsi="仿宋_GB2312" w:hint="eastAsia"/>
          <w:sz w:val="32"/>
          <w:szCs w:val="32"/>
        </w:rPr>
        <w:t>分</w:t>
      </w:r>
      <w:r>
        <w:rPr>
          <w:rFonts w:ascii="仿宋_GB2312" w:eastAsia="仿宋_GB2312" w:cs="仿宋_GB2312" w:hAnsi="仿宋_GB2312"/>
          <w:sz w:val="32"/>
          <w:szCs w:val="32"/>
        </w:rPr>
        <w:t>。</w:t>
      </w:r>
      <w:r>
        <w:rPr>
          <w:rFonts w:ascii="仿宋_GB2312" w:eastAsia="仿宋_GB2312" w:cs="仿宋_GB2312" w:hAnsi="仿宋_GB2312" w:hint="eastAsia"/>
          <w:sz w:val="32"/>
          <w:szCs w:val="32"/>
        </w:rPr>
        <w:t>质量指标为: ①</w:t>
      </w:r>
      <w:r>
        <w:rPr>
          <w:rFonts w:ascii="仿宋_GB2312" w:eastAsia="仿宋_GB2312" w:cs="仿宋_GB2312" w:hAnsi="仿宋_GB2312"/>
          <w:sz w:val="32"/>
          <w:szCs w:val="32"/>
        </w:rPr>
        <w:t>人员正常工作率</w:t>
      </w:r>
      <w:r>
        <w:rPr>
          <w:rFonts w:ascii="仿宋_GB2312" w:eastAsia="仿宋_GB2312" w:cs="仿宋_GB2312" w:hAnsi="仿宋_GB2312" w:hint="eastAsia"/>
          <w:sz w:val="32"/>
          <w:szCs w:val="32"/>
        </w:rPr>
        <w:t>≥9</w:t>
      </w:r>
      <w:r>
        <w:rPr>
          <w:rFonts w:ascii="仿宋_GB2312" w:eastAsia="仿宋_GB2312" w:cs="仿宋_GB2312" w:hAnsi="仿宋_GB2312"/>
          <w:sz w:val="32"/>
          <w:szCs w:val="32"/>
        </w:rPr>
        <w:t>5</w:t>
      </w:r>
      <w:r>
        <w:rPr>
          <w:rFonts w:ascii="仿宋_GB2312" w:eastAsia="仿宋_GB2312" w:cs="仿宋_GB2312" w:hAnsi="仿宋_GB2312" w:hint="eastAsia"/>
          <w:sz w:val="32"/>
          <w:szCs w:val="32"/>
        </w:rPr>
        <w:t>%，实际完成值为</w:t>
      </w:r>
      <w:r>
        <w:rPr>
          <w:rFonts w:ascii="仿宋_GB2312" w:eastAsia="仿宋_GB2312" w:cs="仿宋_GB2312" w:hAnsi="仿宋_GB2312"/>
          <w:sz w:val="32"/>
          <w:szCs w:val="32"/>
        </w:rPr>
        <w:t>100</w:t>
      </w:r>
      <w:r>
        <w:rPr>
          <w:rFonts w:ascii="仿宋_GB2312" w:eastAsia="仿宋_GB2312" w:cs="仿宋_GB2312" w:hAnsi="仿宋_GB2312" w:hint="eastAsia"/>
          <w:sz w:val="32"/>
          <w:szCs w:val="32"/>
        </w:rPr>
        <w:t>%，自评得分</w:t>
      </w:r>
      <w:r>
        <w:rPr>
          <w:rFonts w:ascii="仿宋_GB2312" w:eastAsia="仿宋_GB2312" w:cs="仿宋_GB2312" w:hAnsi="仿宋_GB2312"/>
          <w:sz w:val="32"/>
          <w:szCs w:val="32"/>
        </w:rPr>
        <w:t>10</w:t>
      </w:r>
      <w:r>
        <w:rPr>
          <w:rFonts w:ascii="仿宋_GB2312" w:eastAsia="仿宋_GB2312" w:cs="仿宋_GB2312" w:hAnsi="仿宋_GB2312" w:hint="eastAsia"/>
          <w:sz w:val="32"/>
          <w:szCs w:val="32"/>
        </w:rPr>
        <w:t>分</w:t>
      </w:r>
      <w:r>
        <w:rPr>
          <w:rFonts w:ascii="仿宋_GB2312" w:eastAsia="仿宋_GB2312" w:cs="仿宋_GB2312" w:hAnsi="仿宋_GB2312"/>
          <w:sz w:val="32"/>
          <w:szCs w:val="32"/>
        </w:rPr>
        <w:t>。时效</w:t>
      </w:r>
      <w:r>
        <w:rPr>
          <w:rFonts w:ascii="仿宋_GB2312" w:eastAsia="仿宋_GB2312" w:cs="仿宋_GB2312" w:hAnsi="仿宋_GB2312" w:hint="eastAsia"/>
          <w:sz w:val="32"/>
          <w:szCs w:val="32"/>
        </w:rPr>
        <w:t>指标为：①</w:t>
      </w:r>
      <w:r>
        <w:rPr>
          <w:rFonts w:ascii="仿宋_GB2312" w:eastAsia="仿宋_GB2312" w:cs="仿宋_GB2312" w:hAnsi="仿宋_GB2312"/>
          <w:sz w:val="32"/>
          <w:szCs w:val="32"/>
        </w:rPr>
        <w:t>任务完成及时率</w:t>
      </w:r>
      <w:r>
        <w:rPr>
          <w:rFonts w:ascii="仿宋_GB2312" w:eastAsia="仿宋_GB2312" w:cs="仿宋_GB2312" w:hAnsi="仿宋_GB2312" w:hint="eastAsia"/>
          <w:sz w:val="32"/>
          <w:szCs w:val="32"/>
        </w:rPr>
        <w:t>≥9</w:t>
      </w:r>
      <w:r>
        <w:rPr>
          <w:rFonts w:ascii="仿宋_GB2312" w:eastAsia="仿宋_GB2312" w:cs="仿宋_GB2312" w:hAnsi="仿宋_GB2312"/>
          <w:sz w:val="32"/>
          <w:szCs w:val="32"/>
        </w:rPr>
        <w:t>5</w:t>
      </w:r>
      <w:r>
        <w:rPr>
          <w:rFonts w:ascii="仿宋_GB2312" w:eastAsia="仿宋_GB2312" w:cs="仿宋_GB2312" w:hAnsi="仿宋_GB2312" w:hint="eastAsia"/>
          <w:sz w:val="32"/>
          <w:szCs w:val="32"/>
        </w:rPr>
        <w:t>%，实际完成值为</w:t>
      </w:r>
      <w:r>
        <w:rPr>
          <w:rFonts w:ascii="仿宋_GB2312" w:eastAsia="仿宋_GB2312" w:cs="仿宋_GB2312" w:hAnsi="仿宋_GB2312"/>
          <w:sz w:val="32"/>
          <w:szCs w:val="32"/>
        </w:rPr>
        <w:t>95%</w:t>
      </w:r>
      <w:r>
        <w:rPr>
          <w:rFonts w:ascii="仿宋_GB2312" w:eastAsia="仿宋_GB2312" w:cs="仿宋_GB2312" w:hAnsi="仿宋_GB2312" w:hint="eastAsia"/>
          <w:sz w:val="32"/>
          <w:szCs w:val="32"/>
        </w:rPr>
        <w:t>，自评得分</w:t>
      </w:r>
      <w:r>
        <w:rPr>
          <w:rFonts w:ascii="仿宋_GB2312" w:eastAsia="仿宋_GB2312" w:cs="仿宋_GB2312" w:hAnsi="仿宋_GB2312"/>
          <w:sz w:val="32"/>
          <w:szCs w:val="32"/>
        </w:rPr>
        <w:t>8</w:t>
      </w:r>
      <w:r>
        <w:rPr>
          <w:rFonts w:ascii="仿宋_GB2312" w:eastAsia="仿宋_GB2312" w:cs="仿宋_GB2312" w:hAnsi="仿宋_GB2312" w:hint="eastAsia"/>
          <w:sz w:val="32"/>
          <w:szCs w:val="32"/>
        </w:rPr>
        <w:t>分。</w:t>
      </w:r>
      <w:r>
        <w:rPr>
          <w:rFonts w:ascii="仿宋_GB2312" w:eastAsia="仿宋_GB2312" w:cs="仿宋_GB2312" w:hAnsi="仿宋_GB2312"/>
          <w:sz w:val="32"/>
          <w:szCs w:val="32"/>
        </w:rPr>
        <w:t>成本指标为：</w:t>
      </w:r>
      <w:r>
        <w:rPr>
          <w:rFonts w:ascii="仿宋_GB2312" w:eastAsia="仿宋_GB2312" w:cs="仿宋_GB2312" w:hAnsi="仿宋_GB2312" w:hint="eastAsia"/>
          <w:sz w:val="32"/>
          <w:szCs w:val="32"/>
        </w:rPr>
        <w:t>①</w:t>
      </w:r>
      <w:r>
        <w:rPr>
          <w:rFonts w:ascii="仿宋_GB2312" w:eastAsia="仿宋_GB2312" w:cs="仿宋_GB2312" w:hAnsi="仿宋_GB2312"/>
          <w:sz w:val="32"/>
          <w:szCs w:val="32"/>
        </w:rPr>
        <w:t>部门正常运转率</w:t>
      </w:r>
      <w:r>
        <w:rPr>
          <w:rFonts w:ascii="仿宋_GB2312" w:eastAsia="仿宋_GB2312" w:cs="仿宋_GB2312" w:hAnsi="仿宋_GB2312" w:hint="eastAsia"/>
          <w:sz w:val="32"/>
          <w:szCs w:val="32"/>
        </w:rPr>
        <w:t>≥95%</w:t>
      </w:r>
      <w:r>
        <w:rPr>
          <w:rFonts w:ascii="仿宋_GB2312" w:eastAsia="仿宋_GB2312" w:cs="仿宋_GB2312" w:hAnsi="仿宋_GB2312"/>
          <w:sz w:val="32"/>
          <w:szCs w:val="32"/>
        </w:rPr>
        <w:t>，</w:t>
      </w:r>
      <w:r>
        <w:rPr>
          <w:rFonts w:ascii="仿宋_GB2312" w:eastAsia="仿宋_GB2312" w:cs="仿宋_GB2312" w:hAnsi="仿宋_GB2312" w:hint="eastAsia"/>
          <w:sz w:val="32"/>
          <w:szCs w:val="32"/>
        </w:rPr>
        <w:t>实际完成值为</w:t>
      </w:r>
      <w:r>
        <w:rPr>
          <w:rFonts w:ascii="仿宋_GB2312" w:eastAsia="仿宋_GB2312" w:cs="仿宋_GB2312" w:hAnsi="仿宋_GB2312"/>
          <w:sz w:val="32"/>
          <w:szCs w:val="32"/>
        </w:rPr>
        <w:t>100</w:t>
      </w:r>
      <w:r>
        <w:rPr>
          <w:rFonts w:ascii="仿宋_GB2312" w:eastAsia="仿宋_GB2312" w:cs="仿宋_GB2312" w:hAnsi="仿宋_GB2312" w:hint="eastAsia"/>
          <w:sz w:val="32"/>
          <w:szCs w:val="32"/>
        </w:rPr>
        <w:t>%</w:t>
      </w:r>
      <w:r>
        <w:rPr>
          <w:rFonts w:ascii="仿宋_GB2312" w:eastAsia="仿宋_GB2312" w:cs="仿宋_GB2312" w:hAnsi="仿宋_GB2312"/>
          <w:sz w:val="32"/>
          <w:szCs w:val="32"/>
        </w:rPr>
        <w:t>，</w:t>
      </w:r>
      <w:r>
        <w:rPr>
          <w:rFonts w:ascii="仿宋_GB2312" w:eastAsia="仿宋_GB2312" w:cs="仿宋_GB2312" w:hAnsi="仿宋_GB2312" w:hint="eastAsia"/>
          <w:sz w:val="32"/>
          <w:szCs w:val="32"/>
        </w:rPr>
        <w:t>自评得分</w:t>
      </w:r>
      <w:r>
        <w:rPr>
          <w:rFonts w:ascii="仿宋_GB2312" w:eastAsia="仿宋_GB2312" w:cs="仿宋_GB2312" w:hAnsi="仿宋_GB2312"/>
          <w:sz w:val="32"/>
          <w:szCs w:val="32"/>
        </w:rPr>
        <w:t>10</w:t>
      </w:r>
      <w:r>
        <w:rPr>
          <w:rFonts w:ascii="仿宋_GB2312" w:eastAsia="仿宋_GB2312" w:cs="仿宋_GB2312" w:hAnsi="仿宋_GB2312" w:hint="eastAsia"/>
          <w:sz w:val="32"/>
          <w:szCs w:val="32"/>
        </w:rPr>
        <w:t>分</w:t>
      </w:r>
      <w:r>
        <w:rPr>
          <w:rFonts w:ascii="仿宋_GB2312" w:eastAsia="仿宋_GB2312" w:cs="仿宋_GB2312" w:hAnsi="仿宋_GB2312"/>
          <w:sz w:val="32"/>
          <w:szCs w:val="32"/>
        </w:rPr>
        <w:t>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cs="仿宋_GB2312" w:hAnsi="仿宋_GB2312"/>
          <w:sz w:val="32"/>
          <w:szCs w:val="32"/>
        </w:rPr>
      </w:pPr>
      <w:r>
        <w:rPr>
          <w:rFonts w:ascii="仿宋_GB2312" w:eastAsia="仿宋_GB2312" w:cs="仿宋_GB2312" w:hAnsi="仿宋_GB2312" w:hint="eastAsia"/>
          <w:sz w:val="32"/>
          <w:szCs w:val="32"/>
        </w:rPr>
        <w:t>预算执行率指标目标分值10分，预期指标值≥</w:t>
      </w:r>
      <w:r>
        <w:rPr>
          <w:rFonts w:ascii="仿宋_GB2312" w:eastAsia="仿宋_GB2312" w:cs="仿宋_GB2312" w:hAnsi="仿宋_GB2312"/>
          <w:sz w:val="32"/>
          <w:szCs w:val="32"/>
        </w:rPr>
        <w:t>90</w:t>
      </w:r>
      <w:r>
        <w:rPr>
          <w:rFonts w:ascii="仿宋_GB2312" w:eastAsia="仿宋_GB2312" w:cs="仿宋_GB2312" w:hAnsi="仿宋_GB2312" w:hint="eastAsia"/>
          <w:sz w:val="32"/>
          <w:szCs w:val="32"/>
        </w:rPr>
        <w:t>%，指标完成值100%，自评得分10分。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cs="仿宋_GB2312" w:hAnsi="仿宋_GB2312"/>
          <w:sz w:val="32"/>
          <w:szCs w:val="32"/>
        </w:rPr>
      </w:pPr>
      <w:r>
        <w:rPr>
          <w:rFonts w:ascii="仿宋_GB2312" w:eastAsia="仿宋_GB2312" w:cs="仿宋_GB2312" w:hAnsi="仿宋_GB2312" w:hint="eastAsia"/>
          <w:sz w:val="32"/>
          <w:szCs w:val="32"/>
        </w:rPr>
        <w:t>项目效益目标分值40分，其中社会效益指标为保障工作正常运转，进一步提高工作效率，实际完成值为</w:t>
      </w:r>
      <w:r>
        <w:rPr>
          <w:rFonts w:ascii="仿宋_GB2312" w:eastAsia="仿宋_GB2312" w:cs="仿宋_GB2312" w:hAnsi="仿宋_GB2312"/>
          <w:sz w:val="32"/>
          <w:szCs w:val="32"/>
        </w:rPr>
        <w:t>100%，</w:t>
      </w:r>
      <w:r>
        <w:rPr>
          <w:rFonts w:ascii="仿宋_GB2312" w:eastAsia="仿宋_GB2312" w:cs="仿宋_GB2312" w:hAnsi="仿宋_GB2312" w:hint="eastAsia"/>
          <w:sz w:val="32"/>
          <w:szCs w:val="32"/>
        </w:rPr>
        <w:t>工作效率进一步提高，自评得分</w:t>
      </w:r>
      <w:r>
        <w:rPr>
          <w:rFonts w:ascii="仿宋_GB2312" w:eastAsia="仿宋_GB2312" w:cs="仿宋_GB2312" w:hAnsi="仿宋_GB2312"/>
          <w:sz w:val="32"/>
          <w:szCs w:val="32"/>
        </w:rPr>
        <w:t>40</w:t>
      </w:r>
      <w:r>
        <w:rPr>
          <w:rFonts w:ascii="仿宋_GB2312" w:eastAsia="仿宋_GB2312" w:cs="仿宋_GB2312" w:hAnsi="仿宋_GB2312" w:hint="eastAsia"/>
          <w:sz w:val="32"/>
          <w:szCs w:val="32"/>
        </w:rPr>
        <w:t>分。</w:t>
      </w:r>
    </w:p>
    <w:p>
      <w:pPr>
        <w:spacing w:line="560" w:lineRule="exact"/>
        <w:ind w:firstLineChars="250" w:firstLine="800"/>
        <w:rPr>
          <w:rFonts w:ascii="仿宋_GB2312" w:eastAsia="仿宋_GB2312" w:cs="仿宋_GB2312" w:hAnsi="仿宋_GB2312"/>
          <w:sz w:val="32"/>
          <w:szCs w:val="32"/>
        </w:rPr>
      </w:pPr>
      <w:r>
        <w:rPr>
          <w:rFonts w:ascii="仿宋_GB2312" w:eastAsia="仿宋_GB2312" w:cs="仿宋_GB2312" w:hAnsi="仿宋_GB2312" w:hint="eastAsia"/>
          <w:sz w:val="32"/>
          <w:szCs w:val="32"/>
        </w:rPr>
        <w:t>满意度指标目标分值10分，为</w:t>
      </w:r>
      <w:r>
        <w:rPr>
          <w:rFonts w:ascii="仿宋_GB2312" w:eastAsia="仿宋_GB2312" w:cs="仿宋_GB2312" w:hAnsi="仿宋_GB2312"/>
          <w:sz w:val="32"/>
          <w:szCs w:val="32"/>
        </w:rPr>
        <w:t>群众满意度</w:t>
      </w:r>
      <w:r>
        <w:rPr>
          <w:rFonts w:ascii="仿宋_GB2312" w:eastAsia="仿宋_GB2312" w:cs="仿宋_GB2312" w:hAnsi="仿宋_GB2312" w:hint="eastAsia"/>
          <w:sz w:val="32"/>
          <w:szCs w:val="32"/>
        </w:rPr>
        <w:t>≤95%，实际完成值为9</w:t>
      </w:r>
      <w:r>
        <w:rPr>
          <w:rFonts w:ascii="仿宋_GB2312" w:eastAsia="仿宋_GB2312" w:cs="仿宋_GB2312" w:hAnsi="仿宋_GB2312"/>
          <w:sz w:val="32"/>
          <w:szCs w:val="32"/>
        </w:rPr>
        <w:t>5</w:t>
      </w:r>
      <w:r>
        <w:rPr>
          <w:rFonts w:ascii="仿宋_GB2312" w:eastAsia="仿宋_GB2312" w:cs="仿宋_GB2312" w:hAnsi="仿宋_GB2312" w:hint="eastAsia"/>
          <w:sz w:val="32"/>
          <w:szCs w:val="32"/>
        </w:rPr>
        <w:t>%，自评得分10分。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cs="仿宋_GB2312" w:hAnsi="仿宋_GB2312" w:hint="eastAsia"/>
          <w:sz w:val="32"/>
          <w:szCs w:val="32"/>
          <w:lang w:eastAsia="zh-CN"/>
        </w:rPr>
      </w:pPr>
      <w:r>
        <w:rPr>
          <w:rFonts w:ascii="仿宋_GB2312" w:eastAsia="仿宋_GB2312" w:cs="仿宋_GB2312" w:hAnsi="仿宋_GB2312" w:hint="eastAsia"/>
          <w:sz w:val="32"/>
          <w:szCs w:val="32"/>
        </w:rPr>
        <w:t>2.</w:t>
      </w:r>
      <w:r>
        <w:rPr>
          <w:rFonts w:ascii="仿宋_GB2312" w:eastAsia="仿宋_GB2312" w:cs="仿宋_GB2312" w:hAnsi="仿宋_GB2312" w:hint="eastAsia"/>
          <w:sz w:val="32"/>
          <w:szCs w:val="32"/>
          <w:lang w:eastAsia="zh-CN"/>
        </w:rPr>
        <w:t>石家庄市财政局关于提前下达2024年省级财政城乡社区建设补助预算的通知（石财社[2023]130号）冯家沟办公用房建设项目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cs="仿宋_GB2312" w:hAnsi="仿宋_GB2312"/>
          <w:sz w:val="32"/>
          <w:szCs w:val="32"/>
        </w:rPr>
      </w:pPr>
      <w:r>
        <w:rPr>
          <w:rFonts w:ascii="仿宋_GB2312" w:eastAsia="仿宋_GB2312" w:cs="仿宋_GB2312" w:hAnsi="仿宋_GB2312" w:hint="eastAsia"/>
          <w:sz w:val="32"/>
          <w:szCs w:val="32"/>
        </w:rPr>
        <w:t>产出指标自评40分，自评得分</w:t>
      </w:r>
      <w:r>
        <w:rPr>
          <w:rFonts w:ascii="仿宋_GB2312" w:eastAsia="仿宋_GB2312" w:cs="仿宋_GB2312" w:hAnsi="仿宋_GB2312"/>
          <w:sz w:val="32"/>
          <w:szCs w:val="32"/>
        </w:rPr>
        <w:t>38</w:t>
      </w:r>
      <w:r>
        <w:rPr>
          <w:rFonts w:ascii="仿宋_GB2312" w:eastAsia="仿宋_GB2312" w:cs="仿宋_GB2312" w:hAnsi="仿宋_GB2312" w:hint="eastAsia"/>
          <w:sz w:val="32"/>
          <w:szCs w:val="32"/>
        </w:rPr>
        <w:t>分，其中数量指标为：①</w:t>
      </w:r>
      <w:r>
        <w:rPr>
          <w:rFonts w:ascii="仿宋_GB2312" w:eastAsia="仿宋_GB2312" w:cs="仿宋_GB2312" w:hAnsi="仿宋_GB2312"/>
          <w:sz w:val="32"/>
          <w:szCs w:val="32"/>
        </w:rPr>
        <w:t>补助城乡综合服务设施项目数量</w:t>
      </w:r>
      <w:r>
        <w:rPr>
          <w:rFonts w:ascii="仿宋_GB2312" w:eastAsia="仿宋_GB2312" w:cs="仿宋_GB2312" w:hAnsi="仿宋_GB2312" w:hint="eastAsia"/>
          <w:sz w:val="32"/>
          <w:szCs w:val="32"/>
        </w:rPr>
        <w:t>≥90%，实际完成值为</w:t>
      </w:r>
      <w:r>
        <w:rPr>
          <w:rFonts w:ascii="仿宋_GB2312" w:eastAsia="仿宋_GB2312" w:cs="仿宋_GB2312" w:hAnsi="仿宋_GB2312"/>
          <w:sz w:val="32"/>
          <w:szCs w:val="32"/>
        </w:rPr>
        <w:t>100%</w:t>
      </w:r>
      <w:r>
        <w:rPr>
          <w:rFonts w:ascii="仿宋_GB2312" w:eastAsia="仿宋_GB2312" w:cs="仿宋_GB2312" w:hAnsi="仿宋_GB2312" w:hint="eastAsia"/>
          <w:sz w:val="32"/>
          <w:szCs w:val="32"/>
        </w:rPr>
        <w:t>，自评得分</w:t>
      </w:r>
      <w:r>
        <w:rPr>
          <w:rFonts w:ascii="仿宋_GB2312" w:eastAsia="仿宋_GB2312" w:cs="仿宋_GB2312" w:hAnsi="仿宋_GB2312"/>
          <w:sz w:val="32"/>
          <w:szCs w:val="32"/>
        </w:rPr>
        <w:t>10</w:t>
      </w:r>
      <w:r>
        <w:rPr>
          <w:rFonts w:ascii="仿宋_GB2312" w:eastAsia="仿宋_GB2312" w:cs="仿宋_GB2312" w:hAnsi="仿宋_GB2312" w:hint="eastAsia"/>
          <w:sz w:val="32"/>
          <w:szCs w:val="32"/>
        </w:rPr>
        <w:t>分</w:t>
      </w:r>
      <w:r>
        <w:rPr>
          <w:rFonts w:ascii="仿宋_GB2312" w:eastAsia="仿宋_GB2312" w:cs="仿宋_GB2312" w:hAnsi="仿宋_GB2312"/>
          <w:sz w:val="32"/>
          <w:szCs w:val="32"/>
        </w:rPr>
        <w:t>。</w:t>
      </w:r>
      <w:r>
        <w:rPr>
          <w:rFonts w:ascii="仿宋_GB2312" w:eastAsia="仿宋_GB2312" w:cs="仿宋_GB2312" w:hAnsi="仿宋_GB2312" w:hint="eastAsia"/>
          <w:sz w:val="32"/>
          <w:szCs w:val="32"/>
        </w:rPr>
        <w:t>质量指标为: ①</w:t>
      </w:r>
      <w:r>
        <w:rPr>
          <w:rFonts w:ascii="仿宋_GB2312" w:eastAsia="仿宋_GB2312" w:cs="仿宋_GB2312" w:hAnsi="仿宋_GB2312"/>
          <w:sz w:val="32"/>
          <w:szCs w:val="32"/>
        </w:rPr>
        <w:t>项目验收合格率</w:t>
      </w:r>
      <w:r>
        <w:rPr>
          <w:rFonts w:ascii="仿宋_GB2312" w:eastAsia="仿宋_GB2312" w:cs="仿宋_GB2312" w:hAnsi="仿宋_GB2312" w:hint="eastAsia"/>
          <w:sz w:val="32"/>
          <w:szCs w:val="32"/>
        </w:rPr>
        <w:t>≥90%，实际完成值为</w:t>
      </w:r>
      <w:r>
        <w:rPr>
          <w:rFonts w:ascii="仿宋_GB2312" w:eastAsia="仿宋_GB2312" w:cs="仿宋_GB2312" w:hAnsi="仿宋_GB2312"/>
          <w:sz w:val="32"/>
          <w:szCs w:val="32"/>
        </w:rPr>
        <w:t>100%</w:t>
      </w:r>
      <w:r>
        <w:rPr>
          <w:rFonts w:ascii="仿宋_GB2312" w:eastAsia="仿宋_GB2312" w:cs="仿宋_GB2312" w:hAnsi="仿宋_GB2312" w:hint="eastAsia"/>
          <w:sz w:val="32"/>
          <w:szCs w:val="32"/>
        </w:rPr>
        <w:t>，自评得分</w:t>
      </w:r>
      <w:r>
        <w:rPr>
          <w:rFonts w:ascii="仿宋_GB2312" w:eastAsia="仿宋_GB2312" w:cs="仿宋_GB2312" w:hAnsi="仿宋_GB2312"/>
          <w:sz w:val="32"/>
          <w:szCs w:val="32"/>
        </w:rPr>
        <w:t>10</w:t>
      </w:r>
      <w:r>
        <w:rPr>
          <w:rFonts w:ascii="仿宋_GB2312" w:eastAsia="仿宋_GB2312" w:cs="仿宋_GB2312" w:hAnsi="仿宋_GB2312" w:hint="eastAsia"/>
          <w:sz w:val="32"/>
          <w:szCs w:val="32"/>
        </w:rPr>
        <w:t>分</w:t>
      </w:r>
      <w:r>
        <w:rPr>
          <w:rFonts w:ascii="仿宋_GB2312" w:eastAsia="仿宋_GB2312" w:cs="仿宋_GB2312" w:hAnsi="仿宋_GB2312"/>
          <w:sz w:val="32"/>
          <w:szCs w:val="32"/>
        </w:rPr>
        <w:t>。时效指标为：</w:t>
      </w:r>
      <w:r>
        <w:rPr>
          <w:rFonts w:ascii="仿宋_GB2312" w:eastAsia="仿宋_GB2312" w:cs="仿宋_GB2312" w:hAnsi="仿宋_GB2312" w:hint="eastAsia"/>
          <w:sz w:val="32"/>
          <w:szCs w:val="32"/>
        </w:rPr>
        <w:t>①</w:t>
      </w:r>
      <w:r>
        <w:rPr>
          <w:rFonts w:ascii="仿宋_GB2312" w:eastAsia="仿宋_GB2312" w:cs="仿宋_GB2312" w:hAnsi="仿宋_GB2312"/>
          <w:sz w:val="32"/>
          <w:szCs w:val="32"/>
        </w:rPr>
        <w:t>项目完成时间</w:t>
      </w:r>
      <w:r>
        <w:rPr>
          <w:rFonts w:ascii="仿宋_GB2312" w:eastAsia="仿宋_GB2312" w:cs="仿宋_GB2312" w:hAnsi="仿宋_GB2312" w:hint="eastAsia"/>
          <w:sz w:val="32"/>
          <w:szCs w:val="32"/>
        </w:rPr>
        <w:t>≥90%</w:t>
      </w:r>
      <w:r>
        <w:rPr>
          <w:rFonts w:ascii="仿宋_GB2312" w:eastAsia="仿宋_GB2312" w:cs="仿宋_GB2312" w:hAnsi="仿宋_GB2312"/>
          <w:sz w:val="32"/>
          <w:szCs w:val="32"/>
        </w:rPr>
        <w:t>，</w:t>
      </w:r>
      <w:r>
        <w:rPr>
          <w:rFonts w:ascii="仿宋_GB2312" w:eastAsia="仿宋_GB2312" w:cs="仿宋_GB2312" w:hAnsi="仿宋_GB2312" w:hint="eastAsia"/>
          <w:sz w:val="32"/>
          <w:szCs w:val="32"/>
        </w:rPr>
        <w:t>实际完成值为</w:t>
      </w:r>
      <w:r>
        <w:rPr>
          <w:rFonts w:ascii="仿宋_GB2312" w:eastAsia="仿宋_GB2312" w:cs="仿宋_GB2312" w:hAnsi="仿宋_GB2312"/>
          <w:sz w:val="32"/>
          <w:szCs w:val="32"/>
        </w:rPr>
        <w:t>95%，</w:t>
      </w:r>
      <w:r>
        <w:rPr>
          <w:rFonts w:ascii="仿宋_GB2312" w:eastAsia="仿宋_GB2312" w:cs="仿宋_GB2312" w:hAnsi="仿宋_GB2312" w:hint="eastAsia"/>
          <w:sz w:val="32"/>
          <w:szCs w:val="32"/>
        </w:rPr>
        <w:t>自评得分</w:t>
      </w:r>
      <w:r>
        <w:rPr>
          <w:rFonts w:ascii="仿宋_GB2312" w:eastAsia="仿宋_GB2312" w:cs="仿宋_GB2312" w:hAnsi="仿宋_GB2312"/>
          <w:sz w:val="32"/>
          <w:szCs w:val="32"/>
        </w:rPr>
        <w:t>8</w:t>
      </w:r>
      <w:r>
        <w:rPr>
          <w:rFonts w:ascii="仿宋_GB2312" w:eastAsia="仿宋_GB2312" w:cs="仿宋_GB2312" w:hAnsi="仿宋_GB2312" w:hint="eastAsia"/>
          <w:sz w:val="32"/>
          <w:szCs w:val="32"/>
        </w:rPr>
        <w:t>分</w:t>
      </w:r>
      <w:r>
        <w:rPr>
          <w:rFonts w:ascii="仿宋_GB2312" w:eastAsia="仿宋_GB2312" w:cs="仿宋_GB2312" w:hAnsi="仿宋_GB2312"/>
          <w:sz w:val="32"/>
          <w:szCs w:val="32"/>
        </w:rPr>
        <w:t>。</w:t>
      </w:r>
      <w:r>
        <w:rPr>
          <w:rFonts w:ascii="仿宋_GB2312" w:eastAsia="仿宋_GB2312" w:cs="仿宋_GB2312" w:hAnsi="仿宋_GB2312" w:hint="eastAsia"/>
          <w:sz w:val="32"/>
          <w:szCs w:val="32"/>
        </w:rPr>
        <w:t>成本指标为：①</w:t>
      </w:r>
      <w:r>
        <w:rPr>
          <w:rFonts w:ascii="仿宋_GB2312" w:eastAsia="仿宋_GB2312" w:cs="仿宋_GB2312" w:hAnsi="仿宋_GB2312"/>
          <w:sz w:val="32"/>
          <w:szCs w:val="32"/>
        </w:rPr>
        <w:t>补助标准</w:t>
      </w:r>
      <w:r>
        <w:rPr>
          <w:rFonts w:ascii="仿宋_GB2312" w:eastAsia="仿宋_GB2312" w:cs="仿宋_GB2312" w:hAnsi="仿宋_GB2312" w:hint="eastAsia"/>
          <w:sz w:val="32"/>
          <w:szCs w:val="32"/>
        </w:rPr>
        <w:t>≥9</w:t>
      </w:r>
      <w:r>
        <w:rPr>
          <w:rFonts w:ascii="仿宋_GB2312" w:eastAsia="仿宋_GB2312" w:cs="仿宋_GB2312" w:hAnsi="仿宋_GB2312"/>
          <w:sz w:val="32"/>
          <w:szCs w:val="32"/>
        </w:rPr>
        <w:t>5</w:t>
      </w:r>
      <w:r>
        <w:rPr>
          <w:rFonts w:ascii="仿宋_GB2312" w:eastAsia="仿宋_GB2312" w:cs="仿宋_GB2312" w:hAnsi="仿宋_GB2312" w:hint="eastAsia"/>
          <w:sz w:val="32"/>
          <w:szCs w:val="32"/>
        </w:rPr>
        <w:t>%，实际完成值为</w:t>
      </w:r>
      <w:r>
        <w:rPr>
          <w:rFonts w:ascii="仿宋_GB2312" w:eastAsia="仿宋_GB2312" w:cs="仿宋_GB2312" w:hAnsi="仿宋_GB2312"/>
          <w:sz w:val="32"/>
          <w:szCs w:val="32"/>
        </w:rPr>
        <w:t>100%</w:t>
      </w:r>
      <w:r>
        <w:rPr>
          <w:rFonts w:ascii="仿宋_GB2312" w:eastAsia="仿宋_GB2312" w:cs="仿宋_GB2312" w:hAnsi="仿宋_GB2312" w:hint="eastAsia"/>
          <w:sz w:val="32"/>
          <w:szCs w:val="32"/>
        </w:rPr>
        <w:t>，自评得分</w:t>
      </w:r>
      <w:r>
        <w:rPr>
          <w:rFonts w:ascii="仿宋_GB2312" w:eastAsia="仿宋_GB2312" w:cs="仿宋_GB2312" w:hAnsi="仿宋_GB2312"/>
          <w:sz w:val="32"/>
          <w:szCs w:val="32"/>
        </w:rPr>
        <w:t>10</w:t>
      </w:r>
      <w:r>
        <w:rPr>
          <w:rFonts w:ascii="仿宋_GB2312" w:eastAsia="仿宋_GB2312" w:cs="仿宋_GB2312" w:hAnsi="仿宋_GB2312" w:hint="eastAsia"/>
          <w:sz w:val="32"/>
          <w:szCs w:val="32"/>
        </w:rPr>
        <w:t>分。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cs="仿宋_GB2312" w:hAnsi="仿宋_GB2312"/>
          <w:sz w:val="32"/>
          <w:szCs w:val="32"/>
        </w:rPr>
      </w:pPr>
      <w:r>
        <w:rPr>
          <w:rFonts w:ascii="仿宋_GB2312" w:eastAsia="仿宋_GB2312" w:cs="仿宋_GB2312" w:hAnsi="仿宋_GB2312" w:hint="eastAsia"/>
          <w:sz w:val="32"/>
          <w:szCs w:val="32"/>
        </w:rPr>
        <w:t>预算执行率指标目标分值10分，预期指标值≥</w:t>
      </w:r>
      <w:r>
        <w:rPr>
          <w:rFonts w:ascii="仿宋_GB2312" w:eastAsia="仿宋_GB2312" w:cs="仿宋_GB2312" w:hAnsi="仿宋_GB2312"/>
          <w:sz w:val="32"/>
          <w:szCs w:val="32"/>
        </w:rPr>
        <w:t>90</w:t>
      </w:r>
      <w:r>
        <w:rPr>
          <w:rFonts w:ascii="仿宋_GB2312" w:eastAsia="仿宋_GB2312" w:cs="仿宋_GB2312" w:hAnsi="仿宋_GB2312" w:hint="eastAsia"/>
          <w:sz w:val="32"/>
          <w:szCs w:val="32"/>
        </w:rPr>
        <w:t>%，指标完成值100%，自评得分10分。</w:t>
      </w:r>
    </w:p>
    <w:p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_GB2312" w:eastAsia="仿宋_GB2312" w:cs="仿宋_GB2312" w:hAnsi="仿宋_GB2312" w:hint="eastAsia"/>
          <w:sz w:val="32"/>
          <w:szCs w:val="32"/>
        </w:rPr>
        <w:t>项目效益指标自评40分，其中社会效益指标为</w:t>
      </w:r>
      <w:r>
        <w:rPr>
          <w:rFonts w:ascii="仿宋_GB2312" w:eastAsia="仿宋_GB2312" w:cs="仿宋_GB2312" w:hAnsi="仿宋_GB2312"/>
          <w:sz w:val="32"/>
          <w:szCs w:val="32"/>
        </w:rPr>
        <w:t>城乡社区综合服务设施覆盖率</w:t>
      </w:r>
      <w:r>
        <w:rPr>
          <w:rFonts w:ascii="仿宋_GB2312" w:eastAsia="仿宋_GB2312" w:cs="仿宋_GB2312" w:hAnsi="仿宋_GB2312" w:hint="eastAsia"/>
          <w:sz w:val="32"/>
          <w:szCs w:val="32"/>
        </w:rPr>
        <w:t>，</w:t>
      </w:r>
      <w:r>
        <w:rPr>
          <w:rFonts w:ascii="仿宋_GB2312" w:eastAsia="仿宋_GB2312" w:cs="仿宋_GB2312" w:hAnsi="仿宋_GB2312"/>
          <w:sz w:val="32"/>
          <w:szCs w:val="32"/>
        </w:rPr>
        <w:t>可持续影响指标为社区服务设施提供服务的年限，</w:t>
      </w:r>
      <w:r>
        <w:rPr>
          <w:rFonts w:ascii="仿宋_GB2312" w:eastAsia="仿宋_GB2312" w:cs="仿宋_GB2312" w:hAnsi="仿宋_GB2312" w:hint="eastAsia"/>
          <w:sz w:val="32"/>
          <w:szCs w:val="32"/>
        </w:rPr>
        <w:t>自评得分</w:t>
      </w:r>
      <w:r>
        <w:rPr>
          <w:rFonts w:ascii="仿宋_GB2312" w:eastAsia="仿宋_GB2312" w:cs="仿宋_GB2312" w:hAnsi="仿宋_GB2312"/>
          <w:sz w:val="32"/>
          <w:szCs w:val="32"/>
        </w:rPr>
        <w:t>40</w:t>
      </w:r>
      <w:r>
        <w:rPr>
          <w:rFonts w:ascii="仿宋_GB2312" w:eastAsia="仿宋_GB2312" w:cs="仿宋_GB2312" w:hAnsi="仿宋_GB2312" w:hint="eastAsia"/>
          <w:sz w:val="32"/>
          <w:szCs w:val="32"/>
        </w:rPr>
        <w:t>分</w:t>
      </w:r>
      <w:r>
        <w:rPr>
          <w:rFonts w:ascii="仿宋" w:eastAsia="仿宋" w:hAnsi="仿宋" w:hint="eastAsia"/>
          <w:sz w:val="32"/>
          <w:szCs w:val="32"/>
        </w:rPr>
        <w:t>。</w:t>
      </w:r>
    </w:p>
    <w:p>
      <w:pPr>
        <w:spacing w:line="560" w:lineRule="exact"/>
        <w:ind w:firstLineChars="200" w:firstLine="640"/>
        <w:rPr>
          <w:rFonts w:ascii="仿宋_GB2312" w:eastAsia="仿宋_GB2312" w:cs="仿宋_GB2312" w:hAnsi="仿宋_GB2312"/>
          <w:sz w:val="32"/>
          <w:szCs w:val="32"/>
        </w:rPr>
      </w:pPr>
      <w:r>
        <w:rPr>
          <w:rFonts w:ascii="仿宋_GB2312" w:eastAsia="仿宋_GB2312" w:cs="仿宋_GB2312" w:hAnsi="仿宋_GB2312" w:hint="eastAsia"/>
          <w:sz w:val="32"/>
          <w:szCs w:val="32"/>
        </w:rPr>
        <w:t>满意度指标自评10分，为</w:t>
      </w:r>
      <w:r>
        <w:rPr>
          <w:rFonts w:ascii="仿宋_GB2312" w:eastAsia="仿宋_GB2312" w:cs="仿宋_GB2312" w:hAnsi="仿宋_GB2312"/>
          <w:sz w:val="32"/>
          <w:szCs w:val="32"/>
        </w:rPr>
        <w:t>群众满意度</w:t>
      </w:r>
      <w:r>
        <w:rPr>
          <w:rFonts w:ascii="仿宋_GB2312" w:eastAsia="仿宋_GB2312" w:cs="仿宋_GB2312" w:hAnsi="仿宋_GB2312" w:hint="eastAsia"/>
          <w:sz w:val="32"/>
          <w:szCs w:val="32"/>
        </w:rPr>
        <w:t>≤95%，实际完成值为9</w:t>
      </w:r>
      <w:r>
        <w:rPr>
          <w:rFonts w:ascii="仿宋_GB2312" w:eastAsia="仿宋_GB2312" w:cs="仿宋_GB2312" w:hAnsi="仿宋_GB2312"/>
          <w:sz w:val="32"/>
          <w:szCs w:val="32"/>
        </w:rPr>
        <w:t>5</w:t>
      </w:r>
      <w:r>
        <w:rPr>
          <w:rFonts w:ascii="仿宋_GB2312" w:eastAsia="仿宋_GB2312" w:cs="仿宋_GB2312" w:hAnsi="仿宋_GB2312" w:hint="eastAsia"/>
          <w:sz w:val="32"/>
          <w:szCs w:val="32"/>
        </w:rPr>
        <w:t>%，自评得分10分</w:t>
      </w:r>
      <w:r>
        <w:rPr>
          <w:rFonts w:ascii="仿宋_GB2312" w:eastAsia="仿宋_GB2312" w:cs="仿宋_GB2312" w:hAnsi="仿宋_GB2312"/>
          <w:sz w:val="32"/>
          <w:szCs w:val="32"/>
        </w:rPr>
        <w:t>。</w:t>
      </w:r>
    </w:p>
    <w:p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四、评价结论和评价等级</w:t>
      </w:r>
    </w:p>
    <w:p>
      <w:pPr>
        <w:spacing w:line="56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_GB2312" w:eastAsia="仿宋_GB2312" w:cs="仿宋_GB2312" w:hAnsi="仿宋_GB2312" w:hint="eastAsia"/>
          <w:sz w:val="32"/>
          <w:szCs w:val="32"/>
        </w:rPr>
        <w:t>根据部门职责定位和各项工作履职情况进行综合评价，给出总得分，满分100分，得出综合绩效评价等级。部门整体支出综合绩效评价分为4个等级：得分≥85分为优秀；75≤得分＜85分为良好；60≤得分＜75分为一般；得分＜60分为较差。</w:t>
      </w:r>
    </w:p>
    <w:p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_GB2312" w:eastAsia="仿宋_GB2312" w:cs="仿宋_GB2312" w:hAnsi="仿宋_GB2312" w:hint="eastAsia"/>
          <w:sz w:val="32"/>
          <w:szCs w:val="32"/>
        </w:rPr>
        <w:t>通过对我单位2个项目进行综合评价，评价等级为优秀。</w:t>
      </w:r>
    </w:p>
    <w:p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五、存在的问题及改进措施</w:t>
      </w:r>
    </w:p>
    <w:p>
      <w:pPr>
        <w:spacing w:line="560" w:lineRule="exact"/>
        <w:ind w:firstLineChars="200" w:firstLine="640"/>
        <w:rPr>
          <w:rFonts w:ascii="楷体" w:eastAsia="楷体" w:hAnsi="楷体"/>
          <w:bCs/>
          <w:sz w:val="32"/>
          <w:szCs w:val="32"/>
        </w:rPr>
      </w:pPr>
      <w:r>
        <w:rPr>
          <w:rFonts w:ascii="楷体" w:eastAsia="楷体" w:hAnsi="楷体" w:hint="eastAsia"/>
          <w:bCs/>
          <w:sz w:val="32"/>
          <w:szCs w:val="32"/>
        </w:rPr>
        <w:t>（一）存在的主要问题</w:t>
      </w:r>
    </w:p>
    <w:p>
      <w:pPr>
        <w:spacing w:line="560" w:lineRule="exact"/>
        <w:ind w:firstLineChars="200" w:firstLine="640"/>
        <w:rPr>
          <w:rFonts w:ascii="楷体" w:eastAsia="楷体" w:hAnsi="楷体"/>
          <w:bCs/>
          <w:sz w:val="32"/>
          <w:szCs w:val="32"/>
        </w:rPr>
      </w:pPr>
      <w:r>
        <w:rPr>
          <w:rFonts w:ascii="仿宋_GB2312" w:eastAsia="仿宋_GB2312" w:cs="仿宋_GB2312" w:hAnsi="仿宋_GB2312" w:hint="eastAsia"/>
          <w:bCs/>
          <w:sz w:val="32"/>
          <w:szCs w:val="32"/>
        </w:rPr>
        <w:t>预算项目中个别绩效目标不够完善，不能完整清晰体现工作活动的产出和效果，依据绩效目标所设置的绩效指标不够细化，不能完整清晰的反映活动目标完成情况。</w:t>
      </w:r>
    </w:p>
    <w:p>
      <w:pPr>
        <w:spacing w:line="560" w:lineRule="exact"/>
        <w:ind w:firstLineChars="200" w:firstLine="640"/>
        <w:rPr>
          <w:rFonts w:ascii="楷体" w:eastAsia="楷体" w:hAnsi="楷体"/>
          <w:bCs/>
          <w:sz w:val="32"/>
          <w:szCs w:val="32"/>
        </w:rPr>
      </w:pPr>
      <w:r>
        <w:rPr>
          <w:rFonts w:ascii="楷体" w:eastAsia="楷体" w:hAnsi="楷体" w:hint="eastAsia"/>
          <w:bCs/>
          <w:sz w:val="32"/>
          <w:szCs w:val="32"/>
        </w:rPr>
        <w:t>（二）针对问题提出具体的改进措施或建议</w:t>
      </w:r>
    </w:p>
    <w:p>
      <w:pPr>
        <w:pStyle w:val="31"/>
        <w:spacing w:line="560" w:lineRule="exact"/>
        <w:outlineLvl w:val="2"/>
        <w:rPr>
          <w:rFonts w:ascii="仿宋_GB2312" w:eastAsia="仿宋_GB2312" w:cs="仿宋_GB2312" w:hAnsi="仿宋_GB2312" w:hint="eastAsia"/>
          <w:bCs/>
          <w:sz w:val="32"/>
          <w:szCs w:val="32"/>
        </w:rPr>
      </w:pPr>
      <w:bookmarkStart w:id="5" w:name="_Toc70582285"/>
      <w:bookmarkStart w:id="6" w:name="_Toc70582288"/>
      <w:r>
        <w:rPr>
          <w:rFonts w:ascii="仿宋_GB2312" w:eastAsia="仿宋_GB2312" w:cs="仿宋_GB2312" w:hAnsi="仿宋_GB2312" w:hint="eastAsia"/>
          <w:bCs/>
          <w:sz w:val="32"/>
          <w:szCs w:val="32"/>
        </w:rPr>
        <w:t>1.完善绩效指标的设置</w:t>
      </w:r>
    </w:p>
    <w:p>
      <w:pPr>
        <w:pStyle w:val="31"/>
        <w:spacing w:line="560" w:lineRule="exact"/>
        <w:outlineLvl w:val="2"/>
        <w:rPr>
          <w:rFonts w:ascii="仿宋_GB2312" w:eastAsia="仿宋_GB2312" w:cs="仿宋_GB2312" w:hAnsi="仿宋_GB2312" w:hint="eastAsia"/>
          <w:bCs/>
          <w:sz w:val="32"/>
          <w:szCs w:val="32"/>
        </w:rPr>
      </w:pPr>
      <w:r>
        <w:rPr>
          <w:rFonts w:ascii="仿宋_GB2312" w:eastAsia="仿宋_GB2312" w:cs="仿宋_GB2312" w:hAnsi="仿宋_GB2312" w:hint="eastAsia"/>
          <w:bCs/>
          <w:sz w:val="32"/>
          <w:szCs w:val="32"/>
        </w:rPr>
        <w:t>对于绩效指标设置不清晰或者无法量化的项目问题，我办将积极采取措施，协调相关科室，进一步细化、量化绩效指标，加强绩效目标的设定，将绩效目标做实，做到项目绩效目标全覆盖；同时在绩效指标值的设定上注意细化量化，便于对项目进行监控和考核。</w:t>
      </w:r>
    </w:p>
    <w:p>
      <w:pPr>
        <w:pStyle w:val="31"/>
        <w:spacing w:line="560" w:lineRule="exact"/>
        <w:outlineLvl w:val="2"/>
        <w:rPr>
          <w:rFonts w:ascii="仿宋_GB2312" w:eastAsia="仿宋_GB2312" w:cs="仿宋_GB2312" w:hAnsi="仿宋_GB2312" w:hint="eastAsia"/>
          <w:bCs/>
          <w:sz w:val="32"/>
          <w:szCs w:val="32"/>
        </w:rPr>
      </w:pPr>
      <w:r>
        <w:rPr>
          <w:rFonts w:ascii="仿宋_GB2312" w:eastAsia="仿宋_GB2312" w:cs="仿宋_GB2312" w:hAnsi="仿宋_GB2312" w:hint="eastAsia"/>
          <w:bCs/>
          <w:sz w:val="32"/>
          <w:szCs w:val="32"/>
        </w:rPr>
        <w:t xml:space="preserve"> 2.</w:t>
      </w:r>
      <w:bookmarkEnd w:id="5"/>
      <w:r>
        <w:rPr>
          <w:rFonts w:ascii="仿宋_GB2312" w:eastAsia="仿宋_GB2312" w:cs="仿宋_GB2312" w:hAnsi="仿宋_GB2312" w:hint="eastAsia"/>
          <w:bCs/>
          <w:sz w:val="32"/>
          <w:szCs w:val="32"/>
        </w:rPr>
        <w:t>提高绩效管理意识</w:t>
      </w:r>
    </w:p>
    <w:p>
      <w:pPr>
        <w:spacing w:line="560" w:lineRule="exact"/>
        <w:ind w:firstLineChars="200" w:firstLine="640"/>
        <w:rPr>
          <w:rStyle w:val="0"/>
          <w:rFonts w:ascii="仿宋_GB2312" w:eastAsia="仿宋_GB2312" w:cs="仿宋_GB2312" w:hAnsi="仿宋_GB2312" w:hint="eastAsia"/>
          <w:bCs/>
          <w:sz w:val="32"/>
          <w:szCs w:val="32"/>
        </w:rPr>
      </w:pPr>
      <w:r>
        <w:rPr>
          <w:rStyle w:val="0"/>
          <w:rFonts w:ascii="仿宋_GB2312" w:eastAsia="仿宋_GB2312" w:cs="仿宋_GB2312" w:hAnsi="仿宋_GB2312" w:hint="eastAsia"/>
          <w:bCs/>
          <w:sz w:val="32"/>
          <w:szCs w:val="32"/>
        </w:rPr>
        <w:t>在今后工作中，应加强对预算绩效管理工作的重视，把绩效理念融合到预算编制、执行、监督管理的全过程，通过制定统一的工作规划、管理制度体系，加强对预算绩效管理的保障和支撑。通过组织培训、加强宣传等方式，加强部门工作人员对预算绩效管理的认识，强化全过程预算绩效管理理念，以更加积极主动的态度开展绩效管理工作，提高财政资金使用效益。</w:t>
      </w:r>
      <w:bookmarkEnd w:id="6"/>
    </w:p>
    <w:p>
      <w:pPr>
        <w:adjustRightInd w:val="0"/>
        <w:snapToGrid w:val="0"/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六、评价工作组人员名单及签字（姓名、工作单位、职务、职称）</w:t>
      </w:r>
    </w:p>
    <w:p>
      <w:pPr>
        <w:adjustRightInd w:val="0"/>
        <w:snapToGrid w:val="0"/>
        <w:spacing w:line="560" w:lineRule="exact"/>
        <w:ind w:firstLineChars="200" w:firstLine="420"/>
        <w:rPr>
          <w:rFonts w:ascii="仿宋_GB2312" w:eastAsia="仿宋_GB2312" w:cs="仿宋_GB2312" w:hAnsi="黑体" w:hint="eastAsia"/>
          <w:sz w:val="32"/>
          <w:szCs w:val="32"/>
        </w:rPr>
      </w:pPr>
      <w:r>
        <w:rPr>
          <w:rFonts w:ascii="仿宋" w:eastAsia="仿宋" w:hAnsi="仿宋"/>
        </w:rPr>
        <w:t xml:space="preserve">  </w:t>
      </w:r>
      <w:r>
        <w:rPr>
          <w:rFonts w:ascii="仿宋_GB2312" w:eastAsia="仿宋_GB2312" w:cs="仿宋_GB2312" w:hAnsi="黑体" w:hint="eastAsia"/>
          <w:sz w:val="32"/>
          <w:szCs w:val="32"/>
        </w:rPr>
        <w:t>张  煜  区委社会工作部部长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cs="仿宋_GB2312" w:hAnsi="黑体" w:hint="eastAsia"/>
          <w:sz w:val="32"/>
          <w:szCs w:val="32"/>
        </w:rPr>
      </w:pPr>
      <w:r>
        <w:rPr>
          <w:rFonts w:ascii="仿宋_GB2312" w:eastAsia="仿宋_GB2312" w:cs="仿宋_GB2312" w:hAnsi="黑体" w:hint="eastAsia"/>
          <w:sz w:val="32"/>
          <w:szCs w:val="32"/>
        </w:rPr>
        <w:t>张  敏  区委社会工作部副部长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cs="仿宋_GB2312" w:hAnsi="黑体" w:hint="eastAsia"/>
          <w:sz w:val="32"/>
          <w:szCs w:val="32"/>
        </w:rPr>
      </w:pPr>
      <w:r>
        <w:rPr>
          <w:rFonts w:ascii="仿宋_GB2312" w:eastAsia="仿宋_GB2312" w:cs="仿宋_GB2312" w:hAnsi="黑体" w:hint="eastAsia"/>
          <w:sz w:val="32"/>
          <w:szCs w:val="32"/>
        </w:rPr>
        <w:t>任莉君  区委社会工作部一级科员</w:t>
      </w:r>
    </w:p>
    <w:p>
      <w:pPr>
        <w:spacing w:line="560" w:lineRule="exact"/>
        <w:rPr>
          <w:rFonts w:ascii="仿宋" w:eastAsia="仿宋" w:hAnsi="仿宋"/>
        </w:rPr>
      </w:pPr>
    </w:p>
    <w:sectPr>
      <w:footerReference w:type="default" r:id="rId2"/>
      <w:pgSz w:w="11906" w:h="16838"/>
      <w:pgMar w:top="1440" w:right="1474" w:bottom="1440" w:left="1587" w:header="851" w:footer="992" w:gutter="0"/>
      <w:pgNumType w:fmt="numberInDash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黑体">
    <w:altName w:val="方正黑体_GBK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宋体"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仿宋_GB2312">
    <w:altName w:val="仿宋"/>
    <w:panose1 w:val="00000000000000000000"/>
    <w:charset w:val="86"/>
    <w:family w:val="modern"/>
    <w:pitch w:val="variable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variable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variable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variable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方正仿宋_GBK">
    <w:altName w:val="微软雅黑"/>
    <w:panose1 w:val="00000000000000000000"/>
    <w:charset w:val="86"/>
    <w:family w:val="auto"/>
    <w:pitch w:val="variable"/>
    <w:sig w:usb0="00000000" w:usb1="00000000" w:usb2="00000010" w:usb3="00000000" w:csb0="00040000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pStyle w:val="15"/>
      <w:tabs>
        <w:tab w:val="center" w:pos="4153"/>
        <w:tab w:val="right" w:pos="8306"/>
      </w:tabs>
    </w:pPr>
    <w:r>
      <mc:AlternateContent>
        <mc:Choice Requires="wps">
          <w:drawing>
            <wp:anchor distT="0" distB="0" distL="91437" distR="91437" simplePos="0" relativeHeight="12" behindDoc="0" locked="0" layoutInCell="1" hidden="0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209492" cy="162820"/>
              <wp:effectExtent l="0" t="0" r="0" b="0"/>
              <wp:wrapNone/>
              <wp:docPr id="1" name="Quad Arrow 3073"/>
              <wp:cNvGraphicFramePr>
                <a:graphicFrameLocks noChangeAspect="0"/>
              </wp:cNvGraphicFramePr>
              <a:graphic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209492" cy="162820"/>
                      </a:xfrm>
                      <a:prstGeom prst="rect"/>
                      <a:noFill/>
                      <a:ln w="9525" cmpd="sng" cap="flat">
                        <a:noFill/>
                        <a:prstDash val="solid"/>
                        <a:miter/>
                      </a:ln>
                    </wps:spPr>
                    <wps:txbx id="1"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t>- 1 -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type="#_x0000_t1" id="Quad Arrow 3073" o:spid="_x0000_s2" filled="f" stroked="f" style="position:absolute;margin-left:0.0pt;margin-top:0.0pt;width:16.495434pt;height:12.820473pt;z-index:12;mso-position-horizontal:center;mso-position-horizontal-relative:margin;mso-position-vertical:absolute;mso-wrap-distance-left:7.1997643pt;mso-wrap-distance-right:7.1997643pt;mso-wrap-style:none;">
              <v:stroke/>
              <v:textbox id="848" inset="0mm,0mm,0mm,0mm" o:insetmode="custom" style="layout-flow:horizontal;v-text-anchor:top;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t>- 1 -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mc="http://schemas.openxmlformats.org/markup-compatibility/2006" xmlns:w14="http://schemas.microsoft.com/office/word/2010/wordml">
  <w:abstractNum w:abstractNumId="0">
    <w:nsid w:val="5E68489B"/>
    <w:multiLevelType w:val="singleLevel"/>
    <w:tmpl w:val="5E68489B"/>
    <w:lvl w:ilvl="0">
      <w:start w:val="1"/>
      <w:numFmt w:val="chineseCounting"/>
      <w:lvlRestart w:val="0"/>
      <w:suff w:val="nothing"/>
      <w:lvlText w:val="（%1）"/>
      <w:lvlJc w:val="left"/>
      <w:pPr>
        <w:ind w:left="0" w:hanging="0"/>
      </w:pPr>
      <w:rPr>
        <w:rFonts w:ascii="楷体" w:hAnsi="楷体" w:eastAsia="楷体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/>
  <w:bordersDoNotSurroundFooter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doNotUseIndentAsNumberingTabStop/>
    <w:useAltKinsokuLineBreakRules/>
    <w:doNotSuppressIndentation/>
    <w:splitPgBreakAndParaMark/>
    <w:compatSetting w:name="compatibilityMode" w:uri="http://schemas.microsoft.com/office/word" w:val="11"/>
  </w:compat>
  <w:docVars>
    <w:docVar w:name="commondata" w:val="eyJoZGlkIjoiYzgxMzVhZTBlNDUyZWUxNDVhMjNkN2E1NjFlOTE5NDcifQ=="/>
  </w:docVar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Arial"/>
        <w:lang w:val="en-US" w:eastAsia="zh-CN" w:bidi="ar-SA"/>
      </w:rPr>
    </w:rPrDefault>
    <w:pPrDefault/>
  </w:docDefaults>
  <w:style w:type="paragraph" w:default="1" w:styleId="0">
    <w:name w:val="Normal"/>
    <w:qFormat/>
    <w:pPr>
      <w:widowControl w:val="0"/>
      <w:jc w:val="both"/>
    </w:pPr>
    <w:rPr>
      <w:rFonts w:ascii="Calibri" w:eastAsia="宋体" w:cs="黑体" w:hAnsi="Calibri"/>
      <w:kern w:val="2"/>
      <w:sz w:val="21"/>
      <w:szCs w:val="22"/>
      <w:lang w:val="en-US" w:eastAsia="zh-CN" w:bidi="ar-SA"/>
    </w:rPr>
  </w:style>
  <w:style w:type="paragraph" w:styleId="1">
    <w:name w:val="heading 1"/>
    <w:qFormat/>
    <w:basedOn w:val="0"/>
    <w:next w:val="0"/>
    <w:link w:val="1Char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customStyle="1" w:styleId="1Char">
    <w:name w:val="heading 1 Char"/>
    <w:basedOn w:val="10"/>
    <w:link w:val="1"/>
    <w:rPr>
      <w:rFonts w:ascii="Calibri" w:eastAsia="宋体" w:cs="黑体" w:hAnsi="Calibri"/>
      <w:b/>
      <w:bCs/>
      <w:kern w:val="44"/>
      <w:sz w:val="44"/>
      <w:szCs w:val="44"/>
      <w:lang w:val="en-US" w:eastAsia="zh-CN" w:bidi="ar-SA"/>
    </w:rPr>
  </w:style>
  <w:style w:type="paragraph" w:styleId="2">
    <w:name w:val="heading 2"/>
    <w:qFormat/>
    <w:basedOn w:val="0"/>
    <w:next w:val="0"/>
    <w:link w:val="2Char"/>
    <w:pPr>
      <w:keepNext/>
      <w:keepLines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character" w:customStyle="1" w:styleId="2Char">
    <w:name w:val="heading 2 Char"/>
    <w:basedOn w:val="10"/>
    <w:link w:val="2"/>
    <w:rPr>
      <w:rFonts w:ascii="Times New Roman" w:eastAsia="黑体" w:cs="黑体" w:hAnsi="Times New Roman"/>
      <w:b/>
      <w:bCs/>
      <w:kern w:val="2"/>
      <w:sz w:val="32"/>
      <w:szCs w:val="32"/>
      <w:lang w:val="en-US" w:eastAsia="zh-CN" w:bidi="ar-SA"/>
    </w:rPr>
  </w:style>
  <w:style w:type="paragraph" w:styleId="3">
    <w:name w:val="heading 3"/>
    <w:qFormat/>
    <w:basedOn w:val="0"/>
    <w:next w:val="0"/>
    <w:link w:val="3Char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customStyle="1" w:styleId="3Char">
    <w:name w:val="heading 3 Char"/>
    <w:basedOn w:val="10"/>
    <w:link w:val="3"/>
    <w:rPr>
      <w:rFonts w:ascii="Calibri" w:eastAsia="宋体" w:cs="黑体" w:hAnsi="Calibri"/>
      <w:b/>
      <w:bCs/>
      <w:kern w:val="2"/>
      <w:sz w:val="32"/>
      <w:szCs w:val="32"/>
      <w:lang w:val="en-US" w:eastAsia="zh-CN" w:bidi="ar-SA"/>
    </w:rPr>
  </w:style>
  <w:style w:type="character" w:default="1" w:styleId="10">
    <w:name w:val="Default Paragraph Font"/>
    <w:qFormat/>
  </w:style>
  <w:style w:type="paragraph" w:styleId="15">
    <w:name w:val="footer"/>
    <w:qFormat/>
    <w:basedOn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6">
    <w:name w:val="header"/>
    <w:qFormat/>
    <w:basedOn w:val="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paragraph" w:styleId="19">
    <w:name w:val="index 7"/>
    <w:qFormat/>
    <w:basedOn w:val="0"/>
    <w:autoRedefine/>
    <w:next w:val="0"/>
    <w:pPr>
      <w:ind w:left="2520"/>
    </w:pPr>
  </w:style>
  <w:style w:type="paragraph" w:styleId="31">
    <w:name w:val="Normal Indent"/>
    <w:qFormat/>
    <w:basedOn w:val="0"/>
    <w:next w:val="21"/>
    <w:pPr>
      <w:widowControl w:val="0"/>
      <w:ind w:firstLineChars="200" w:firstLine="200"/>
      <w:jc w:val="both"/>
    </w:pPr>
    <w:rPr>
      <w:rFonts w:ascii="Calibri" w:eastAsia="宋体" w:cs="黑体" w:hAnsi="Calibri"/>
      <w:kern w:val="2"/>
      <w:sz w:val="21"/>
      <w:szCs w:val="22"/>
      <w:lang w:val="en-US" w:eastAsia="zh-CN" w:bidi="ar-SA"/>
    </w:rPr>
  </w:style>
  <w:style w:type="paragraph" w:styleId="107">
    <w:name w:val="List Paragraph"/>
    <w:qFormat/>
    <w:basedOn w:val="0"/>
    <w:next w:val="20"/>
    <w:pPr>
      <w:widowControl w:val="0"/>
      <w:ind w:firstLineChars="200" w:firstLine="200"/>
      <w:jc w:val="both"/>
    </w:pPr>
    <w:rPr>
      <w:rFonts w:ascii="Calibri" w:eastAsia="宋体" w:cs="黑体" w:hAnsi="Calibri"/>
      <w:kern w:val="2"/>
      <w:sz w:val="21"/>
      <w:szCs w:val="22"/>
      <w:lang w:val="en-US" w:eastAsia="zh-CN" w:bidi="ar-SA"/>
    </w:rPr>
  </w:style>
  <w:style w:type="paragraph" w:customStyle="1" w:styleId="133">
    <w:name w:val="插入文本样式-插入职责分类绩效目标文件"/>
    <w:qFormat/>
    <w:basedOn w:val="0"/>
    <w:pPr>
      <w:widowControl/>
      <w:spacing w:line="500" w:lineRule="exact"/>
      <w:ind w:firstLine="560"/>
      <w:jc w:val="left"/>
    </w:pPr>
    <w:rPr>
      <w:rFonts w:ascii="Times New Roman" w:eastAsia="方正仿宋_GBK" w:cs="Times New Roman" w:hAnsi="Times New Roman"/>
      <w:kern w:val="0"/>
      <w:sz w:val="28"/>
      <w:szCs w:val="24"/>
      <w:lang w:val="en-US" w:eastAsia="uk-UA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customXml" Target="../customXml/item1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1"/>
        </a:gradFill>
      </a:fillStyleLst>
      <a:lnStyleLst>
        <a:ln w="6350" cmpd="sng" cap="flat">
          <a:solidFill>
            <a:schemeClr val="phClr"/>
          </a:solidFill>
          <a:prstDash val="solid"/>
          <a:miter/>
        </a:ln>
        <a:ln w="12700" cmpd="sng" cap="flat">
          <a:solidFill>
            <a:schemeClr val="phClr"/>
          </a:solidFill>
          <a:prstDash val="solid"/>
          <a:miter/>
        </a:ln>
        <a:ln w="19050" cmpd="sng" cap="flat">
          <a:solidFill>
            <a:schemeClr val="phClr"/>
          </a:solidFill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algn="b" rotWithShape="0" blurRad="57150" dist="19050" dir="5400000">
              <a:srgbClr val="000000">
                <a:alpha val="62745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1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785A3EE4-C987-497B-9BB5-3D71CA9BD041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129</TotalTime>
  <Application>Yozo_Office9.0.4819.102ZH</Application>
  <Pages>8</Pages>
  <Words>0</Words>
  <Characters>2730</Characters>
  <Lines>0</Lines>
  <Paragraphs>76</Paragraphs>
  <CharactersWithSpaces>3640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附件3：</dc:title>
  <dc:creator>欣欣大人</dc:creator>
  <cp:lastModifiedBy>Administrator</cp:lastModifiedBy>
  <cp:revision>3</cp:revision>
  <cp:lastPrinted>2024-03-06T07:40:18Z</cp:lastPrinted>
  <dcterms:created xsi:type="dcterms:W3CDTF">2020-02-04T03:46:00Z</dcterms:created>
  <dcterms:modified xsi:type="dcterms:W3CDTF">2026-06-16T02:21:09Z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2052-12.1.0.16388</vt:lpwstr>
  </property>
  <property fmtid="{D5CDD505-2E9C-101B-9397-08002B2CF9AE}" pid="3" name="ICV">
    <vt:lpwstr>96934721B1514D3FBAA28020338CE855_12</vt:lpwstr>
  </property>
</Properties>
</file>