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 w:val="0"/>
        <w:wordWrap/>
        <w:adjustRightInd w:val="0"/>
        <w:snapToGrid w:val="0"/>
        <w:spacing w:line="560" w:lineRule="exact"/>
        <w:ind w:left="0" w:leftChars="0" w:right="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</w:p>
    <w:p>
      <w:pPr>
        <w:widowControl w:val="0"/>
        <w:wordWrap/>
        <w:spacing w:line="560" w:lineRule="exact"/>
        <w:ind w:left="0" w:leftChars="0" w:right="0"/>
        <w:jc w:val="center"/>
        <w:textAlignment w:val="auto"/>
        <w:outlineLvl w:val="9"/>
        <w:rPr>
          <w:rFonts w:hint="eastAsia" w:ascii="宋体" w:hAnsi="宋体" w:cs="宋体"/>
          <w:b/>
          <w:bCs/>
          <w:sz w:val="44"/>
          <w:szCs w:val="44"/>
        </w:rPr>
      </w:pPr>
    </w:p>
    <w:p>
      <w:pPr>
        <w:widowControl w:val="0"/>
        <w:wordWrap/>
        <w:spacing w:line="560" w:lineRule="exact"/>
        <w:ind w:left="0" w:leftChars="0" w:right="0"/>
        <w:jc w:val="center"/>
        <w:textAlignment w:val="auto"/>
        <w:outlineLvl w:val="9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矿区统计局部门</w:t>
      </w:r>
    </w:p>
    <w:p>
      <w:pPr>
        <w:widowControl w:val="0"/>
        <w:wordWrap/>
        <w:spacing w:line="560" w:lineRule="exact"/>
        <w:ind w:left="0" w:leftChars="0" w:right="0"/>
        <w:jc w:val="center"/>
        <w:textAlignment w:val="auto"/>
        <w:outlineLvl w:val="9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2025年度整体支出绩效</w:t>
      </w:r>
      <w:r>
        <w:rPr>
          <w:rFonts w:hint="eastAsia" w:ascii="宋体" w:hAnsi="宋体" w:cs="宋体"/>
          <w:b/>
          <w:bCs/>
          <w:sz w:val="44"/>
          <w:szCs w:val="44"/>
        </w:rPr>
        <w:t>自评报告</w:t>
      </w:r>
    </w:p>
    <w:p>
      <w:pPr>
        <w:widowControl w:val="0"/>
        <w:wordWrap/>
        <w:spacing w:line="560" w:lineRule="exact"/>
        <w:ind w:left="0" w:leftChars="0" w:right="0"/>
        <w:jc w:val="center"/>
        <w:textAlignment w:val="auto"/>
        <w:outlineLvl w:val="9"/>
        <w:rPr>
          <w:rFonts w:ascii="华文楷体" w:eastAsia="华文楷体"/>
          <w:sz w:val="32"/>
          <w:szCs w:val="32"/>
        </w:rPr>
      </w:pPr>
    </w:p>
    <w:p>
      <w:pPr>
        <w:widowControl w:val="0"/>
        <w:wordWrap/>
        <w:adjustRightInd w:val="0"/>
        <w:snapToGrid w:val="0"/>
        <w:spacing w:line="560" w:lineRule="exact"/>
        <w:ind w:left="0" w:leftChars="0" w:right="0" w:firstLine="640" w:firstLineChars="200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贯彻落实</w:t>
      </w:r>
      <w:r>
        <w:rPr>
          <w:rFonts w:hint="eastAsia" w:ascii="仿宋" w:hAnsi="仿宋" w:eastAsia="仿宋"/>
          <w:sz w:val="32"/>
          <w:szCs w:val="32"/>
          <w:lang w:eastAsia="zh-CN"/>
        </w:rPr>
        <w:t>市委市政府《关于全面落实预算绩效管理的实施意见》（石发﹝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2019</w:t>
      </w:r>
      <w:r>
        <w:rPr>
          <w:rFonts w:hint="eastAsia" w:ascii="仿宋" w:hAnsi="仿宋" w:eastAsia="仿宋"/>
          <w:sz w:val="32"/>
          <w:szCs w:val="32"/>
          <w:lang w:eastAsia="zh-CN"/>
        </w:rPr>
        <w:t>﹞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8号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文件精神，遵循“科学性、规范性、客观性和公正性”的原则，对</w:t>
      </w:r>
      <w:r>
        <w:rPr>
          <w:rFonts w:hint="eastAsia" w:ascii="仿宋" w:hAnsi="仿宋" w:eastAsia="仿宋"/>
          <w:sz w:val="32"/>
          <w:szCs w:val="32"/>
          <w:lang w:eastAsia="zh-CN"/>
        </w:rPr>
        <w:t>矿区统计局部门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2025年</w:t>
      </w:r>
      <w:r>
        <w:rPr>
          <w:rFonts w:hint="eastAsia" w:ascii="仿宋" w:hAnsi="仿宋" w:eastAsia="仿宋"/>
          <w:sz w:val="32"/>
          <w:szCs w:val="32"/>
          <w:lang w:eastAsia="zh-CN"/>
        </w:rPr>
        <w:t>整体支出情况</w:t>
      </w:r>
      <w:r>
        <w:rPr>
          <w:rFonts w:hint="eastAsia" w:ascii="仿宋" w:hAnsi="仿宋" w:eastAsia="仿宋"/>
          <w:sz w:val="32"/>
          <w:szCs w:val="32"/>
        </w:rPr>
        <w:t>实施了财政支出绩效自评价，形成本评价报告。</w:t>
      </w:r>
    </w:p>
    <w:p>
      <w:pPr>
        <w:widowControl w:val="0"/>
        <w:wordWrap/>
        <w:adjustRightInd w:val="0"/>
        <w:snapToGrid w:val="0"/>
        <w:spacing w:line="560" w:lineRule="exact"/>
        <w:ind w:left="0" w:leftChars="0" w:right="0"/>
        <w:textAlignment w:val="auto"/>
        <w:outlineLvl w:val="9"/>
        <w:rPr>
          <w:rFonts w:ascii="黑体" w:hAnsi="黑体" w:eastAsia="黑体"/>
          <w:b/>
          <w:bCs/>
          <w:sz w:val="32"/>
          <w:szCs w:val="36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  <w:lang w:eastAsia="zh-CN"/>
        </w:rPr>
        <w:t>部门</w:t>
      </w:r>
      <w:r>
        <w:rPr>
          <w:rFonts w:hint="eastAsia" w:ascii="黑体" w:hAnsi="黑体" w:eastAsia="黑体"/>
          <w:sz w:val="32"/>
          <w:szCs w:val="36"/>
        </w:rPr>
        <w:t>基本情况</w:t>
      </w:r>
    </w:p>
    <w:p>
      <w:pPr>
        <w:widowControl w:val="0"/>
        <w:wordWrap/>
        <w:adjustRightInd w:val="0"/>
        <w:snapToGrid w:val="0"/>
        <w:spacing w:line="560" w:lineRule="exact"/>
        <w:ind w:left="0" w:leftChars="0" w:right="0" w:firstLine="643" w:firstLineChars="200"/>
        <w:textAlignment w:val="auto"/>
        <w:outlineLvl w:val="9"/>
        <w:rPr>
          <w:rFonts w:ascii="仿宋" w:hAnsi="仿宋" w:eastAsia="仿宋" w:cs="楷体_GB2312"/>
          <w:b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>（一）</w:t>
      </w: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部门</w:t>
      </w:r>
      <w:r>
        <w:rPr>
          <w:rFonts w:hint="eastAsia" w:ascii="仿宋" w:hAnsi="仿宋" w:eastAsia="仿宋" w:cs="楷体_GB2312"/>
          <w:b/>
          <w:bCs/>
          <w:sz w:val="32"/>
          <w:szCs w:val="32"/>
        </w:rPr>
        <w:t>概况</w:t>
      </w:r>
    </w:p>
    <w:p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1．主要职能。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（一）组织领导和协调全区统计工作，确保统计数据真实、准确、完整、及时。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二）贯彻落实统计工作方面的地方性法规、政府规章草案和统计改革方案，制定统计建设规划，负责统计行政执法工作，监督检查统计法律、法规贯彻实施情况，负责统计法律法规宣传教育，负责统计执法监督检查和“双随机”抽查，受理、办理、督办统计违法举报，依法查处统计违法案件，防范和惩治统计造假、弄虚作假行为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三）贯彻执行河北省国民经济核算制度，组织实施全区国民经济核算和民营经济统计工作；统一核算全区地区生产总值及派生产业增加值；组织实施投入产出调查工作；编制全区资产负债表；整理、测算和提供国民经济核算资料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四）拟订重大区情区力普查调查计划、方案，组织实施全区人口、经济、农业等重大普查调查，汇总、整理和提供有关区情区力方面的统计数据，并进行成果开发应用，负责全区基本单位名录库的维护和新增入统单位申报等工作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五）组织实施全区农林牧渔业、工业、建筑业、批发和零售业、住宿和餐饮业、房地产、服务业及能源、投资、消费、人口和城镇化率、劳动工资、就业、社会、科技、文化产业、城市基本情况、区乡村三级社会经济基本情况、资源环境、战略性新兴产业、高新技术产业、民营经济等统计调查，收集、汇总、整理和提供统计数据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六）组织实施区域经济发展、资源枯竭型城市发展监测、小康监测、农业产业化、特色小镇、节能降耗、绿色发展、城镇化发展、妇女儿童监测、社情民意、新产业新业态新商业模式（以下简称新经济）等统计监测，收集、整理和提供统计数据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（七）综合整理和提供财政、金融、旅游、交通运输、邮政、文化、教育、体育、卫生、社会保障、公用事业、对外经济、收入、价格等基本统计数据。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八）组织各乡镇、街道和各部门的经济、社会、科技、服务业统计调查，统一核定、管理、公布全区性基本统计资料，定期发布全区国民经济和社会发展情况的统计信息，组织建立统计信息共享制度和发布制度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（九）对国民经济、社会发展、科技进步和资源环境等情况进行统计分析、统计预测和统计监督，向区委、区政府及有关部门提供统计信息和咨询建议。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（十）组织指导专业统计基础工作、统计基层业务和规范化建设；组织建立统计信息管理制度，建立健全统计数据质量审核、监控和评估制度，开展对统计数据质量的检查和评估。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（十一）负责全区统计信息化系统和统计数据库体系建设工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作，管理全区统计数据库网络，组织全区统计信息化系统建设。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（十二）协助管理、指导乡镇、街道和各部门、基层报表单位统计业务工作。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十三）负责规模以下工业抽样调查，规模以下工业企业成本费用调查、建筑业小微企业抽样调查、小微企业固定资产投资情况调查，规模以下企业创新调查、限额以下批发零售住宿餐饮行业抽样与问卷调查，规模以下服务业抽样调查，并开展调查情况分析研究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（十四）组织实施城乡住户调查；组织实施生产者价格调查以及原材料、能源、动力等中间产品的购买者价格调查；组织实施畜禽专项统计调查和月度劳动力抽样调查，并开展相应统计分析研究工作。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560" w:lineRule="exact"/>
        <w:ind w:firstLine="640"/>
        <w:rPr>
          <w:rFonts w:ascii="新宋体" w:hAnsi="新宋体" w:eastAsia="新宋体"/>
          <w:sz w:val="32"/>
        </w:rPr>
      </w:pPr>
      <w:r>
        <w:rPr>
          <w:rFonts w:hint="eastAsia" w:ascii="仿宋" w:hAnsi="仿宋" w:eastAsia="仿宋"/>
          <w:sz w:val="32"/>
        </w:rPr>
        <w:t>（十五）完成区委、区政府和市统计局交办的其他任务。</w:t>
      </w:r>
    </w:p>
    <w:p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2．机构情况。</w:t>
      </w:r>
    </w:p>
    <w:tbl>
      <w:tblPr>
        <w:tblStyle w:val="7"/>
        <w:tblW w:w="88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2001"/>
        <w:gridCol w:w="2131"/>
        <w:gridCol w:w="25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单位性质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单位规格</w:t>
            </w:r>
          </w:p>
        </w:tc>
        <w:tc>
          <w:tcPr>
            <w:tcW w:w="250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经费保障形势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石家庄市井陉矿区统计局</w:t>
            </w:r>
          </w:p>
        </w:tc>
        <w:tc>
          <w:tcPr>
            <w:tcW w:w="200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行政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正科级</w:t>
            </w:r>
          </w:p>
        </w:tc>
        <w:tc>
          <w:tcPr>
            <w:tcW w:w="250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财政拨款</w:t>
            </w:r>
          </w:p>
        </w:tc>
      </w:tr>
    </w:tbl>
    <w:p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3．人员情况，包括当年变动情况及原因。</w:t>
      </w:r>
    </w:p>
    <w:p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矿区统计局行政编制5名，在职行政人员4名，在职工勤人员1名，退休人员5名；2024年7月成立了石家庄市井陉矿区普查中心（全额事业单位）事业编制8名，在职人员4名，退休人员1名。截止到2025年12月在职人员8名。</w:t>
      </w:r>
    </w:p>
    <w:p>
      <w:pPr>
        <w:snapToGrid w:val="0"/>
        <w:spacing w:line="52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val="en-US" w:eastAsia="zh-CN"/>
        </w:rPr>
        <w:t>4、资产情况</w:t>
      </w:r>
      <w:r>
        <w:rPr>
          <w:rFonts w:hint="eastAsia" w:ascii="仿宋_GB2312" w:hAnsi="仿宋" w:eastAsia="仿宋_GB2312"/>
          <w:sz w:val="32"/>
          <w:szCs w:val="32"/>
        </w:rPr>
        <w:t>，包括当年变动情况及原因。</w:t>
      </w:r>
    </w:p>
    <w:p>
      <w:pPr>
        <w:ind w:firstLine="640" w:firstLineChars="200"/>
        <w:rPr>
          <w:rFonts w:hint="eastAsia" w:ascii="仿宋" w:hAnsi="仿宋" w:eastAsia="仿宋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年年初资产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（原值）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64.48</w:t>
      </w:r>
      <w:r>
        <w:rPr>
          <w:rFonts w:hint="eastAsia" w:ascii="仿宋" w:hAnsi="仿宋" w:eastAsia="仿宋" w:cs="仿宋"/>
          <w:sz w:val="32"/>
          <w:szCs w:val="32"/>
        </w:rPr>
        <w:t>万元，年末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（原值）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64.48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2025年统计局资产与2024年底持平无增减变化。</w:t>
      </w: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560" w:lineRule="exact"/>
        <w:ind w:left="0" w:leftChars="0" w:right="0" w:firstLine="643" w:firstLineChars="200"/>
        <w:textAlignment w:val="auto"/>
        <w:outlineLvl w:val="9"/>
        <w:rPr>
          <w:rFonts w:hint="eastAsia" w:ascii="仿宋" w:hAnsi="仿宋" w:eastAsia="仿宋" w:cs="楷体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  <w:highlight w:val="none"/>
          <w:lang w:eastAsia="zh-CN"/>
        </w:rPr>
        <w:t>部门收支预决算情况</w:t>
      </w:r>
    </w:p>
    <w:p>
      <w:pPr>
        <w:snapToGrid w:val="0"/>
        <w:spacing w:line="52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年部门预算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（调整后）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收入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254.51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万元，202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年部门预算支出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254.51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万元，其中：基本支出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156.23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万元，项目支出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98.28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万元。202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年实际收入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254.51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（包括市局拨付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0.21万元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,实际支出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254.51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其中：基本支出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156.23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万元，项目支出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98.28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（包括市局拨付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0.21万元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））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。</w:t>
      </w:r>
    </w:p>
    <w:p>
      <w:pPr>
        <w:widowControl w:val="0"/>
        <w:wordWrap/>
        <w:adjustRightInd w:val="0"/>
        <w:snapToGrid w:val="0"/>
        <w:spacing w:line="560" w:lineRule="exact"/>
        <w:ind w:right="0"/>
        <w:textAlignment w:val="auto"/>
        <w:outlineLvl w:val="9"/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（三）部门整体支出绩效目标、指标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spacing w:line="360" w:lineRule="auto"/>
        <w:ind w:firstLine="640"/>
        <w:rPr>
          <w:rFonts w:ascii="仿宋" w:hAnsi="仿宋" w:eastAsia="仿宋"/>
          <w:sz w:val="32"/>
          <w:shd w:val="clear" w:color="auto" w:fill="FDFDFD"/>
        </w:rPr>
      </w:pPr>
      <w:r>
        <w:rPr>
          <w:rFonts w:ascii="仿宋" w:hAnsi="仿宋" w:eastAsia="仿宋"/>
          <w:sz w:val="32"/>
          <w:shd w:val="clear" w:color="auto" w:fill="FDFDFD"/>
        </w:rPr>
        <w:t>202</w:t>
      </w:r>
      <w:r>
        <w:rPr>
          <w:rFonts w:hint="eastAsia" w:ascii="仿宋" w:hAnsi="仿宋" w:eastAsia="仿宋"/>
          <w:sz w:val="32"/>
          <w:shd w:val="clear" w:color="auto" w:fill="FDFDFD"/>
          <w:lang w:val="en-US" w:eastAsia="zh-CN"/>
        </w:rPr>
        <w:t>5</w:t>
      </w:r>
      <w:r>
        <w:rPr>
          <w:rFonts w:ascii="仿宋" w:hAnsi="仿宋" w:eastAsia="仿宋"/>
          <w:sz w:val="32"/>
          <w:shd w:val="clear" w:color="auto" w:fill="FDFDFD"/>
        </w:rPr>
        <w:t>年，在区委区政府的正确领导下，我局全面结合区委各项工作规划，聚焦重点难点，努力提升统计监测预警和统计服务能力，加强统计基层基础，提供统计数据质量，客观真实反映经济发展成果，为区委区政府科学决策提供优质服务。一是完成全区年度、季度数据的收集汇总审核上报工作，统计信息上报量不少于</w:t>
      </w:r>
      <w:r>
        <w:rPr>
          <w:rFonts w:hint="eastAsia" w:ascii="仿宋" w:hAnsi="仿宋" w:eastAsia="仿宋"/>
          <w:sz w:val="32"/>
          <w:shd w:val="clear" w:color="auto" w:fill="FDFDFD"/>
          <w:lang w:val="en-US" w:eastAsia="zh-CN"/>
        </w:rPr>
        <w:t>15</w:t>
      </w:r>
      <w:r>
        <w:rPr>
          <w:rFonts w:ascii="仿宋" w:hAnsi="仿宋" w:eastAsia="仿宋"/>
          <w:sz w:val="32"/>
          <w:shd w:val="clear" w:color="auto" w:fill="FDFDFD"/>
        </w:rPr>
        <w:t>篇；二是</w:t>
      </w:r>
      <w:r>
        <w:rPr>
          <w:rFonts w:hint="eastAsia" w:ascii="仿宋" w:hAnsi="仿宋" w:eastAsia="仿宋"/>
          <w:sz w:val="32"/>
          <w:shd w:val="clear" w:color="auto" w:fill="FDFDFD"/>
          <w:lang w:eastAsia="zh-CN"/>
        </w:rPr>
        <w:t>按时合理开展第五次</w:t>
      </w:r>
      <w:r>
        <w:rPr>
          <w:rFonts w:ascii="仿宋" w:hAnsi="仿宋" w:eastAsia="仿宋"/>
          <w:sz w:val="32"/>
          <w:shd w:val="clear" w:color="auto" w:fill="FDFDFD"/>
        </w:rPr>
        <w:t>全国</w:t>
      </w:r>
      <w:r>
        <w:rPr>
          <w:rFonts w:hint="eastAsia" w:ascii="仿宋" w:hAnsi="仿宋" w:eastAsia="仿宋"/>
          <w:sz w:val="32"/>
          <w:shd w:val="clear" w:color="auto" w:fill="FDFDFD"/>
          <w:lang w:eastAsia="zh-CN"/>
        </w:rPr>
        <w:t>经济</w:t>
      </w:r>
      <w:r>
        <w:rPr>
          <w:rFonts w:ascii="仿宋" w:hAnsi="仿宋" w:eastAsia="仿宋"/>
          <w:sz w:val="32"/>
          <w:shd w:val="clear" w:color="auto" w:fill="FDFDFD"/>
        </w:rPr>
        <w:t>普查</w:t>
      </w:r>
      <w:r>
        <w:rPr>
          <w:rFonts w:hint="eastAsia" w:ascii="仿宋" w:hAnsi="仿宋" w:eastAsia="仿宋"/>
          <w:sz w:val="32"/>
          <w:shd w:val="clear" w:color="auto" w:fill="FDFDFD"/>
          <w:lang w:eastAsia="zh-CN"/>
        </w:rPr>
        <w:t>工作</w:t>
      </w:r>
      <w:r>
        <w:rPr>
          <w:rFonts w:ascii="仿宋" w:hAnsi="仿宋" w:eastAsia="仿宋"/>
          <w:sz w:val="32"/>
          <w:shd w:val="clear" w:color="auto" w:fill="FDFDFD"/>
        </w:rPr>
        <w:t>；三是组织开展农业统计与产业化、服务业统计、工业统计、能源统计、投资统计等专项统计调查工作，统计资料开发编印种类不少于3类。</w:t>
      </w:r>
    </w:p>
    <w:tbl>
      <w:tblPr>
        <w:tblStyle w:val="7"/>
        <w:tblW w:w="99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1"/>
        <w:gridCol w:w="1535"/>
        <w:gridCol w:w="1371"/>
        <w:gridCol w:w="939"/>
        <w:gridCol w:w="659"/>
        <w:gridCol w:w="939"/>
        <w:gridCol w:w="792"/>
        <w:gridCol w:w="1045"/>
        <w:gridCol w:w="13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9970" w:type="dxa"/>
            <w:gridSpan w:val="9"/>
            <w:shd w:val="clear" w:color="auto" w:fill="D3DCE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3"/>
                <w:szCs w:val="4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3"/>
                <w:szCs w:val="43"/>
                <w:u w:val="none"/>
                <w:lang w:val="en-US" w:eastAsia="zh-CN" w:bidi="ar"/>
              </w:rPr>
              <w:t>预算项目绩效信息表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绩效指标描述</w:t>
            </w:r>
          </w:p>
        </w:tc>
        <w:tc>
          <w:tcPr>
            <w:tcW w:w="6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评（扣）分标准</w:t>
            </w:r>
          </w:p>
        </w:tc>
        <w:tc>
          <w:tcPr>
            <w:tcW w:w="2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3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指标值确定依据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符号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单位（文字描述）</w:t>
            </w:r>
          </w:p>
        </w:tc>
        <w:tc>
          <w:tcPr>
            <w:tcW w:w="13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开展培训次数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开展培训次数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培训合格率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培训合格率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90.00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数据抽查达标率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数据抽查达标率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90.00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普查数据为政策制定和社会服务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普查数据为政策制定和社会服务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文字描述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有效提供服务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专业测算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受益对象的满意度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受益对象的满意度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90.00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问卷调查</w:t>
            </w:r>
          </w:p>
        </w:tc>
      </w:tr>
    </w:tbl>
    <w:p>
      <w:pPr>
        <w:widowControl w:val="0"/>
        <w:wordWrap/>
        <w:adjustRightInd w:val="0"/>
        <w:snapToGrid w:val="0"/>
        <w:spacing w:line="560" w:lineRule="exact"/>
        <w:ind w:right="0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二、自评工作</w:t>
      </w:r>
      <w:r>
        <w:rPr>
          <w:rFonts w:hint="eastAsia" w:ascii="黑体" w:hAnsi="黑体" w:eastAsia="黑体"/>
          <w:sz w:val="32"/>
          <w:szCs w:val="32"/>
          <w:lang w:eastAsia="zh-CN"/>
        </w:rPr>
        <w:t>开展</w:t>
      </w:r>
      <w:r>
        <w:rPr>
          <w:rFonts w:hint="eastAsia" w:ascii="黑体" w:hAnsi="黑体" w:eastAsia="黑体"/>
          <w:sz w:val="32"/>
          <w:szCs w:val="32"/>
        </w:rPr>
        <w:t>情况</w:t>
      </w:r>
    </w:p>
    <w:p>
      <w:pPr>
        <w:widowControl w:val="0"/>
        <w:wordWrap/>
        <w:spacing w:line="560" w:lineRule="exact"/>
        <w:ind w:left="0" w:leftChars="0" w:right="0"/>
        <w:textAlignment w:val="auto"/>
        <w:outlineLvl w:val="9"/>
        <w:rPr>
          <w:rFonts w:ascii="仿宋" w:hAnsi="仿宋" w:eastAsia="仿宋" w:cs="楷体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 w:cs="楷体_GB2312"/>
          <w:b/>
          <w:bCs/>
          <w:sz w:val="32"/>
          <w:szCs w:val="32"/>
        </w:rPr>
        <w:t>（一）自评的组织工作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为进一步提高我局绩效预算管理工作，根据《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中共井陉矿区委、井陉矿区人民政府关于全面落实预算绩效管理的实施意见</w:t>
      </w:r>
      <w:r>
        <w:rPr>
          <w:rFonts w:hint="eastAsia" w:ascii="仿宋" w:hAnsi="仿宋" w:eastAsia="仿宋" w:cs="仿宋"/>
          <w:sz w:val="32"/>
          <w:szCs w:val="32"/>
        </w:rPr>
        <w:t>》（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矿发</w:t>
      </w:r>
      <w:r>
        <w:rPr>
          <w:rFonts w:hint="eastAsia" w:ascii="仿宋" w:hAnsi="仿宋" w:eastAsia="仿宋" w:cs="仿宋"/>
          <w:sz w:val="32"/>
          <w:szCs w:val="32"/>
        </w:rPr>
        <w:t>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2019</w:t>
      </w:r>
      <w:r>
        <w:rPr>
          <w:rFonts w:hint="eastAsia" w:ascii="仿宋" w:hAnsi="仿宋" w:eastAsia="仿宋" w:cs="仿宋"/>
          <w:sz w:val="32"/>
          <w:szCs w:val="32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号）要求，成立绩效评价工作组，对我局所有的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资金</w:t>
      </w:r>
      <w:r>
        <w:rPr>
          <w:rFonts w:hint="eastAsia" w:ascii="仿宋" w:hAnsi="仿宋" w:eastAsia="仿宋" w:cs="仿宋"/>
          <w:sz w:val="32"/>
          <w:szCs w:val="32"/>
        </w:rPr>
        <w:t>项目，开展20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部门整体</w:t>
      </w:r>
      <w:r>
        <w:rPr>
          <w:rFonts w:hint="eastAsia" w:ascii="仿宋" w:hAnsi="仿宋" w:eastAsia="仿宋" w:cs="仿宋"/>
          <w:sz w:val="32"/>
          <w:szCs w:val="32"/>
        </w:rPr>
        <w:t>绩效自评工作。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绩效评价工作组根据工作方案，明确任务分工，确定评价程序及时间安排。根据20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年初设定的绩效目标完成情况和各绩效指标完成情况进行核实分析，填报《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区级</w:t>
      </w:r>
      <w:r>
        <w:rPr>
          <w:rFonts w:hint="eastAsia" w:ascii="仿宋" w:hAnsi="仿宋" w:eastAsia="仿宋" w:cs="仿宋"/>
          <w:sz w:val="32"/>
          <w:szCs w:val="32"/>
        </w:rPr>
        <w:t>项目绩效自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评表》，并撰写绩效自评报告。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矿区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统计局20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年度预算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（调整后）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共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254.51万元：人员预算148.83万元，日常公用经费预算7.40万元，项目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（三个）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预算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涉及资金为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98.28万元（包括市局拨付0.21万元）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</w:p>
    <w:p>
      <w:pPr>
        <w:widowControl w:val="0"/>
        <w:numPr>
          <w:ilvl w:val="0"/>
          <w:numId w:val="0"/>
        </w:numPr>
        <w:wordWrap/>
        <w:spacing w:line="560" w:lineRule="exact"/>
        <w:ind w:right="0" w:rightChars="0"/>
        <w:textAlignment w:val="auto"/>
        <w:outlineLvl w:val="9"/>
        <w:rPr>
          <w:rFonts w:hint="eastAsia" w:ascii="仿宋" w:hAnsi="仿宋" w:eastAsia="仿宋" w:cs="楷体_GB2312"/>
          <w:b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楷体_GB2312"/>
          <w:b/>
          <w:bCs/>
          <w:sz w:val="32"/>
          <w:szCs w:val="32"/>
        </w:rPr>
        <w:t>自评的方法和过程</w:t>
      </w:r>
    </w:p>
    <w:p>
      <w:pPr>
        <w:pStyle w:val="2"/>
        <w:rPr>
          <w:rFonts w:hint="eastAsia" w:eastAsia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楷体_GB2312"/>
          <w:b w:val="0"/>
          <w:bCs w:val="0"/>
          <w:sz w:val="32"/>
          <w:szCs w:val="32"/>
          <w:lang w:eastAsia="zh-CN"/>
        </w:rPr>
        <w:t>本次绩效评价证据收集方法包括了：研究、分析项目股室提供的相关文件；整理汇总项目股室提供的项目资料、工作总结和合同；根据股室提供的基础数据表逐项进行核实；根据项目服务对象填写的问卷调查结果汇总满意度情况。项目在前期的调研基础上，完成了项目绩效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。</w:t>
      </w:r>
    </w:p>
    <w:p>
      <w:pPr>
        <w:widowControl w:val="0"/>
        <w:wordWrap/>
        <w:spacing w:line="560" w:lineRule="exact"/>
        <w:ind w:left="0" w:leftChars="0" w:right="0"/>
        <w:textAlignment w:val="auto"/>
        <w:outlineLvl w:val="9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   </w:t>
      </w:r>
      <w:r>
        <w:rPr>
          <w:rFonts w:hint="eastAsia" w:ascii="仿宋" w:hAnsi="仿宋" w:eastAsia="仿宋"/>
          <w:b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hint="eastAsia" w:ascii="黑体" w:hAnsi="黑体" w:eastAsia="黑体"/>
          <w:sz w:val="32"/>
          <w:szCs w:val="32"/>
          <w:lang w:eastAsia="zh-CN"/>
        </w:rPr>
        <w:t>部门整体支出</w:t>
      </w:r>
      <w:r>
        <w:rPr>
          <w:rFonts w:hint="eastAsia" w:ascii="黑体" w:hAnsi="黑体" w:eastAsia="黑体"/>
          <w:sz w:val="32"/>
          <w:szCs w:val="32"/>
        </w:rPr>
        <w:t>绩效</w:t>
      </w:r>
      <w:r>
        <w:rPr>
          <w:rFonts w:hint="eastAsia" w:ascii="黑体" w:hAnsi="黑体" w:eastAsia="黑体"/>
          <w:sz w:val="32"/>
          <w:szCs w:val="32"/>
          <w:lang w:eastAsia="zh-CN"/>
        </w:rPr>
        <w:t>目标实现情况及指标分析</w:t>
      </w:r>
    </w:p>
    <w:p>
      <w:pPr>
        <w:widowControl w:val="0"/>
        <w:numPr>
          <w:ilvl w:val="0"/>
          <w:numId w:val="2"/>
        </w:numPr>
        <w:wordWrap/>
        <w:spacing w:line="560" w:lineRule="exact"/>
        <w:ind w:left="0" w:leftChars="0" w:right="0" w:firstLine="643" w:firstLineChars="200"/>
        <w:textAlignment w:val="auto"/>
        <w:outlineLvl w:val="9"/>
        <w:rPr>
          <w:rFonts w:ascii="仿宋" w:hAnsi="仿宋" w:eastAsia="仿宋" w:cs="楷体_GB2312"/>
          <w:b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总体绩效目标实现情况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绩效目标是贯穿预算绩效管理始终的一条主线，是预算资金安排、事中绩效跟踪和事后绩效评价的重要依据。根据相关文件要求，我局所有年初项目均设定了绩效目标，涉及产出指标和效果指标，但存在绩效指标不够全面、可评性不高、具体指标缺乏量化等问题。主要原因是对绩效目标的认识不够，制定多样化和细化的评价指标和标准需要在实践中不断完善。</w:t>
      </w:r>
    </w:p>
    <w:p>
      <w:pPr>
        <w:widowControl w:val="0"/>
        <w:wordWrap/>
        <w:spacing w:line="560" w:lineRule="exact"/>
        <w:ind w:left="0" w:leftChars="0" w:right="0"/>
        <w:textAlignment w:val="auto"/>
        <w:outlineLvl w:val="9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   </w:t>
      </w:r>
      <w:r>
        <w:rPr>
          <w:rFonts w:hint="eastAsia" w:ascii="仿宋" w:hAnsi="仿宋" w:eastAsia="仿宋" w:cs="楷体_GB2312"/>
          <w:b/>
          <w:bCs/>
          <w:sz w:val="32"/>
          <w:szCs w:val="32"/>
        </w:rPr>
        <w:t xml:space="preserve"> （二）</w:t>
      </w:r>
      <w:r>
        <w:rPr>
          <w:rFonts w:hint="eastAsia" w:ascii="仿宋" w:hAnsi="仿宋" w:eastAsia="仿宋" w:cs="楷体_GB2312"/>
          <w:b/>
          <w:bCs/>
          <w:sz w:val="32"/>
          <w:szCs w:val="32"/>
          <w:lang w:eastAsia="zh-CN"/>
        </w:rPr>
        <w:t>分项绩效目标实现情况及指标分析</w:t>
      </w:r>
    </w:p>
    <w:p>
      <w:pPr>
        <w:adjustRightInd w:val="0"/>
        <w:snapToGrid w:val="0"/>
        <w:spacing w:line="560" w:lineRule="exact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）劳务派遣经费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1.资金支出进度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该项目预算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（调整后）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18.98万元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支出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18.98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万元，总体支出进度为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（劳务派遣经费项目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2025年4月起移交人社局经费随即转到人社局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2.产出指标和效果指标完成情况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由于劳务派遣工作人员的增加，弥补统计工作人员严重不足的现状，保障了统计工作圆满完成。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绩效指标为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个，评价等级为优。</w:t>
      </w:r>
    </w:p>
    <w:p>
      <w:pPr>
        <w:pStyle w:val="2"/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（二）城镇记账户补贴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1.资金支出进度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该项目年初预算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（调整后）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62.64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62.64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万元，总体支出进度为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2.产出指标和效果指标完成情况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城镇记账户补贴项目主要用于组织开展城镇记账户调查工作，了解全区城镇居民收支发展情况和动态，提供有效的统计信息和分析建议。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绩效指标为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个，评价等级为优。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（三）普查调查经费（第五次经济普查）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该项目预算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（调整后）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16.45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16.45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万元，总体支出进度为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2.产出指标和效果指标完成情况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圆满完成第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五次经济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普查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相关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工作，为了解我区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经济发展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情况提供了基础。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B05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绩效指标为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个，评价等级为优。</w:t>
      </w:r>
    </w:p>
    <w:p>
      <w:pPr>
        <w:widowControl w:val="0"/>
        <w:wordWrap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四、评价结论和评价等级</w:t>
      </w:r>
    </w:p>
    <w:p>
      <w:pPr>
        <w:widowControl w:val="0"/>
        <w:wordWrap/>
        <w:spacing w:line="560" w:lineRule="exact"/>
        <w:ind w:left="0" w:leftChars="0" w:right="0" w:firstLine="640" w:firstLineChars="200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</w:t>
      </w:r>
      <w:r>
        <w:rPr>
          <w:rFonts w:hint="eastAsia" w:ascii="仿宋" w:hAnsi="仿宋" w:eastAsia="仿宋"/>
          <w:sz w:val="32"/>
          <w:szCs w:val="32"/>
          <w:lang w:eastAsia="zh-CN"/>
        </w:rPr>
        <w:t>部门职责定位和各项工作履职情况进行综合评价</w:t>
      </w:r>
      <w:r>
        <w:rPr>
          <w:rFonts w:hint="eastAsia" w:ascii="仿宋" w:hAnsi="仿宋" w:eastAsia="仿宋"/>
          <w:sz w:val="32"/>
          <w:szCs w:val="32"/>
        </w:rPr>
        <w:t>，给出总得分，满分100分，得出综合绩效评价等级。</w:t>
      </w:r>
      <w:r>
        <w:rPr>
          <w:rFonts w:hint="eastAsia" w:ascii="仿宋" w:hAnsi="仿宋" w:eastAsia="仿宋"/>
          <w:sz w:val="32"/>
          <w:szCs w:val="32"/>
          <w:lang w:eastAsia="zh-CN"/>
        </w:rPr>
        <w:t>部门整体支出</w:t>
      </w:r>
      <w:r>
        <w:rPr>
          <w:rFonts w:hint="eastAsia" w:ascii="仿宋" w:hAnsi="仿宋" w:eastAsia="仿宋"/>
          <w:sz w:val="32"/>
          <w:szCs w:val="32"/>
        </w:rPr>
        <w:t>综合绩效评价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分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98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分为优秀。</w:t>
      </w:r>
    </w:p>
    <w:p>
      <w:pPr>
        <w:widowControl w:val="0"/>
        <w:wordWrap/>
        <w:spacing w:line="560" w:lineRule="exact"/>
        <w:ind w:left="0" w:leftChars="0" w:right="0" w:firstLine="640" w:firstLineChars="200"/>
        <w:textAlignment w:val="auto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五、存在的问题及改进措施</w:t>
      </w:r>
    </w:p>
    <w:p>
      <w:pPr>
        <w:widowControl w:val="0"/>
        <w:wordWrap/>
        <w:spacing w:line="560" w:lineRule="exact"/>
        <w:ind w:left="0" w:leftChars="0" w:right="0" w:firstLine="643" w:firstLineChars="200"/>
        <w:textAlignment w:val="auto"/>
        <w:outlineLvl w:val="9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（一）存在的主要问题</w:t>
      </w:r>
    </w:p>
    <w:p>
      <w:pPr>
        <w:widowControl w:val="0"/>
        <w:wordWrap/>
        <w:spacing w:line="560" w:lineRule="exact"/>
        <w:ind w:left="0" w:leftChars="0" w:right="0" w:firstLine="643" w:firstLineChars="200"/>
        <w:textAlignment w:val="auto"/>
        <w:outlineLvl w:val="9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</w:rPr>
        <w:t>绩效评价在目标设定上过于简单，对于绩效考核来讲，目标就是方向，如果在绩效考核目标设定上出现问题、或者是设计不合理势必要影响到绩效考核的全局。当前绩效考核在目标设定上不能实现多元化的目标，考核结果仅仅是停留在作为薪金或晋升的依据，还不能成为考量</w:t>
      </w:r>
      <w:r>
        <w:rPr>
          <w:rFonts w:hint="eastAsia" w:ascii="仿宋" w:hAnsi="仿宋" w:eastAsia="仿宋"/>
          <w:b w:val="0"/>
          <w:bCs w:val="0"/>
          <w:sz w:val="32"/>
          <w:szCs w:val="32"/>
          <w:lang w:eastAsia="zh-CN"/>
        </w:rPr>
        <w:t>职工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 xml:space="preserve">发展的标杆。绩效评价在指标设定上存在偏离的现象。在当前绩效考核指标设定上，德能勤绩这种传统的固化思维模式依旧存在，不能紧紧围绕工作重点、偏离实际的现象依旧凸显。 </w:t>
      </w:r>
      <w:r>
        <w:rPr>
          <w:rFonts w:hint="eastAsia" w:ascii="仿宋" w:hAnsi="仿宋" w:eastAsia="仿宋"/>
          <w:b/>
          <w:bCs/>
          <w:sz w:val="32"/>
          <w:szCs w:val="32"/>
        </w:rPr>
        <w:t xml:space="preserve"> </w:t>
      </w:r>
    </w:p>
    <w:p>
      <w:pPr>
        <w:widowControl w:val="0"/>
        <w:wordWrap/>
        <w:spacing w:line="560" w:lineRule="exact"/>
        <w:ind w:left="0" w:leftChars="0" w:right="0" w:firstLine="643" w:firstLineChars="200"/>
        <w:textAlignment w:val="auto"/>
        <w:outlineLvl w:val="9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（二）针对问题提出具体的改进措施或建议</w:t>
      </w:r>
    </w:p>
    <w:p>
      <w:pPr>
        <w:adjustRightInd w:val="0"/>
        <w:snapToGrid w:val="0"/>
        <w:spacing w:line="560" w:lineRule="exact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</w:rPr>
        <w:t>针对绩效指标设定中存在的问题，从实际出发，在202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年项目绩效目标填报中增强指标的可评价性和可量化性，合理如实的反映资金使用的绩效成果，审核</w:t>
      </w:r>
      <w:r>
        <w:rPr>
          <w:rFonts w:ascii="仿宋" w:hAnsi="仿宋" w:eastAsia="仿宋" w:cs="仿宋"/>
          <w:sz w:val="32"/>
          <w:szCs w:val="32"/>
        </w:rPr>
        <w:t>实现绩效目标所需资金的合理性以及填报的规范性、完整性</w:t>
      </w:r>
      <w:r>
        <w:rPr>
          <w:rFonts w:hint="eastAsia" w:ascii="仿宋" w:hAnsi="仿宋" w:eastAsia="仿宋" w:cs="仿宋"/>
          <w:sz w:val="32"/>
          <w:szCs w:val="32"/>
        </w:rPr>
        <w:t>，提高财政支出产生的社会效益和经济效益，重点考虑项目的外界因素对年度任务的影响。</w:t>
      </w:r>
    </w:p>
    <w:p>
      <w:pPr>
        <w:adjustRightInd w:val="0"/>
        <w:snapToGrid w:val="0"/>
        <w:spacing w:line="560" w:lineRule="exact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</w:rPr>
        <w:t>在以后的工作中，</w:t>
      </w:r>
      <w:r>
        <w:rPr>
          <w:rFonts w:ascii="仿宋" w:hAnsi="仿宋" w:eastAsia="仿宋" w:cs="仿宋"/>
          <w:sz w:val="32"/>
          <w:szCs w:val="32"/>
        </w:rPr>
        <w:t>要根据年度工作计划制定具体、可衡量、可实现的绩效目标，明确支出的必要性、可行性和有效性，并围绕绩效目标编制清晰、量化、便于考核的绩效指标。</w:t>
      </w:r>
      <w:r>
        <w:rPr>
          <w:rFonts w:hint="eastAsia" w:ascii="仿宋" w:hAnsi="仿宋" w:eastAsia="仿宋" w:cs="仿宋"/>
          <w:sz w:val="32"/>
          <w:szCs w:val="32"/>
        </w:rPr>
        <w:t>要重视绩效评价工作，切实发挥绩效评价结果应用的作用，通过绩效评价应用实践，积累连续的数据库，优化对比分析，总结实践中的经验和教训，强化财政资金管理水平、提高财政资金使用效益，在更高层次上实现财政资源配置的公平性和合理性。</w:t>
      </w:r>
    </w:p>
    <w:p>
      <w:pPr>
        <w:widowControl w:val="0"/>
        <w:numPr>
          <w:numId w:val="0"/>
        </w:numPr>
        <w:wordWrap/>
        <w:adjustRightInd w:val="0"/>
        <w:snapToGrid w:val="0"/>
        <w:spacing w:line="560" w:lineRule="exact"/>
        <w:ind w:leftChars="200" w:right="0" w:rightChars="0"/>
        <w:textAlignment w:val="auto"/>
        <w:outlineLvl w:val="9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六、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</w:rPr>
        <w:t>评价工作组人员名单及签字</w:t>
      </w:r>
    </w:p>
    <w:p>
      <w:pPr>
        <w:widowControl w:val="0"/>
        <w:wordWrap/>
        <w:spacing w:line="560" w:lineRule="exact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widowControl w:val="0"/>
        <w:wordWrap/>
        <w:spacing w:line="560" w:lineRule="exact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评价工作组人员名单</w:t>
      </w:r>
    </w:p>
    <w:tbl>
      <w:tblPr>
        <w:tblStyle w:val="8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1172"/>
        <w:gridCol w:w="1856"/>
        <w:gridCol w:w="3071"/>
        <w:gridCol w:w="1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序</w:t>
            </w:r>
            <w:r>
              <w:rPr>
                <w:rFonts w:hint="eastAsia"/>
                <w:vertAlign w:val="baseline"/>
                <w:lang w:eastAsia="zh-CN"/>
              </w:rPr>
              <w:t>号</w:t>
            </w:r>
          </w:p>
        </w:tc>
        <w:tc>
          <w:tcPr>
            <w:tcW w:w="1172" w:type="dxa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1856" w:type="dxa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工作单位</w:t>
            </w:r>
          </w:p>
        </w:tc>
        <w:tc>
          <w:tcPr>
            <w:tcW w:w="3071" w:type="dxa"/>
            <w:vAlign w:val="top"/>
          </w:tcPr>
          <w:p>
            <w:pPr>
              <w:pStyle w:val="2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eastAsia="zh-CN"/>
              </w:rPr>
              <w:t>职务</w:t>
            </w:r>
          </w:p>
        </w:tc>
        <w:tc>
          <w:tcPr>
            <w:tcW w:w="1813" w:type="dxa"/>
            <w:vAlign w:val="top"/>
          </w:tcPr>
          <w:p>
            <w:pPr>
              <w:pStyle w:val="2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  <w:vAlign w:val="center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1</w:t>
            </w:r>
          </w:p>
        </w:tc>
        <w:tc>
          <w:tcPr>
            <w:tcW w:w="1172" w:type="dxa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张娟</w:t>
            </w:r>
          </w:p>
        </w:tc>
        <w:tc>
          <w:tcPr>
            <w:tcW w:w="185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区统计局</w:t>
            </w:r>
          </w:p>
        </w:tc>
        <w:tc>
          <w:tcPr>
            <w:tcW w:w="3071" w:type="dxa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局长</w:t>
            </w:r>
          </w:p>
        </w:tc>
        <w:tc>
          <w:tcPr>
            <w:tcW w:w="1813" w:type="dxa"/>
            <w:vAlign w:val="top"/>
          </w:tcPr>
          <w:p>
            <w:pPr>
              <w:pStyle w:val="2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  <w:vAlign w:val="center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2</w:t>
            </w:r>
          </w:p>
        </w:tc>
        <w:tc>
          <w:tcPr>
            <w:tcW w:w="1172" w:type="dxa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田千雪</w:t>
            </w:r>
          </w:p>
        </w:tc>
        <w:tc>
          <w:tcPr>
            <w:tcW w:w="185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区统计局</w:t>
            </w:r>
          </w:p>
        </w:tc>
        <w:tc>
          <w:tcPr>
            <w:tcW w:w="3071" w:type="dxa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副局长、三级主任科员</w:t>
            </w:r>
          </w:p>
        </w:tc>
        <w:tc>
          <w:tcPr>
            <w:tcW w:w="1813" w:type="dxa"/>
            <w:vAlign w:val="top"/>
          </w:tcPr>
          <w:p>
            <w:pPr>
              <w:pStyle w:val="2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  <w:vAlign w:val="center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3</w:t>
            </w:r>
          </w:p>
        </w:tc>
        <w:tc>
          <w:tcPr>
            <w:tcW w:w="1172" w:type="dxa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eastAsia="仿宋_GB2312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朱丽伟</w:t>
            </w:r>
          </w:p>
        </w:tc>
        <w:tc>
          <w:tcPr>
            <w:tcW w:w="1856" w:type="dxa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区统计局</w:t>
            </w:r>
          </w:p>
        </w:tc>
        <w:tc>
          <w:tcPr>
            <w:tcW w:w="3071" w:type="dxa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财务</w:t>
            </w:r>
          </w:p>
        </w:tc>
        <w:tc>
          <w:tcPr>
            <w:tcW w:w="1813" w:type="dxa"/>
            <w:vAlign w:val="top"/>
          </w:tcPr>
          <w:p>
            <w:pPr>
              <w:pStyle w:val="2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widowControl w:val="0"/>
        <w:wordWrap/>
        <w:spacing w:line="560" w:lineRule="exact"/>
        <w:ind w:left="0" w:leftChars="0" w:right="0"/>
        <w:textAlignment w:val="auto"/>
        <w:outlineLvl w:val="9"/>
        <w:rPr>
          <w:rFonts w:ascii="仿宋" w:hAnsi="仿宋" w:eastAsia="仿宋"/>
        </w:rPr>
      </w:pPr>
    </w:p>
    <w:sectPr>
      <w:footerReference r:id="rId3" w:type="default"/>
      <w:pgSz w:w="11906" w:h="16838"/>
      <w:pgMar w:top="1270" w:right="1474" w:bottom="1270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swiss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decorative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roman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Batang">
    <w:panose1 w:val="02030600000101010101"/>
    <w:charset w:val="86"/>
    <w:family w:val="roman"/>
    <w:pitch w:val="default"/>
    <w:sig w:usb0="B00002AF" w:usb1="69D77CFB" w:usb2="00000030" w:usb3="00000000" w:csb0="4008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Batang">
    <w:panose1 w:val="02030600000101010101"/>
    <w:charset w:val="86"/>
    <w:family w:val="modern"/>
    <w:pitch w:val="default"/>
    <w:sig w:usb0="B00002AF" w:usb1="69D77CFB" w:usb2="00000030" w:usb3="00000000" w:csb0="4008009F" w:csb1="DFD7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Batang">
    <w:panose1 w:val="02030600000101010101"/>
    <w:charset w:val="86"/>
    <w:family w:val="swiss"/>
    <w:pitch w:val="default"/>
    <w:sig w:usb0="B00002AF" w:usb1="69D77CFB" w:usb2="00000030" w:usb3="00000000" w:csb0="4008009F" w:csb1="DFD70000"/>
  </w:font>
  <w:font w:name="仿宋_GB2312">
    <w:altName w:val="仿宋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Batang">
    <w:panose1 w:val="02030600000101010101"/>
    <w:charset w:val="86"/>
    <w:family w:val="decorative"/>
    <w:pitch w:val="default"/>
    <w:sig w:usb0="B00002AF" w:usb1="69D77CFB" w:usb2="00000030" w:usb3="00000000" w:csb0="4008009F" w:csb1="DFD7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黑体">
    <w:panose1 w:val="02010609060101010101"/>
    <w:charset w:val="86"/>
    <w:family w:val="script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Calibri" w:hAnsi="Calibri" w:eastAsia="宋体" w:cs="黑体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M6pebnPAAAABQEAAA8AAAAAAAAAAQAg&#10;AAAAIgAAAGRycy9kb3ducmV2LnhtbFBLAQIUABQAAAAIAIdO4kDApqiUpQEAAE8DAAAOAAAAAAAA&#10;AAEAIAAAAB4BAABkcnMvZTJvRG9jLnhtbFBLBQYAAAAABgAGAFkBAAA1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47316282">
    <w:nsid w:val="62300D3A"/>
    <w:multiLevelType w:val="singleLevel"/>
    <w:tmpl w:val="62300D3A"/>
    <w:lvl w:ilvl="0" w:tentative="1">
      <w:start w:val="2"/>
      <w:numFmt w:val="chineseCounting"/>
      <w:suff w:val="nothing"/>
      <w:lvlText w:val="（%1）"/>
      <w:lvlJc w:val="left"/>
    </w:lvl>
  </w:abstractNum>
  <w:abstractNum w:abstractNumId="1583892635">
    <w:nsid w:val="5E68489B"/>
    <w:multiLevelType w:val="singleLevel"/>
    <w:tmpl w:val="5E68489B"/>
    <w:lvl w:ilvl="0" w:tentative="1">
      <w:start w:val="1"/>
      <w:numFmt w:val="chineseCounting"/>
      <w:suff w:val="nothing"/>
      <w:lvlText w:val="（%1）"/>
      <w:lvlJc w:val="left"/>
    </w:lvl>
  </w:abstractNum>
  <w:num w:numId="1">
    <w:abstractNumId w:val="1647316282"/>
  </w:num>
  <w:num w:numId="2">
    <w:abstractNumId w:val="1583892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BD2122"/>
    <w:rsid w:val="007E6C1F"/>
    <w:rsid w:val="00AF566A"/>
    <w:rsid w:val="00B6553A"/>
    <w:rsid w:val="00CC2FD7"/>
    <w:rsid w:val="01B104CA"/>
    <w:rsid w:val="020E7254"/>
    <w:rsid w:val="02106AB0"/>
    <w:rsid w:val="024B7AE1"/>
    <w:rsid w:val="02B43A28"/>
    <w:rsid w:val="032F4BD0"/>
    <w:rsid w:val="03E46C9F"/>
    <w:rsid w:val="046F331E"/>
    <w:rsid w:val="07956271"/>
    <w:rsid w:val="09721397"/>
    <w:rsid w:val="0A8F1AE2"/>
    <w:rsid w:val="0BB63BED"/>
    <w:rsid w:val="0E3E7E6B"/>
    <w:rsid w:val="0EB97A43"/>
    <w:rsid w:val="0EBD2122"/>
    <w:rsid w:val="0F201E31"/>
    <w:rsid w:val="0F214EAE"/>
    <w:rsid w:val="10570C50"/>
    <w:rsid w:val="113E3DD2"/>
    <w:rsid w:val="11B71E6A"/>
    <w:rsid w:val="16864F52"/>
    <w:rsid w:val="19A03E23"/>
    <w:rsid w:val="1AAF0063"/>
    <w:rsid w:val="1B0044AD"/>
    <w:rsid w:val="1B5918E7"/>
    <w:rsid w:val="1BE140DE"/>
    <w:rsid w:val="1C6F4912"/>
    <w:rsid w:val="205C468C"/>
    <w:rsid w:val="20A52047"/>
    <w:rsid w:val="21125448"/>
    <w:rsid w:val="23BA2142"/>
    <w:rsid w:val="23CF3E32"/>
    <w:rsid w:val="248C197D"/>
    <w:rsid w:val="252959AF"/>
    <w:rsid w:val="277A6671"/>
    <w:rsid w:val="27C25D6E"/>
    <w:rsid w:val="27F7256E"/>
    <w:rsid w:val="2911743C"/>
    <w:rsid w:val="292D35B7"/>
    <w:rsid w:val="29D3791C"/>
    <w:rsid w:val="2C933A45"/>
    <w:rsid w:val="305464E6"/>
    <w:rsid w:val="32D44D6C"/>
    <w:rsid w:val="332E0447"/>
    <w:rsid w:val="33EB6CFF"/>
    <w:rsid w:val="344A0F03"/>
    <w:rsid w:val="35A12947"/>
    <w:rsid w:val="37387040"/>
    <w:rsid w:val="386411A4"/>
    <w:rsid w:val="38DF68CF"/>
    <w:rsid w:val="3B273548"/>
    <w:rsid w:val="3B625C0A"/>
    <w:rsid w:val="3CEE1963"/>
    <w:rsid w:val="3D522E3F"/>
    <w:rsid w:val="3EDB3154"/>
    <w:rsid w:val="418F10E5"/>
    <w:rsid w:val="41E17C4C"/>
    <w:rsid w:val="427A4919"/>
    <w:rsid w:val="435A7B31"/>
    <w:rsid w:val="43C240E7"/>
    <w:rsid w:val="43DC094F"/>
    <w:rsid w:val="460B750B"/>
    <w:rsid w:val="46F41BF1"/>
    <w:rsid w:val="47D90505"/>
    <w:rsid w:val="483E5CAB"/>
    <w:rsid w:val="499D42ED"/>
    <w:rsid w:val="4C6D104C"/>
    <w:rsid w:val="4C9C27FE"/>
    <w:rsid w:val="50045350"/>
    <w:rsid w:val="512260B4"/>
    <w:rsid w:val="52BD6ACB"/>
    <w:rsid w:val="55537534"/>
    <w:rsid w:val="56131E11"/>
    <w:rsid w:val="561A74F1"/>
    <w:rsid w:val="56874AEC"/>
    <w:rsid w:val="59295ADF"/>
    <w:rsid w:val="596A4353"/>
    <w:rsid w:val="597244E8"/>
    <w:rsid w:val="5EB71C30"/>
    <w:rsid w:val="5EC14E29"/>
    <w:rsid w:val="5FAC3B7F"/>
    <w:rsid w:val="5FD857EF"/>
    <w:rsid w:val="60A57948"/>
    <w:rsid w:val="63A1074D"/>
    <w:rsid w:val="64F92004"/>
    <w:rsid w:val="653E56CD"/>
    <w:rsid w:val="66AF0CE5"/>
    <w:rsid w:val="670C7544"/>
    <w:rsid w:val="673F55E8"/>
    <w:rsid w:val="67D236DD"/>
    <w:rsid w:val="689850C0"/>
    <w:rsid w:val="6AAD3EAC"/>
    <w:rsid w:val="6AC537CF"/>
    <w:rsid w:val="6B017812"/>
    <w:rsid w:val="6B4F227E"/>
    <w:rsid w:val="6E5B14A6"/>
    <w:rsid w:val="6F5E7D9C"/>
    <w:rsid w:val="711B255E"/>
    <w:rsid w:val="72495A83"/>
    <w:rsid w:val="773A1398"/>
    <w:rsid w:val="776459EC"/>
    <w:rsid w:val="7A114E4C"/>
    <w:rsid w:val="7BB51E06"/>
    <w:rsid w:val="7C387F7C"/>
    <w:rsid w:val="7D6741A1"/>
    <w:rsid w:val="7E8A158F"/>
    <w:rsid w:val="7F411A00"/>
    <w:rsid w:val="7FE83423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eastAsia="仿宋_GB2312"/>
      <w:sz w:val="30"/>
    </w:rPr>
  </w:style>
  <w:style w:type="paragraph" w:styleId="3">
    <w:name w:val="Subtitle"/>
    <w:basedOn w:val="1"/>
    <w:qFormat/>
    <w:uiPriority w:val="0"/>
    <w:pPr>
      <w:spacing w:line="700" w:lineRule="exact"/>
      <w:jc w:val="center"/>
      <w:outlineLvl w:val="1"/>
    </w:pPr>
    <w:rPr>
      <w:rFonts w:ascii="Arial" w:hAnsi="Arial" w:eastAsia="方正小标宋简体" w:cs="Arial"/>
      <w:b/>
      <w:bCs/>
      <w:kern w:val="28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916</Characters>
  <Lines>7</Lines>
  <Paragraphs>2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2020-02-04T03:46:00Z</dcterms:created>
  <dc:creator>欣欣大人</dc:creator>
  <cp:lastModifiedBy>Administrator</cp:lastModifiedBy>
  <cp:lastPrinted>2026-06-02T07:11:20Z</cp:lastPrinted>
  <dcterms:modified xsi:type="dcterms:W3CDTF">2026-06-02T07:13:30Z</dcterms:modified>
  <dc:title>附件3：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  <property fmtid="{D5CDD505-2E9C-101B-9397-08002B2CF9AE}" pid="3" name="ICV">
    <vt:lpwstr>14C5DA8972104B84949AD7A7467302EC</vt:lpwstr>
  </property>
</Properties>
</file>