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1BC8E27">
      <w:pPr>
        <w:spacing w:before="156" w:line="209" w:lineRule="auto"/>
        <w:ind w:left="450"/>
        <w:rPr>
          <w:rFonts w:ascii="宋体" w:hAnsi="宋体" w:eastAsia="宋体" w:cs="宋体"/>
          <w:sz w:val="79"/>
          <w:szCs w:val="79"/>
        </w:rPr>
      </w:pPr>
    </w:p>
    <w:p w14:paraId="2C3445A1">
      <w:pPr>
        <w:spacing w:before="1" w:line="220" w:lineRule="auto"/>
        <w:ind w:firstLine="5151" w:firstLineChars="1700"/>
        <w:rPr>
          <w:rFonts w:ascii="仿宋" w:hAnsi="仿宋" w:eastAsia="仿宋" w:cs="仿宋"/>
          <w:spacing w:val="-7"/>
          <w:sz w:val="32"/>
          <w:szCs w:val="32"/>
        </w:rPr>
      </w:pPr>
    </w:p>
    <w:p w14:paraId="3AF75659">
      <w:pPr>
        <w:spacing w:before="1" w:line="220" w:lineRule="auto"/>
        <w:ind w:firstLine="5072" w:firstLineChars="1600"/>
        <w:jc w:val="both"/>
        <w:rPr>
          <w:rFonts w:ascii="仿宋" w:hAnsi="仿宋" w:eastAsia="仿宋" w:cs="仿宋"/>
          <w:sz w:val="32"/>
          <w:szCs w:val="32"/>
        </w:rPr>
      </w:pPr>
      <w:r>
        <w:rPr>
          <w:rFonts w:ascii="仿宋" w:hAnsi="仿宋" w:eastAsia="仿宋" w:cs="仿宋"/>
          <w:spacing w:val="0"/>
          <w:sz w:val="32"/>
          <w:szCs w:val="32"/>
        </w:rPr>
        <w:t>矿</w:t>
      </w:r>
      <w:r>
        <w:rPr>
          <w:rFonts w:hint="eastAsia" w:ascii="仿宋" w:hAnsi="仿宋" w:eastAsia="仿宋" w:cs="仿宋"/>
          <w:spacing w:val="0"/>
          <w:sz w:val="32"/>
          <w:szCs w:val="32"/>
          <w:lang w:val="en-US" w:eastAsia="zh-CN"/>
        </w:rPr>
        <w:t>数政</w:t>
      </w:r>
      <w:r>
        <w:rPr>
          <w:rFonts w:ascii="仿宋" w:hAnsi="仿宋" w:eastAsia="仿宋" w:cs="仿宋"/>
          <w:spacing w:val="0"/>
          <w:sz w:val="32"/>
          <w:szCs w:val="32"/>
        </w:rPr>
        <w:t>环评字〔202</w:t>
      </w:r>
      <w:r>
        <w:rPr>
          <w:rFonts w:hint="eastAsia" w:ascii="仿宋" w:hAnsi="仿宋" w:eastAsia="仿宋" w:cs="仿宋"/>
          <w:spacing w:val="0"/>
          <w:sz w:val="32"/>
          <w:szCs w:val="32"/>
          <w:lang w:val="en-US" w:eastAsia="zh-CN"/>
        </w:rPr>
        <w:t>6</w:t>
      </w:r>
      <w:r>
        <w:rPr>
          <w:rFonts w:ascii="仿宋" w:hAnsi="仿宋" w:eastAsia="仿宋" w:cs="仿宋"/>
          <w:spacing w:val="0"/>
          <w:sz w:val="32"/>
          <w:szCs w:val="32"/>
        </w:rPr>
        <w:t>〕</w:t>
      </w:r>
      <w:r>
        <w:rPr>
          <w:rFonts w:hint="eastAsia" w:ascii="仿宋" w:hAnsi="仿宋" w:eastAsia="仿宋" w:cs="仿宋"/>
          <w:spacing w:val="0"/>
          <w:sz w:val="32"/>
          <w:szCs w:val="32"/>
          <w:lang w:val="en-US" w:eastAsia="zh-CN"/>
        </w:rPr>
        <w:t xml:space="preserve">   </w:t>
      </w:r>
      <w:r>
        <w:rPr>
          <w:rFonts w:ascii="仿宋" w:hAnsi="仿宋" w:eastAsia="仿宋" w:cs="仿宋"/>
          <w:spacing w:val="0"/>
          <w:sz w:val="32"/>
          <w:szCs w:val="32"/>
        </w:rPr>
        <w:t>号</w:t>
      </w:r>
    </w:p>
    <w:p w14:paraId="0EA10701">
      <w:pPr>
        <w:spacing w:line="244" w:lineRule="auto"/>
        <w:rPr>
          <w:rFonts w:ascii="Arial"/>
          <w:sz w:val="21"/>
        </w:rPr>
      </w:pPr>
    </w:p>
    <w:p w14:paraId="695DFC63">
      <w:pPr>
        <w:spacing w:line="245" w:lineRule="auto"/>
        <w:rPr>
          <w:rFonts w:ascii="Arial"/>
          <w:sz w:val="21"/>
        </w:rPr>
      </w:pPr>
    </w:p>
    <w:p w14:paraId="3701B5F4">
      <w:pPr>
        <w:keepNext w:val="0"/>
        <w:keepLines w:val="0"/>
        <w:pageBreakBefore w:val="0"/>
        <w:widowControl w:val="0"/>
        <w:kinsoku/>
        <w:wordWrap/>
        <w:overflowPunct/>
        <w:topLinePunct w:val="0"/>
        <w:autoSpaceDE/>
        <w:autoSpaceDN/>
        <w:bidi w:val="0"/>
        <w:adjustRightInd w:val="0"/>
        <w:snapToGrid w:val="0"/>
        <w:spacing w:line="600" w:lineRule="exact"/>
        <w:jc w:val="center"/>
        <w:textAlignment w:val="auto"/>
        <w:rPr>
          <w:rFonts w:hint="default" w:ascii="方正小标宋简体" w:hAnsi="方正小标宋简体" w:eastAsia="方正小标宋简体" w:cs="方正小标宋简体"/>
          <w:b w:val="0"/>
          <w:bCs/>
          <w:color w:val="auto"/>
          <w:spacing w:val="0"/>
          <w:sz w:val="44"/>
          <w:szCs w:val="44"/>
          <w:lang w:val="en-US" w:eastAsia="zh-CN"/>
        </w:rPr>
      </w:pPr>
      <w:r>
        <w:rPr>
          <w:rFonts w:hint="default" w:ascii="方正小标宋简体" w:hAnsi="方正小标宋简体" w:eastAsia="方正小标宋简体" w:cs="方正小标宋简体"/>
          <w:b w:val="0"/>
          <w:bCs/>
          <w:color w:val="auto"/>
          <w:spacing w:val="0"/>
          <w:sz w:val="44"/>
          <w:szCs w:val="44"/>
          <w:lang w:val="en-US" w:eastAsia="zh-CN"/>
        </w:rPr>
        <w:t>井陉矿区</w:t>
      </w:r>
      <w:r>
        <w:rPr>
          <w:rFonts w:hint="eastAsia" w:ascii="方正小标宋简体" w:hAnsi="方正小标宋简体" w:eastAsia="方正小标宋简体" w:cs="方正小标宋简体"/>
          <w:b w:val="0"/>
          <w:bCs/>
          <w:color w:val="auto"/>
          <w:spacing w:val="0"/>
          <w:sz w:val="44"/>
          <w:szCs w:val="44"/>
          <w:lang w:val="en-US" w:eastAsia="zh-CN"/>
        </w:rPr>
        <w:t>数据和政务服务</w:t>
      </w:r>
      <w:r>
        <w:rPr>
          <w:rFonts w:hint="default" w:ascii="方正小标宋简体" w:hAnsi="方正小标宋简体" w:eastAsia="方正小标宋简体" w:cs="方正小标宋简体"/>
          <w:b w:val="0"/>
          <w:bCs/>
          <w:color w:val="auto"/>
          <w:spacing w:val="0"/>
          <w:sz w:val="44"/>
          <w:szCs w:val="44"/>
          <w:lang w:val="en-US" w:eastAsia="zh-CN"/>
        </w:rPr>
        <w:t>局</w:t>
      </w:r>
    </w:p>
    <w:p w14:paraId="468E83CE">
      <w:pPr>
        <w:keepNext w:val="0"/>
        <w:keepLines w:val="0"/>
        <w:pageBreakBefore w:val="0"/>
        <w:widowControl w:val="0"/>
        <w:kinsoku/>
        <w:wordWrap/>
        <w:overflowPunct/>
        <w:topLinePunct w:val="0"/>
        <w:autoSpaceDE/>
        <w:autoSpaceDN/>
        <w:bidi w:val="0"/>
        <w:adjustRightInd w:val="0"/>
        <w:snapToGrid w:val="0"/>
        <w:spacing w:line="600" w:lineRule="exact"/>
        <w:jc w:val="center"/>
        <w:textAlignment w:val="auto"/>
        <w:rPr>
          <w:rFonts w:hint="default" w:ascii="方正小标宋简体" w:hAnsi="方正小标宋简体" w:eastAsia="方正小标宋简体" w:cs="方正小标宋简体"/>
          <w:b w:val="0"/>
          <w:bCs/>
          <w:color w:val="auto"/>
          <w:spacing w:val="0"/>
          <w:sz w:val="44"/>
          <w:szCs w:val="44"/>
          <w:lang w:val="en-US" w:eastAsia="zh-CN"/>
        </w:rPr>
      </w:pPr>
      <w:r>
        <w:rPr>
          <w:rFonts w:hint="default" w:ascii="方正小标宋简体" w:hAnsi="方正小标宋简体" w:eastAsia="方正小标宋简体" w:cs="方正小标宋简体"/>
          <w:b w:val="0"/>
          <w:bCs/>
          <w:color w:val="auto"/>
          <w:spacing w:val="0"/>
          <w:sz w:val="44"/>
          <w:szCs w:val="44"/>
          <w:lang w:val="en-US" w:eastAsia="zh-CN"/>
        </w:rPr>
        <w:t>关于</w:t>
      </w:r>
      <w:r>
        <w:rPr>
          <w:rFonts w:hint="eastAsia" w:ascii="方正小标宋简体" w:hAnsi="方正小标宋简体" w:eastAsia="方正小标宋简体" w:cs="方正小标宋简体"/>
          <w:b w:val="0"/>
          <w:bCs/>
          <w:color w:val="auto"/>
          <w:spacing w:val="0"/>
          <w:sz w:val="44"/>
          <w:szCs w:val="44"/>
          <w:lang w:val="en-US" w:eastAsia="zh-CN"/>
        </w:rPr>
        <w:t>河北腾琰金属制品有限公司钢结构配件制造智能一体化项目生态</w:t>
      </w:r>
      <w:r>
        <w:rPr>
          <w:rFonts w:hint="default" w:ascii="方正小标宋简体" w:hAnsi="方正小标宋简体" w:eastAsia="方正小标宋简体" w:cs="方正小标宋简体"/>
          <w:b w:val="0"/>
          <w:bCs/>
          <w:color w:val="auto"/>
          <w:spacing w:val="0"/>
          <w:sz w:val="44"/>
          <w:szCs w:val="44"/>
          <w:lang w:val="en-US" w:eastAsia="zh-CN"/>
        </w:rPr>
        <w:t>环境影响报告表的</w:t>
      </w:r>
    </w:p>
    <w:p w14:paraId="1E14D534">
      <w:pPr>
        <w:keepNext w:val="0"/>
        <w:keepLines w:val="0"/>
        <w:pageBreakBefore w:val="0"/>
        <w:widowControl w:val="0"/>
        <w:kinsoku/>
        <w:wordWrap/>
        <w:overflowPunct/>
        <w:topLinePunct w:val="0"/>
        <w:autoSpaceDE/>
        <w:autoSpaceDN/>
        <w:bidi w:val="0"/>
        <w:adjustRightInd w:val="0"/>
        <w:snapToGrid w:val="0"/>
        <w:spacing w:line="600" w:lineRule="exact"/>
        <w:jc w:val="center"/>
        <w:textAlignment w:val="auto"/>
        <w:rPr>
          <w:rFonts w:hint="default" w:ascii="方正小标宋简体" w:hAnsi="方正小标宋简体" w:eastAsia="方正小标宋简体" w:cs="方正小标宋简体"/>
          <w:b w:val="0"/>
          <w:bCs/>
          <w:color w:val="auto"/>
          <w:spacing w:val="0"/>
          <w:sz w:val="44"/>
          <w:szCs w:val="44"/>
          <w:lang w:val="en-US" w:eastAsia="zh-CN"/>
        </w:rPr>
      </w:pPr>
      <w:r>
        <w:rPr>
          <w:rFonts w:hint="default" w:ascii="方正小标宋简体" w:hAnsi="方正小标宋简体" w:eastAsia="方正小标宋简体" w:cs="方正小标宋简体"/>
          <w:b w:val="0"/>
          <w:bCs/>
          <w:color w:val="auto"/>
          <w:spacing w:val="0"/>
          <w:sz w:val="44"/>
          <w:szCs w:val="44"/>
          <w:lang w:val="en-US" w:eastAsia="zh-CN"/>
        </w:rPr>
        <w:t>批</w:t>
      </w:r>
      <w:r>
        <w:rPr>
          <w:rFonts w:hint="eastAsia" w:ascii="方正小标宋简体" w:hAnsi="方正小标宋简体" w:eastAsia="方正小标宋简体" w:cs="方正小标宋简体"/>
          <w:b w:val="0"/>
          <w:bCs/>
          <w:color w:val="auto"/>
          <w:spacing w:val="0"/>
          <w:sz w:val="44"/>
          <w:szCs w:val="44"/>
          <w:lang w:val="en-US" w:eastAsia="zh-CN"/>
        </w:rPr>
        <w:t xml:space="preserve">  </w:t>
      </w:r>
      <w:r>
        <w:rPr>
          <w:rFonts w:hint="default" w:ascii="方正小标宋简体" w:hAnsi="方正小标宋简体" w:eastAsia="方正小标宋简体" w:cs="方正小标宋简体"/>
          <w:b w:val="0"/>
          <w:bCs/>
          <w:color w:val="auto"/>
          <w:spacing w:val="0"/>
          <w:sz w:val="44"/>
          <w:szCs w:val="44"/>
          <w:lang w:val="en-US" w:eastAsia="zh-CN"/>
        </w:rPr>
        <w:t>复</w:t>
      </w:r>
    </w:p>
    <w:p w14:paraId="7EB6F70F">
      <w:pPr>
        <w:spacing w:line="316" w:lineRule="auto"/>
        <w:rPr>
          <w:rFonts w:ascii="Arial"/>
          <w:color w:val="auto"/>
          <w:sz w:val="21"/>
        </w:rPr>
      </w:pPr>
    </w:p>
    <w:p w14:paraId="5E36D773">
      <w:pPr>
        <w:spacing w:line="316" w:lineRule="auto"/>
        <w:rPr>
          <w:rFonts w:ascii="Arial"/>
          <w:color w:val="auto"/>
          <w:sz w:val="21"/>
        </w:rPr>
      </w:pPr>
    </w:p>
    <w:p w14:paraId="2A76372D">
      <w:pPr>
        <w:keepNext w:val="0"/>
        <w:keepLines w:val="0"/>
        <w:pageBreakBefore w:val="0"/>
        <w:widowControl/>
        <w:kinsoku w:val="0"/>
        <w:wordWrap/>
        <w:overflowPunct/>
        <w:topLinePunct w:val="0"/>
        <w:autoSpaceDE w:val="0"/>
        <w:autoSpaceDN w:val="0"/>
        <w:bidi w:val="0"/>
        <w:adjustRightInd/>
        <w:snapToGrid/>
        <w:spacing w:line="620" w:lineRule="exact"/>
        <w:ind w:right="0" w:rightChars="0"/>
        <w:jc w:val="both"/>
        <w:textAlignment w:val="baseline"/>
        <w:rPr>
          <w:rFonts w:hint="eastAsia" w:ascii="仿宋" w:hAnsi="仿宋" w:eastAsia="仿宋" w:cs="仿宋"/>
          <w:color w:val="auto"/>
          <w:spacing w:val="0"/>
          <w:sz w:val="32"/>
          <w:szCs w:val="32"/>
          <w:lang w:val="en-US" w:eastAsia="zh-CN"/>
        </w:rPr>
      </w:pPr>
      <w:r>
        <w:rPr>
          <w:rFonts w:hint="eastAsia" w:ascii="仿宋" w:hAnsi="仿宋" w:eastAsia="仿宋" w:cs="仿宋"/>
          <w:color w:val="auto"/>
          <w:spacing w:val="0"/>
          <w:sz w:val="32"/>
          <w:szCs w:val="32"/>
          <w:lang w:val="en-US" w:eastAsia="zh-CN"/>
        </w:rPr>
        <w:t>河北腾琰金属制品有限公司：</w:t>
      </w:r>
    </w:p>
    <w:p w14:paraId="76E56119">
      <w:pPr>
        <w:keepNext w:val="0"/>
        <w:keepLines w:val="0"/>
        <w:pageBreakBefore w:val="0"/>
        <w:widowControl/>
        <w:kinsoku w:val="0"/>
        <w:wordWrap/>
        <w:overflowPunct/>
        <w:topLinePunct w:val="0"/>
        <w:autoSpaceDE w:val="0"/>
        <w:autoSpaceDN w:val="0"/>
        <w:bidi w:val="0"/>
        <w:adjustRightInd/>
        <w:snapToGrid/>
        <w:spacing w:line="620" w:lineRule="exact"/>
        <w:ind w:left="0" w:leftChars="0" w:right="0" w:rightChars="0" w:firstLine="634" w:firstLineChars="200"/>
        <w:jc w:val="both"/>
        <w:textAlignment w:val="baseline"/>
        <w:rPr>
          <w:rFonts w:hint="eastAsia" w:ascii="仿宋" w:hAnsi="仿宋" w:eastAsia="仿宋" w:cs="仿宋"/>
          <w:color w:val="auto"/>
          <w:spacing w:val="0"/>
          <w:sz w:val="32"/>
          <w:szCs w:val="32"/>
          <w:lang w:val="en-US" w:eastAsia="zh-CN"/>
        </w:rPr>
      </w:pPr>
      <w:r>
        <w:rPr>
          <w:rFonts w:hint="eastAsia" w:ascii="仿宋" w:hAnsi="仿宋" w:eastAsia="仿宋" w:cs="仿宋"/>
          <w:color w:val="auto"/>
          <w:spacing w:val="0"/>
          <w:sz w:val="32"/>
          <w:szCs w:val="32"/>
          <w:lang w:val="en-US" w:eastAsia="zh-CN"/>
        </w:rPr>
        <w:t>你公司所报《河北腾琰金属制品有限公司钢结构配件制造智能一体化项目生态环境影响报告表》及有关资料已收悉。经研究，同意该项目按照生态环境影响报告表中所列内容进行建设，批复如下：</w:t>
      </w:r>
    </w:p>
    <w:p w14:paraId="2792665C">
      <w:pPr>
        <w:keepNext w:val="0"/>
        <w:keepLines w:val="0"/>
        <w:pageBreakBefore w:val="0"/>
        <w:widowControl/>
        <w:numPr>
          <w:ilvl w:val="0"/>
          <w:numId w:val="0"/>
        </w:numPr>
        <w:kinsoku w:val="0"/>
        <w:wordWrap/>
        <w:overflowPunct/>
        <w:topLinePunct w:val="0"/>
        <w:autoSpaceDE w:val="0"/>
        <w:autoSpaceDN w:val="0"/>
        <w:bidi w:val="0"/>
        <w:adjustRightInd/>
        <w:snapToGrid/>
        <w:spacing w:line="620" w:lineRule="exact"/>
        <w:ind w:right="0" w:rightChars="0" w:firstLine="634" w:firstLineChars="200"/>
        <w:jc w:val="both"/>
        <w:textAlignment w:val="baseline"/>
        <w:rPr>
          <w:rFonts w:hint="eastAsia" w:ascii="仿宋" w:hAnsi="仿宋" w:eastAsia="仿宋" w:cs="仿宋"/>
          <w:color w:val="auto"/>
          <w:spacing w:val="0"/>
          <w:sz w:val="32"/>
          <w:szCs w:val="32"/>
          <w:lang w:val="en-US" w:eastAsia="zh-CN"/>
        </w:rPr>
      </w:pPr>
      <w:r>
        <w:rPr>
          <w:rFonts w:hint="eastAsia" w:ascii="仿宋" w:hAnsi="仿宋" w:eastAsia="仿宋" w:cs="仿宋"/>
          <w:color w:val="auto"/>
          <w:spacing w:val="0"/>
          <w:sz w:val="32"/>
          <w:szCs w:val="32"/>
          <w:lang w:val="en-US" w:eastAsia="zh-CN"/>
        </w:rPr>
        <w:t>一、河北腾琰金属制品有限公司钢结构配件制造智能一体化项目位于石家庄市井陉矿区贾庄镇平涉路与工业大道交口路南(原正源洗煤厂院内)，中心地理坐标为北纬38</w:t>
      </w:r>
      <w:r>
        <w:rPr>
          <w:rFonts w:hint="default" w:ascii="仿宋" w:hAnsi="仿宋" w:eastAsia="仿宋" w:cs="仿宋"/>
          <w:color w:val="auto"/>
          <w:spacing w:val="0"/>
          <w:sz w:val="32"/>
          <w:szCs w:val="32"/>
          <w:lang w:val="en-US" w:eastAsia="zh-CN"/>
        </w:rPr>
        <w:t>°</w:t>
      </w:r>
      <w:r>
        <w:rPr>
          <w:rFonts w:hint="eastAsia" w:ascii="仿宋" w:hAnsi="仿宋" w:eastAsia="仿宋" w:cs="仿宋"/>
          <w:color w:val="auto"/>
          <w:spacing w:val="0"/>
          <w:sz w:val="32"/>
          <w:szCs w:val="32"/>
          <w:lang w:val="en-US" w:eastAsia="zh-CN"/>
        </w:rPr>
        <w:t>05</w:t>
      </w:r>
      <w:r>
        <w:rPr>
          <w:rFonts w:hint="default" w:ascii="仿宋" w:hAnsi="仿宋" w:eastAsia="仿宋" w:cs="仿宋"/>
          <w:color w:val="auto"/>
          <w:spacing w:val="0"/>
          <w:sz w:val="32"/>
          <w:szCs w:val="32"/>
          <w:lang w:val="en-US" w:eastAsia="zh-CN"/>
        </w:rPr>
        <w:t>′</w:t>
      </w:r>
      <w:r>
        <w:rPr>
          <w:rFonts w:hint="eastAsia" w:ascii="仿宋" w:hAnsi="仿宋" w:eastAsia="仿宋" w:cs="仿宋"/>
          <w:color w:val="auto"/>
          <w:spacing w:val="0"/>
          <w:sz w:val="32"/>
          <w:szCs w:val="32"/>
          <w:lang w:val="en-US" w:eastAsia="zh-CN"/>
        </w:rPr>
        <w:t>1.026</w:t>
      </w:r>
      <w:r>
        <w:rPr>
          <w:rFonts w:hint="default" w:ascii="仿宋" w:hAnsi="仿宋" w:eastAsia="仿宋" w:cs="仿宋"/>
          <w:color w:val="auto"/>
          <w:spacing w:val="0"/>
          <w:sz w:val="32"/>
          <w:szCs w:val="32"/>
          <w:lang w:val="en-US" w:eastAsia="zh-CN"/>
        </w:rPr>
        <w:t>″</w:t>
      </w:r>
      <w:r>
        <w:rPr>
          <w:rFonts w:hint="eastAsia" w:ascii="仿宋" w:hAnsi="仿宋" w:eastAsia="仿宋" w:cs="仿宋"/>
          <w:color w:val="auto"/>
          <w:spacing w:val="0"/>
          <w:sz w:val="32"/>
          <w:szCs w:val="32"/>
          <w:lang w:val="en-US" w:eastAsia="zh-CN"/>
        </w:rPr>
        <w:t>、东经114</w:t>
      </w:r>
      <w:r>
        <w:rPr>
          <w:rFonts w:hint="default" w:ascii="仿宋" w:hAnsi="仿宋" w:eastAsia="仿宋" w:cs="仿宋"/>
          <w:color w:val="auto"/>
          <w:spacing w:val="0"/>
          <w:sz w:val="32"/>
          <w:szCs w:val="32"/>
          <w:lang w:val="en-US" w:eastAsia="zh-CN"/>
        </w:rPr>
        <w:t>°</w:t>
      </w:r>
      <w:r>
        <w:rPr>
          <w:rFonts w:hint="eastAsia" w:ascii="仿宋" w:hAnsi="仿宋" w:eastAsia="仿宋" w:cs="仿宋"/>
          <w:color w:val="auto"/>
          <w:spacing w:val="0"/>
          <w:sz w:val="32"/>
          <w:szCs w:val="32"/>
          <w:lang w:val="en-US" w:eastAsia="zh-CN"/>
        </w:rPr>
        <w:t>02</w:t>
      </w:r>
      <w:r>
        <w:rPr>
          <w:rFonts w:hint="default" w:ascii="仿宋" w:hAnsi="仿宋" w:eastAsia="仿宋" w:cs="仿宋"/>
          <w:color w:val="auto"/>
          <w:spacing w:val="0"/>
          <w:sz w:val="32"/>
          <w:szCs w:val="32"/>
          <w:lang w:val="en-US" w:eastAsia="zh-CN"/>
        </w:rPr>
        <w:t>′</w:t>
      </w:r>
      <w:r>
        <w:rPr>
          <w:rFonts w:hint="eastAsia" w:ascii="仿宋" w:hAnsi="仿宋" w:eastAsia="仿宋" w:cs="仿宋"/>
          <w:color w:val="auto"/>
          <w:spacing w:val="0"/>
          <w:sz w:val="32"/>
          <w:szCs w:val="32"/>
          <w:lang w:val="en-US" w:eastAsia="zh-CN"/>
        </w:rPr>
        <w:t>56.869</w:t>
      </w:r>
      <w:r>
        <w:rPr>
          <w:rFonts w:hint="default" w:ascii="仿宋" w:hAnsi="仿宋" w:eastAsia="仿宋" w:cs="仿宋"/>
          <w:color w:val="auto"/>
          <w:spacing w:val="0"/>
          <w:sz w:val="32"/>
          <w:szCs w:val="32"/>
          <w:lang w:val="en-US" w:eastAsia="zh-CN"/>
        </w:rPr>
        <w:t>″</w:t>
      </w:r>
      <w:r>
        <w:rPr>
          <w:rFonts w:hint="eastAsia" w:ascii="仿宋" w:hAnsi="仿宋" w:eastAsia="仿宋" w:cs="仿宋"/>
          <w:color w:val="auto"/>
          <w:spacing w:val="0"/>
          <w:sz w:val="32"/>
          <w:szCs w:val="32"/>
          <w:lang w:val="en-US" w:eastAsia="zh-CN"/>
        </w:rPr>
        <w:t>。项目厂区东侧为石家庄银汰新型材料科技有限公司，北侧为工业大道，隔路为石家庄市矿区亚鑫煤炭营销有限公司，南侧为集体土地，西侧为原矿务局木厂。项目总投资12080万元，其中环保投资15万元，安装下料、切割、焊接、抛光打磨等钢结构配件加工设备，年产6000吨钢结构配件。</w:t>
      </w:r>
    </w:p>
    <w:p w14:paraId="2DB667E8">
      <w:pPr>
        <w:keepNext w:val="0"/>
        <w:keepLines w:val="0"/>
        <w:pageBreakBefore w:val="0"/>
        <w:widowControl/>
        <w:numPr>
          <w:ilvl w:val="0"/>
          <w:numId w:val="0"/>
        </w:numPr>
        <w:kinsoku w:val="0"/>
        <w:wordWrap/>
        <w:overflowPunct/>
        <w:topLinePunct w:val="0"/>
        <w:autoSpaceDE w:val="0"/>
        <w:autoSpaceDN w:val="0"/>
        <w:bidi w:val="0"/>
        <w:adjustRightInd/>
        <w:snapToGrid/>
        <w:spacing w:line="620" w:lineRule="exact"/>
        <w:ind w:right="0" w:rightChars="0" w:firstLine="634" w:firstLineChars="200"/>
        <w:jc w:val="both"/>
        <w:textAlignment w:val="baseline"/>
        <w:rPr>
          <w:rFonts w:hint="eastAsia" w:ascii="仿宋" w:hAnsi="仿宋" w:eastAsia="仿宋" w:cs="仿宋"/>
          <w:color w:val="auto"/>
          <w:spacing w:val="0"/>
          <w:sz w:val="32"/>
          <w:szCs w:val="32"/>
          <w:lang w:val="en-US" w:eastAsia="zh-CN"/>
        </w:rPr>
      </w:pPr>
      <w:r>
        <w:rPr>
          <w:rFonts w:hint="eastAsia" w:ascii="仿宋" w:hAnsi="仿宋" w:eastAsia="仿宋" w:cs="仿宋"/>
          <w:color w:val="auto"/>
          <w:spacing w:val="0"/>
          <w:sz w:val="32"/>
          <w:szCs w:val="32"/>
          <w:lang w:val="en-US" w:eastAsia="zh-CN"/>
        </w:rPr>
        <w:t>在落实生态环境影响报告表提出的各项生态环境保护措施后，从环境保护角度，我局原则同意生态环境影响报告表中所列建设项目的规模、工艺、地点和环境保护对策措施。</w:t>
      </w:r>
    </w:p>
    <w:p w14:paraId="7E258A06">
      <w:pPr>
        <w:keepNext w:val="0"/>
        <w:keepLines w:val="0"/>
        <w:pageBreakBefore w:val="0"/>
        <w:widowControl/>
        <w:numPr>
          <w:ilvl w:val="0"/>
          <w:numId w:val="0"/>
        </w:numPr>
        <w:kinsoku w:val="0"/>
        <w:wordWrap/>
        <w:overflowPunct/>
        <w:topLinePunct w:val="0"/>
        <w:autoSpaceDE w:val="0"/>
        <w:autoSpaceDN w:val="0"/>
        <w:bidi w:val="0"/>
        <w:adjustRightInd/>
        <w:snapToGrid/>
        <w:spacing w:line="620" w:lineRule="exact"/>
        <w:ind w:right="0" w:rightChars="0" w:firstLine="634" w:firstLineChars="200"/>
        <w:jc w:val="both"/>
        <w:textAlignment w:val="baseline"/>
        <w:rPr>
          <w:rFonts w:hint="eastAsia" w:ascii="仿宋" w:hAnsi="仿宋" w:eastAsia="仿宋" w:cs="仿宋"/>
          <w:color w:val="auto"/>
          <w:spacing w:val="0"/>
          <w:sz w:val="32"/>
          <w:szCs w:val="32"/>
        </w:rPr>
      </w:pPr>
      <w:r>
        <w:rPr>
          <w:rFonts w:hint="eastAsia" w:ascii="仿宋" w:hAnsi="仿宋" w:eastAsia="仿宋" w:cs="仿宋"/>
          <w:color w:val="auto"/>
          <w:spacing w:val="0"/>
          <w:sz w:val="32"/>
          <w:szCs w:val="32"/>
          <w:lang w:val="en-US" w:eastAsia="zh-CN"/>
        </w:rPr>
        <w:t>二、建设单位要认真落实生态环境影响报告表提出的各项污染防治措施，确保各种污染物稳定达标排放。</w:t>
      </w:r>
    </w:p>
    <w:p w14:paraId="114F648A">
      <w:pPr>
        <w:keepNext w:val="0"/>
        <w:keepLines w:val="0"/>
        <w:pageBreakBefore w:val="0"/>
        <w:widowControl/>
        <w:numPr>
          <w:ilvl w:val="0"/>
          <w:numId w:val="0"/>
        </w:numPr>
        <w:kinsoku w:val="0"/>
        <w:wordWrap/>
        <w:overflowPunct/>
        <w:topLinePunct w:val="0"/>
        <w:autoSpaceDE w:val="0"/>
        <w:autoSpaceDN w:val="0"/>
        <w:bidi w:val="0"/>
        <w:adjustRightInd/>
        <w:snapToGrid/>
        <w:spacing w:line="620" w:lineRule="exact"/>
        <w:ind w:right="0" w:rightChars="0" w:firstLine="634" w:firstLineChars="200"/>
        <w:jc w:val="both"/>
        <w:textAlignment w:val="baseline"/>
        <w:rPr>
          <w:rFonts w:hint="eastAsia" w:ascii="仿宋" w:hAnsi="仿宋" w:eastAsia="仿宋" w:cs="仿宋"/>
          <w:color w:val="auto"/>
          <w:spacing w:val="0"/>
          <w:sz w:val="32"/>
          <w:szCs w:val="32"/>
          <w:lang w:val="en-US" w:eastAsia="zh-CN"/>
        </w:rPr>
      </w:pPr>
      <w:r>
        <w:rPr>
          <w:rFonts w:hint="eastAsia" w:ascii="仿宋" w:hAnsi="仿宋" w:eastAsia="仿宋" w:cs="仿宋"/>
          <w:color w:val="auto"/>
          <w:spacing w:val="0"/>
          <w:sz w:val="32"/>
          <w:szCs w:val="32"/>
          <w:lang w:val="en-US" w:eastAsia="zh-CN"/>
        </w:rPr>
        <w:t>1.废气：本项目废气主要是切割、焊接、抛光、打磨工序产生的颗粒物，食堂油烟，以及无组织排放的颗粒物。切割工序颗粒物由集气罩收集，经1台布袋除尘器处理后，通过1根25m高排气筒（DA001）排放；焊接工序颗粒物由集气罩收集，经1台布袋除尘器处理后，通过1根25m高排气筒（DA002）排放；抛光工序颗粒物经自带布袋除尘器处理后，通过1根25m高排气筒（DA003）排放；打磨工序颗粒物由集气罩收集，经1台布袋除尘器处理后，通过1根25m高排气筒（DA004）排放。切割、焊接、抛光、打磨工序颗粒物排放执行《大气污染物综合排放标准》（GB16297-1996）中表2二级其他标准。</w:t>
      </w:r>
    </w:p>
    <w:p w14:paraId="0BA777E1">
      <w:pPr>
        <w:keepNext w:val="0"/>
        <w:keepLines w:val="0"/>
        <w:pageBreakBefore w:val="0"/>
        <w:widowControl/>
        <w:numPr>
          <w:ilvl w:val="0"/>
          <w:numId w:val="0"/>
        </w:numPr>
        <w:kinsoku w:val="0"/>
        <w:wordWrap/>
        <w:overflowPunct/>
        <w:topLinePunct w:val="0"/>
        <w:autoSpaceDE w:val="0"/>
        <w:autoSpaceDN w:val="0"/>
        <w:bidi w:val="0"/>
        <w:adjustRightInd/>
        <w:snapToGrid/>
        <w:spacing w:line="620" w:lineRule="exact"/>
        <w:ind w:right="0" w:rightChars="0" w:firstLine="634" w:firstLineChars="200"/>
        <w:jc w:val="both"/>
        <w:textAlignment w:val="baseline"/>
        <w:rPr>
          <w:rFonts w:hint="default" w:ascii="仿宋" w:hAnsi="仿宋" w:eastAsia="仿宋" w:cs="仿宋"/>
          <w:color w:val="auto"/>
          <w:spacing w:val="0"/>
          <w:sz w:val="32"/>
          <w:szCs w:val="32"/>
          <w:lang w:val="en-US" w:eastAsia="zh-CN"/>
        </w:rPr>
      </w:pPr>
      <w:r>
        <w:rPr>
          <w:rFonts w:hint="eastAsia" w:ascii="仿宋" w:hAnsi="仿宋" w:eastAsia="仿宋" w:cs="仿宋"/>
          <w:color w:val="auto"/>
          <w:spacing w:val="0"/>
          <w:sz w:val="32"/>
          <w:szCs w:val="32"/>
          <w:lang w:val="en-US" w:eastAsia="zh-CN"/>
        </w:rPr>
        <w:t>食堂设置2个灶头，食堂油烟采用1台处理效率为75%的油烟净化器进行净化，净化后的油烟经高于屋顶的专用烟道（DA005）排放，油烟排放执行《餐饮业大气污染物排放标准》（DB13/5808-2023）表1中的小型规模要求（油烟排放浓度低于1.5mg/m</w:t>
      </w:r>
      <w:r>
        <w:rPr>
          <w:rFonts w:hint="eastAsia" w:ascii="仿宋" w:hAnsi="仿宋" w:eastAsia="仿宋" w:cs="仿宋"/>
          <w:color w:val="auto"/>
          <w:spacing w:val="0"/>
          <w:sz w:val="32"/>
          <w:szCs w:val="32"/>
          <w:vertAlign w:val="superscript"/>
          <w:lang w:val="en-US" w:eastAsia="zh-CN"/>
        </w:rPr>
        <w:t>3</w:t>
      </w:r>
      <w:r>
        <w:rPr>
          <w:rFonts w:hint="eastAsia" w:ascii="仿宋" w:hAnsi="仿宋" w:eastAsia="仿宋" w:cs="仿宋"/>
          <w:color w:val="auto"/>
          <w:spacing w:val="0"/>
          <w:sz w:val="32"/>
          <w:szCs w:val="32"/>
          <w:lang w:val="en-US" w:eastAsia="zh-CN"/>
        </w:rPr>
        <w:t>）。</w:t>
      </w:r>
    </w:p>
    <w:p w14:paraId="36B3624D">
      <w:pPr>
        <w:keepNext w:val="0"/>
        <w:keepLines w:val="0"/>
        <w:pageBreakBefore w:val="0"/>
        <w:widowControl/>
        <w:numPr>
          <w:ilvl w:val="0"/>
          <w:numId w:val="0"/>
        </w:numPr>
        <w:kinsoku w:val="0"/>
        <w:wordWrap/>
        <w:overflowPunct/>
        <w:topLinePunct w:val="0"/>
        <w:autoSpaceDE w:val="0"/>
        <w:autoSpaceDN w:val="0"/>
        <w:bidi w:val="0"/>
        <w:adjustRightInd/>
        <w:snapToGrid/>
        <w:spacing w:line="620" w:lineRule="exact"/>
        <w:ind w:right="0" w:rightChars="0" w:firstLine="634" w:firstLineChars="200"/>
        <w:jc w:val="both"/>
        <w:textAlignment w:val="baseline"/>
        <w:rPr>
          <w:rFonts w:hint="eastAsia" w:ascii="仿宋" w:hAnsi="仿宋" w:eastAsia="仿宋" w:cs="仿宋"/>
          <w:color w:val="auto"/>
          <w:spacing w:val="0"/>
          <w:sz w:val="32"/>
          <w:szCs w:val="32"/>
          <w:lang w:val="en-US" w:eastAsia="zh-CN"/>
        </w:rPr>
      </w:pPr>
      <w:r>
        <w:rPr>
          <w:rFonts w:hint="eastAsia" w:ascii="仿宋" w:hAnsi="仿宋" w:eastAsia="仿宋" w:cs="仿宋"/>
          <w:color w:val="auto"/>
          <w:spacing w:val="0"/>
          <w:sz w:val="32"/>
          <w:szCs w:val="32"/>
          <w:lang w:val="en-US" w:eastAsia="zh-CN"/>
        </w:rPr>
        <w:t>项目在密闭车间内生产，厂界无组织颗粒物排放浓度执行《大气污染物综合排放标准》（GB16297-1996）表2无组织排放监控浓度限值。</w:t>
      </w:r>
    </w:p>
    <w:p w14:paraId="3FE1C7EC">
      <w:pPr>
        <w:keepNext w:val="0"/>
        <w:keepLines w:val="0"/>
        <w:pageBreakBefore w:val="0"/>
        <w:widowControl/>
        <w:numPr>
          <w:ilvl w:val="0"/>
          <w:numId w:val="0"/>
        </w:numPr>
        <w:kinsoku w:val="0"/>
        <w:wordWrap/>
        <w:overflowPunct/>
        <w:topLinePunct w:val="0"/>
        <w:autoSpaceDE w:val="0"/>
        <w:autoSpaceDN w:val="0"/>
        <w:bidi w:val="0"/>
        <w:adjustRightInd/>
        <w:snapToGrid/>
        <w:spacing w:line="620" w:lineRule="exact"/>
        <w:ind w:right="0" w:rightChars="0" w:firstLine="634" w:firstLineChars="200"/>
        <w:jc w:val="both"/>
        <w:textAlignment w:val="baseline"/>
        <w:rPr>
          <w:rFonts w:hint="eastAsia" w:ascii="仿宋" w:hAnsi="仿宋" w:eastAsia="仿宋" w:cs="仿宋"/>
          <w:color w:val="auto"/>
          <w:spacing w:val="0"/>
          <w:sz w:val="32"/>
          <w:szCs w:val="32"/>
          <w:lang w:val="en-US" w:eastAsia="zh-CN"/>
        </w:rPr>
      </w:pPr>
      <w:r>
        <w:rPr>
          <w:rFonts w:hint="eastAsia" w:ascii="仿宋" w:hAnsi="仿宋" w:eastAsia="仿宋" w:cs="仿宋"/>
          <w:color w:val="auto"/>
          <w:spacing w:val="0"/>
          <w:sz w:val="32"/>
          <w:szCs w:val="32"/>
          <w:lang w:val="en-US" w:eastAsia="zh-CN"/>
        </w:rPr>
        <w:t>2.废水：本项目废水主要为职工生活污水和食堂废水。职工生活污水排入化粪池处理、食堂废水经隔油池处理后排入化粪池处理，满足《污水综合排放标准》（GB8978-1996）表4三级标准及石家庄矿区污水处理厂进水水质标准，排入市政管网，最终排入石家庄矿区污水处理厂进行集中处理。</w:t>
      </w:r>
    </w:p>
    <w:p w14:paraId="172F517D">
      <w:pPr>
        <w:keepNext w:val="0"/>
        <w:keepLines w:val="0"/>
        <w:pageBreakBefore w:val="0"/>
        <w:widowControl/>
        <w:kinsoku w:val="0"/>
        <w:wordWrap/>
        <w:overflowPunct/>
        <w:topLinePunct w:val="0"/>
        <w:autoSpaceDE w:val="0"/>
        <w:autoSpaceDN w:val="0"/>
        <w:bidi w:val="0"/>
        <w:adjustRightInd/>
        <w:snapToGrid/>
        <w:spacing w:line="620" w:lineRule="exact"/>
        <w:ind w:right="0" w:rightChars="0" w:firstLine="634" w:firstLineChars="200"/>
        <w:jc w:val="both"/>
        <w:textAlignment w:val="baseline"/>
        <w:rPr>
          <w:rFonts w:hint="eastAsia" w:ascii="仿宋" w:hAnsi="仿宋" w:eastAsia="仿宋" w:cs="仿宋"/>
          <w:color w:val="auto"/>
          <w:spacing w:val="0"/>
          <w:sz w:val="32"/>
          <w:szCs w:val="32"/>
          <w:lang w:val="en-US" w:eastAsia="zh-CN"/>
        </w:rPr>
      </w:pPr>
      <w:r>
        <w:rPr>
          <w:rFonts w:hint="eastAsia" w:ascii="仿宋" w:hAnsi="仿宋" w:eastAsia="仿宋" w:cs="仿宋"/>
          <w:color w:val="auto"/>
          <w:spacing w:val="0"/>
          <w:sz w:val="32"/>
          <w:szCs w:val="32"/>
          <w:lang w:val="en-US" w:eastAsia="zh-CN"/>
        </w:rPr>
        <w:t>3.噪声：本项目噪声主要为切割机、二保焊机、冲孔机、龙门吊、风机、泵类等运行时产生的噪声。通过选用低噪声设备，采取基础减振、厂房隔声、风机消声等措施降噪，东、西、南</w:t>
      </w:r>
      <w:r>
        <w:rPr>
          <w:rFonts w:hint="default" w:ascii="仿宋" w:hAnsi="仿宋" w:eastAsia="仿宋" w:cs="仿宋"/>
          <w:color w:val="auto"/>
          <w:spacing w:val="0"/>
          <w:sz w:val="32"/>
          <w:szCs w:val="32"/>
          <w:lang w:val="en-US" w:eastAsia="zh-CN"/>
        </w:rPr>
        <w:t>厂界噪声</w:t>
      </w:r>
      <w:r>
        <w:rPr>
          <w:rFonts w:hint="eastAsia" w:ascii="仿宋" w:hAnsi="仿宋" w:eastAsia="仿宋" w:cs="仿宋"/>
          <w:color w:val="auto"/>
          <w:spacing w:val="0"/>
          <w:sz w:val="32"/>
          <w:szCs w:val="32"/>
          <w:lang w:val="en-US" w:eastAsia="zh-CN"/>
        </w:rPr>
        <w:t>执行</w:t>
      </w:r>
      <w:r>
        <w:rPr>
          <w:rFonts w:hint="default" w:ascii="仿宋" w:hAnsi="仿宋" w:eastAsia="仿宋" w:cs="仿宋"/>
          <w:color w:val="auto"/>
          <w:spacing w:val="0"/>
          <w:sz w:val="32"/>
          <w:szCs w:val="32"/>
          <w:lang w:val="en-US" w:eastAsia="zh-CN"/>
        </w:rPr>
        <w:t>《工业企业厂界环境噪声排放标准》（GB12348-2008）3类区标准要求</w:t>
      </w:r>
      <w:r>
        <w:rPr>
          <w:rFonts w:hint="eastAsia" w:ascii="仿宋" w:hAnsi="仿宋" w:eastAsia="仿宋" w:cs="仿宋"/>
          <w:color w:val="auto"/>
          <w:spacing w:val="0"/>
          <w:sz w:val="32"/>
          <w:szCs w:val="32"/>
          <w:lang w:val="en-US" w:eastAsia="zh-CN"/>
        </w:rPr>
        <w:t>，北</w:t>
      </w:r>
      <w:r>
        <w:rPr>
          <w:rFonts w:hint="default" w:ascii="仿宋" w:hAnsi="仿宋" w:eastAsia="仿宋" w:cs="仿宋"/>
          <w:color w:val="auto"/>
          <w:spacing w:val="0"/>
          <w:sz w:val="32"/>
          <w:szCs w:val="32"/>
          <w:lang w:val="en-US" w:eastAsia="zh-CN"/>
        </w:rPr>
        <w:t>厂界噪声</w:t>
      </w:r>
      <w:r>
        <w:rPr>
          <w:rFonts w:hint="eastAsia" w:ascii="仿宋" w:hAnsi="仿宋" w:eastAsia="仿宋" w:cs="仿宋"/>
          <w:color w:val="auto"/>
          <w:spacing w:val="0"/>
          <w:sz w:val="32"/>
          <w:szCs w:val="32"/>
          <w:lang w:val="en-US" w:eastAsia="zh-CN"/>
        </w:rPr>
        <w:t>执行</w:t>
      </w:r>
      <w:r>
        <w:rPr>
          <w:rFonts w:hint="default" w:ascii="仿宋" w:hAnsi="仿宋" w:eastAsia="仿宋" w:cs="仿宋"/>
          <w:color w:val="auto"/>
          <w:spacing w:val="0"/>
          <w:sz w:val="32"/>
          <w:szCs w:val="32"/>
          <w:lang w:val="en-US" w:eastAsia="zh-CN"/>
        </w:rPr>
        <w:t>《工业企业厂界环境噪声排放标准》（GB12348-2008）</w:t>
      </w:r>
      <w:r>
        <w:rPr>
          <w:rFonts w:hint="eastAsia" w:ascii="仿宋" w:hAnsi="仿宋" w:eastAsia="仿宋" w:cs="仿宋"/>
          <w:color w:val="auto"/>
          <w:spacing w:val="0"/>
          <w:sz w:val="32"/>
          <w:szCs w:val="32"/>
          <w:lang w:val="en-US" w:eastAsia="zh-CN"/>
        </w:rPr>
        <w:t>4</w:t>
      </w:r>
      <w:r>
        <w:rPr>
          <w:rFonts w:hint="default" w:ascii="仿宋" w:hAnsi="仿宋" w:eastAsia="仿宋" w:cs="仿宋"/>
          <w:color w:val="auto"/>
          <w:spacing w:val="0"/>
          <w:sz w:val="32"/>
          <w:szCs w:val="32"/>
          <w:lang w:val="en-US" w:eastAsia="zh-CN"/>
        </w:rPr>
        <w:t>类区标准要求</w:t>
      </w:r>
      <w:r>
        <w:rPr>
          <w:rFonts w:hint="eastAsia" w:ascii="仿宋" w:hAnsi="仿宋" w:eastAsia="仿宋" w:cs="仿宋"/>
          <w:color w:val="auto"/>
          <w:spacing w:val="0"/>
          <w:sz w:val="32"/>
          <w:szCs w:val="32"/>
          <w:lang w:val="en-US" w:eastAsia="zh-CN"/>
        </w:rPr>
        <w:t>。</w:t>
      </w:r>
    </w:p>
    <w:p w14:paraId="792F5633">
      <w:pPr>
        <w:keepNext w:val="0"/>
        <w:keepLines w:val="0"/>
        <w:pageBreakBefore w:val="0"/>
        <w:widowControl/>
        <w:kinsoku w:val="0"/>
        <w:wordWrap/>
        <w:overflowPunct/>
        <w:topLinePunct w:val="0"/>
        <w:autoSpaceDE w:val="0"/>
        <w:autoSpaceDN w:val="0"/>
        <w:bidi w:val="0"/>
        <w:adjustRightInd/>
        <w:snapToGrid/>
        <w:spacing w:line="620" w:lineRule="exact"/>
        <w:ind w:right="0" w:rightChars="0" w:firstLine="634" w:firstLineChars="200"/>
        <w:jc w:val="both"/>
        <w:textAlignment w:val="baseline"/>
        <w:rPr>
          <w:rFonts w:hint="eastAsia" w:ascii="仿宋" w:hAnsi="仿宋" w:eastAsia="仿宋" w:cs="仿宋"/>
          <w:color w:val="auto"/>
          <w:spacing w:val="0"/>
          <w:sz w:val="32"/>
          <w:szCs w:val="32"/>
          <w:lang w:val="en-US" w:eastAsia="zh-CN"/>
        </w:rPr>
      </w:pPr>
      <w:r>
        <w:rPr>
          <w:rFonts w:hint="eastAsia" w:ascii="仿宋" w:hAnsi="仿宋" w:eastAsia="仿宋" w:cs="仿宋"/>
          <w:color w:val="auto"/>
          <w:spacing w:val="0"/>
          <w:sz w:val="32"/>
          <w:szCs w:val="32"/>
          <w:lang w:val="en-US" w:eastAsia="zh-CN"/>
        </w:rPr>
        <w:t>4.固体废弃物：本项目产生的固体废物主要为边角料、废钢砂、焊渣、除尘灰、废布袋、废切削液、废润滑油、废钢渣（沾染废切削液）、废切削液桶、废润滑油桶，以及职工生活垃圾和食堂厨余垃圾。</w:t>
      </w:r>
    </w:p>
    <w:p w14:paraId="4C077BF3">
      <w:pPr>
        <w:keepNext w:val="0"/>
        <w:keepLines w:val="0"/>
        <w:pageBreakBefore w:val="0"/>
        <w:widowControl/>
        <w:kinsoku w:val="0"/>
        <w:wordWrap/>
        <w:overflowPunct/>
        <w:topLinePunct w:val="0"/>
        <w:autoSpaceDE w:val="0"/>
        <w:autoSpaceDN w:val="0"/>
        <w:bidi w:val="0"/>
        <w:adjustRightInd/>
        <w:snapToGrid/>
        <w:spacing w:line="620" w:lineRule="exact"/>
        <w:ind w:right="0" w:rightChars="0" w:firstLine="634" w:firstLineChars="200"/>
        <w:jc w:val="both"/>
        <w:textAlignment w:val="baseline"/>
        <w:rPr>
          <w:rFonts w:hint="default" w:ascii="仿宋" w:hAnsi="仿宋" w:eastAsia="仿宋" w:cs="仿宋"/>
          <w:color w:val="auto"/>
          <w:spacing w:val="0"/>
          <w:sz w:val="32"/>
          <w:szCs w:val="32"/>
          <w:lang w:val="en-US" w:eastAsia="zh-CN"/>
        </w:rPr>
      </w:pPr>
      <w:r>
        <w:rPr>
          <w:rFonts w:hint="eastAsia" w:ascii="仿宋" w:hAnsi="仿宋" w:eastAsia="仿宋" w:cs="仿宋"/>
          <w:color w:val="auto"/>
          <w:spacing w:val="0"/>
          <w:sz w:val="32"/>
          <w:szCs w:val="32"/>
          <w:lang w:val="en-US" w:eastAsia="zh-CN"/>
        </w:rPr>
        <w:t>其中，边角料、废钢砂、焊渣、除尘灰、废布袋，集中收集暂存于一般固废间，统一外售处理。废切削液、废润滑油、废钢渣（沾染废切削液）、废切削液桶、废润滑油桶交由有资质的单位处置，即产即清，不在厂区内贮存。职工生活垃圾交由当地环卫部门收集处置；食堂厨余垃圾交有相应资质的单位清运处置。</w:t>
      </w:r>
    </w:p>
    <w:p w14:paraId="66CADEF8">
      <w:pPr>
        <w:keepNext w:val="0"/>
        <w:keepLines w:val="0"/>
        <w:pageBreakBefore w:val="0"/>
        <w:widowControl/>
        <w:kinsoku w:val="0"/>
        <w:wordWrap/>
        <w:overflowPunct/>
        <w:topLinePunct w:val="0"/>
        <w:autoSpaceDE w:val="0"/>
        <w:autoSpaceDN w:val="0"/>
        <w:bidi w:val="0"/>
        <w:adjustRightInd/>
        <w:snapToGrid/>
        <w:spacing w:line="620" w:lineRule="exact"/>
        <w:ind w:right="0" w:rightChars="0" w:firstLine="634" w:firstLineChars="200"/>
        <w:jc w:val="both"/>
        <w:textAlignment w:val="baseline"/>
        <w:rPr>
          <w:rFonts w:hint="eastAsia" w:ascii="仿宋" w:hAnsi="仿宋" w:eastAsia="仿宋" w:cs="仿宋"/>
          <w:color w:val="auto"/>
          <w:spacing w:val="0"/>
          <w:sz w:val="32"/>
          <w:szCs w:val="32"/>
        </w:rPr>
      </w:pPr>
      <w:r>
        <w:rPr>
          <w:rFonts w:hint="eastAsia" w:ascii="仿宋" w:hAnsi="仿宋" w:eastAsia="仿宋" w:cs="仿宋"/>
          <w:color w:val="auto"/>
          <w:spacing w:val="0"/>
          <w:sz w:val="32"/>
          <w:szCs w:val="32"/>
        </w:rPr>
        <w:t>三、</w:t>
      </w:r>
      <w:r>
        <w:rPr>
          <w:rFonts w:hint="eastAsia" w:ascii="仿宋" w:hAnsi="仿宋" w:eastAsia="仿宋" w:cs="仿宋"/>
          <w:color w:val="auto"/>
          <w:spacing w:val="0"/>
          <w:sz w:val="32"/>
          <w:szCs w:val="32"/>
          <w:lang w:val="en-US" w:eastAsia="zh-CN"/>
        </w:rPr>
        <w:t>该</w:t>
      </w:r>
      <w:r>
        <w:rPr>
          <w:rFonts w:hint="eastAsia" w:ascii="仿宋" w:hAnsi="仿宋" w:eastAsia="仿宋" w:cs="仿宋"/>
          <w:color w:val="auto"/>
          <w:spacing w:val="0"/>
          <w:sz w:val="32"/>
          <w:szCs w:val="32"/>
        </w:rPr>
        <w:t>项目应严格</w:t>
      </w:r>
      <w:r>
        <w:rPr>
          <w:rFonts w:hint="eastAsia" w:ascii="仿宋" w:hAnsi="仿宋" w:eastAsia="仿宋" w:cs="仿宋"/>
          <w:color w:val="auto"/>
          <w:spacing w:val="0"/>
          <w:sz w:val="32"/>
          <w:szCs w:val="32"/>
          <w:lang w:val="en-US" w:eastAsia="zh-CN"/>
        </w:rPr>
        <w:t>落实生态</w:t>
      </w:r>
      <w:r>
        <w:rPr>
          <w:rFonts w:hint="eastAsia" w:ascii="仿宋" w:hAnsi="仿宋" w:eastAsia="仿宋" w:cs="仿宋"/>
          <w:color w:val="auto"/>
          <w:spacing w:val="0"/>
          <w:sz w:val="32"/>
          <w:szCs w:val="32"/>
        </w:rPr>
        <w:t>环境影响报告表提出的环境风险防范</w:t>
      </w:r>
      <w:r>
        <w:rPr>
          <w:rFonts w:hint="eastAsia" w:ascii="仿宋" w:hAnsi="仿宋" w:eastAsia="仿宋" w:cs="仿宋"/>
          <w:color w:val="auto"/>
          <w:spacing w:val="0"/>
          <w:sz w:val="32"/>
          <w:szCs w:val="32"/>
          <w:lang w:val="en-US" w:eastAsia="zh-CN"/>
        </w:rPr>
        <w:t>要求和措施</w:t>
      </w:r>
      <w:r>
        <w:rPr>
          <w:rFonts w:hint="eastAsia" w:ascii="仿宋" w:hAnsi="仿宋" w:eastAsia="仿宋" w:cs="仿宋"/>
          <w:color w:val="auto"/>
          <w:spacing w:val="0"/>
          <w:sz w:val="32"/>
          <w:szCs w:val="32"/>
        </w:rPr>
        <w:t>，加强</w:t>
      </w:r>
      <w:r>
        <w:rPr>
          <w:rFonts w:hint="eastAsia" w:ascii="仿宋" w:hAnsi="仿宋" w:eastAsia="仿宋" w:cs="仿宋"/>
          <w:color w:val="auto"/>
          <w:spacing w:val="0"/>
          <w:sz w:val="32"/>
          <w:szCs w:val="32"/>
          <w:lang w:val="en-US" w:eastAsia="zh-CN"/>
        </w:rPr>
        <w:t>污染治理设施日常</w:t>
      </w:r>
      <w:r>
        <w:rPr>
          <w:rFonts w:hint="eastAsia" w:ascii="仿宋" w:hAnsi="仿宋" w:eastAsia="仿宋" w:cs="仿宋"/>
          <w:color w:val="auto"/>
          <w:spacing w:val="0"/>
          <w:sz w:val="32"/>
          <w:szCs w:val="32"/>
        </w:rPr>
        <w:t>维护和</w:t>
      </w:r>
      <w:r>
        <w:rPr>
          <w:rFonts w:hint="eastAsia" w:ascii="仿宋" w:hAnsi="仿宋" w:eastAsia="仿宋" w:cs="仿宋"/>
          <w:color w:val="auto"/>
          <w:spacing w:val="0"/>
          <w:sz w:val="32"/>
          <w:szCs w:val="32"/>
          <w:lang w:val="en-US" w:eastAsia="zh-CN"/>
        </w:rPr>
        <w:t>厂</w:t>
      </w:r>
      <w:r>
        <w:rPr>
          <w:rFonts w:hint="eastAsia" w:ascii="仿宋" w:hAnsi="仿宋" w:eastAsia="仿宋" w:cs="仿宋"/>
          <w:color w:val="auto"/>
          <w:spacing w:val="0"/>
          <w:sz w:val="32"/>
          <w:szCs w:val="32"/>
        </w:rPr>
        <w:t>区环境管理，落实防渗措施，确保事故情况下的环境安全。应严格按照安全生产监督管理的要求，做好各类风险源管控保护。其他生态环境措施和管理要求</w:t>
      </w:r>
      <w:r>
        <w:rPr>
          <w:rFonts w:hint="eastAsia" w:ascii="仿宋" w:hAnsi="仿宋" w:eastAsia="仿宋" w:cs="仿宋"/>
          <w:color w:val="auto"/>
          <w:spacing w:val="0"/>
          <w:sz w:val="32"/>
          <w:szCs w:val="32"/>
          <w:lang w:eastAsia="zh-CN"/>
        </w:rPr>
        <w:t>，</w:t>
      </w:r>
      <w:r>
        <w:rPr>
          <w:rFonts w:hint="eastAsia" w:ascii="仿宋" w:hAnsi="仿宋" w:eastAsia="仿宋" w:cs="仿宋"/>
          <w:color w:val="auto"/>
          <w:spacing w:val="0"/>
          <w:sz w:val="32"/>
          <w:szCs w:val="32"/>
        </w:rPr>
        <w:t>严格按相关规定落实。</w:t>
      </w:r>
    </w:p>
    <w:p w14:paraId="7039394D">
      <w:pPr>
        <w:keepNext w:val="0"/>
        <w:keepLines w:val="0"/>
        <w:pageBreakBefore w:val="0"/>
        <w:widowControl/>
        <w:kinsoku w:val="0"/>
        <w:wordWrap/>
        <w:overflowPunct/>
        <w:topLinePunct w:val="0"/>
        <w:autoSpaceDE w:val="0"/>
        <w:autoSpaceDN w:val="0"/>
        <w:bidi w:val="0"/>
        <w:adjustRightInd/>
        <w:snapToGrid/>
        <w:spacing w:line="620" w:lineRule="exact"/>
        <w:ind w:right="0" w:rightChars="0" w:firstLine="634" w:firstLineChars="200"/>
        <w:jc w:val="both"/>
        <w:textAlignment w:val="baseline"/>
        <w:rPr>
          <w:rFonts w:hint="eastAsia" w:ascii="仿宋" w:hAnsi="仿宋" w:eastAsia="仿宋" w:cs="仿宋"/>
          <w:color w:val="auto"/>
          <w:spacing w:val="0"/>
          <w:sz w:val="32"/>
          <w:szCs w:val="32"/>
        </w:rPr>
      </w:pPr>
      <w:r>
        <w:rPr>
          <w:rFonts w:hint="eastAsia" w:ascii="仿宋" w:hAnsi="仿宋" w:eastAsia="仿宋" w:cs="仿宋"/>
          <w:color w:val="auto"/>
          <w:spacing w:val="0"/>
          <w:sz w:val="32"/>
          <w:szCs w:val="32"/>
        </w:rPr>
        <w:t>四、项目建设应严格执行</w:t>
      </w:r>
      <w:r>
        <w:rPr>
          <w:rFonts w:hint="eastAsia" w:ascii="仿宋" w:hAnsi="仿宋" w:eastAsia="仿宋" w:cs="仿宋"/>
          <w:color w:val="auto"/>
          <w:spacing w:val="0"/>
          <w:sz w:val="32"/>
          <w:szCs w:val="32"/>
          <w:lang w:eastAsia="zh-CN"/>
        </w:rPr>
        <w:t>“</w:t>
      </w:r>
      <w:r>
        <w:rPr>
          <w:rFonts w:hint="eastAsia" w:ascii="仿宋" w:hAnsi="仿宋" w:eastAsia="仿宋" w:cs="仿宋"/>
          <w:color w:val="auto"/>
          <w:spacing w:val="0"/>
          <w:sz w:val="32"/>
          <w:szCs w:val="32"/>
        </w:rPr>
        <w:t>三同时”管理制度，定期向生态环境部门报告“三同时”完成情况。建设单位应当在项目竣工后</w:t>
      </w:r>
      <w:r>
        <w:rPr>
          <w:rFonts w:hint="eastAsia" w:ascii="仿宋" w:hAnsi="仿宋" w:eastAsia="仿宋" w:cs="仿宋"/>
          <w:color w:val="auto"/>
          <w:spacing w:val="0"/>
          <w:sz w:val="32"/>
          <w:szCs w:val="32"/>
          <w:lang w:eastAsia="zh-CN"/>
        </w:rPr>
        <w:t>，</w:t>
      </w:r>
      <w:r>
        <w:rPr>
          <w:rFonts w:hint="eastAsia" w:ascii="仿宋" w:hAnsi="仿宋" w:eastAsia="仿宋" w:cs="仿宋"/>
          <w:color w:val="auto"/>
          <w:spacing w:val="0"/>
          <w:sz w:val="32"/>
          <w:szCs w:val="32"/>
        </w:rPr>
        <w:t>按要求办理相关排污许可手续后</w:t>
      </w:r>
      <w:r>
        <w:rPr>
          <w:rFonts w:hint="eastAsia" w:ascii="仿宋" w:hAnsi="仿宋" w:eastAsia="仿宋" w:cs="仿宋"/>
          <w:color w:val="auto"/>
          <w:spacing w:val="0"/>
          <w:sz w:val="32"/>
          <w:szCs w:val="32"/>
          <w:lang w:eastAsia="zh-CN"/>
        </w:rPr>
        <w:t>，</w:t>
      </w:r>
      <w:r>
        <w:rPr>
          <w:rFonts w:hint="eastAsia" w:ascii="仿宋" w:hAnsi="仿宋" w:eastAsia="仿宋" w:cs="仿宋"/>
          <w:color w:val="auto"/>
          <w:spacing w:val="0"/>
          <w:sz w:val="32"/>
          <w:szCs w:val="32"/>
        </w:rPr>
        <w:t>方可实际排污</w:t>
      </w:r>
      <w:r>
        <w:rPr>
          <w:rFonts w:hint="eastAsia" w:ascii="仿宋" w:hAnsi="仿宋" w:eastAsia="仿宋" w:cs="仿宋"/>
          <w:color w:val="auto"/>
          <w:spacing w:val="0"/>
          <w:sz w:val="32"/>
          <w:szCs w:val="32"/>
          <w:lang w:eastAsia="zh-CN"/>
        </w:rPr>
        <w:t>；</w:t>
      </w:r>
      <w:r>
        <w:rPr>
          <w:rFonts w:hint="eastAsia" w:ascii="仿宋" w:hAnsi="仿宋" w:eastAsia="仿宋" w:cs="仿宋"/>
          <w:color w:val="auto"/>
          <w:spacing w:val="0"/>
          <w:sz w:val="32"/>
          <w:szCs w:val="32"/>
        </w:rPr>
        <w:t>应按照规定的标准和程序，组织项目竣工环境保护验收，编制验收报告，验收合格后，方可正式投入运营，并依法依规向社会公开，接受群众监督。</w:t>
      </w:r>
    </w:p>
    <w:p w14:paraId="574A0971">
      <w:pPr>
        <w:keepNext w:val="0"/>
        <w:keepLines w:val="0"/>
        <w:pageBreakBefore w:val="0"/>
        <w:widowControl/>
        <w:kinsoku w:val="0"/>
        <w:wordWrap/>
        <w:overflowPunct/>
        <w:topLinePunct w:val="0"/>
        <w:autoSpaceDE w:val="0"/>
        <w:autoSpaceDN w:val="0"/>
        <w:bidi w:val="0"/>
        <w:adjustRightInd/>
        <w:snapToGrid/>
        <w:spacing w:line="620" w:lineRule="exact"/>
        <w:ind w:right="0" w:rightChars="0" w:firstLine="634" w:firstLineChars="200"/>
        <w:jc w:val="both"/>
        <w:textAlignment w:val="baseline"/>
        <w:rPr>
          <w:rFonts w:hint="eastAsia" w:ascii="仿宋" w:hAnsi="仿宋" w:eastAsia="仿宋" w:cs="仿宋"/>
          <w:color w:val="auto"/>
          <w:spacing w:val="0"/>
          <w:sz w:val="32"/>
          <w:szCs w:val="32"/>
        </w:rPr>
      </w:pPr>
      <w:r>
        <w:rPr>
          <w:rFonts w:hint="eastAsia" w:ascii="仿宋" w:hAnsi="仿宋" w:eastAsia="仿宋" w:cs="仿宋"/>
          <w:color w:val="auto"/>
          <w:spacing w:val="0"/>
          <w:sz w:val="32"/>
          <w:szCs w:val="32"/>
        </w:rPr>
        <w:t>五、该项目环评文件经批准后，建设项目的性质、规模、地点、采用的生产工艺或者防治污染的措施等发生重大变动的，建设单位应当依法重新报批。</w:t>
      </w:r>
    </w:p>
    <w:p w14:paraId="28B372EE">
      <w:pPr>
        <w:keepNext w:val="0"/>
        <w:keepLines w:val="0"/>
        <w:pageBreakBefore w:val="0"/>
        <w:widowControl/>
        <w:kinsoku w:val="0"/>
        <w:wordWrap/>
        <w:overflowPunct/>
        <w:topLinePunct w:val="0"/>
        <w:autoSpaceDE w:val="0"/>
        <w:autoSpaceDN w:val="0"/>
        <w:bidi w:val="0"/>
        <w:adjustRightInd/>
        <w:snapToGrid/>
        <w:spacing w:line="620" w:lineRule="exact"/>
        <w:ind w:right="0" w:rightChars="0" w:firstLine="634" w:firstLineChars="200"/>
        <w:jc w:val="both"/>
        <w:textAlignment w:val="baseline"/>
        <w:rPr>
          <w:rFonts w:hint="eastAsia" w:ascii="仿宋" w:hAnsi="仿宋" w:eastAsia="仿宋" w:cs="仿宋"/>
          <w:color w:val="auto"/>
          <w:spacing w:val="0"/>
          <w:sz w:val="32"/>
          <w:szCs w:val="32"/>
        </w:rPr>
      </w:pPr>
      <w:r>
        <w:rPr>
          <w:rFonts w:hint="eastAsia" w:ascii="仿宋" w:hAnsi="仿宋" w:eastAsia="仿宋" w:cs="仿宋"/>
          <w:color w:val="auto"/>
          <w:spacing w:val="0"/>
          <w:sz w:val="32"/>
          <w:szCs w:val="32"/>
          <w:lang w:val="en-US" w:eastAsia="zh-CN"/>
        </w:rPr>
        <w:t>六</w:t>
      </w:r>
      <w:r>
        <w:rPr>
          <w:rFonts w:hint="eastAsia" w:ascii="仿宋" w:hAnsi="仿宋" w:eastAsia="仿宋" w:cs="仿宋"/>
          <w:color w:val="auto"/>
          <w:spacing w:val="0"/>
          <w:sz w:val="32"/>
          <w:szCs w:val="32"/>
        </w:rPr>
        <w:t>、</w:t>
      </w:r>
      <w:r>
        <w:rPr>
          <w:rFonts w:hint="eastAsia" w:ascii="仿宋" w:hAnsi="仿宋" w:eastAsia="仿宋" w:cs="仿宋"/>
          <w:color w:val="auto"/>
          <w:spacing w:val="0"/>
          <w:sz w:val="32"/>
          <w:szCs w:val="32"/>
          <w:lang w:val="en-US" w:eastAsia="zh-CN"/>
        </w:rPr>
        <w:t>本</w:t>
      </w:r>
      <w:r>
        <w:rPr>
          <w:rFonts w:hint="eastAsia" w:ascii="仿宋" w:hAnsi="仿宋" w:eastAsia="仿宋" w:cs="仿宋"/>
          <w:color w:val="auto"/>
          <w:spacing w:val="0"/>
          <w:sz w:val="32"/>
          <w:szCs w:val="32"/>
          <w:lang w:eastAsia="zh-CN"/>
        </w:rPr>
        <w:t>项目</w:t>
      </w:r>
      <w:r>
        <w:rPr>
          <w:rFonts w:hint="eastAsia" w:ascii="仿宋" w:hAnsi="仿宋" w:eastAsia="仿宋" w:cs="仿宋"/>
          <w:color w:val="auto"/>
          <w:spacing w:val="0"/>
          <w:sz w:val="32"/>
          <w:szCs w:val="32"/>
          <w:lang w:val="en-US" w:eastAsia="zh-CN"/>
        </w:rPr>
        <w:t>主要</w:t>
      </w:r>
      <w:r>
        <w:rPr>
          <w:rFonts w:hint="eastAsia" w:ascii="仿宋" w:hAnsi="仿宋" w:eastAsia="仿宋" w:cs="仿宋"/>
          <w:color w:val="auto"/>
          <w:spacing w:val="0"/>
          <w:sz w:val="32"/>
          <w:szCs w:val="32"/>
        </w:rPr>
        <w:t>污染物排放总量控制指标</w:t>
      </w:r>
      <w:r>
        <w:rPr>
          <w:rFonts w:hint="eastAsia" w:ascii="仿宋" w:hAnsi="仿宋" w:eastAsia="仿宋" w:cs="仿宋"/>
          <w:color w:val="auto"/>
          <w:spacing w:val="0"/>
          <w:sz w:val="32"/>
          <w:szCs w:val="32"/>
          <w:lang w:val="en-US" w:eastAsia="zh-CN"/>
        </w:rPr>
        <w:t>为</w:t>
      </w:r>
      <w:r>
        <w:rPr>
          <w:rFonts w:hint="eastAsia" w:ascii="仿宋" w:hAnsi="仿宋" w:eastAsia="仿宋" w:cs="仿宋"/>
          <w:color w:val="auto"/>
          <w:spacing w:val="0"/>
          <w:sz w:val="32"/>
          <w:szCs w:val="32"/>
        </w:rPr>
        <w:t>COD:</w:t>
      </w:r>
      <w:r>
        <w:rPr>
          <w:rFonts w:hint="eastAsia" w:ascii="仿宋" w:hAnsi="仿宋" w:eastAsia="仿宋" w:cs="仿宋"/>
          <w:color w:val="auto"/>
          <w:spacing w:val="0"/>
          <w:sz w:val="32"/>
          <w:szCs w:val="32"/>
          <w:lang w:val="en-US" w:eastAsia="zh-CN"/>
        </w:rPr>
        <w:t>0.046</w:t>
      </w:r>
      <w:r>
        <w:rPr>
          <w:rFonts w:hint="eastAsia" w:ascii="仿宋" w:hAnsi="仿宋" w:eastAsia="仿宋" w:cs="仿宋"/>
          <w:color w:val="auto"/>
          <w:spacing w:val="0"/>
          <w:sz w:val="32"/>
          <w:szCs w:val="32"/>
        </w:rPr>
        <w:t>t/a</w:t>
      </w:r>
      <w:r>
        <w:rPr>
          <w:rFonts w:hint="eastAsia" w:ascii="仿宋" w:hAnsi="仿宋" w:eastAsia="仿宋" w:cs="仿宋"/>
          <w:color w:val="auto"/>
          <w:spacing w:val="0"/>
          <w:sz w:val="32"/>
          <w:szCs w:val="32"/>
          <w:lang w:eastAsia="zh-CN"/>
        </w:rPr>
        <w:t>；</w:t>
      </w:r>
      <w:r>
        <w:rPr>
          <w:rFonts w:hint="eastAsia" w:ascii="仿宋" w:hAnsi="仿宋" w:eastAsia="仿宋" w:cs="仿宋"/>
          <w:color w:val="auto"/>
          <w:spacing w:val="0"/>
          <w:sz w:val="32"/>
          <w:szCs w:val="32"/>
        </w:rPr>
        <w:t>NH</w:t>
      </w:r>
      <w:r>
        <w:rPr>
          <w:rFonts w:hint="eastAsia" w:ascii="仿宋" w:hAnsi="仿宋" w:eastAsia="仿宋" w:cs="仿宋"/>
          <w:color w:val="auto"/>
          <w:spacing w:val="0"/>
          <w:sz w:val="32"/>
          <w:szCs w:val="32"/>
          <w:vertAlign w:val="subscript"/>
          <w:lang w:val="en-US" w:eastAsia="zh-CN"/>
        </w:rPr>
        <w:t>3</w:t>
      </w:r>
      <w:r>
        <w:rPr>
          <w:rFonts w:hint="eastAsia" w:ascii="仿宋" w:hAnsi="仿宋" w:eastAsia="仿宋" w:cs="仿宋"/>
          <w:color w:val="auto"/>
          <w:spacing w:val="0"/>
          <w:sz w:val="32"/>
          <w:szCs w:val="32"/>
        </w:rPr>
        <w:t>-N:</w:t>
      </w:r>
      <w:r>
        <w:rPr>
          <w:rFonts w:hint="eastAsia" w:ascii="仿宋" w:hAnsi="仿宋" w:eastAsia="仿宋" w:cs="仿宋"/>
          <w:color w:val="auto"/>
          <w:spacing w:val="0"/>
          <w:sz w:val="32"/>
          <w:szCs w:val="32"/>
          <w:lang w:val="en-US" w:eastAsia="zh-CN"/>
        </w:rPr>
        <w:t>0.002</w:t>
      </w:r>
      <w:r>
        <w:rPr>
          <w:rFonts w:hint="eastAsia" w:ascii="仿宋" w:hAnsi="仿宋" w:eastAsia="仿宋" w:cs="仿宋"/>
          <w:color w:val="auto"/>
          <w:spacing w:val="0"/>
          <w:sz w:val="32"/>
          <w:szCs w:val="32"/>
        </w:rPr>
        <w:t>t/a</w:t>
      </w:r>
      <w:r>
        <w:rPr>
          <w:rFonts w:hint="eastAsia" w:ascii="仿宋" w:hAnsi="仿宋" w:eastAsia="仿宋" w:cs="仿宋"/>
          <w:color w:val="auto"/>
          <w:spacing w:val="0"/>
          <w:sz w:val="32"/>
          <w:szCs w:val="32"/>
          <w:lang w:eastAsia="zh-CN"/>
        </w:rPr>
        <w:t>；</w:t>
      </w:r>
      <w:r>
        <w:rPr>
          <w:rFonts w:hint="eastAsia" w:ascii="仿宋" w:hAnsi="仿宋" w:eastAsia="仿宋" w:cs="仿宋"/>
          <w:color w:val="auto"/>
          <w:spacing w:val="0"/>
          <w:sz w:val="32"/>
          <w:szCs w:val="32"/>
        </w:rPr>
        <w:t>SO</w:t>
      </w:r>
      <w:r>
        <w:rPr>
          <w:rFonts w:hint="eastAsia" w:ascii="仿宋" w:hAnsi="仿宋" w:eastAsia="仿宋" w:cs="仿宋"/>
          <w:color w:val="auto"/>
          <w:spacing w:val="0"/>
          <w:sz w:val="32"/>
          <w:szCs w:val="32"/>
          <w:vertAlign w:val="subscript"/>
          <w:lang w:val="en-US" w:eastAsia="zh-CN"/>
        </w:rPr>
        <w:t>2</w:t>
      </w:r>
      <w:r>
        <w:rPr>
          <w:rFonts w:hint="eastAsia" w:ascii="仿宋" w:hAnsi="仿宋" w:eastAsia="仿宋" w:cs="仿宋"/>
          <w:color w:val="auto"/>
          <w:spacing w:val="0"/>
          <w:sz w:val="32"/>
          <w:szCs w:val="32"/>
        </w:rPr>
        <w:t>:</w:t>
      </w:r>
      <w:r>
        <w:rPr>
          <w:rFonts w:hint="eastAsia" w:ascii="仿宋" w:hAnsi="仿宋" w:eastAsia="仿宋" w:cs="仿宋"/>
          <w:color w:val="auto"/>
          <w:spacing w:val="0"/>
          <w:sz w:val="32"/>
          <w:szCs w:val="32"/>
          <w:lang w:val="en-US" w:eastAsia="zh-CN"/>
        </w:rPr>
        <w:t>0</w:t>
      </w:r>
      <w:r>
        <w:rPr>
          <w:rFonts w:hint="eastAsia" w:ascii="仿宋" w:hAnsi="仿宋" w:eastAsia="仿宋" w:cs="仿宋"/>
          <w:color w:val="auto"/>
          <w:spacing w:val="0"/>
          <w:sz w:val="32"/>
          <w:szCs w:val="32"/>
        </w:rPr>
        <w:t>t/a</w:t>
      </w:r>
      <w:r>
        <w:rPr>
          <w:rFonts w:hint="eastAsia" w:ascii="仿宋" w:hAnsi="仿宋" w:eastAsia="仿宋" w:cs="仿宋"/>
          <w:color w:val="auto"/>
          <w:spacing w:val="0"/>
          <w:sz w:val="32"/>
          <w:szCs w:val="32"/>
          <w:lang w:eastAsia="zh-CN"/>
        </w:rPr>
        <w:t>；</w:t>
      </w:r>
      <w:r>
        <w:rPr>
          <w:rFonts w:hint="eastAsia" w:ascii="仿宋" w:hAnsi="仿宋" w:eastAsia="仿宋" w:cs="仿宋"/>
          <w:color w:val="auto"/>
          <w:spacing w:val="0"/>
          <w:sz w:val="32"/>
          <w:szCs w:val="32"/>
        </w:rPr>
        <w:t>NO</w:t>
      </w:r>
      <w:r>
        <w:rPr>
          <w:rFonts w:hint="eastAsia" w:ascii="仿宋" w:hAnsi="仿宋" w:eastAsia="仿宋" w:cs="仿宋"/>
          <w:color w:val="auto"/>
          <w:spacing w:val="0"/>
          <w:sz w:val="32"/>
          <w:szCs w:val="32"/>
          <w:vertAlign w:val="subscript"/>
          <w:lang w:val="en-US" w:eastAsia="zh-CN"/>
        </w:rPr>
        <w:t>X</w:t>
      </w:r>
      <w:r>
        <w:rPr>
          <w:rFonts w:hint="eastAsia" w:ascii="仿宋" w:hAnsi="仿宋" w:eastAsia="仿宋" w:cs="仿宋"/>
          <w:color w:val="auto"/>
          <w:spacing w:val="0"/>
          <w:sz w:val="32"/>
          <w:szCs w:val="32"/>
        </w:rPr>
        <w:t>:</w:t>
      </w:r>
      <w:r>
        <w:rPr>
          <w:rFonts w:hint="eastAsia" w:ascii="仿宋" w:hAnsi="仿宋" w:eastAsia="仿宋" w:cs="仿宋"/>
          <w:color w:val="auto"/>
          <w:spacing w:val="0"/>
          <w:sz w:val="32"/>
          <w:szCs w:val="32"/>
          <w:lang w:val="en-US" w:eastAsia="zh-CN"/>
        </w:rPr>
        <w:t>0</w:t>
      </w:r>
      <w:r>
        <w:rPr>
          <w:rFonts w:hint="eastAsia" w:ascii="仿宋" w:hAnsi="仿宋" w:eastAsia="仿宋" w:cs="仿宋"/>
          <w:color w:val="auto"/>
          <w:spacing w:val="0"/>
          <w:sz w:val="32"/>
          <w:szCs w:val="32"/>
        </w:rPr>
        <w:t>t/a。</w:t>
      </w:r>
    </w:p>
    <w:p w14:paraId="4095C412">
      <w:pPr>
        <w:keepNext w:val="0"/>
        <w:keepLines w:val="0"/>
        <w:pageBreakBefore w:val="0"/>
        <w:widowControl/>
        <w:kinsoku w:val="0"/>
        <w:wordWrap/>
        <w:overflowPunct/>
        <w:topLinePunct w:val="0"/>
        <w:autoSpaceDE w:val="0"/>
        <w:autoSpaceDN w:val="0"/>
        <w:bidi w:val="0"/>
        <w:adjustRightInd/>
        <w:snapToGrid/>
        <w:spacing w:line="620" w:lineRule="exact"/>
        <w:ind w:right="0" w:rightChars="0" w:firstLine="634" w:firstLineChars="200"/>
        <w:jc w:val="both"/>
        <w:textAlignment w:val="baseline"/>
        <w:rPr>
          <w:rFonts w:hint="eastAsia" w:ascii="仿宋" w:hAnsi="仿宋" w:eastAsia="仿宋" w:cs="仿宋"/>
          <w:color w:val="auto"/>
          <w:spacing w:val="0"/>
          <w:sz w:val="32"/>
          <w:szCs w:val="32"/>
        </w:rPr>
      </w:pPr>
      <w:r>
        <w:rPr>
          <w:rFonts w:hint="eastAsia" w:ascii="仿宋" w:hAnsi="仿宋" w:eastAsia="仿宋" w:cs="仿宋"/>
          <w:color w:val="auto"/>
          <w:spacing w:val="0"/>
          <w:sz w:val="32"/>
          <w:szCs w:val="32"/>
          <w:lang w:val="en-US" w:eastAsia="zh-CN"/>
        </w:rPr>
        <w:t>七、</w:t>
      </w:r>
      <w:r>
        <w:rPr>
          <w:rFonts w:hint="eastAsia" w:ascii="仿宋" w:hAnsi="仿宋" w:eastAsia="仿宋" w:cs="仿宋"/>
          <w:color w:val="auto"/>
          <w:spacing w:val="0"/>
          <w:sz w:val="32"/>
          <w:szCs w:val="32"/>
        </w:rPr>
        <w:t>请你单位取得批复后</w:t>
      </w:r>
      <w:r>
        <w:rPr>
          <w:rFonts w:hint="eastAsia" w:ascii="仿宋" w:hAnsi="仿宋" w:eastAsia="仿宋" w:cs="仿宋"/>
          <w:color w:val="auto"/>
          <w:spacing w:val="0"/>
          <w:sz w:val="32"/>
          <w:szCs w:val="32"/>
          <w:lang w:val="en-US" w:eastAsia="zh-CN"/>
        </w:rPr>
        <w:t>3</w:t>
      </w:r>
      <w:r>
        <w:rPr>
          <w:rFonts w:hint="eastAsia" w:ascii="仿宋" w:hAnsi="仿宋" w:eastAsia="仿宋" w:cs="仿宋"/>
          <w:color w:val="auto"/>
          <w:spacing w:val="0"/>
          <w:sz w:val="32"/>
          <w:szCs w:val="32"/>
        </w:rPr>
        <w:t>个工作日内将批复原件</w:t>
      </w:r>
      <w:r>
        <w:rPr>
          <w:rFonts w:hint="eastAsia" w:ascii="仿宋" w:hAnsi="仿宋" w:eastAsia="仿宋" w:cs="仿宋"/>
          <w:color w:val="auto"/>
          <w:spacing w:val="0"/>
          <w:sz w:val="32"/>
          <w:szCs w:val="32"/>
          <w:lang w:val="en-US" w:eastAsia="zh-CN"/>
        </w:rPr>
        <w:t>报</w:t>
      </w:r>
      <w:r>
        <w:rPr>
          <w:rFonts w:hint="eastAsia" w:ascii="仿宋" w:hAnsi="仿宋" w:eastAsia="仿宋" w:cs="仿宋"/>
          <w:color w:val="auto"/>
          <w:spacing w:val="0"/>
          <w:sz w:val="32"/>
          <w:szCs w:val="32"/>
        </w:rPr>
        <w:t>送石家庄市生态环境局井陉矿区分局，并按规定接受各级生态环境主管部门的监督检查。该项目日常环境监督管理工作由属地生态环境主管部门负责。</w:t>
      </w:r>
    </w:p>
    <w:p w14:paraId="279516F4">
      <w:pPr>
        <w:pStyle w:val="5"/>
        <w:keepNext w:val="0"/>
        <w:keepLines w:val="0"/>
        <w:pageBreakBefore w:val="0"/>
        <w:widowControl/>
        <w:kinsoku w:val="0"/>
        <w:wordWrap/>
        <w:overflowPunct/>
        <w:topLinePunct w:val="0"/>
        <w:autoSpaceDE w:val="0"/>
        <w:autoSpaceDN w:val="0"/>
        <w:bidi w:val="0"/>
        <w:adjustRightInd/>
        <w:snapToGrid/>
        <w:spacing w:line="620" w:lineRule="exact"/>
        <w:textAlignment w:val="baseline"/>
        <w:rPr>
          <w:rFonts w:hint="eastAsia"/>
          <w:color w:val="auto"/>
          <w:sz w:val="32"/>
          <w:szCs w:val="32"/>
        </w:rPr>
      </w:pPr>
    </w:p>
    <w:p w14:paraId="5B76F218">
      <w:pPr>
        <w:keepNext w:val="0"/>
        <w:keepLines w:val="0"/>
        <w:pageBreakBefore w:val="0"/>
        <w:widowControl/>
        <w:kinsoku w:val="0"/>
        <w:wordWrap/>
        <w:overflowPunct/>
        <w:topLinePunct w:val="0"/>
        <w:autoSpaceDE w:val="0"/>
        <w:autoSpaceDN w:val="0"/>
        <w:bidi w:val="0"/>
        <w:adjustRightInd/>
        <w:snapToGrid/>
        <w:spacing w:line="620" w:lineRule="exact"/>
        <w:ind w:right="0" w:rightChars="0" w:firstLine="5389" w:firstLineChars="1700"/>
        <w:jc w:val="both"/>
        <w:textAlignment w:val="baseline"/>
        <w:rPr>
          <w:rFonts w:ascii="仿宋" w:hAnsi="仿宋" w:eastAsia="仿宋" w:cs="仿宋"/>
          <w:spacing w:val="-7"/>
          <w:sz w:val="32"/>
          <w:szCs w:val="32"/>
        </w:rPr>
      </w:pPr>
      <w:r>
        <w:rPr>
          <w:rFonts w:hint="eastAsia" w:ascii="仿宋" w:hAnsi="仿宋" w:eastAsia="仿宋" w:cs="仿宋"/>
          <w:color w:val="auto"/>
          <w:spacing w:val="0"/>
          <w:sz w:val="32"/>
          <w:szCs w:val="32"/>
        </w:rPr>
        <w:t>202</w:t>
      </w:r>
      <w:r>
        <w:rPr>
          <w:rFonts w:hint="eastAsia" w:ascii="仿宋" w:hAnsi="仿宋" w:eastAsia="仿宋" w:cs="仿宋"/>
          <w:color w:val="auto"/>
          <w:spacing w:val="0"/>
          <w:sz w:val="32"/>
          <w:szCs w:val="32"/>
          <w:lang w:val="en-US" w:eastAsia="zh-CN"/>
        </w:rPr>
        <w:t>6</w:t>
      </w:r>
      <w:r>
        <w:rPr>
          <w:rFonts w:hint="eastAsia" w:ascii="仿宋" w:hAnsi="仿宋" w:eastAsia="仿宋" w:cs="仿宋"/>
          <w:color w:val="auto"/>
          <w:spacing w:val="0"/>
          <w:sz w:val="32"/>
          <w:szCs w:val="32"/>
        </w:rPr>
        <w:t>年</w:t>
      </w:r>
      <w:bookmarkStart w:id="0" w:name="_GoBack"/>
      <w:bookmarkEnd w:id="0"/>
      <w:r>
        <w:rPr>
          <w:rFonts w:hint="eastAsia" w:ascii="仿宋" w:hAnsi="仿宋" w:eastAsia="仿宋" w:cs="仿宋"/>
          <w:color w:val="auto"/>
          <w:spacing w:val="0"/>
          <w:sz w:val="32"/>
          <w:szCs w:val="32"/>
          <w:lang w:val="en-US" w:eastAsia="zh-CN"/>
        </w:rPr>
        <w:t>9</w:t>
      </w:r>
      <w:r>
        <w:rPr>
          <w:rFonts w:hint="eastAsia" w:ascii="仿宋" w:hAnsi="仿宋" w:eastAsia="仿宋" w:cs="仿宋"/>
          <w:color w:val="auto"/>
          <w:spacing w:val="0"/>
          <w:sz w:val="32"/>
          <w:szCs w:val="32"/>
        </w:rPr>
        <w:t>月</w:t>
      </w:r>
      <w:r>
        <w:rPr>
          <w:rFonts w:hint="eastAsia" w:ascii="仿宋" w:hAnsi="仿宋" w:eastAsia="仿宋" w:cs="仿宋"/>
          <w:color w:val="auto"/>
          <w:spacing w:val="0"/>
          <w:sz w:val="32"/>
          <w:szCs w:val="32"/>
          <w:lang w:val="en-US" w:eastAsia="zh-CN"/>
        </w:rPr>
        <w:t>10</w:t>
      </w:r>
      <w:r>
        <w:rPr>
          <w:rFonts w:hint="eastAsia" w:ascii="仿宋" w:hAnsi="仿宋" w:eastAsia="仿宋" w:cs="仿宋"/>
          <w:color w:val="auto"/>
          <w:spacing w:val="0"/>
          <w:sz w:val="32"/>
          <w:szCs w:val="32"/>
        </w:rPr>
        <w:t>日</w:t>
      </w:r>
    </w:p>
    <w:p w14:paraId="01120CD3">
      <w:pPr>
        <w:keepNext w:val="0"/>
        <w:keepLines w:val="0"/>
        <w:pageBreakBefore w:val="0"/>
        <w:widowControl/>
        <w:kinsoku w:val="0"/>
        <w:wordWrap/>
        <w:overflowPunct/>
        <w:topLinePunct w:val="0"/>
        <w:autoSpaceDE w:val="0"/>
        <w:autoSpaceDN w:val="0"/>
        <w:bidi w:val="0"/>
        <w:adjustRightInd/>
        <w:snapToGrid/>
        <w:spacing w:line="600" w:lineRule="exact"/>
        <w:ind w:left="0" w:leftChars="0" w:right="0" w:rightChars="0" w:firstLine="5454" w:firstLineChars="1800"/>
        <w:jc w:val="both"/>
        <w:textAlignment w:val="baseline"/>
        <w:rPr>
          <w:rFonts w:hint="default" w:ascii="仿宋" w:hAnsi="仿宋" w:eastAsia="仿宋" w:cs="仿宋"/>
          <w:spacing w:val="-7"/>
          <w:sz w:val="32"/>
          <w:szCs w:val="32"/>
          <w:lang w:val="en-US" w:eastAsia="zh-CN"/>
        </w:rPr>
      </w:pPr>
    </w:p>
    <w:p w14:paraId="68DEE579">
      <w:pPr>
        <w:keepNext w:val="0"/>
        <w:keepLines w:val="0"/>
        <w:pageBreakBefore w:val="0"/>
        <w:widowControl/>
        <w:kinsoku w:val="0"/>
        <w:wordWrap/>
        <w:overflowPunct/>
        <w:topLinePunct w:val="0"/>
        <w:autoSpaceDE w:val="0"/>
        <w:autoSpaceDN w:val="0"/>
        <w:bidi w:val="0"/>
        <w:adjustRightInd/>
        <w:snapToGrid/>
        <w:spacing w:line="600" w:lineRule="exact"/>
        <w:ind w:right="0" w:rightChars="0"/>
        <w:jc w:val="both"/>
        <w:textAlignment w:val="baseline"/>
        <w:rPr>
          <w:rFonts w:hint="default" w:ascii="仿宋" w:hAnsi="仿宋" w:eastAsia="仿宋" w:cs="仿宋"/>
          <w:spacing w:val="-7"/>
          <w:sz w:val="32"/>
          <w:szCs w:val="32"/>
          <w:lang w:val="en-US" w:eastAsia="zh-CN"/>
        </w:rPr>
      </w:pPr>
    </w:p>
    <w:sectPr>
      <w:footerReference r:id="rId5" w:type="default"/>
      <w:pgSz w:w="11900" w:h="16840"/>
      <w:pgMar w:top="1417" w:right="1417" w:bottom="1417" w:left="1417" w:header="0" w:footer="0" w:gutter="0"/>
      <w:cols w:space="0" w:num="1"/>
      <w:rtlGutter w:val="0"/>
      <w:docGrid w:type="linesAndChars" w:linePitch="318" w:charSpace="-81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50"/>
    <w:family w:val="roman"/>
    <w:pitch w:val="default"/>
    <w:sig w:usb0="E0002EFF" w:usb1="C000785B" w:usb2="00000009" w:usb3="00000000" w:csb0="400001FF" w:csb1="FFFF0000"/>
  </w:font>
  <w:font w:name="宋体">
    <w:panose1 w:val="02010600030101010101"/>
    <w:charset w:val="52"/>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仿宋">
    <w:panose1 w:val="02010609060101010101"/>
    <w:charset w:val="86"/>
    <w:family w:val="auto"/>
    <w:pitch w:val="default"/>
    <w:sig w:usb0="800002BF" w:usb1="38CF7CFA" w:usb2="00000016" w:usb3="00000000" w:csb0="00040001" w:csb1="00000000"/>
  </w:font>
  <w:font w:name="方正小标宋简体">
    <w:panose1 w:val="02010600010101010101"/>
    <w:charset w:val="86"/>
    <w:family w:val="auto"/>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2377519">
    <w:pPr>
      <w:spacing w:line="14" w:lineRule="auto"/>
      <w:rPr>
        <w:rFonts w:ascii="Arial"/>
        <w:sz w:val="2"/>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40"/>
  <w:displayBackgroundShape w:val="1"/>
  <w:embedSystemFonts/>
  <w:documentProtection w:enforcement="0"/>
  <w:drawingGridHorizontalSpacing w:val="103"/>
  <w:drawingGridVerticalSpacing w:val="159"/>
  <w:displayHorizontalDrawingGridEvery w:val="2"/>
  <w:displayVerticalDrawingGridEvery w:val="2"/>
  <w:characterSpacingControl w:val="doNotCompress"/>
  <w:footnotePr>
    <w:footnote w:id="0"/>
    <w:footnote w:id="1"/>
  </w:footnotePr>
  <w:endnotePr>
    <w:endnote w:id="0"/>
    <w:endnote w:id="1"/>
  </w:endnotePr>
  <w:compat>
    <w:spaceForUL/>
    <w:ulTrailSpace/>
    <w:useFELayout/>
    <w:compatSetting w:name="compatibilityMode" w:uri="http://schemas.microsoft.com/office/word" w:val="14"/>
  </w:compat>
  <w:docVars>
    <w:docVar w:name="commondata" w:val="eyJoZGlkIjoiZTdlMjFhZGY0NDZkMjNiZTljYzRlMjhhOGI2M2FiZmMifQ=="/>
  </w:docVars>
  <w:rsids>
    <w:rsidRoot w:val="00000000"/>
    <w:rsid w:val="000F5645"/>
    <w:rsid w:val="001570FF"/>
    <w:rsid w:val="00A566D5"/>
    <w:rsid w:val="00D24FF0"/>
    <w:rsid w:val="01431A4A"/>
    <w:rsid w:val="014C621F"/>
    <w:rsid w:val="01551FBD"/>
    <w:rsid w:val="018067FB"/>
    <w:rsid w:val="01FF3BC3"/>
    <w:rsid w:val="020C6C08"/>
    <w:rsid w:val="02867E41"/>
    <w:rsid w:val="03160C59"/>
    <w:rsid w:val="03FE0FAE"/>
    <w:rsid w:val="0411118C"/>
    <w:rsid w:val="043B2EAD"/>
    <w:rsid w:val="04D04A48"/>
    <w:rsid w:val="04E137C2"/>
    <w:rsid w:val="064424ED"/>
    <w:rsid w:val="069F3BC7"/>
    <w:rsid w:val="07350087"/>
    <w:rsid w:val="07AC659B"/>
    <w:rsid w:val="07BA233A"/>
    <w:rsid w:val="07D4164E"/>
    <w:rsid w:val="08A54332"/>
    <w:rsid w:val="08D35DAA"/>
    <w:rsid w:val="08DB1294"/>
    <w:rsid w:val="094675B0"/>
    <w:rsid w:val="099F1451"/>
    <w:rsid w:val="09B23C11"/>
    <w:rsid w:val="0A8455AD"/>
    <w:rsid w:val="0A9B28F7"/>
    <w:rsid w:val="0B2A6D1F"/>
    <w:rsid w:val="0B451FA8"/>
    <w:rsid w:val="0BC1638D"/>
    <w:rsid w:val="0C0D15D3"/>
    <w:rsid w:val="0C851169"/>
    <w:rsid w:val="0CA912FB"/>
    <w:rsid w:val="0CB67574"/>
    <w:rsid w:val="0D1A56E1"/>
    <w:rsid w:val="0D2A4766"/>
    <w:rsid w:val="0DB22432"/>
    <w:rsid w:val="0E056A05"/>
    <w:rsid w:val="0EBD108E"/>
    <w:rsid w:val="0F2A7FA4"/>
    <w:rsid w:val="0FD733DB"/>
    <w:rsid w:val="101A5FD3"/>
    <w:rsid w:val="10C34036"/>
    <w:rsid w:val="118C373B"/>
    <w:rsid w:val="11CC161B"/>
    <w:rsid w:val="12C56763"/>
    <w:rsid w:val="12D469A6"/>
    <w:rsid w:val="13082AF4"/>
    <w:rsid w:val="130F79DE"/>
    <w:rsid w:val="13337B71"/>
    <w:rsid w:val="138F0B1F"/>
    <w:rsid w:val="139B4B35"/>
    <w:rsid w:val="13A75E69"/>
    <w:rsid w:val="1400631A"/>
    <w:rsid w:val="140F7BE3"/>
    <w:rsid w:val="146D2C0E"/>
    <w:rsid w:val="153B4ABB"/>
    <w:rsid w:val="155344FA"/>
    <w:rsid w:val="155572BB"/>
    <w:rsid w:val="155630CB"/>
    <w:rsid w:val="15581B10"/>
    <w:rsid w:val="1622409F"/>
    <w:rsid w:val="1699418F"/>
    <w:rsid w:val="16CF5E02"/>
    <w:rsid w:val="16D90A2F"/>
    <w:rsid w:val="174F484D"/>
    <w:rsid w:val="17D407C3"/>
    <w:rsid w:val="17FB5215"/>
    <w:rsid w:val="18890233"/>
    <w:rsid w:val="18AE7C99"/>
    <w:rsid w:val="18BF3C55"/>
    <w:rsid w:val="195A572B"/>
    <w:rsid w:val="196F567B"/>
    <w:rsid w:val="19B47531"/>
    <w:rsid w:val="19ED659F"/>
    <w:rsid w:val="1AA02F28"/>
    <w:rsid w:val="1AD35795"/>
    <w:rsid w:val="1AE9320B"/>
    <w:rsid w:val="1AF17CCF"/>
    <w:rsid w:val="1B040045"/>
    <w:rsid w:val="1B7549F6"/>
    <w:rsid w:val="1BE84436"/>
    <w:rsid w:val="1BFF3A83"/>
    <w:rsid w:val="1C47643B"/>
    <w:rsid w:val="1C69015F"/>
    <w:rsid w:val="1CAC2D86"/>
    <w:rsid w:val="1CAE5AC1"/>
    <w:rsid w:val="1CF617BC"/>
    <w:rsid w:val="1DB83F1F"/>
    <w:rsid w:val="1E002D45"/>
    <w:rsid w:val="1E454BFC"/>
    <w:rsid w:val="1E917E41"/>
    <w:rsid w:val="1F152820"/>
    <w:rsid w:val="1F396E36"/>
    <w:rsid w:val="1F3D1EE9"/>
    <w:rsid w:val="1FC61D6D"/>
    <w:rsid w:val="1FE1724C"/>
    <w:rsid w:val="202F16C0"/>
    <w:rsid w:val="20336CE1"/>
    <w:rsid w:val="20511636"/>
    <w:rsid w:val="20FB77F4"/>
    <w:rsid w:val="215D5575"/>
    <w:rsid w:val="21717AB6"/>
    <w:rsid w:val="21771570"/>
    <w:rsid w:val="21983295"/>
    <w:rsid w:val="2282252B"/>
    <w:rsid w:val="22FE5379"/>
    <w:rsid w:val="23214E90"/>
    <w:rsid w:val="235A2EF8"/>
    <w:rsid w:val="23DB7BDA"/>
    <w:rsid w:val="246B6D0B"/>
    <w:rsid w:val="24A65CC9"/>
    <w:rsid w:val="250C6474"/>
    <w:rsid w:val="25315EDA"/>
    <w:rsid w:val="255B4D05"/>
    <w:rsid w:val="25D52D09"/>
    <w:rsid w:val="26274C2E"/>
    <w:rsid w:val="26571970"/>
    <w:rsid w:val="27A720F5"/>
    <w:rsid w:val="27EB311D"/>
    <w:rsid w:val="280653FC"/>
    <w:rsid w:val="28BE67B4"/>
    <w:rsid w:val="293935AF"/>
    <w:rsid w:val="29691CB7"/>
    <w:rsid w:val="29D37560"/>
    <w:rsid w:val="2A051B3F"/>
    <w:rsid w:val="2A816FBC"/>
    <w:rsid w:val="2A8F792B"/>
    <w:rsid w:val="2B1A4D1A"/>
    <w:rsid w:val="2B1B647F"/>
    <w:rsid w:val="2BCD45D2"/>
    <w:rsid w:val="2C097269"/>
    <w:rsid w:val="2C882884"/>
    <w:rsid w:val="2D32459D"/>
    <w:rsid w:val="2D8E0155"/>
    <w:rsid w:val="2DCF003E"/>
    <w:rsid w:val="2E073E5F"/>
    <w:rsid w:val="2E150147"/>
    <w:rsid w:val="2E5C5D76"/>
    <w:rsid w:val="2ED40002"/>
    <w:rsid w:val="2F0A1F67"/>
    <w:rsid w:val="2F4A02C4"/>
    <w:rsid w:val="2FC8743B"/>
    <w:rsid w:val="30054E44"/>
    <w:rsid w:val="300C37CC"/>
    <w:rsid w:val="30C542F1"/>
    <w:rsid w:val="31132938"/>
    <w:rsid w:val="31807B1C"/>
    <w:rsid w:val="31D128C6"/>
    <w:rsid w:val="32024E86"/>
    <w:rsid w:val="322F554F"/>
    <w:rsid w:val="324234D5"/>
    <w:rsid w:val="328238D1"/>
    <w:rsid w:val="32910C51"/>
    <w:rsid w:val="329F0927"/>
    <w:rsid w:val="33353039"/>
    <w:rsid w:val="33501C21"/>
    <w:rsid w:val="34D80120"/>
    <w:rsid w:val="350E3B42"/>
    <w:rsid w:val="35154ED0"/>
    <w:rsid w:val="35216B3A"/>
    <w:rsid w:val="35BC17F0"/>
    <w:rsid w:val="35BE7316"/>
    <w:rsid w:val="35E70DA5"/>
    <w:rsid w:val="35F40F8A"/>
    <w:rsid w:val="36022C86"/>
    <w:rsid w:val="36120909"/>
    <w:rsid w:val="36DD1A1E"/>
    <w:rsid w:val="36E747E0"/>
    <w:rsid w:val="37337890"/>
    <w:rsid w:val="3795328A"/>
    <w:rsid w:val="37B85359"/>
    <w:rsid w:val="37E12B13"/>
    <w:rsid w:val="37F00836"/>
    <w:rsid w:val="37F4443E"/>
    <w:rsid w:val="37F92887"/>
    <w:rsid w:val="38080D1C"/>
    <w:rsid w:val="38183E1B"/>
    <w:rsid w:val="386E6084"/>
    <w:rsid w:val="389D76B7"/>
    <w:rsid w:val="38B44A00"/>
    <w:rsid w:val="38BD1B07"/>
    <w:rsid w:val="38FD1F03"/>
    <w:rsid w:val="39AE12D5"/>
    <w:rsid w:val="3A1F234D"/>
    <w:rsid w:val="3A26548A"/>
    <w:rsid w:val="3A5802CA"/>
    <w:rsid w:val="3AA45590"/>
    <w:rsid w:val="3B016196"/>
    <w:rsid w:val="3B392F9B"/>
    <w:rsid w:val="3B6144DE"/>
    <w:rsid w:val="3B6444BC"/>
    <w:rsid w:val="3B934DA1"/>
    <w:rsid w:val="3BCB0097"/>
    <w:rsid w:val="3BD72EE0"/>
    <w:rsid w:val="3C447E49"/>
    <w:rsid w:val="3CBE5E4E"/>
    <w:rsid w:val="3D600CB3"/>
    <w:rsid w:val="3D8A2E87"/>
    <w:rsid w:val="3DB334D8"/>
    <w:rsid w:val="3DE02420"/>
    <w:rsid w:val="3E3363C7"/>
    <w:rsid w:val="3E7762B4"/>
    <w:rsid w:val="3E8421D7"/>
    <w:rsid w:val="3E8B7FB1"/>
    <w:rsid w:val="3F0D4E6A"/>
    <w:rsid w:val="3F1E4169"/>
    <w:rsid w:val="3F422D66"/>
    <w:rsid w:val="3F565BDB"/>
    <w:rsid w:val="3FAA090B"/>
    <w:rsid w:val="403326AF"/>
    <w:rsid w:val="403748CC"/>
    <w:rsid w:val="40B165E5"/>
    <w:rsid w:val="414032D5"/>
    <w:rsid w:val="4160341F"/>
    <w:rsid w:val="41BB295C"/>
    <w:rsid w:val="41F52311"/>
    <w:rsid w:val="42660B19"/>
    <w:rsid w:val="42A11B51"/>
    <w:rsid w:val="435713BE"/>
    <w:rsid w:val="437C611B"/>
    <w:rsid w:val="437E6337"/>
    <w:rsid w:val="4380086F"/>
    <w:rsid w:val="43CC70A2"/>
    <w:rsid w:val="441E5028"/>
    <w:rsid w:val="442E7912"/>
    <w:rsid w:val="44935E12"/>
    <w:rsid w:val="449851D6"/>
    <w:rsid w:val="451854E4"/>
    <w:rsid w:val="454D7D6F"/>
    <w:rsid w:val="45AD6A5F"/>
    <w:rsid w:val="45F4468E"/>
    <w:rsid w:val="45FA4986"/>
    <w:rsid w:val="462705C0"/>
    <w:rsid w:val="46322365"/>
    <w:rsid w:val="463E55BA"/>
    <w:rsid w:val="46737CA9"/>
    <w:rsid w:val="46D5171A"/>
    <w:rsid w:val="47237D0A"/>
    <w:rsid w:val="47F26AEA"/>
    <w:rsid w:val="484F7A8F"/>
    <w:rsid w:val="48D32C81"/>
    <w:rsid w:val="493A2D00"/>
    <w:rsid w:val="496C5DB7"/>
    <w:rsid w:val="4A037596"/>
    <w:rsid w:val="4A4C2CEB"/>
    <w:rsid w:val="4AB843DF"/>
    <w:rsid w:val="4AE86D1A"/>
    <w:rsid w:val="4B0B6702"/>
    <w:rsid w:val="4B6C0ABB"/>
    <w:rsid w:val="4B7F0E9E"/>
    <w:rsid w:val="4BB52B12"/>
    <w:rsid w:val="4BB723E6"/>
    <w:rsid w:val="4CB93F3C"/>
    <w:rsid w:val="4D221871"/>
    <w:rsid w:val="4D924EB8"/>
    <w:rsid w:val="4DCA1611"/>
    <w:rsid w:val="4E151645"/>
    <w:rsid w:val="4E361CE8"/>
    <w:rsid w:val="4ED621E6"/>
    <w:rsid w:val="4EDE5EDB"/>
    <w:rsid w:val="4EF120B3"/>
    <w:rsid w:val="4F813436"/>
    <w:rsid w:val="4F9111A0"/>
    <w:rsid w:val="4FAB2D4D"/>
    <w:rsid w:val="504F748D"/>
    <w:rsid w:val="50BF2B46"/>
    <w:rsid w:val="51525BA2"/>
    <w:rsid w:val="51784976"/>
    <w:rsid w:val="517D7C2E"/>
    <w:rsid w:val="523C1897"/>
    <w:rsid w:val="52844FED"/>
    <w:rsid w:val="52855C88"/>
    <w:rsid w:val="52C917DE"/>
    <w:rsid w:val="532F15C2"/>
    <w:rsid w:val="53424C8B"/>
    <w:rsid w:val="53641AE9"/>
    <w:rsid w:val="53733096"/>
    <w:rsid w:val="53B22EEC"/>
    <w:rsid w:val="54336CC9"/>
    <w:rsid w:val="5482443D"/>
    <w:rsid w:val="54986918"/>
    <w:rsid w:val="54B35714"/>
    <w:rsid w:val="54B420FA"/>
    <w:rsid w:val="54CD67FD"/>
    <w:rsid w:val="54ED0C26"/>
    <w:rsid w:val="54FE72D7"/>
    <w:rsid w:val="552C1C39"/>
    <w:rsid w:val="55555CD1"/>
    <w:rsid w:val="555E7D76"/>
    <w:rsid w:val="55D45328"/>
    <w:rsid w:val="55E42029"/>
    <w:rsid w:val="55EA33B8"/>
    <w:rsid w:val="564E7DEA"/>
    <w:rsid w:val="56CD51B3"/>
    <w:rsid w:val="57414DB8"/>
    <w:rsid w:val="57614F84"/>
    <w:rsid w:val="579E2AC0"/>
    <w:rsid w:val="57AD157D"/>
    <w:rsid w:val="57E74053"/>
    <w:rsid w:val="580F7106"/>
    <w:rsid w:val="583F7BAE"/>
    <w:rsid w:val="58D225F1"/>
    <w:rsid w:val="59A82BEB"/>
    <w:rsid w:val="59AF6DF2"/>
    <w:rsid w:val="59D979CB"/>
    <w:rsid w:val="5A407A4A"/>
    <w:rsid w:val="5A9F6E67"/>
    <w:rsid w:val="5ADA7E9F"/>
    <w:rsid w:val="5B21162A"/>
    <w:rsid w:val="5BFB631F"/>
    <w:rsid w:val="5C766AC2"/>
    <w:rsid w:val="5D4E247E"/>
    <w:rsid w:val="5D5C103F"/>
    <w:rsid w:val="5D9E1657"/>
    <w:rsid w:val="5DC17EF0"/>
    <w:rsid w:val="5E257683"/>
    <w:rsid w:val="5E421185"/>
    <w:rsid w:val="5E664BC1"/>
    <w:rsid w:val="5F4955F3"/>
    <w:rsid w:val="5F903222"/>
    <w:rsid w:val="5FA03BFD"/>
    <w:rsid w:val="600C0AFA"/>
    <w:rsid w:val="60C211B9"/>
    <w:rsid w:val="611759A9"/>
    <w:rsid w:val="61493688"/>
    <w:rsid w:val="617526CF"/>
    <w:rsid w:val="617E77D6"/>
    <w:rsid w:val="618E0759"/>
    <w:rsid w:val="629152E7"/>
    <w:rsid w:val="62B44C29"/>
    <w:rsid w:val="62C22D58"/>
    <w:rsid w:val="63096718"/>
    <w:rsid w:val="64124205"/>
    <w:rsid w:val="6430092E"/>
    <w:rsid w:val="648A0240"/>
    <w:rsid w:val="663A241F"/>
    <w:rsid w:val="664B7EA3"/>
    <w:rsid w:val="66846F11"/>
    <w:rsid w:val="66A23F66"/>
    <w:rsid w:val="677D5E3A"/>
    <w:rsid w:val="6793777F"/>
    <w:rsid w:val="67C57098"/>
    <w:rsid w:val="68071BA7"/>
    <w:rsid w:val="688F051A"/>
    <w:rsid w:val="68C06D53"/>
    <w:rsid w:val="69086737"/>
    <w:rsid w:val="692C3FBB"/>
    <w:rsid w:val="69420366"/>
    <w:rsid w:val="694E3F32"/>
    <w:rsid w:val="696279DD"/>
    <w:rsid w:val="696F217F"/>
    <w:rsid w:val="69877444"/>
    <w:rsid w:val="69A754D4"/>
    <w:rsid w:val="69AF1713"/>
    <w:rsid w:val="69E623BC"/>
    <w:rsid w:val="6A266C5C"/>
    <w:rsid w:val="6ADE56EF"/>
    <w:rsid w:val="6AE10DD5"/>
    <w:rsid w:val="6AFF300A"/>
    <w:rsid w:val="6B2105A5"/>
    <w:rsid w:val="6B60619E"/>
    <w:rsid w:val="6BC20C11"/>
    <w:rsid w:val="6BD5096C"/>
    <w:rsid w:val="6BE20961"/>
    <w:rsid w:val="6C0B435C"/>
    <w:rsid w:val="6C4909E0"/>
    <w:rsid w:val="6CBA18DE"/>
    <w:rsid w:val="6D4F5DEE"/>
    <w:rsid w:val="6D6D6950"/>
    <w:rsid w:val="6D7D3037"/>
    <w:rsid w:val="6DD95D94"/>
    <w:rsid w:val="6F03756C"/>
    <w:rsid w:val="6F241291"/>
    <w:rsid w:val="6F3A637F"/>
    <w:rsid w:val="6F6057C3"/>
    <w:rsid w:val="6F665F29"/>
    <w:rsid w:val="7019691C"/>
    <w:rsid w:val="7020414E"/>
    <w:rsid w:val="702459EC"/>
    <w:rsid w:val="705B0CE2"/>
    <w:rsid w:val="706F2E8E"/>
    <w:rsid w:val="70922A46"/>
    <w:rsid w:val="71552415"/>
    <w:rsid w:val="716360A0"/>
    <w:rsid w:val="71F31B1A"/>
    <w:rsid w:val="71FE226D"/>
    <w:rsid w:val="728F7624"/>
    <w:rsid w:val="738B5D82"/>
    <w:rsid w:val="73C51294"/>
    <w:rsid w:val="73EA35A9"/>
    <w:rsid w:val="7491561A"/>
    <w:rsid w:val="74CE23CA"/>
    <w:rsid w:val="74F33BDF"/>
    <w:rsid w:val="754522CD"/>
    <w:rsid w:val="75B45DFA"/>
    <w:rsid w:val="766B1A6D"/>
    <w:rsid w:val="76742AFE"/>
    <w:rsid w:val="77225744"/>
    <w:rsid w:val="772A140E"/>
    <w:rsid w:val="77476464"/>
    <w:rsid w:val="77940D6B"/>
    <w:rsid w:val="77B17E29"/>
    <w:rsid w:val="783D42FB"/>
    <w:rsid w:val="78866B18"/>
    <w:rsid w:val="78B13B95"/>
    <w:rsid w:val="79352A18"/>
    <w:rsid w:val="795135CA"/>
    <w:rsid w:val="79E85CDC"/>
    <w:rsid w:val="7A6A04A0"/>
    <w:rsid w:val="7AF661D7"/>
    <w:rsid w:val="7B4C5DF7"/>
    <w:rsid w:val="7BEF0F05"/>
    <w:rsid w:val="7C49105E"/>
    <w:rsid w:val="7D016B7E"/>
    <w:rsid w:val="7D5D078F"/>
    <w:rsid w:val="7DC91981"/>
    <w:rsid w:val="7FD5392D"/>
    <w:rsid w:val="7FE01415"/>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Arial" w:hAnsi="Arial" w:eastAsia="Arial" w:cs="Arial"/>
      </w:rPr>
    </w:rPrDefault>
    <w:pPrDefault/>
  </w:docDefaults>
  <w:latentStyles w:count="260" w:defQFormat="0" w:defUnhideWhenUsed="1" w:defSemiHidden="1" w:defUIPriority="99" w:defLockedState="0">
    <w:lsdException w:qFormat="1" w:unhideWhenUsed="0" w:uiPriority="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qFormat="1"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99" w:name="annotation text"/>
    <w:lsdException w:unhideWhenUsed="0" w:uiPriority="0" w:semiHidden="0" w:name="header"/>
    <w:lsdException w:unhideWhenUsed="0" w:uiPriority="0" w:semiHidden="0" w:name="footer"/>
    <w:lsdException w:qFormat="1" w:uiPriority="0" w:semiHidden="0" w:name="index heading"/>
    <w:lsdException w:qFormat="1" w:uiPriority="0" w:name="caption"/>
    <w:lsdException w:qFormat="1" w:unhideWhenUsed="0" w:uiPriority="99"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qFormat="1"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autoRedefine/>
    <w:semiHidden/>
    <w:qFormat/>
    <w:uiPriority w:val="0"/>
    <w:pPr>
      <w:kinsoku w:val="0"/>
      <w:autoSpaceDE w:val="0"/>
      <w:autoSpaceDN w:val="0"/>
      <w:adjustRightInd w:val="0"/>
      <w:snapToGrid w:val="0"/>
      <w:spacing w:line="240" w:lineRule="auto"/>
      <w:jc w:val="left"/>
      <w:textAlignment w:val="baseline"/>
    </w:pPr>
    <w:rPr>
      <w:rFonts w:ascii="Arial" w:hAnsi="Arial" w:eastAsia="Arial" w:cs="Arial"/>
      <w:snapToGrid w:val="0"/>
      <w:color w:val="000000"/>
      <w:kern w:val="0"/>
      <w:sz w:val="21"/>
      <w:szCs w:val="21"/>
    </w:rPr>
  </w:style>
  <w:style w:type="character" w:default="1" w:styleId="9">
    <w:name w:val="Default Paragraph Font"/>
    <w:autoRedefine/>
    <w:semiHidden/>
    <w:qFormat/>
    <w:uiPriority w:val="0"/>
  </w:style>
  <w:style w:type="table" w:default="1" w:styleId="8">
    <w:name w:val="Normal Table"/>
    <w:autoRedefine/>
    <w:semiHidden/>
    <w:qFormat/>
    <w:uiPriority w:val="0"/>
    <w:tblPr>
      <w:tblCellMar>
        <w:top w:w="0" w:type="dxa"/>
        <w:left w:w="108" w:type="dxa"/>
        <w:bottom w:w="0" w:type="dxa"/>
        <w:right w:w="108" w:type="dxa"/>
      </w:tblCellMar>
    </w:tblPr>
  </w:style>
  <w:style w:type="paragraph" w:styleId="2">
    <w:name w:val="Normal Indent"/>
    <w:basedOn w:val="1"/>
    <w:next w:val="1"/>
    <w:autoRedefine/>
    <w:qFormat/>
    <w:uiPriority w:val="0"/>
    <w:pPr>
      <w:adjustRightInd w:val="0"/>
      <w:spacing w:line="480" w:lineRule="atLeast"/>
      <w:ind w:firstLine="595"/>
      <w:textAlignment w:val="baseline"/>
    </w:pPr>
    <w:rPr>
      <w:kern w:val="0"/>
      <w:sz w:val="28"/>
    </w:rPr>
  </w:style>
  <w:style w:type="paragraph" w:styleId="3">
    <w:name w:val="Note Heading"/>
    <w:basedOn w:val="1"/>
    <w:next w:val="1"/>
    <w:autoRedefine/>
    <w:unhideWhenUsed/>
    <w:qFormat/>
    <w:uiPriority w:val="0"/>
    <w:pPr>
      <w:jc w:val="center"/>
    </w:pPr>
    <w:rPr>
      <w:szCs w:val="24"/>
    </w:rPr>
  </w:style>
  <w:style w:type="paragraph" w:styleId="4">
    <w:name w:val="annotation text"/>
    <w:basedOn w:val="1"/>
    <w:semiHidden/>
    <w:qFormat/>
    <w:uiPriority w:val="99"/>
    <w:pPr>
      <w:jc w:val="left"/>
    </w:pPr>
    <w:rPr>
      <w:kern w:val="0"/>
      <w:sz w:val="24"/>
      <w:szCs w:val="20"/>
    </w:rPr>
  </w:style>
  <w:style w:type="paragraph" w:styleId="5">
    <w:name w:val="index heading"/>
    <w:basedOn w:val="1"/>
    <w:next w:val="6"/>
    <w:unhideWhenUsed/>
    <w:qFormat/>
    <w:uiPriority w:val="0"/>
    <w:pPr>
      <w:widowControl/>
      <w:jc w:val="left"/>
    </w:pPr>
    <w:rPr>
      <w:rFonts w:ascii="Cambria" w:hAnsi="Cambria"/>
      <w:b/>
      <w:bCs/>
      <w:sz w:val="25"/>
      <w:szCs w:val="25"/>
    </w:rPr>
  </w:style>
  <w:style w:type="paragraph" w:styleId="6">
    <w:name w:val="index 1"/>
    <w:basedOn w:val="1"/>
    <w:next w:val="1"/>
    <w:qFormat/>
    <w:uiPriority w:val="0"/>
    <w:pPr>
      <w:widowControl/>
      <w:jc w:val="left"/>
    </w:pPr>
    <w:rPr>
      <w:rFonts w:hint="eastAsia"/>
    </w:rPr>
  </w:style>
  <w:style w:type="paragraph" w:styleId="7">
    <w:name w:val="table of figures"/>
    <w:basedOn w:val="1"/>
    <w:next w:val="1"/>
    <w:qFormat/>
    <w:uiPriority w:val="99"/>
  </w:style>
  <w:style w:type="table" w:customStyle="1" w:styleId="10">
    <w:name w:val="Table Normal"/>
    <w:autoRedefine/>
    <w:semiHidden/>
    <w:unhideWhenUsed/>
    <w:qFormat/>
    <w:uiPriority w:val="0"/>
    <w:tblPr>
      <w:tblCellMar>
        <w:top w:w="0" w:type="dxa"/>
        <w:left w:w="0" w:type="dxa"/>
        <w:bottom w:w="0" w:type="dxa"/>
        <w:right w:w="0" w:type="dxa"/>
      </w:tblCellMar>
    </w:tblPr>
  </w:style>
  <w:style w:type="paragraph" w:customStyle="1" w:styleId="11">
    <w:name w:val="环评表正文"/>
    <w:basedOn w:val="1"/>
    <w:qFormat/>
    <w:uiPriority w:val="0"/>
    <w:pPr>
      <w:spacing w:line="480" w:lineRule="exact"/>
      <w:ind w:firstLine="1044" w:firstLineChars="200"/>
    </w:pPr>
    <w:rPr>
      <w:rFonts w:ascii="Times New Roman" w:hAnsi="Times New Roman" w:eastAsia="宋体"/>
      <w:sz w:val="24"/>
    </w:rPr>
  </w:style>
  <w:style w:type="paragraph" w:customStyle="1" w:styleId="12">
    <w:name w:val="04 正文"/>
    <w:basedOn w:val="1"/>
    <w:uiPriority w:val="0"/>
    <w:pPr>
      <w:spacing w:line="480" w:lineRule="exact"/>
      <w:ind w:firstLine="480" w:firstLineChars="200"/>
    </w:pPr>
    <w:rPr>
      <w:bCs/>
      <w:color w:val="000000"/>
      <w:sz w:val="24"/>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theme" Target="theme/theme1.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Pages>4</Pages>
  <Words>1861</Words>
  <Characters>2036</Characters>
  <TotalTime>0</TotalTime>
  <ScaleCrop>false</ScaleCrop>
  <LinksUpToDate>false</LinksUpToDate>
  <CharactersWithSpaces>2038</CharactersWithSpaces>
  <Application>WPS Office_12.1.0.28505_F1E327BC-269C-435d-A152-05C5408002CA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2023-10-12T10:03:00Z</dcterms:created>
  <dc:creator>Kingsoft-PDF</dc:creator>
  <cp:lastModifiedBy>lenovo</cp:lastModifiedBy>
  <cp:lastPrinted>2026-07-23T09:19:00Z</cp:lastPrinted>
  <dcterms:modified xsi:type="dcterms:W3CDTF">2026-09-09T03:49:17Z</dcterms:modified>
  <dc:subject>pdfbuilder</dc:subject>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O">
    <vt:lpwstr>wqlLaW5nc29mdCBQREYgdG8gV1BTIDg1</vt:lpwstr>
  </property>
  <property fmtid="{D5CDD505-2E9C-101B-9397-08002B2CF9AE}" pid="3" name="Created">
    <vt:filetime>2023-10-12T10:03:34Z</vt:filetime>
  </property>
  <property fmtid="{D5CDD505-2E9C-101B-9397-08002B2CF9AE}" pid="4" name="UsrData">
    <vt:lpwstr>652753f2b5c3b500209eafd5wl</vt:lpwstr>
  </property>
  <property fmtid="{D5CDD505-2E9C-101B-9397-08002B2CF9AE}" pid="5" name="KSOProductBuildVer">
    <vt:lpwstr>2052-12.1.0.28505</vt:lpwstr>
  </property>
  <property fmtid="{D5CDD505-2E9C-101B-9397-08002B2CF9AE}" pid="6" name="ICV">
    <vt:lpwstr>4CC6FED1931F49D99239AAE72CB184E6_12</vt:lpwstr>
  </property>
  <property fmtid="{D5CDD505-2E9C-101B-9397-08002B2CF9AE}" pid="7" name="KSOTemplateDocerSaveRecord">
    <vt:lpwstr>eyJoZGlkIjoiZTdlMjFhZGY0NDZkMjNiZTljYzRlMjhhOGI2M2FiZmMiLCJ1c2VySWQiOiIxMTY4MzcyMzI2In0=</vt:lpwstr>
  </property>
</Properties>
</file>