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0133D">
      <w:pPr>
        <w:shd w:val="clear" w:color="auto" w:fill="auto"/>
        <w:rPr>
          <w:rFonts w:hint="default" w:ascii="Times New Roman" w:hAnsi="Times New Roman" w:eastAsia="仿宋_GB2312" w:cs="Times New Roman"/>
          <w:color w:val="auto"/>
          <w:sz w:val="36"/>
          <w:szCs w:val="36"/>
        </w:rPr>
      </w:pPr>
    </w:p>
    <w:p w14:paraId="5AC6E61B">
      <w:pPr>
        <w:pStyle w:val="14"/>
        <w:shd w:val="clear" w:color="auto" w:fill="auto"/>
        <w:rPr>
          <w:rFonts w:hint="default" w:ascii="Times New Roman" w:hAnsi="Times New Roman" w:cs="Times New Roman"/>
          <w:color w:val="auto"/>
        </w:rPr>
      </w:pPr>
    </w:p>
    <w:p w14:paraId="44399EC7">
      <w:pPr>
        <w:shd w:val="clear" w:color="auto" w:fill="auto"/>
        <w:rPr>
          <w:rFonts w:hint="default" w:ascii="Times New Roman" w:hAnsi="Times New Roman" w:eastAsia="仿宋_GB2312" w:cs="Times New Roman"/>
          <w:color w:val="auto"/>
          <w:sz w:val="36"/>
          <w:szCs w:val="36"/>
        </w:rPr>
      </w:pPr>
    </w:p>
    <w:p w14:paraId="1CC01AC3">
      <w:pPr>
        <w:shd w:val="clear" w:color="auto" w:fill="auto"/>
        <w:rPr>
          <w:rFonts w:hint="default" w:ascii="Times New Roman" w:hAnsi="Times New Roman" w:eastAsia="仿宋_GB2312" w:cs="Times New Roman"/>
          <w:color w:val="auto"/>
          <w:sz w:val="36"/>
          <w:szCs w:val="36"/>
        </w:rPr>
      </w:pPr>
    </w:p>
    <w:p w14:paraId="34466C54">
      <w:pPr>
        <w:shd w:val="clear" w:color="auto" w:fill="auto"/>
        <w:rPr>
          <w:rFonts w:hint="default" w:ascii="Times New Roman" w:hAnsi="Times New Roman" w:eastAsia="仿宋_GB2312" w:cs="Times New Roman"/>
          <w:color w:val="auto"/>
          <w:sz w:val="36"/>
          <w:szCs w:val="36"/>
        </w:rPr>
      </w:pPr>
    </w:p>
    <w:p w14:paraId="68B0EE6D">
      <w:pPr>
        <w:shd w:val="clear" w:color="auto" w:fill="auto"/>
        <w:rPr>
          <w:rFonts w:hint="default" w:ascii="Times New Roman" w:hAnsi="Times New Roman" w:eastAsia="仿宋_GB2312" w:cs="Times New Roman"/>
          <w:color w:val="auto"/>
          <w:sz w:val="36"/>
          <w:szCs w:val="36"/>
        </w:rPr>
      </w:pPr>
    </w:p>
    <w:p w14:paraId="7B9C0102">
      <w:pPr>
        <w:shd w:val="clear" w:color="auto" w:fill="auto"/>
        <w:adjustRightInd w:val="0"/>
        <w:snapToGrid w:val="0"/>
        <w:jc w:val="center"/>
        <w:outlineLvl w:val="0"/>
        <w:rPr>
          <w:rFonts w:hint="default" w:ascii="Times New Roman" w:hAnsi="Times New Roman" w:eastAsia="宋体" w:cs="Times New Roman"/>
          <w:b/>
          <w:bCs w:val="0"/>
          <w:color w:val="auto"/>
          <w:sz w:val="72"/>
          <w:szCs w:val="72"/>
        </w:rPr>
      </w:pPr>
      <w:r>
        <w:rPr>
          <w:rFonts w:hint="default" w:ascii="Times New Roman" w:hAnsi="Times New Roman" w:eastAsia="宋体" w:cs="Times New Roman"/>
          <w:b/>
          <w:bCs w:val="0"/>
          <w:color w:val="auto"/>
          <w:sz w:val="72"/>
          <w:szCs w:val="72"/>
        </w:rPr>
        <w:t>建设项目环境影响报告表</w:t>
      </w:r>
    </w:p>
    <w:p w14:paraId="385CB34F">
      <w:pPr>
        <w:shd w:val="clear" w:color="auto" w:fill="auto"/>
        <w:jc w:val="center"/>
        <w:rPr>
          <w:rFonts w:hint="default" w:ascii="Times New Roman" w:hAnsi="Times New Roman" w:eastAsia="仿宋" w:cs="Times New Roman"/>
          <w:color w:val="auto"/>
          <w:sz w:val="44"/>
          <w:szCs w:val="44"/>
        </w:rPr>
      </w:pPr>
      <w:r>
        <w:rPr>
          <w:rFonts w:hint="default" w:ascii="Times New Roman" w:hAnsi="Times New Roman" w:eastAsia="仿宋" w:cs="Times New Roman"/>
          <w:color w:val="auto"/>
          <w:sz w:val="44"/>
          <w:szCs w:val="44"/>
        </w:rPr>
        <w:t>（污染影响类）</w:t>
      </w:r>
    </w:p>
    <w:p w14:paraId="24205755">
      <w:pPr>
        <w:shd w:val="clear" w:color="auto" w:fill="auto"/>
        <w:ind w:firstLine="1040"/>
        <w:rPr>
          <w:rFonts w:hint="default" w:ascii="Times New Roman" w:hAnsi="Times New Roman" w:eastAsia="仿宋" w:cs="Times New Roman"/>
          <w:color w:val="auto"/>
          <w:sz w:val="44"/>
          <w:szCs w:val="44"/>
        </w:rPr>
      </w:pPr>
    </w:p>
    <w:p w14:paraId="280166CB">
      <w:pPr>
        <w:shd w:val="clear" w:color="auto" w:fill="auto"/>
        <w:ind w:firstLine="1040"/>
        <w:rPr>
          <w:rFonts w:hint="default" w:ascii="Times New Roman" w:hAnsi="Times New Roman" w:eastAsia="仿宋" w:cs="Times New Roman"/>
          <w:color w:val="auto"/>
          <w:sz w:val="44"/>
          <w:szCs w:val="44"/>
        </w:rPr>
      </w:pPr>
    </w:p>
    <w:p w14:paraId="405E5CE9">
      <w:pPr>
        <w:shd w:val="clear" w:color="auto" w:fill="auto"/>
        <w:ind w:firstLine="1040"/>
        <w:rPr>
          <w:rFonts w:hint="default" w:ascii="Times New Roman" w:hAnsi="Times New Roman" w:eastAsia="仿宋" w:cs="Times New Roman"/>
          <w:color w:val="auto"/>
          <w:sz w:val="44"/>
          <w:szCs w:val="44"/>
        </w:rPr>
      </w:pPr>
    </w:p>
    <w:p w14:paraId="39D0EEEA">
      <w:pPr>
        <w:shd w:val="clear" w:color="auto" w:fill="auto"/>
        <w:ind w:firstLine="1040"/>
        <w:rPr>
          <w:rFonts w:hint="default" w:ascii="Times New Roman" w:hAnsi="Times New Roman" w:eastAsia="仿宋" w:cs="Times New Roman"/>
          <w:color w:val="auto"/>
          <w:sz w:val="44"/>
          <w:szCs w:val="44"/>
        </w:rPr>
      </w:pPr>
    </w:p>
    <w:p w14:paraId="5B696016">
      <w:pPr>
        <w:shd w:val="clear" w:color="auto" w:fill="auto"/>
        <w:ind w:firstLine="1040"/>
        <w:rPr>
          <w:rFonts w:hint="default" w:ascii="Times New Roman" w:hAnsi="Times New Roman" w:eastAsia="仿宋" w:cs="Times New Roman"/>
          <w:color w:val="auto"/>
          <w:sz w:val="44"/>
          <w:szCs w:val="44"/>
        </w:rPr>
      </w:pPr>
    </w:p>
    <w:p w14:paraId="6EEB549F">
      <w:pPr>
        <w:shd w:val="clear" w:color="auto" w:fill="auto"/>
        <w:ind w:firstLine="1040"/>
        <w:rPr>
          <w:rFonts w:hint="default" w:ascii="Times New Roman" w:hAnsi="Times New Roman" w:eastAsia="仿宋" w:cs="Times New Roman"/>
          <w:color w:val="auto"/>
          <w:sz w:val="44"/>
          <w:szCs w:val="44"/>
        </w:rPr>
      </w:pPr>
    </w:p>
    <w:p w14:paraId="79811784">
      <w:pPr>
        <w:shd w:val="clear" w:color="auto" w:fill="auto"/>
        <w:ind w:firstLine="1040"/>
        <w:rPr>
          <w:rFonts w:hint="default" w:ascii="Times New Roman" w:hAnsi="Times New Roman" w:eastAsia="仿宋" w:cs="Times New Roman"/>
          <w:color w:val="auto"/>
          <w:sz w:val="44"/>
          <w:szCs w:val="44"/>
        </w:rPr>
      </w:pPr>
    </w:p>
    <w:p w14:paraId="5D335A69">
      <w:pPr>
        <w:shd w:val="clear" w:color="auto" w:fill="auto"/>
        <w:ind w:firstLine="1040"/>
        <w:rPr>
          <w:rFonts w:hint="default" w:ascii="Times New Roman" w:hAnsi="Times New Roman" w:eastAsia="仿宋" w:cs="Times New Roman"/>
          <w:color w:val="auto"/>
          <w:sz w:val="44"/>
          <w:szCs w:val="44"/>
        </w:rPr>
      </w:pPr>
    </w:p>
    <w:p w14:paraId="78B728BA">
      <w:pPr>
        <w:shd w:val="clear" w:color="auto" w:fill="auto"/>
        <w:ind w:firstLine="1040"/>
        <w:rPr>
          <w:rFonts w:hint="default" w:ascii="Times New Roman" w:hAnsi="Times New Roman" w:eastAsia="仿宋" w:cs="Times New Roman"/>
          <w:color w:val="auto"/>
          <w:sz w:val="44"/>
          <w:szCs w:val="44"/>
        </w:rPr>
      </w:pPr>
    </w:p>
    <w:p w14:paraId="1D16EE3E">
      <w:pPr>
        <w:shd w:val="clear" w:color="auto" w:fill="auto"/>
        <w:adjustRightInd w:val="0"/>
        <w:snapToGrid w:val="0"/>
        <w:spacing w:line="360" w:lineRule="auto"/>
        <w:ind w:firstLine="780" w:firstLineChars="300"/>
        <w:rPr>
          <w:rFonts w:hint="default" w:ascii="Times New Roman" w:hAnsi="Times New Roman" w:eastAsia="仿宋" w:cs="Times New Roman"/>
          <w:color w:val="auto"/>
          <w:sz w:val="30"/>
          <w:szCs w:val="30"/>
          <w:u w:val="single"/>
          <w:lang w:val="en-US" w:eastAsia="zh-CN"/>
        </w:rPr>
      </w:pPr>
      <w:r>
        <w:rPr>
          <w:rFonts w:hint="default" w:ascii="Times New Roman" w:hAnsi="Times New Roman" w:eastAsia="仿宋" w:cs="Times New Roman"/>
          <w:color w:val="auto"/>
          <w:spacing w:val="-20"/>
          <w:sz w:val="30"/>
          <w:szCs w:val="30"/>
        </w:rPr>
        <w:t>项目名称：</w:t>
      </w:r>
      <w:r>
        <w:rPr>
          <w:rFonts w:hint="eastAsia" w:ascii="Times New Roman" w:hAnsi="Times New Roman" w:eastAsia="仿宋" w:cs="Times New Roman"/>
          <w:color w:val="auto"/>
          <w:spacing w:val="-11"/>
          <w:sz w:val="30"/>
          <w:szCs w:val="30"/>
          <w:u w:val="single"/>
          <w:lang w:val="en-US" w:eastAsia="zh-CN"/>
        </w:rPr>
        <w:t xml:space="preserve">   </w:t>
      </w:r>
      <w:r>
        <w:rPr>
          <w:rFonts w:hint="eastAsia" w:ascii="Times New Roman" w:hAnsi="Times New Roman" w:eastAsia="仿宋" w:cs="Times New Roman"/>
          <w:color w:val="auto"/>
          <w:spacing w:val="-11"/>
          <w:sz w:val="30"/>
          <w:szCs w:val="30"/>
          <w:u w:val="single"/>
          <w:lang w:eastAsia="zh-CN"/>
        </w:rPr>
        <w:t>河北鸿科碳素有限公司新增备用磨粉机设备项目</w:t>
      </w:r>
      <w:r>
        <w:rPr>
          <w:rFonts w:hint="eastAsia" w:ascii="Times New Roman" w:hAnsi="Times New Roman" w:eastAsia="仿宋" w:cs="Times New Roman"/>
          <w:color w:val="auto"/>
          <w:spacing w:val="-11"/>
          <w:sz w:val="30"/>
          <w:szCs w:val="30"/>
          <w:u w:val="single"/>
          <w:lang w:val="en-US" w:eastAsia="zh-CN"/>
        </w:rPr>
        <w:t xml:space="preserve">   </w:t>
      </w:r>
    </w:p>
    <w:p w14:paraId="01236538">
      <w:pPr>
        <w:shd w:val="clear" w:color="auto" w:fill="auto"/>
        <w:adjustRightInd w:val="0"/>
        <w:snapToGrid w:val="0"/>
        <w:spacing w:line="360" w:lineRule="auto"/>
        <w:ind w:firstLine="780" w:firstLineChars="300"/>
        <w:rPr>
          <w:rFonts w:hint="default" w:ascii="Times New Roman" w:hAnsi="Times New Roman" w:eastAsia="仿宋" w:cs="Times New Roman"/>
          <w:color w:val="auto"/>
          <w:sz w:val="30"/>
          <w:szCs w:val="30"/>
          <w:u w:val="single"/>
          <w:lang w:val="en-US"/>
        </w:rPr>
      </w:pPr>
      <w:r>
        <w:rPr>
          <w:rFonts w:hint="default" w:ascii="Times New Roman" w:hAnsi="Times New Roman" w:eastAsia="仿宋" w:cs="Times New Roman"/>
          <w:color w:val="auto"/>
          <w:spacing w:val="-20"/>
          <w:sz w:val="30"/>
          <w:szCs w:val="30"/>
        </w:rPr>
        <w:t>建设单位（盖章）：</w:t>
      </w:r>
      <w:r>
        <w:rPr>
          <w:rFonts w:hint="eastAsia" w:ascii="Times New Roman" w:hAnsi="Times New Roman" w:eastAsia="仿宋" w:cs="Times New Roman"/>
          <w:color w:val="auto"/>
          <w:spacing w:val="-20"/>
          <w:sz w:val="30"/>
          <w:szCs w:val="30"/>
          <w:u w:val="single"/>
          <w:lang w:val="en-US" w:eastAsia="zh-CN"/>
        </w:rPr>
        <w:t xml:space="preserve">          </w:t>
      </w:r>
      <w:r>
        <w:rPr>
          <w:rFonts w:hint="eastAsia" w:ascii="Times New Roman" w:hAnsi="Times New Roman" w:eastAsia="仿宋" w:cs="Times New Roman"/>
          <w:color w:val="auto"/>
          <w:spacing w:val="-20"/>
          <w:sz w:val="30"/>
          <w:szCs w:val="30"/>
          <w:u w:val="single"/>
          <w:lang w:eastAsia="zh-CN"/>
        </w:rPr>
        <w:t>河北鸿科碳素有限公司</w:t>
      </w:r>
      <w:r>
        <w:rPr>
          <w:rFonts w:hint="eastAsia" w:ascii="Times New Roman" w:hAnsi="Times New Roman" w:eastAsia="仿宋" w:cs="Times New Roman"/>
          <w:color w:val="auto"/>
          <w:spacing w:val="-20"/>
          <w:sz w:val="30"/>
          <w:szCs w:val="30"/>
          <w:u w:val="single"/>
          <w:lang w:val="en-US" w:eastAsia="zh-CN"/>
        </w:rPr>
        <w:t xml:space="preserve">                 </w:t>
      </w:r>
    </w:p>
    <w:p w14:paraId="29E554FD">
      <w:pPr>
        <w:shd w:val="clear" w:color="auto" w:fill="auto"/>
        <w:adjustRightInd w:val="0"/>
        <w:snapToGrid w:val="0"/>
        <w:spacing w:line="360" w:lineRule="auto"/>
        <w:ind w:firstLine="780" w:firstLineChars="300"/>
        <w:rPr>
          <w:rFonts w:hint="eastAsia" w:ascii="Times New Roman" w:hAnsi="Times New Roman" w:eastAsia="仿宋" w:cs="Times New Roman"/>
          <w:color w:val="auto"/>
          <w:sz w:val="36"/>
          <w:szCs w:val="36"/>
          <w:u w:val="single"/>
          <w:lang w:val="en-US" w:eastAsia="zh-CN"/>
        </w:rPr>
      </w:pPr>
      <w:r>
        <w:rPr>
          <w:rFonts w:hint="default" w:ascii="Times New Roman" w:hAnsi="Times New Roman" w:eastAsia="仿宋" w:cs="Times New Roman"/>
          <w:color w:val="auto"/>
          <w:spacing w:val="-20"/>
          <w:sz w:val="30"/>
          <w:szCs w:val="30"/>
        </w:rPr>
        <w:t>编制日期：</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202</w:t>
      </w:r>
      <w:r>
        <w:rPr>
          <w:rFonts w:hint="eastAsia" w:ascii="Times New Roman" w:hAnsi="Times New Roman" w:eastAsia="仿宋" w:cs="Times New Roman"/>
          <w:color w:val="auto"/>
          <w:sz w:val="30"/>
          <w:szCs w:val="30"/>
          <w:u w:val="single"/>
          <w:lang w:val="en-US" w:eastAsia="zh-CN"/>
        </w:rPr>
        <w:t>6</w:t>
      </w:r>
      <w:r>
        <w:rPr>
          <w:rFonts w:hint="default" w:ascii="Times New Roman" w:hAnsi="Times New Roman" w:eastAsia="仿宋" w:cs="Times New Roman"/>
          <w:color w:val="auto"/>
          <w:sz w:val="30"/>
          <w:szCs w:val="30"/>
          <w:u w:val="single"/>
        </w:rPr>
        <w:t>年</w:t>
      </w:r>
      <w:r>
        <w:rPr>
          <w:rFonts w:hint="eastAsia" w:eastAsia="仿宋" w:cs="Times New Roman"/>
          <w:color w:val="auto"/>
          <w:sz w:val="30"/>
          <w:szCs w:val="30"/>
          <w:u w:val="single"/>
          <w:lang w:val="en-US" w:eastAsia="zh-CN"/>
        </w:rPr>
        <w:t>8</w:t>
      </w:r>
      <w:r>
        <w:rPr>
          <w:rFonts w:hint="default" w:ascii="Times New Roman" w:hAnsi="Times New Roman" w:eastAsia="仿宋" w:cs="Times New Roman"/>
          <w:color w:val="auto"/>
          <w:sz w:val="30"/>
          <w:szCs w:val="30"/>
          <w:u w:val="single"/>
        </w:rPr>
        <w:t xml:space="preserve">月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p>
    <w:p w14:paraId="38D2D86B">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u w:val="single"/>
        </w:rPr>
      </w:pPr>
      <w:bookmarkStart w:id="0" w:name="_Hlk57884087"/>
    </w:p>
    <w:p w14:paraId="0C0E4613">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p w14:paraId="3823AA70">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p w14:paraId="44675CE9">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bookmarkEnd w:id="0"/>
    <w:p w14:paraId="6E8668BB">
      <w:pPr>
        <w:shd w:val="clear" w:color="auto" w:fill="auto"/>
        <w:adjustRightInd w:val="0"/>
        <w:snapToGrid w:val="0"/>
        <w:spacing w:line="288" w:lineRule="auto"/>
        <w:jc w:val="center"/>
        <w:rPr>
          <w:rFonts w:hint="default" w:ascii="Times New Roman" w:hAnsi="Times New Roman" w:eastAsia="KaiTi_GB2312" w:cs="Times New Roman"/>
          <w:color w:val="auto"/>
          <w:sz w:val="36"/>
          <w:szCs w:val="36"/>
        </w:rPr>
      </w:pPr>
      <w:r>
        <w:rPr>
          <w:rFonts w:hint="default" w:ascii="Times New Roman" w:hAnsi="Times New Roman" w:eastAsia="KaiTi_GB2312" w:cs="Times New Roman"/>
          <w:color w:val="auto"/>
          <w:sz w:val="36"/>
          <w:szCs w:val="36"/>
        </w:rPr>
        <w:t>中华人民共和国生态环境部制</w:t>
      </w:r>
    </w:p>
    <w:p w14:paraId="75BDD3D3">
      <w:pPr>
        <w:shd w:val="clear" w:color="auto" w:fill="auto"/>
        <w:adjustRightInd w:val="0"/>
        <w:snapToGrid w:val="0"/>
        <w:spacing w:line="288" w:lineRule="auto"/>
        <w:jc w:val="center"/>
        <w:rPr>
          <w:rFonts w:hint="default" w:ascii="Times New Roman" w:hAnsi="Times New Roman" w:eastAsia="KaiTi_GB2312" w:cs="Times New Roman"/>
          <w:color w:val="auto"/>
          <w:sz w:val="36"/>
          <w:szCs w:val="36"/>
        </w:rPr>
      </w:pPr>
    </w:p>
    <w:p w14:paraId="67A93F13">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27997BF5">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一、建设项目基本情况</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74"/>
        <w:gridCol w:w="1626"/>
        <w:gridCol w:w="2014"/>
        <w:gridCol w:w="3356"/>
      </w:tblGrid>
      <w:tr w14:paraId="32898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6" w:hRule="atLeast"/>
          <w:jc w:val="center"/>
        </w:trPr>
        <w:tc>
          <w:tcPr>
            <w:tcW w:w="1874" w:type="dxa"/>
            <w:noWrap w:val="0"/>
            <w:tcMar>
              <w:top w:w="16" w:type="dxa"/>
              <w:left w:w="16" w:type="dxa"/>
              <w:right w:w="16" w:type="dxa"/>
            </w:tcMar>
            <w:vAlign w:val="center"/>
          </w:tcPr>
          <w:p w14:paraId="40E5A1A0">
            <w:pPr>
              <w:shd w:val="clear" w:color="auto" w:fill="auto"/>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建设项目名称</w:t>
            </w:r>
          </w:p>
        </w:tc>
        <w:tc>
          <w:tcPr>
            <w:tcW w:w="6996" w:type="dxa"/>
            <w:gridSpan w:val="3"/>
            <w:noWrap w:val="0"/>
            <w:vAlign w:val="center"/>
          </w:tcPr>
          <w:p w14:paraId="775F7BFB">
            <w:pPr>
              <w:shd w:val="clear" w:color="auto" w:fill="auto"/>
              <w:adjustRightInd w:val="0"/>
              <w:snapToGrid w:val="0"/>
              <w:jc w:val="center"/>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河北鸿科碳素有限公司新增备用磨粉机设备项目</w:t>
            </w:r>
          </w:p>
        </w:tc>
      </w:tr>
      <w:tr w14:paraId="3BF78A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1" w:hRule="atLeast"/>
          <w:jc w:val="center"/>
        </w:trPr>
        <w:tc>
          <w:tcPr>
            <w:tcW w:w="1874" w:type="dxa"/>
            <w:noWrap w:val="0"/>
            <w:tcMar>
              <w:top w:w="16" w:type="dxa"/>
              <w:left w:w="16" w:type="dxa"/>
              <w:right w:w="16" w:type="dxa"/>
            </w:tcMar>
            <w:vAlign w:val="center"/>
          </w:tcPr>
          <w:p w14:paraId="526C54D4">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项目代码</w:t>
            </w:r>
          </w:p>
        </w:tc>
        <w:tc>
          <w:tcPr>
            <w:tcW w:w="6996" w:type="dxa"/>
            <w:gridSpan w:val="3"/>
            <w:noWrap w:val="0"/>
            <w:vAlign w:val="center"/>
          </w:tcPr>
          <w:p w14:paraId="6F42F0B3">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2602-130107-89-02-713265</w:t>
            </w:r>
          </w:p>
        </w:tc>
      </w:tr>
      <w:tr w14:paraId="13E44F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874" w:type="dxa"/>
            <w:noWrap w:val="0"/>
            <w:tcMar>
              <w:top w:w="16" w:type="dxa"/>
              <w:left w:w="16" w:type="dxa"/>
              <w:right w:w="16" w:type="dxa"/>
            </w:tcMar>
            <w:vAlign w:val="center"/>
          </w:tcPr>
          <w:p w14:paraId="3791188D">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建设单位联系人</w:t>
            </w:r>
          </w:p>
        </w:tc>
        <w:tc>
          <w:tcPr>
            <w:tcW w:w="1626" w:type="dxa"/>
            <w:noWrap w:val="0"/>
            <w:vAlign w:val="center"/>
          </w:tcPr>
          <w:p w14:paraId="195410E7">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高淑霞</w:t>
            </w:r>
          </w:p>
        </w:tc>
        <w:tc>
          <w:tcPr>
            <w:tcW w:w="2014" w:type="dxa"/>
            <w:noWrap w:val="0"/>
            <w:vAlign w:val="center"/>
          </w:tcPr>
          <w:p w14:paraId="5C2602A2">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联系方式</w:t>
            </w:r>
          </w:p>
        </w:tc>
        <w:tc>
          <w:tcPr>
            <w:tcW w:w="3356" w:type="dxa"/>
            <w:noWrap w:val="0"/>
            <w:vAlign w:val="center"/>
          </w:tcPr>
          <w:p w14:paraId="1E83750E">
            <w:pPr>
              <w:shd w:val="clear" w:color="auto" w:fill="auto"/>
              <w:adjustRightInd w:val="0"/>
              <w:snapToGrid w:val="0"/>
              <w:jc w:val="center"/>
              <w:rPr>
                <w:rFonts w:hint="default" w:ascii="Times New Roman" w:hAnsi="Times New Roman" w:cs="Times New Roman"/>
                <w:color w:val="auto"/>
                <w:sz w:val="24"/>
                <w:highlight w:val="yellow"/>
              </w:rPr>
            </w:pPr>
            <w:r>
              <w:rPr>
                <w:rFonts w:hint="default" w:ascii="Times New Roman" w:hAnsi="Times New Roman" w:cs="Times New Roman"/>
                <w:color w:val="auto"/>
                <w:sz w:val="24"/>
                <w:highlight w:val="none"/>
              </w:rPr>
              <w:t>13931174776</w:t>
            </w:r>
          </w:p>
        </w:tc>
      </w:tr>
      <w:tr w14:paraId="57993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1874" w:type="dxa"/>
            <w:noWrap w:val="0"/>
            <w:tcMar>
              <w:top w:w="16" w:type="dxa"/>
              <w:left w:w="16" w:type="dxa"/>
              <w:right w:w="16" w:type="dxa"/>
            </w:tcMar>
            <w:vAlign w:val="center"/>
          </w:tcPr>
          <w:p w14:paraId="25D16868">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6996" w:type="dxa"/>
            <w:gridSpan w:val="3"/>
            <w:noWrap w:val="0"/>
            <w:vAlign w:val="center"/>
          </w:tcPr>
          <w:p w14:paraId="60A4143B">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u w:val="none"/>
                <w:lang w:eastAsia="zh-CN"/>
              </w:rPr>
              <w:t>石家庄市</w:t>
            </w:r>
            <w:r>
              <w:rPr>
                <w:rFonts w:hint="eastAsia" w:ascii="Times New Roman" w:hAnsi="Times New Roman" w:cs="Times New Roman"/>
                <w:color w:val="auto"/>
                <w:sz w:val="24"/>
                <w:lang w:val="en-US" w:eastAsia="zh-CN"/>
              </w:rPr>
              <w:t>井陉</w:t>
            </w:r>
            <w:r>
              <w:rPr>
                <w:rFonts w:hint="eastAsia" w:ascii="Times New Roman" w:hAnsi="Times New Roman" w:cs="Times New Roman"/>
                <w:color w:val="auto"/>
                <w:sz w:val="24"/>
                <w:u w:val="none"/>
                <w:lang w:val="en-US" w:eastAsia="zh-CN"/>
              </w:rPr>
              <w:t>矿区</w:t>
            </w:r>
            <w:r>
              <w:rPr>
                <w:rFonts w:hint="eastAsia" w:ascii="Times New Roman" w:hAnsi="Times New Roman" w:cs="Times New Roman"/>
                <w:color w:val="auto"/>
                <w:sz w:val="24"/>
                <w:u w:val="none"/>
                <w:lang w:eastAsia="zh-CN"/>
              </w:rPr>
              <w:t>贾庄镇西王舍社区河北鸿科碳素有限公司</w:t>
            </w:r>
            <w:r>
              <w:rPr>
                <w:rFonts w:hint="eastAsia" w:ascii="Times New Roman" w:hAnsi="Times New Roman" w:cs="Times New Roman"/>
                <w:color w:val="auto"/>
                <w:sz w:val="24"/>
                <w:u w:val="none"/>
                <w:lang w:val="en-US" w:eastAsia="zh-CN"/>
              </w:rPr>
              <w:t>内</w:t>
            </w:r>
          </w:p>
        </w:tc>
      </w:tr>
      <w:tr w14:paraId="6D8D30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1874" w:type="dxa"/>
            <w:noWrap w:val="0"/>
            <w:tcMar>
              <w:top w:w="16" w:type="dxa"/>
              <w:left w:w="16" w:type="dxa"/>
              <w:right w:w="16" w:type="dxa"/>
            </w:tcMar>
            <w:vAlign w:val="center"/>
          </w:tcPr>
          <w:p w14:paraId="0793DCFE">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地理坐标</w:t>
            </w:r>
          </w:p>
        </w:tc>
        <w:tc>
          <w:tcPr>
            <w:tcW w:w="6996" w:type="dxa"/>
            <w:gridSpan w:val="3"/>
            <w:noWrap w:val="0"/>
            <w:vAlign w:val="center"/>
          </w:tcPr>
          <w:p w14:paraId="1BA10FD6">
            <w:pPr>
              <w:pStyle w:val="11"/>
              <w:shd w:val="clear" w:color="auto" w:fill="auto"/>
              <w:ind w:left="0"/>
              <w:jc w:val="center"/>
              <w:rPr>
                <w:rFonts w:hint="default" w:ascii="Times New Roman" w:hAnsi="Times New Roman" w:cs="Times New Roman"/>
                <w:color w:val="auto"/>
              </w:rPr>
            </w:pPr>
            <w:r>
              <w:rPr>
                <w:rFonts w:hint="default" w:ascii="Times New Roman" w:hAnsi="Times New Roman" w:cs="Times New Roman"/>
                <w:color w:val="auto"/>
                <w:sz w:val="24"/>
              </w:rPr>
              <w:t>东经</w:t>
            </w:r>
            <w:r>
              <w:rPr>
                <w:rFonts w:hint="default" w:ascii="Times New Roman" w:hAnsi="Times New Roman" w:cs="Times New Roman"/>
                <w:color w:val="auto"/>
                <w:sz w:val="24"/>
                <w:u w:val="single"/>
              </w:rPr>
              <w:t>114°</w:t>
            </w:r>
            <w:r>
              <w:rPr>
                <w:rFonts w:hint="eastAsia" w:ascii="Times New Roman" w:hAnsi="Times New Roman" w:cs="Times New Roman"/>
                <w:color w:val="auto"/>
                <w:sz w:val="24"/>
                <w:u w:val="single"/>
                <w:lang w:val="en-US" w:eastAsia="zh-CN"/>
              </w:rPr>
              <w:t>0</w:t>
            </w:r>
            <w:r>
              <w:rPr>
                <w:rFonts w:hint="default" w:ascii="Times New Roman" w:hAnsi="Times New Roman" w:cs="Times New Roman"/>
                <w:color w:val="auto"/>
                <w:sz w:val="24"/>
                <w:u w:val="single"/>
              </w:rPr>
              <w:t>′</w:t>
            </w:r>
            <w:r>
              <w:rPr>
                <w:rFonts w:hint="eastAsia" w:ascii="Times New Roman" w:hAnsi="Times New Roman" w:cs="Times New Roman"/>
                <w:color w:val="auto"/>
                <w:sz w:val="24"/>
                <w:u w:val="single"/>
                <w:lang w:val="en-US" w:eastAsia="zh-CN"/>
              </w:rPr>
              <w:t>56.728</w:t>
            </w:r>
            <w:r>
              <w:rPr>
                <w:rFonts w:hint="default" w:ascii="Times New Roman" w:hAnsi="Times New Roman" w:cs="Times New Roman"/>
                <w:color w:val="auto"/>
                <w:sz w:val="24"/>
                <w:u w:val="single"/>
              </w:rPr>
              <w:t>″</w:t>
            </w:r>
            <w:r>
              <w:rPr>
                <w:rFonts w:hint="default" w:ascii="Times New Roman" w:hAnsi="Times New Roman" w:cs="Times New Roman"/>
                <w:color w:val="auto"/>
                <w:sz w:val="24"/>
              </w:rPr>
              <w:t>，北纬</w:t>
            </w:r>
            <w:r>
              <w:rPr>
                <w:rFonts w:hint="default" w:ascii="Times New Roman" w:hAnsi="Times New Roman" w:cs="Times New Roman"/>
                <w:color w:val="auto"/>
                <w:sz w:val="24"/>
                <w:u w:val="single"/>
              </w:rPr>
              <w:t>38°</w:t>
            </w:r>
            <w:r>
              <w:rPr>
                <w:rFonts w:hint="default" w:ascii="Times New Roman" w:hAnsi="Times New Roman" w:cs="Times New Roman"/>
                <w:color w:val="auto"/>
                <w:sz w:val="24"/>
                <w:u w:val="single"/>
                <w:lang w:val="en-US" w:eastAsia="zh-CN"/>
              </w:rPr>
              <w:t>5</w:t>
            </w:r>
            <w:r>
              <w:rPr>
                <w:rFonts w:hint="default" w:ascii="Times New Roman" w:hAnsi="Times New Roman" w:cs="Times New Roman"/>
                <w:color w:val="auto"/>
                <w:sz w:val="24"/>
                <w:u w:val="single"/>
              </w:rPr>
              <w:t>′</w:t>
            </w:r>
            <w:r>
              <w:rPr>
                <w:rFonts w:hint="eastAsia" w:ascii="Times New Roman" w:hAnsi="Times New Roman" w:cs="Times New Roman"/>
                <w:color w:val="auto"/>
                <w:sz w:val="24"/>
                <w:u w:val="single"/>
                <w:lang w:val="en-US" w:eastAsia="zh-CN"/>
              </w:rPr>
              <w:t>14.013</w:t>
            </w:r>
            <w:r>
              <w:rPr>
                <w:rFonts w:hint="default" w:ascii="Times New Roman" w:hAnsi="Times New Roman" w:cs="Times New Roman"/>
                <w:color w:val="auto"/>
                <w:sz w:val="24"/>
                <w:u w:val="single"/>
              </w:rPr>
              <w:t>″</w:t>
            </w:r>
          </w:p>
        </w:tc>
      </w:tr>
      <w:tr w14:paraId="385A8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2E599BFC">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国民经济</w:t>
            </w:r>
          </w:p>
          <w:p w14:paraId="6BFB38EA">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tc>
        <w:tc>
          <w:tcPr>
            <w:tcW w:w="1626" w:type="dxa"/>
            <w:noWrap w:val="0"/>
            <w:vAlign w:val="center"/>
          </w:tcPr>
          <w:p w14:paraId="5237333E">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bCs/>
                <w:color w:val="auto"/>
                <w:sz w:val="24"/>
              </w:rPr>
              <w:t>C</w:t>
            </w:r>
            <w:r>
              <w:rPr>
                <w:rFonts w:hint="eastAsia" w:ascii="Times New Roman" w:hAnsi="Times New Roman" w:cs="Times New Roman"/>
                <w:bCs/>
                <w:color w:val="auto"/>
                <w:sz w:val="24"/>
                <w:lang w:val="en-US" w:eastAsia="zh-CN"/>
              </w:rPr>
              <w:t>3091石墨及碳素制品制造</w:t>
            </w:r>
          </w:p>
        </w:tc>
        <w:tc>
          <w:tcPr>
            <w:tcW w:w="2014" w:type="dxa"/>
            <w:noWrap w:val="0"/>
            <w:vAlign w:val="center"/>
          </w:tcPr>
          <w:p w14:paraId="3AD4F7BF">
            <w:pPr>
              <w:shd w:val="clear" w:color="auto" w:fill="auto"/>
              <w:adjustRightInd w:val="0"/>
              <w:snapToGrid w:val="0"/>
              <w:jc w:val="center"/>
              <w:rPr>
                <w:rFonts w:hint="default" w:ascii="Times New Roman" w:hAnsi="Times New Roman" w:cs="Times New Roman"/>
                <w:color w:val="auto"/>
                <w:sz w:val="24"/>
              </w:rPr>
            </w:pPr>
            <w:bookmarkStart w:id="1" w:name="_Hlk49843745"/>
            <w:r>
              <w:rPr>
                <w:rFonts w:hint="default" w:ascii="Times New Roman" w:hAnsi="Times New Roman" w:cs="Times New Roman"/>
                <w:color w:val="auto"/>
                <w:sz w:val="24"/>
              </w:rPr>
              <w:t>建设项目</w:t>
            </w:r>
          </w:p>
          <w:p w14:paraId="650F6D8A">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bookmarkEnd w:id="1"/>
          </w:p>
        </w:tc>
        <w:tc>
          <w:tcPr>
            <w:tcW w:w="3356" w:type="dxa"/>
            <w:noWrap w:val="0"/>
            <w:vAlign w:val="center"/>
          </w:tcPr>
          <w:p w14:paraId="1885C2B4">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二十七</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非金属矿物制品业</w:t>
            </w:r>
            <w:r>
              <w:rPr>
                <w:rFonts w:hint="default" w:ascii="Times New Roman" w:hAnsi="Times New Roman" w:cs="Times New Roman"/>
                <w:color w:val="auto"/>
                <w:sz w:val="24"/>
              </w:rPr>
              <w:t xml:space="preserve"> </w:t>
            </w:r>
            <w:r>
              <w:rPr>
                <w:rFonts w:hint="eastAsia" w:cs="Times New Roman"/>
                <w:color w:val="auto"/>
                <w:sz w:val="24"/>
                <w:lang w:val="en-US" w:eastAsia="zh-CN"/>
              </w:rPr>
              <w:t>：</w:t>
            </w:r>
            <w:r>
              <w:rPr>
                <w:rFonts w:hint="eastAsia" w:ascii="Times New Roman" w:hAnsi="Times New Roman" w:cs="Times New Roman"/>
                <w:color w:val="auto"/>
                <w:sz w:val="24"/>
                <w:lang w:val="en-US" w:eastAsia="zh-CN"/>
              </w:rPr>
              <w:t>石墨及其他非金属矿物制品制造309</w:t>
            </w:r>
            <w:r>
              <w:rPr>
                <w:rFonts w:hint="eastAsia" w:cs="Times New Roman"/>
                <w:color w:val="auto"/>
                <w:sz w:val="24"/>
                <w:lang w:val="en-US" w:eastAsia="zh-CN"/>
              </w:rPr>
              <w:t>—其他</w:t>
            </w:r>
          </w:p>
        </w:tc>
      </w:tr>
      <w:tr w14:paraId="07973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123EF0BB">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1626" w:type="dxa"/>
            <w:noWrap w:val="0"/>
            <w:vAlign w:val="center"/>
          </w:tcPr>
          <w:p w14:paraId="1051E65B">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新建（迁建）</w:t>
            </w:r>
          </w:p>
          <w:p w14:paraId="5BF2CAEF">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改建</w:t>
            </w:r>
          </w:p>
          <w:p w14:paraId="3933ACE4">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扩建</w:t>
            </w:r>
          </w:p>
          <w:p w14:paraId="6ED47FAC">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技术改造</w:t>
            </w:r>
          </w:p>
        </w:tc>
        <w:tc>
          <w:tcPr>
            <w:tcW w:w="2014" w:type="dxa"/>
            <w:noWrap w:val="0"/>
            <w:vAlign w:val="center"/>
          </w:tcPr>
          <w:p w14:paraId="282F3859">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34ED2998">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申报情形</w:t>
            </w:r>
          </w:p>
        </w:tc>
        <w:tc>
          <w:tcPr>
            <w:tcW w:w="3356" w:type="dxa"/>
            <w:noWrap w:val="0"/>
            <w:vAlign w:val="center"/>
          </w:tcPr>
          <w:p w14:paraId="47DC6C5A">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首次申报项目</w:t>
            </w:r>
          </w:p>
          <w:p w14:paraId="7F4666C0">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不予批准后再次申报项目</w:t>
            </w:r>
          </w:p>
          <w:p w14:paraId="6D0FB6E7">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超五年重新审核项目</w:t>
            </w:r>
          </w:p>
          <w:p w14:paraId="62AC7BF1">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重大变动重新报批项目</w:t>
            </w:r>
          </w:p>
        </w:tc>
      </w:tr>
      <w:tr w14:paraId="298E7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0E593354">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项目审批（核准/备案）部门（选填）</w:t>
            </w:r>
          </w:p>
        </w:tc>
        <w:tc>
          <w:tcPr>
            <w:tcW w:w="1626" w:type="dxa"/>
            <w:noWrap w:val="0"/>
            <w:vAlign w:val="center"/>
          </w:tcPr>
          <w:p w14:paraId="1A16B52A">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石家庄市井陉矿区</w:t>
            </w:r>
            <w:r>
              <w:rPr>
                <w:rFonts w:hint="eastAsia" w:cs="Times New Roman"/>
                <w:color w:val="auto"/>
                <w:sz w:val="24"/>
                <w:lang w:val="en-US" w:eastAsia="zh-CN"/>
              </w:rPr>
              <w:t>科学技术和工业信息化局</w:t>
            </w:r>
          </w:p>
        </w:tc>
        <w:tc>
          <w:tcPr>
            <w:tcW w:w="2014" w:type="dxa"/>
            <w:noWrap w:val="0"/>
            <w:vAlign w:val="center"/>
          </w:tcPr>
          <w:p w14:paraId="66A88A1C">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14:paraId="6A3E4F2E">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备案）文号（选填）</w:t>
            </w:r>
          </w:p>
        </w:tc>
        <w:tc>
          <w:tcPr>
            <w:tcW w:w="3356" w:type="dxa"/>
            <w:noWrap w:val="0"/>
            <w:vAlign w:val="center"/>
          </w:tcPr>
          <w:p w14:paraId="4520DAD9">
            <w:pPr>
              <w:shd w:val="clear" w:color="auto" w:fill="auto"/>
              <w:adjustRightInd w:val="0"/>
              <w:snapToGrid w:val="0"/>
              <w:jc w:val="center"/>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eastAsia="zh-CN"/>
              </w:rPr>
              <w:t>矿科工信技改备字[2026]04号</w:t>
            </w:r>
          </w:p>
        </w:tc>
      </w:tr>
      <w:tr w14:paraId="77F2B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1874" w:type="dxa"/>
            <w:noWrap w:val="0"/>
            <w:tcMar>
              <w:top w:w="16" w:type="dxa"/>
              <w:left w:w="16" w:type="dxa"/>
              <w:right w:w="16" w:type="dxa"/>
            </w:tcMar>
            <w:vAlign w:val="center"/>
          </w:tcPr>
          <w:p w14:paraId="43CF3851">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总投资（万元）</w:t>
            </w:r>
          </w:p>
        </w:tc>
        <w:tc>
          <w:tcPr>
            <w:tcW w:w="1626" w:type="dxa"/>
            <w:noWrap w:val="0"/>
            <w:vAlign w:val="center"/>
          </w:tcPr>
          <w:p w14:paraId="67E17B90">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180</w:t>
            </w:r>
          </w:p>
        </w:tc>
        <w:tc>
          <w:tcPr>
            <w:tcW w:w="2014" w:type="dxa"/>
            <w:noWrap w:val="0"/>
            <w:tcMar>
              <w:top w:w="16" w:type="dxa"/>
              <w:left w:w="16" w:type="dxa"/>
              <w:right w:w="16" w:type="dxa"/>
            </w:tcMar>
            <w:vAlign w:val="center"/>
          </w:tcPr>
          <w:p w14:paraId="3E7C171B">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环保投资（万元）</w:t>
            </w:r>
          </w:p>
        </w:tc>
        <w:tc>
          <w:tcPr>
            <w:tcW w:w="3356" w:type="dxa"/>
            <w:noWrap w:val="0"/>
            <w:vAlign w:val="center"/>
          </w:tcPr>
          <w:p w14:paraId="086DD472">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20</w:t>
            </w:r>
          </w:p>
        </w:tc>
      </w:tr>
      <w:tr w14:paraId="5B695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874" w:type="dxa"/>
            <w:noWrap w:val="0"/>
            <w:tcMar>
              <w:top w:w="16" w:type="dxa"/>
              <w:left w:w="16" w:type="dxa"/>
              <w:right w:w="16" w:type="dxa"/>
            </w:tcMar>
            <w:vAlign w:val="center"/>
          </w:tcPr>
          <w:p w14:paraId="5BF64A35">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环保投资占比</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w:t>
            </w:r>
          </w:p>
        </w:tc>
        <w:tc>
          <w:tcPr>
            <w:tcW w:w="1626" w:type="dxa"/>
            <w:noWrap w:val="0"/>
            <w:vAlign w:val="center"/>
          </w:tcPr>
          <w:p w14:paraId="316E9EDF">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11.1</w:t>
            </w:r>
            <w:r>
              <w:rPr>
                <w:rFonts w:hint="eastAsia" w:cs="Times New Roman"/>
                <w:color w:val="auto"/>
                <w:sz w:val="24"/>
                <w:highlight w:val="none"/>
                <w:lang w:val="en-US" w:eastAsia="zh-CN"/>
              </w:rPr>
              <w:t>1</w:t>
            </w:r>
          </w:p>
        </w:tc>
        <w:tc>
          <w:tcPr>
            <w:tcW w:w="2014" w:type="dxa"/>
            <w:noWrap w:val="0"/>
            <w:tcMar>
              <w:top w:w="16" w:type="dxa"/>
              <w:left w:w="16" w:type="dxa"/>
              <w:right w:w="16" w:type="dxa"/>
            </w:tcMar>
            <w:vAlign w:val="center"/>
          </w:tcPr>
          <w:p w14:paraId="1601F0AF">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施工工期</w:t>
            </w:r>
          </w:p>
        </w:tc>
        <w:tc>
          <w:tcPr>
            <w:tcW w:w="3356" w:type="dxa"/>
            <w:noWrap w:val="0"/>
            <w:vAlign w:val="center"/>
          </w:tcPr>
          <w:p w14:paraId="6BDC1FE3">
            <w:pPr>
              <w:shd w:val="clear" w:color="auto" w:fill="auto"/>
              <w:adjustRightInd w:val="0"/>
              <w:snapToGrid w:val="0"/>
              <w:jc w:val="center"/>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个月</w:t>
            </w:r>
          </w:p>
        </w:tc>
      </w:tr>
      <w:tr w14:paraId="50D61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6C3F1723">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是否开工建设</w:t>
            </w:r>
          </w:p>
        </w:tc>
        <w:tc>
          <w:tcPr>
            <w:tcW w:w="1626" w:type="dxa"/>
            <w:noWrap w:val="0"/>
            <w:vAlign w:val="center"/>
          </w:tcPr>
          <w:p w14:paraId="043D31BB">
            <w:pPr>
              <w:shd w:val="clear" w:color="auto" w:fill="auto"/>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否</w:t>
            </w:r>
          </w:p>
          <w:p w14:paraId="7B910C51">
            <w:pPr>
              <w:shd w:val="clear" w:color="auto" w:fill="auto"/>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是：</w:t>
            </w:r>
            <w:r>
              <w:rPr>
                <w:rFonts w:hint="default" w:ascii="Times New Roman" w:hAnsi="Times New Roman" w:cs="Times New Roman"/>
                <w:color w:val="auto"/>
                <w:sz w:val="24"/>
                <w:u w:val="single"/>
              </w:rPr>
              <w:t xml:space="preserve">                 </w:t>
            </w:r>
          </w:p>
        </w:tc>
        <w:tc>
          <w:tcPr>
            <w:tcW w:w="2014" w:type="dxa"/>
            <w:noWrap w:val="0"/>
            <w:tcMar>
              <w:top w:w="16" w:type="dxa"/>
              <w:left w:w="16" w:type="dxa"/>
              <w:right w:w="16" w:type="dxa"/>
            </w:tcMar>
            <w:vAlign w:val="center"/>
          </w:tcPr>
          <w:p w14:paraId="2CEE3068">
            <w:pPr>
              <w:shd w:val="clear" w:color="auto" w:fill="auto"/>
              <w:adjustRightInd w:val="0"/>
              <w:snapToGrid w:val="0"/>
              <w:jc w:val="center"/>
              <w:rPr>
                <w:rFonts w:hint="default" w:ascii="Times New Roman" w:hAnsi="Times New Roman" w:cs="Times New Roman"/>
                <w:color w:val="auto"/>
                <w:spacing w:val="-6"/>
                <w:sz w:val="24"/>
                <w:highlight w:val="none"/>
              </w:rPr>
            </w:pPr>
            <w:r>
              <w:rPr>
                <w:rFonts w:hint="default" w:ascii="Times New Roman" w:hAnsi="Times New Roman" w:cs="Times New Roman"/>
                <w:color w:val="auto"/>
                <w:spacing w:val="-6"/>
                <w:sz w:val="24"/>
                <w:highlight w:val="none"/>
              </w:rPr>
              <w:t>用地（用海）</w:t>
            </w:r>
          </w:p>
          <w:p w14:paraId="5515E50A">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pacing w:val="-6"/>
                <w:sz w:val="24"/>
                <w:highlight w:val="none"/>
              </w:rPr>
              <w:t>面积（m</w:t>
            </w:r>
            <w:r>
              <w:rPr>
                <w:rFonts w:hint="default" w:ascii="Times New Roman" w:hAnsi="Times New Roman" w:cs="Times New Roman"/>
                <w:color w:val="auto"/>
                <w:spacing w:val="-6"/>
                <w:sz w:val="24"/>
                <w:highlight w:val="none"/>
                <w:vertAlign w:val="superscript"/>
              </w:rPr>
              <w:t>2</w:t>
            </w:r>
            <w:r>
              <w:rPr>
                <w:rFonts w:hint="default" w:ascii="Times New Roman" w:hAnsi="Times New Roman" w:cs="Times New Roman"/>
                <w:color w:val="auto"/>
                <w:spacing w:val="-6"/>
                <w:sz w:val="24"/>
                <w:highlight w:val="none"/>
              </w:rPr>
              <w:t>）</w:t>
            </w:r>
          </w:p>
        </w:tc>
        <w:tc>
          <w:tcPr>
            <w:tcW w:w="3356" w:type="dxa"/>
            <w:noWrap w:val="0"/>
            <w:vAlign w:val="center"/>
          </w:tcPr>
          <w:p w14:paraId="468BC152">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w:t>
            </w:r>
          </w:p>
        </w:tc>
      </w:tr>
      <w:tr w14:paraId="2F279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874" w:type="dxa"/>
            <w:noWrap w:val="0"/>
            <w:tcMar>
              <w:top w:w="0" w:type="dxa"/>
              <w:left w:w="28" w:type="dxa"/>
              <w:bottom w:w="0" w:type="dxa"/>
              <w:right w:w="28" w:type="dxa"/>
            </w:tcMar>
            <w:vAlign w:val="center"/>
          </w:tcPr>
          <w:p w14:paraId="50A3279B">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spacing w:val="-11"/>
                <w:kern w:val="0"/>
                <w:sz w:val="24"/>
              </w:rPr>
              <w:t>专项评价设置情况</w:t>
            </w:r>
          </w:p>
        </w:tc>
        <w:tc>
          <w:tcPr>
            <w:tcW w:w="6996" w:type="dxa"/>
            <w:gridSpan w:val="3"/>
            <w:noWrap w:val="0"/>
            <w:vAlign w:val="center"/>
          </w:tcPr>
          <w:p w14:paraId="760D651F">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14:paraId="163C8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tcMar>
              <w:top w:w="0" w:type="dxa"/>
              <w:left w:w="28" w:type="dxa"/>
              <w:bottom w:w="0" w:type="dxa"/>
              <w:right w:w="28" w:type="dxa"/>
            </w:tcMar>
            <w:vAlign w:val="center"/>
          </w:tcPr>
          <w:p w14:paraId="0F753C56">
            <w:pPr>
              <w:keepNext w:val="0"/>
              <w:keepLines w:val="0"/>
              <w:pageBreakBefore w:val="0"/>
              <w:widowControl w:val="0"/>
              <w:shd w:val="clear" w:color="auto" w:fill="auto"/>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规划情况</w:t>
            </w:r>
          </w:p>
        </w:tc>
        <w:tc>
          <w:tcPr>
            <w:tcW w:w="6996" w:type="dxa"/>
            <w:gridSpan w:val="3"/>
            <w:noWrap w:val="0"/>
            <w:vAlign w:val="center"/>
          </w:tcPr>
          <w:p w14:paraId="08DDFCE1">
            <w:pPr>
              <w:keepNext w:val="0"/>
              <w:keepLines w:val="0"/>
              <w:pageBreakBefore w:val="0"/>
              <w:widowControl w:val="0"/>
              <w:shd w:val="clear" w:color="auto" w:fill="auto"/>
              <w:kinsoku/>
              <w:wordWrap/>
              <w:overflowPunct/>
              <w:topLinePunct w:val="0"/>
              <w:autoSpaceDE w:val="0"/>
              <w:autoSpaceDN w:val="0"/>
              <w:bidi w:val="0"/>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产业园区相关规划名称：河北石家庄矿区工业园区总体发展规划（2022-2030）</w:t>
            </w:r>
          </w:p>
          <w:p w14:paraId="36EA857B">
            <w:pPr>
              <w:keepNext w:val="0"/>
              <w:keepLines w:val="0"/>
              <w:pageBreakBefore w:val="0"/>
              <w:widowControl w:val="0"/>
              <w:shd w:val="clear" w:color="auto" w:fill="auto"/>
              <w:kinsoku/>
              <w:wordWrap/>
              <w:overflowPunct/>
              <w:topLinePunct w:val="0"/>
              <w:autoSpaceDE w:val="0"/>
              <w:autoSpaceDN w:val="0"/>
              <w:bidi w:val="0"/>
              <w:snapToGrid/>
              <w:spacing w:line="480" w:lineRule="exac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规划审批机关：石家庄市人民政府</w:t>
            </w:r>
          </w:p>
          <w:p w14:paraId="39522095">
            <w:pPr>
              <w:pStyle w:val="56"/>
              <w:keepNext w:val="0"/>
              <w:keepLines w:val="0"/>
              <w:pageBreakBefore w:val="0"/>
              <w:widowControl w:val="0"/>
              <w:shd w:val="clear" w:color="auto" w:fill="auto"/>
              <w:kinsoku/>
              <w:wordWrap/>
              <w:overflowPunct/>
              <w:topLinePunct w:val="0"/>
              <w:autoSpaceDE w:val="0"/>
              <w:autoSpaceDN w:val="0"/>
              <w:bidi w:val="0"/>
              <w:snapToGrid/>
              <w:spacing w:line="480" w:lineRule="exact"/>
              <w:ind w:left="0" w:leftChars="0" w:firstLine="0" w:firstLineChars="0"/>
              <w:jc w:val="left"/>
              <w:textAlignment w:val="auto"/>
              <w:rPr>
                <w:rFonts w:hint="default" w:ascii="Times New Roman" w:hAnsi="Times New Roman" w:cs="Times New Roman"/>
                <w:color w:val="auto"/>
              </w:rPr>
            </w:pPr>
          </w:p>
        </w:tc>
      </w:tr>
      <w:tr w14:paraId="1CC33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tcMar>
              <w:top w:w="0" w:type="dxa"/>
              <w:left w:w="28" w:type="dxa"/>
              <w:bottom w:w="0" w:type="dxa"/>
              <w:right w:w="28" w:type="dxa"/>
            </w:tcMar>
            <w:vAlign w:val="center"/>
          </w:tcPr>
          <w:p w14:paraId="67B5F436">
            <w:pPr>
              <w:keepNext w:val="0"/>
              <w:keepLines w:val="0"/>
              <w:pageBreakBefore w:val="0"/>
              <w:widowControl w:val="0"/>
              <w:shd w:val="clear" w:color="auto" w:fill="auto"/>
              <w:kinsoku/>
              <w:wordWrap/>
              <w:overflowPunct/>
              <w:topLinePunct w:val="0"/>
              <w:bidi w:val="0"/>
              <w:adjustRightInd w:val="0"/>
              <w:snapToGrid w:val="0"/>
              <w:spacing w:line="440" w:lineRule="exact"/>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规划环境影响评价情况</w:t>
            </w:r>
          </w:p>
        </w:tc>
        <w:tc>
          <w:tcPr>
            <w:tcW w:w="6996" w:type="dxa"/>
            <w:gridSpan w:val="3"/>
            <w:noWrap w:val="0"/>
            <w:vAlign w:val="center"/>
          </w:tcPr>
          <w:p w14:paraId="339D6845">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规划环境影响评价文件名称：《河北石家庄矿区工业园区总体发展规划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p>
          <w:p w14:paraId="48080BA8">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召集审查机关：河北省</w:t>
            </w:r>
            <w:r>
              <w:rPr>
                <w:rFonts w:hint="eastAsia" w:ascii="Times New Roman" w:hAnsi="Times New Roman" w:cs="Times New Roman"/>
                <w:color w:val="auto"/>
                <w:sz w:val="24"/>
                <w:lang w:val="en-US" w:eastAsia="zh-CN"/>
              </w:rPr>
              <w:t>生态环境</w:t>
            </w:r>
            <w:r>
              <w:rPr>
                <w:rFonts w:hint="default" w:ascii="Times New Roman" w:hAnsi="Times New Roman" w:cs="Times New Roman"/>
                <w:color w:val="auto"/>
                <w:sz w:val="24"/>
              </w:rPr>
              <w:t>厅</w:t>
            </w:r>
          </w:p>
          <w:p w14:paraId="76B6907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审查文件名称及文号：《关于河北石家庄矿区工业园区总体发展规划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r>
              <w:rPr>
                <w:rFonts w:hint="eastAsia" w:ascii="Times New Roman" w:hAnsi="Times New Roman" w:cs="Times New Roman"/>
                <w:color w:val="auto"/>
                <w:sz w:val="24"/>
                <w:lang w:val="en-US" w:eastAsia="zh-CN"/>
              </w:rPr>
              <w:t>的审查意见</w:t>
            </w:r>
            <w:r>
              <w:rPr>
                <w:rFonts w:hint="default" w:ascii="Times New Roman" w:hAnsi="Times New Roman" w:cs="Times New Roman"/>
                <w:color w:val="auto"/>
                <w:sz w:val="24"/>
              </w:rPr>
              <w:t>》（冀环</w:t>
            </w:r>
            <w:r>
              <w:rPr>
                <w:rFonts w:hint="eastAsia" w:ascii="Times New Roman" w:hAnsi="Times New Roman" w:cs="Times New Roman"/>
                <w:color w:val="auto"/>
                <w:sz w:val="24"/>
                <w:lang w:val="en-US" w:eastAsia="zh-CN"/>
              </w:rPr>
              <w:t>环</w:t>
            </w:r>
            <w:r>
              <w:rPr>
                <w:rFonts w:hint="default" w:ascii="Times New Roman" w:hAnsi="Times New Roman" w:cs="Times New Roman"/>
                <w:color w:val="auto"/>
                <w:sz w:val="24"/>
              </w:rPr>
              <w:t>评函[20</w:t>
            </w:r>
            <w:r>
              <w:rPr>
                <w:rFonts w:hint="eastAsia" w:ascii="Times New Roman" w:hAnsi="Times New Roman" w:cs="Times New Roman"/>
                <w:color w:val="auto"/>
                <w:sz w:val="24"/>
                <w:lang w:val="en-US" w:eastAsia="zh-CN"/>
              </w:rPr>
              <w:t>25</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318</w:t>
            </w:r>
            <w:r>
              <w:rPr>
                <w:rFonts w:hint="default" w:ascii="Times New Roman" w:hAnsi="Times New Roman" w:cs="Times New Roman"/>
                <w:color w:val="auto"/>
                <w:sz w:val="24"/>
              </w:rPr>
              <w:t>号）</w:t>
            </w:r>
          </w:p>
        </w:tc>
      </w:tr>
      <w:tr w14:paraId="4DEE8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vAlign w:val="center"/>
          </w:tcPr>
          <w:p w14:paraId="0C534AB1">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规划及规划环境影响评价符合性分析</w:t>
            </w:r>
          </w:p>
        </w:tc>
        <w:tc>
          <w:tcPr>
            <w:tcW w:w="6996" w:type="dxa"/>
            <w:gridSpan w:val="3"/>
            <w:noWrap w:val="0"/>
            <w:vAlign w:val="center"/>
          </w:tcPr>
          <w:p w14:paraId="7621FE7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kern w:val="0"/>
                <w:sz w:val="24"/>
                <w:lang w:val="en-US" w:eastAsia="zh-CN" w:bidi="ar"/>
              </w:rPr>
            </w:pPr>
            <w:r>
              <w:rPr>
                <w:rFonts w:hint="default" w:ascii="Times New Roman" w:hAnsi="Times New Roman" w:cs="Times New Roman"/>
                <w:b/>
                <w:bCs/>
                <w:color w:val="auto"/>
                <w:kern w:val="0"/>
                <w:sz w:val="24"/>
                <w:lang w:val="en-US" w:eastAsia="zh-CN" w:bidi="ar"/>
              </w:rPr>
              <w:t>1、规划符合性分析</w:t>
            </w:r>
          </w:p>
          <w:p w14:paraId="7B14B2B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本项目</w:t>
            </w:r>
            <w:r>
              <w:rPr>
                <w:rFonts w:hint="eastAsia" w:ascii="宋体" w:hAnsi="宋体" w:eastAsia="宋体" w:cs="宋体"/>
                <w:b w:val="0"/>
                <w:bCs w:val="0"/>
                <w:color w:val="auto"/>
                <w:sz w:val="24"/>
                <w:szCs w:val="24"/>
                <w:lang w:val="en-US" w:eastAsia="zh-CN"/>
              </w:rPr>
              <w:t>园区</w:t>
            </w:r>
            <w:r>
              <w:rPr>
                <w:rFonts w:ascii="宋体" w:hAnsi="宋体" w:eastAsia="宋体" w:cs="宋体"/>
                <w:b w:val="0"/>
                <w:bCs w:val="0"/>
                <w:color w:val="auto"/>
                <w:sz w:val="24"/>
                <w:szCs w:val="24"/>
              </w:rPr>
              <w:t>规划符合性分析情况见表</w:t>
            </w:r>
            <w:r>
              <w:rPr>
                <w:rFonts w:hint="default"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rPr>
              <w:t>1</w:t>
            </w:r>
            <w:r>
              <w:rPr>
                <w:rFonts w:ascii="宋体" w:hAnsi="宋体" w:eastAsia="宋体" w:cs="宋体"/>
                <w:b w:val="0"/>
                <w:bCs w:val="0"/>
                <w:color w:val="auto"/>
                <w:sz w:val="24"/>
                <w:szCs w:val="24"/>
              </w:rPr>
              <w:t xml:space="preserve">。 </w:t>
            </w:r>
          </w:p>
          <w:p w14:paraId="0202E52C">
            <w:pPr>
              <w:keepNext w:val="0"/>
              <w:keepLines w:val="0"/>
              <w:pageBreakBefore w:val="0"/>
              <w:widowControl/>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eastAsia" w:ascii="Times New Roman" w:hAnsi="Times New Roman" w:eastAsia="宋体" w:cs="Times New Roman"/>
                <w:b/>
                <w:bCs/>
                <w:color w:val="auto"/>
                <w:sz w:val="24"/>
                <w:szCs w:val="24"/>
                <w:lang w:val="en-US" w:eastAsia="zh-CN"/>
              </w:rPr>
              <w:t xml:space="preserve">1-1  </w:t>
            </w:r>
            <w:r>
              <w:rPr>
                <w:rFonts w:hint="default" w:ascii="Times New Roman" w:hAnsi="Times New Roman" w:eastAsia="宋体" w:cs="Times New Roman"/>
                <w:b/>
                <w:bCs/>
                <w:color w:val="auto"/>
                <w:sz w:val="24"/>
                <w:szCs w:val="24"/>
              </w:rPr>
              <w:t xml:space="preserve"> 本项目与</w:t>
            </w:r>
            <w:r>
              <w:rPr>
                <w:rFonts w:hint="eastAsia" w:ascii="Times New Roman" w:hAnsi="Times New Roman" w:eastAsia="宋体" w:cs="Times New Roman"/>
                <w:b/>
                <w:bCs/>
                <w:color w:val="auto"/>
                <w:sz w:val="24"/>
                <w:szCs w:val="24"/>
                <w:lang w:val="en-US" w:eastAsia="zh-CN"/>
              </w:rPr>
              <w:t>园区</w:t>
            </w:r>
            <w:r>
              <w:rPr>
                <w:rFonts w:hint="default" w:ascii="Times New Roman" w:hAnsi="Times New Roman" w:eastAsia="宋体" w:cs="Times New Roman"/>
                <w:b/>
                <w:bCs/>
                <w:color w:val="auto"/>
                <w:sz w:val="24"/>
                <w:szCs w:val="24"/>
              </w:rPr>
              <w:t>规划符合性分析结果一览表</w:t>
            </w:r>
          </w:p>
          <w:tbl>
            <w:tblPr>
              <w:tblStyle w:val="37"/>
              <w:tblW w:w="67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240"/>
              <w:gridCol w:w="4302"/>
              <w:gridCol w:w="1784"/>
              <w:gridCol w:w="463"/>
            </w:tblGrid>
            <w:tr w14:paraId="35D5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4636BD91">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序号</w:t>
                  </w:r>
                </w:p>
              </w:tc>
              <w:tc>
                <w:tcPr>
                  <w:tcW w:w="4302" w:type="dxa"/>
                  <w:noWrap w:val="0"/>
                  <w:vAlign w:val="center"/>
                </w:tcPr>
                <w:p w14:paraId="68FFB8BE">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内容</w:t>
                  </w:r>
                </w:p>
              </w:tc>
              <w:tc>
                <w:tcPr>
                  <w:tcW w:w="1784" w:type="dxa"/>
                  <w:noWrap w:val="0"/>
                  <w:vAlign w:val="center"/>
                </w:tcPr>
                <w:p w14:paraId="4B7466B1">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本项目</w:t>
                  </w:r>
                </w:p>
              </w:tc>
              <w:tc>
                <w:tcPr>
                  <w:tcW w:w="463" w:type="dxa"/>
                  <w:noWrap w:val="0"/>
                  <w:vAlign w:val="center"/>
                </w:tcPr>
                <w:p w14:paraId="6BFBD1F9">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符合性</w:t>
                  </w:r>
                </w:p>
              </w:tc>
            </w:tr>
            <w:tr w14:paraId="5370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4A5C8A88">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规划概况及产业定位</w:t>
                  </w:r>
                </w:p>
              </w:tc>
              <w:tc>
                <w:tcPr>
                  <w:tcW w:w="4302" w:type="dxa"/>
                  <w:noWrap w:val="0"/>
                  <w:vAlign w:val="center"/>
                </w:tcPr>
                <w:p w14:paraId="7501B4DD">
                  <w:pPr>
                    <w:pStyle w:val="11"/>
                    <w:shd w:val="clear" w:color="auto" w:fill="auto"/>
                    <w:spacing w:line="280" w:lineRule="exact"/>
                    <w:ind w:left="0"/>
                    <w:jc w:val="left"/>
                    <w:rPr>
                      <w:rFonts w:hint="default"/>
                      <w:color w:val="auto"/>
                    </w:rPr>
                  </w:pPr>
                  <w:r>
                    <w:rPr>
                      <w:rFonts w:hint="default"/>
                      <w:color w:val="auto"/>
                    </w:rPr>
                    <w:t>河北石家庄矿区工业园区总体发展规划（2022-2030）</w:t>
                  </w:r>
                  <w:r>
                    <w:rPr>
                      <w:rFonts w:hint="eastAsia"/>
                      <w:color w:val="auto"/>
                      <w:lang w:eastAsia="zh-CN"/>
                    </w:rPr>
                    <w:t>。将园区现有钢铁和水泥行业规模设置为产能上限：年产钢坯200万吨、年产钢材192万吨；年产水泥熟料240万吨，年产水泥151万吨。本版规划产业定位调整为以特钢上下游、高端装备制造、新材料为主导产业，着眼各主导产业全生命周期，大力发展循环经济。本次规划</w:t>
                  </w:r>
                  <w:r>
                    <w:rPr>
                      <w:rFonts w:hint="eastAsia"/>
                      <w:color w:val="auto"/>
                      <w:lang w:val="en-US" w:eastAsia="zh-CN"/>
                    </w:rPr>
                    <w:t>将园区分为</w:t>
                  </w:r>
                  <w:r>
                    <w:rPr>
                      <w:rFonts w:hint="eastAsia"/>
                      <w:color w:val="auto"/>
                      <w:lang w:eastAsia="zh-CN"/>
                    </w:rPr>
                    <w:t>石钢片区</w:t>
                  </w:r>
                  <w:r>
                    <w:rPr>
                      <w:rFonts w:hint="eastAsia"/>
                      <w:color w:val="auto"/>
                      <w:lang w:val="en-US" w:eastAsia="zh-CN"/>
                    </w:rPr>
                    <w:t>、</w:t>
                  </w:r>
                  <w:r>
                    <w:rPr>
                      <w:rFonts w:hint="eastAsia"/>
                      <w:color w:val="auto"/>
                      <w:lang w:eastAsia="zh-CN"/>
                    </w:rPr>
                    <w:t>天汇片区</w:t>
                  </w:r>
                  <w:r>
                    <w:rPr>
                      <w:rFonts w:hint="eastAsia"/>
                      <w:color w:val="auto"/>
                      <w:lang w:val="en-US" w:eastAsia="zh-CN"/>
                    </w:rPr>
                    <w:t>、</w:t>
                  </w:r>
                  <w:r>
                    <w:rPr>
                      <w:rFonts w:hint="eastAsia"/>
                      <w:color w:val="auto"/>
                      <w:lang w:eastAsia="zh-CN"/>
                    </w:rPr>
                    <w:t>丰达片区和融合片区</w:t>
                  </w:r>
                  <w:r>
                    <w:rPr>
                      <w:rFonts w:hint="eastAsia"/>
                      <w:color w:val="auto"/>
                      <w:lang w:val="en-US" w:eastAsia="zh-CN"/>
                    </w:rPr>
                    <w:t>四个园区；</w:t>
                  </w:r>
                  <w:r>
                    <w:rPr>
                      <w:rFonts w:hint="eastAsia"/>
                      <w:color w:val="auto"/>
                      <w:lang w:eastAsia="zh-CN"/>
                    </w:rPr>
                    <w:t>石钢片区重点依托石钢特钢项目，重点发展特钢棒材深加工、关键核心零部件等特种钢产业和通用零部件产业；天汇片区依托矿峰水泥，以发展新材料为主；丰达片区和融合片区重点布局发展高端装备制造产业。同时全面推进园区能源资源的梯级利用和系统优化，加强园区内产业循环耦合，推动园区各产业跨行业废旧资源综合利用融合发展、集聚发展，围绕各产业生产工艺以及配套公辅工程等环节产生的废旧资源进行回收利用，为特钢、高端装备制造、新材料等产业生产提供废钢资源、稀有金属辅配料、特钢材料等原材料，实现物质流循环，推动园区产业结构转型升级。</w:t>
                  </w:r>
                </w:p>
              </w:tc>
              <w:tc>
                <w:tcPr>
                  <w:tcW w:w="1784" w:type="dxa"/>
                  <w:noWrap w:val="0"/>
                  <w:vAlign w:val="center"/>
                </w:tcPr>
                <w:p w14:paraId="4D40DE0C">
                  <w:pPr>
                    <w:pStyle w:val="11"/>
                    <w:shd w:val="clear" w:color="auto" w:fill="auto"/>
                    <w:spacing w:line="280" w:lineRule="exact"/>
                    <w:ind w:left="0"/>
                    <w:jc w:val="center"/>
                    <w:rPr>
                      <w:rFonts w:hint="default" w:ascii="Times New Roman" w:hAnsi="Times New Roman" w:eastAsia="宋体" w:cs="Times New Roman"/>
                      <w:color w:val="auto"/>
                      <w:spacing w:val="-11"/>
                      <w:sz w:val="21"/>
                      <w:szCs w:val="21"/>
                      <w:lang w:val="en-US" w:eastAsia="zh-CN"/>
                    </w:rPr>
                  </w:pPr>
                  <w:r>
                    <w:rPr>
                      <w:rFonts w:hint="eastAsia"/>
                      <w:color w:val="auto"/>
                      <w:lang w:eastAsia="zh-CN"/>
                    </w:rPr>
                    <w:t>本项目位于石家庄矿区工业园区石钢片区，园区主导发展特钢上下游、新材料产业。河北鸿科碳素碳素制品属于新材料配套产业，项目仅新增备用磨粉机，不新增产能，不突破园区钢铁、水泥产能上限；项目产品可服务片区特钢产业，契合园区循环经济、产业耦合发展导向，符合园区总体发展规划要求</w:t>
                  </w:r>
                  <w:r>
                    <w:rPr>
                      <w:rFonts w:hint="eastAsia"/>
                      <w:color w:val="auto"/>
                      <w:lang w:val="en-US" w:eastAsia="zh-CN"/>
                    </w:rPr>
                    <w:t>，符合</w:t>
                  </w:r>
                  <w:r>
                    <w:rPr>
                      <w:rFonts w:hint="eastAsia"/>
                      <w:color w:val="auto"/>
                      <w:lang w:eastAsia="zh-CN"/>
                    </w:rPr>
                    <w:t>园区能源资源的梯级利用</w:t>
                  </w:r>
                  <w:r>
                    <w:rPr>
                      <w:rFonts w:hint="eastAsia"/>
                      <w:color w:val="auto"/>
                      <w:lang w:val="en-US" w:eastAsia="zh-CN"/>
                    </w:rPr>
                    <w:t>要求</w:t>
                  </w:r>
                  <w:r>
                    <w:rPr>
                      <w:rFonts w:hint="eastAsia" w:ascii="Times New Roman" w:hAnsi="Times New Roman" w:cs="Times New Roman"/>
                      <w:color w:val="auto"/>
                      <w:spacing w:val="-11"/>
                      <w:sz w:val="21"/>
                      <w:szCs w:val="21"/>
                      <w:highlight w:val="none"/>
                      <w:lang w:val="en-US" w:eastAsia="zh-CN"/>
                    </w:rPr>
                    <w:t>。</w:t>
                  </w:r>
                </w:p>
              </w:tc>
              <w:tc>
                <w:tcPr>
                  <w:tcW w:w="463" w:type="dxa"/>
                  <w:noWrap w:val="0"/>
                  <w:vAlign w:val="center"/>
                </w:tcPr>
                <w:p w14:paraId="643F5647">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符合</w:t>
                  </w:r>
                </w:p>
              </w:tc>
            </w:tr>
            <w:tr w14:paraId="4203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0259A73D">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用地布局</w:t>
                  </w:r>
                </w:p>
              </w:tc>
              <w:tc>
                <w:tcPr>
                  <w:tcW w:w="4302" w:type="dxa"/>
                  <w:noWrap w:val="0"/>
                  <w:vAlign w:val="center"/>
                </w:tcPr>
                <w:p w14:paraId="43B3FAFA">
                  <w:pPr>
                    <w:pStyle w:val="11"/>
                    <w:shd w:val="clear" w:color="auto" w:fill="auto"/>
                    <w:spacing w:line="280" w:lineRule="exact"/>
                    <w:ind w:left="0"/>
                    <w:jc w:val="left"/>
                    <w:rPr>
                      <w:rFonts w:hint="eastAsia"/>
                      <w:color w:val="auto"/>
                      <w:lang w:eastAsia="zh-CN"/>
                    </w:rPr>
                  </w:pPr>
                  <w:r>
                    <w:rPr>
                      <w:rFonts w:hint="default"/>
                      <w:color w:val="auto"/>
                    </w:rPr>
                    <w:t>河北石家庄矿区工业园区总体发展规划（2022-2030）</w:t>
                  </w:r>
                  <w:r>
                    <w:rPr>
                      <w:rFonts w:hint="eastAsia"/>
                      <w:color w:val="auto"/>
                      <w:lang w:eastAsia="zh-CN"/>
                    </w:rPr>
                    <w:t>，</w:t>
                  </w:r>
                  <w:r>
                    <w:rPr>
                      <w:rFonts w:hint="eastAsia"/>
                      <w:color w:val="auto"/>
                      <w:lang w:val="en-US" w:eastAsia="zh-CN"/>
                    </w:rPr>
                    <w:t>规划</w:t>
                  </w:r>
                  <w:r>
                    <w:rPr>
                      <w:rFonts w:hint="eastAsia"/>
                      <w:color w:val="auto"/>
                      <w:lang w:eastAsia="zh-CN"/>
                    </w:rPr>
                    <w:t>总面积1775.19公顷，其中城镇开发边界内用地1224.03公顷，城镇开发边界外用地551.16公顷。</w:t>
                  </w:r>
                </w:p>
                <w:p w14:paraId="2593DB85">
                  <w:pPr>
                    <w:pStyle w:val="11"/>
                    <w:shd w:val="clear" w:color="auto" w:fill="auto"/>
                    <w:spacing w:line="280" w:lineRule="exact"/>
                    <w:ind w:left="0"/>
                    <w:jc w:val="left"/>
                    <w:rPr>
                      <w:rFonts w:hint="eastAsia"/>
                      <w:color w:val="auto"/>
                      <w:lang w:eastAsia="zh-CN"/>
                    </w:rPr>
                  </w:pPr>
                  <w:r>
                    <w:rPr>
                      <w:rFonts w:hint="eastAsia"/>
                      <w:color w:val="auto"/>
                      <w:lang w:eastAsia="zh-CN"/>
                    </w:rPr>
                    <w:t>石钢片区：东至南寨村、新王舍村及西岗头社区西侧，南至世纪大道、张家井村北侧，西至西环旅游路，北至西四排，规划面积880.52公顷，其中城镇开发边界内683.68公顷，城镇开发边界外用地196.84公顷。本次规划范围在省政府批复范围836公顷的基础上外延44.52公顷。</w:t>
                  </w:r>
                </w:p>
                <w:p w14:paraId="338674D7">
                  <w:pPr>
                    <w:pStyle w:val="11"/>
                    <w:shd w:val="clear" w:color="auto" w:fill="auto"/>
                    <w:spacing w:line="280" w:lineRule="exact"/>
                    <w:ind w:left="0"/>
                    <w:jc w:val="left"/>
                    <w:rPr>
                      <w:rFonts w:hint="eastAsia"/>
                      <w:color w:val="auto"/>
                      <w:lang w:eastAsia="zh-CN"/>
                    </w:rPr>
                  </w:pPr>
                  <w:r>
                    <w:rPr>
                      <w:rFonts w:hint="eastAsia"/>
                      <w:color w:val="auto"/>
                      <w:lang w:eastAsia="zh-CN"/>
                    </w:rPr>
                    <w:t>天汇片区：东至矿区垃圾填埋场西侧，南至冯家沟村北侧，西至南寨村东侧、南寨水库西侧，北至峰矿水泥厂采石场，规划面积184.13公顷，其中城镇开发边界内116.67公顷，城镇开发边界外用地67.46公顷。本次规划范围在省政府批复范围180公顷的基础上外延4.13公顷，外延部分全部在城镇开发边界内。</w:t>
                  </w:r>
                </w:p>
                <w:p w14:paraId="02DF28A1">
                  <w:pPr>
                    <w:pStyle w:val="11"/>
                    <w:shd w:val="clear" w:color="auto" w:fill="auto"/>
                    <w:spacing w:line="280" w:lineRule="exact"/>
                    <w:ind w:left="0"/>
                    <w:jc w:val="left"/>
                    <w:rPr>
                      <w:rFonts w:hint="eastAsia"/>
                      <w:color w:val="auto"/>
                      <w:lang w:eastAsia="zh-CN"/>
                    </w:rPr>
                  </w:pPr>
                  <w:r>
                    <w:rPr>
                      <w:rFonts w:hint="eastAsia"/>
                      <w:color w:val="auto"/>
                      <w:lang w:eastAsia="zh-CN"/>
                    </w:rPr>
                    <w:t>丰达片区：东至冶金新材料装备产业园，南至秋树坡村北侧，西至赵村店东侧及古桥北街，北至赵村铺南侧，规划面积210.23公顷，其中城镇开发边界内141.87公顷，城镇开发边界外用地68.36公顷。本次规划范围在省政府批复范围133公顷的基础上外延77.23公顷。</w:t>
                  </w:r>
                </w:p>
                <w:p w14:paraId="51C56BB8">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eastAsia"/>
                      <w:color w:val="auto"/>
                      <w:lang w:eastAsia="zh-CN"/>
                    </w:rPr>
                    <w:t>融合片区分为一区和二区：一区东至绵左支渠东侧，南至贾天公路南侧，西至红星路西侧，北至北清线，规划面积409.51公顷，其中城镇开发边界内240.37公顷，城镇开发边界外用地169.14公顷。本次规划范围在省政府批复范围405公顷的基础上外延4.51公顷，外延部分全部在城镇开发边界内。二区东至西南正村西侧，南至井矿快速路北侧，西至青泉村东侧，北至北清线、古桥南街，规划面积71.16公顷，与省政府批复范围一致，其中城镇开发边界内21.80公顷，城镇开发边界外用地49.36公顷。</w:t>
                  </w:r>
                </w:p>
              </w:tc>
              <w:tc>
                <w:tcPr>
                  <w:tcW w:w="1784" w:type="dxa"/>
                  <w:noWrap w:val="0"/>
                  <w:vAlign w:val="center"/>
                </w:tcPr>
                <w:p w14:paraId="1D7DC2D6">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根据工业园区规划图可知，项目用地为三类工业用地，</w:t>
                  </w:r>
                  <w:r>
                    <w:rPr>
                      <w:rFonts w:hint="eastAsia" w:ascii="Times New Roman" w:hAnsi="Times New Roman" w:eastAsia="宋体" w:cs="Times New Roman"/>
                      <w:color w:val="auto"/>
                      <w:spacing w:val="-11"/>
                      <w:sz w:val="21"/>
                      <w:szCs w:val="21"/>
                      <w:lang w:val="en-US" w:eastAsia="zh-CN"/>
                    </w:rPr>
                    <w:t>公司选址符合井陉矿区总体规划，项目为技改项目，不新增占地，因此，项目符合规划要求</w:t>
                  </w:r>
                  <w:r>
                    <w:rPr>
                      <w:rFonts w:hint="default" w:ascii="Times New Roman" w:hAnsi="Times New Roman" w:eastAsia="宋体" w:cs="Times New Roman"/>
                      <w:color w:val="auto"/>
                      <w:spacing w:val="-11"/>
                      <w:sz w:val="21"/>
                      <w:szCs w:val="21"/>
                    </w:rPr>
                    <w:t>。</w:t>
                  </w:r>
                </w:p>
              </w:tc>
              <w:tc>
                <w:tcPr>
                  <w:tcW w:w="463" w:type="dxa"/>
                  <w:noWrap w:val="0"/>
                  <w:vAlign w:val="center"/>
                </w:tcPr>
                <w:p w14:paraId="1CFD1F3C">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3EEF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13F4DCE7">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rPr>
                    <w:t>给水规划</w:t>
                  </w:r>
                </w:p>
              </w:tc>
              <w:tc>
                <w:tcPr>
                  <w:tcW w:w="4302" w:type="dxa"/>
                  <w:noWrap w:val="0"/>
                  <w:vAlign w:val="center"/>
                </w:tcPr>
                <w:p w14:paraId="0417D9FF">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规划园区水源以地表水和再生水为主，地下水作为紧急备用水源。园区的用水结构为地表水优先供应生活用水；再生水优先供应石钢公司工业用水，其次供应其他企业工业用水、景观用水、浇洒道路、市政用水。</w:t>
                  </w:r>
                </w:p>
                <w:p w14:paraId="214608EA">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矿区白彪水厂，近期规模2.0万立方米/日，远期规模达到4.5万立方米/日，占地2.03公顷。规划在南寨水库东侧新建南寨水厂，水源为地表水，供水规模为2.00万立方米/日，占地1.71公顷。规划保留2座再生水厂，其中矿区再生水厂位于城区东南侧，设计规模为2万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/d；贾庄再生水厂位于石钢片区北侧，设计规模为1500m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/d，可满足园区乃至整个矿区的工业用水和生活用水。</w:t>
                  </w:r>
                </w:p>
              </w:tc>
              <w:tc>
                <w:tcPr>
                  <w:tcW w:w="1784" w:type="dxa"/>
                  <w:noWrap w:val="0"/>
                  <w:vAlign w:val="center"/>
                </w:tcPr>
                <w:p w14:paraId="0AA96B08">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不新增用水</w:t>
                  </w:r>
                  <w:r>
                    <w:rPr>
                      <w:rFonts w:hint="default" w:ascii="Times New Roman" w:hAnsi="Times New Roman" w:eastAsia="宋体" w:cs="Times New Roman"/>
                      <w:color w:val="auto"/>
                      <w:spacing w:val="-11"/>
                      <w:sz w:val="21"/>
                      <w:szCs w:val="21"/>
                    </w:rPr>
                    <w:t>。</w:t>
                  </w:r>
                </w:p>
              </w:tc>
              <w:tc>
                <w:tcPr>
                  <w:tcW w:w="463" w:type="dxa"/>
                  <w:noWrap w:val="0"/>
                  <w:vAlign w:val="center"/>
                </w:tcPr>
                <w:p w14:paraId="4FCECA4D">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1BC7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23C9CAC3">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排水规划</w:t>
                  </w:r>
                </w:p>
              </w:tc>
              <w:tc>
                <w:tcPr>
                  <w:tcW w:w="4302" w:type="dxa"/>
                  <w:noWrap w:val="0"/>
                  <w:vAlign w:val="center"/>
                </w:tcPr>
                <w:p w14:paraId="650FC623">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①</w:t>
                  </w:r>
                  <w:r>
                    <w:rPr>
                      <w:rFonts w:hint="eastAsia" w:ascii="Times New Roman" w:hAnsi="Times New Roman" w:eastAsia="宋体" w:cs="Times New Roman"/>
                      <w:color w:val="auto"/>
                      <w:spacing w:val="-11"/>
                      <w:sz w:val="21"/>
                      <w:szCs w:val="21"/>
                      <w:lang w:val="en-US" w:eastAsia="zh-CN"/>
                    </w:rPr>
                    <w:t>污水工程</w:t>
                  </w:r>
                </w:p>
                <w:p w14:paraId="5CBDEC8E">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排水体制采用雨污分流制。遵守水源保护地准保护区政策，生产污水处理采用企业自行处理方式，实现生产污水处理零排放，后期对企业进行跟踪，严令禁止排放污水。生活污水由污水管道排入矿区绿洁污水处理厂和贾庄污水处理厂。</w:t>
                  </w:r>
                </w:p>
                <w:p w14:paraId="6AA571C8">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矿区绿洁污水处理厂位于城区东南侧，设计规模为2万 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/d；贾庄污水处理厂位于石钢片区北侧，设计规模为 1500m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/d。污水处理厂出水达到国家《城镇污水处理厂污染物排放标准》中一级标准中A标准，为节约用水，污水</w:t>
                  </w:r>
                  <w:r>
                    <w:rPr>
                      <w:rFonts w:hint="eastAsia" w:cs="Times New Roman"/>
                      <w:color w:val="auto"/>
                      <w:spacing w:val="-11"/>
                      <w:sz w:val="21"/>
                      <w:szCs w:val="21"/>
                      <w:lang w:val="en-US" w:eastAsia="zh-CN"/>
                    </w:rPr>
                    <w:t>处理</w:t>
                  </w:r>
                  <w:r>
                    <w:rPr>
                      <w:rFonts w:hint="default" w:ascii="Times New Roman" w:hAnsi="Times New Roman" w:eastAsia="宋体" w:cs="Times New Roman"/>
                      <w:color w:val="auto"/>
                      <w:spacing w:val="-11"/>
                      <w:sz w:val="21"/>
                      <w:szCs w:val="21"/>
                    </w:rPr>
                    <w:t>厂处理后的中水主要用于工业普通用水、城市道路喷洒、洗车、绿化</w:t>
                  </w:r>
                  <w:bookmarkStart w:id="8" w:name="_GoBack"/>
                  <w:bookmarkEnd w:id="8"/>
                  <w:r>
                    <w:rPr>
                      <w:rFonts w:hint="default" w:ascii="Times New Roman" w:hAnsi="Times New Roman" w:eastAsia="宋体" w:cs="Times New Roman"/>
                      <w:color w:val="auto"/>
                      <w:spacing w:val="-11"/>
                      <w:sz w:val="21"/>
                      <w:szCs w:val="21"/>
                    </w:rPr>
                    <w:t>、景观用水等。</w:t>
                  </w:r>
                </w:p>
                <w:p w14:paraId="3E52193B">
                  <w:pP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②雨水管网</w:t>
                  </w:r>
                </w:p>
                <w:p w14:paraId="44BA6D48">
                  <w:pP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石钢片区：石钢片区分为四个雨水片区，北部片区雨水经过道路及边沟收集，就近排入红星水库和小作河；西部片区雨水经道路及边沟收集后沿西环旅游路、工业大道、石钢路排入排洪沟；东部片区雨水经道路及边沟收集后沿贾凤路、工业大道、纬一路等排入清凉湾湿地公园；南部片区雨水收集后沿世纪大道、贾凤路排入南侧的杏花沟生态公园。天汇片区：天汇片区用地布局紧凑，规划统一为一个雨水片区，雨水经过道路及边沟收集，向南排入排洪沟，沿排洪沟最终排入清凉湾湿地公园。丰达片区：丰达片区规划为两个雨水片区，北部片区雨水经道路及边沟收集后，沿丰达路排入排洪沟，沿排洪沟向南排入长岗沟；南部片区雨水经道路收集后，沿关圣路、刘赵街排入长岗沟。融合片区：一区以凤山镇区为界将片区分为东西两个雨水片区，东部片区雨水收集后沿贾天公路、矿市北街、矿市南街、金川路排至杏花沟生态公园；中部片区雨水收集后沿贾天公路、西环旅游路、云凤路排入凤山镇排水系统；西部片区雨水收集后沿贾凤路排至杏花沟生态公园。二区规划统一为一个雨水片区，雨水经道路及边沟收集后，沿红房街、金川路、凤中路、贾凤路排至古桥南街排洪沟，沿排洪沟排入东侧长岗沟。</w:t>
                  </w:r>
                </w:p>
              </w:tc>
              <w:tc>
                <w:tcPr>
                  <w:tcW w:w="1784" w:type="dxa"/>
                  <w:noWrap w:val="0"/>
                  <w:vAlign w:val="center"/>
                </w:tcPr>
                <w:p w14:paraId="697612BE">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无新增废水产生</w:t>
                  </w:r>
                  <w:r>
                    <w:rPr>
                      <w:rFonts w:hint="default" w:ascii="Times New Roman" w:hAnsi="Times New Roman" w:eastAsia="宋体" w:cs="Times New Roman"/>
                      <w:color w:val="auto"/>
                      <w:spacing w:val="-11"/>
                      <w:sz w:val="21"/>
                      <w:szCs w:val="21"/>
                    </w:rPr>
                    <w:t>。</w:t>
                  </w:r>
                </w:p>
              </w:tc>
              <w:tc>
                <w:tcPr>
                  <w:tcW w:w="463" w:type="dxa"/>
                  <w:noWrap w:val="0"/>
                  <w:vAlign w:val="center"/>
                </w:tcPr>
                <w:p w14:paraId="218D6E69">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1A5D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5EFD5190">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供热规划</w:t>
                  </w:r>
                </w:p>
              </w:tc>
              <w:tc>
                <w:tcPr>
                  <w:tcW w:w="4302" w:type="dxa"/>
                  <w:noWrap w:val="0"/>
                  <w:vAlign w:val="center"/>
                </w:tcPr>
                <w:p w14:paraId="776DE211">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根据生产特点，钢铁企业生产用热可自身解决；装备制造行业中的中频炉熔融、退火、烘干等工序用热使用电或天然气，采暖也通过自身生产余热供给；在无法实施集中供热的区域，积极采用太阳能、地热、电能、天然气等多种环保型供热方式。本次规划不再规划集中供热设施，园区企业根据行业特点充分利用生产余热为主力热源，天然气、电能等清洁能源为补充，远期视园区发展情况而定。</w:t>
                  </w:r>
                </w:p>
              </w:tc>
              <w:tc>
                <w:tcPr>
                  <w:tcW w:w="1784" w:type="dxa"/>
                  <w:noWrap w:val="0"/>
                  <w:vAlign w:val="center"/>
                </w:tcPr>
                <w:p w14:paraId="2867A52A">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项</w:t>
                  </w:r>
                  <w:r>
                    <w:rPr>
                      <w:rFonts w:hint="default" w:ascii="Times New Roman" w:hAnsi="Times New Roman" w:eastAsia="宋体" w:cs="Times New Roman"/>
                      <w:color w:val="auto"/>
                      <w:spacing w:val="-11"/>
                      <w:sz w:val="21"/>
                      <w:szCs w:val="21"/>
                      <w:highlight w:val="none"/>
                    </w:rPr>
                    <w:t>目生产无需用热，不新增燃煤设施，满足项目需求。</w:t>
                  </w:r>
                </w:p>
              </w:tc>
              <w:tc>
                <w:tcPr>
                  <w:tcW w:w="463" w:type="dxa"/>
                  <w:noWrap w:val="0"/>
                  <w:vAlign w:val="center"/>
                </w:tcPr>
                <w:p w14:paraId="495B6452">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30DE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508A9816">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电力规划</w:t>
                  </w:r>
                </w:p>
              </w:tc>
              <w:tc>
                <w:tcPr>
                  <w:tcW w:w="4302" w:type="dxa"/>
                  <w:noWrap w:val="0"/>
                  <w:vAlign w:val="center"/>
                </w:tcPr>
                <w:p w14:paraId="0A5C2D06">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期末，园区年负荷预测为139.10MW。1.220kv变电站建设保留现状园区井矿220kV变电站。2.110kv变电站建设规划新增110千伏凤凰站一座，位于南区西南侧，规模为150MVA，占地0.52公顷。扩建升级现状35千伏洪州站为110千伏站，规模为100MVA，占地0.62公顷。保留现状110kv王舍、西王、清泉变电站。</w:t>
                  </w:r>
                </w:p>
              </w:tc>
              <w:tc>
                <w:tcPr>
                  <w:tcW w:w="1784" w:type="dxa"/>
                  <w:noWrap w:val="0"/>
                  <w:vAlign w:val="center"/>
                </w:tcPr>
                <w:p w14:paraId="5706DDAE">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用电量较小，</w:t>
                  </w:r>
                  <w:r>
                    <w:rPr>
                      <w:rFonts w:hint="default" w:ascii="Times New Roman" w:hAnsi="Times New Roman" w:eastAsia="宋体" w:cs="Times New Roman"/>
                      <w:color w:val="auto"/>
                      <w:spacing w:val="-11"/>
                      <w:sz w:val="21"/>
                      <w:szCs w:val="21"/>
                    </w:rPr>
                    <w:t>用电由园区供电系统供给，满足项目需求。</w:t>
                  </w:r>
                </w:p>
              </w:tc>
              <w:tc>
                <w:tcPr>
                  <w:tcW w:w="463" w:type="dxa"/>
                  <w:noWrap w:val="0"/>
                  <w:vAlign w:val="center"/>
                </w:tcPr>
                <w:p w14:paraId="0A68EDC6">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4611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23C0637F">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燃气规划</w:t>
                  </w:r>
                </w:p>
              </w:tc>
              <w:tc>
                <w:tcPr>
                  <w:tcW w:w="4302" w:type="dxa"/>
                  <w:noWrap w:val="0"/>
                  <w:vAlign w:val="center"/>
                </w:tcPr>
                <w:p w14:paraId="55F860D2">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远期园区年平均日用气量为79.5万标准立方米。根据矿区国土空间总体规划，保留现状矿区门站，续建贾庄门站，规模为12万m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h。加强应急储气保障，规划结合贾庄门站新建LNG储配站1座。保留现状南石门分输站－贾庄门站、井陉门站-矿区门站高压管线；保留现状矿区门站，续建贾庄门站，规模12万方/时。加强应急储气保障，规划结合贾庄门站新建LNG储配站1座。加强高压输气线路安全防护管控，为燃气资源输配提供通道。</w:t>
                  </w:r>
                </w:p>
              </w:tc>
              <w:tc>
                <w:tcPr>
                  <w:tcW w:w="1784" w:type="dxa"/>
                  <w:noWrap w:val="0"/>
                  <w:vAlign w:val="center"/>
                </w:tcPr>
                <w:p w14:paraId="4548E757">
                  <w:pPr>
                    <w:pStyle w:val="11"/>
                    <w:shd w:val="clear" w:color="auto" w:fill="auto"/>
                    <w:spacing w:line="280" w:lineRule="exact"/>
                    <w:ind w:lef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highlight w:val="none"/>
                      <w:lang w:val="en-US" w:eastAsia="zh-CN"/>
                    </w:rPr>
                    <w:t>生产</w:t>
                  </w:r>
                  <w:r>
                    <w:rPr>
                      <w:rFonts w:hint="eastAsia" w:cs="Times New Roman"/>
                      <w:color w:val="auto"/>
                      <w:spacing w:val="-11"/>
                      <w:sz w:val="21"/>
                      <w:szCs w:val="21"/>
                      <w:highlight w:val="none"/>
                      <w:lang w:val="en-US" w:eastAsia="zh-CN"/>
                    </w:rPr>
                    <w:t>不涉及</w:t>
                  </w:r>
                  <w:r>
                    <w:rPr>
                      <w:rFonts w:hint="eastAsia" w:ascii="Times New Roman" w:hAnsi="Times New Roman" w:eastAsia="宋体" w:cs="Times New Roman"/>
                      <w:color w:val="auto"/>
                      <w:spacing w:val="-11"/>
                      <w:sz w:val="21"/>
                      <w:szCs w:val="21"/>
                      <w:highlight w:val="none"/>
                      <w:lang w:val="en-US" w:eastAsia="zh-CN"/>
                    </w:rPr>
                    <w:t>使用燃气</w:t>
                  </w:r>
                </w:p>
              </w:tc>
              <w:tc>
                <w:tcPr>
                  <w:tcW w:w="463" w:type="dxa"/>
                  <w:noWrap w:val="0"/>
                  <w:vAlign w:val="center"/>
                </w:tcPr>
                <w:p w14:paraId="33651EFA">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bl>
          <w:p w14:paraId="58D170F1">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2、</w:t>
            </w:r>
            <w:r>
              <w:rPr>
                <w:rFonts w:hint="default" w:ascii="Times New Roman" w:hAnsi="Times New Roman" w:cs="Times New Roman"/>
                <w:b/>
                <w:bCs/>
                <w:color w:val="auto"/>
                <w:sz w:val="24"/>
              </w:rPr>
              <w:t>园区环境准入及负面清单</w:t>
            </w:r>
            <w:r>
              <w:rPr>
                <w:rFonts w:hint="eastAsia" w:ascii="Times New Roman" w:hAnsi="Times New Roman" w:cs="Times New Roman"/>
                <w:b/>
                <w:bCs/>
                <w:color w:val="auto"/>
                <w:sz w:val="24"/>
                <w:lang w:val="en-US" w:eastAsia="zh-CN"/>
              </w:rPr>
              <w:t>符合性分析</w:t>
            </w:r>
          </w:p>
          <w:p w14:paraId="220C8F9D">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园区环境准入及负面清单符合性分析见表</w:t>
            </w:r>
            <w:r>
              <w:rPr>
                <w:rFonts w:hint="default" w:ascii="Times New Roman" w:hAnsi="Times New Roman" w:cs="Times New Roman"/>
                <w:color w:val="auto"/>
                <w:sz w:val="24"/>
                <w:lang w:val="en-US" w:eastAsia="zh-CN"/>
              </w:rPr>
              <w:t>1-</w:t>
            </w:r>
            <w:r>
              <w:rPr>
                <w:rFonts w:hint="eastAsia" w:ascii="Times New Roman" w:hAnsi="Times New Roman" w:cs="Times New Roman"/>
                <w:color w:val="auto"/>
                <w:sz w:val="24"/>
                <w:lang w:val="en-US" w:eastAsia="zh-CN"/>
              </w:rPr>
              <w:t>2、表1-3</w:t>
            </w:r>
            <w:r>
              <w:rPr>
                <w:rFonts w:hint="default" w:ascii="Times New Roman" w:hAnsi="Times New Roman" w:cs="Times New Roman"/>
                <w:color w:val="auto"/>
                <w:sz w:val="24"/>
              </w:rPr>
              <w:t>。</w:t>
            </w:r>
          </w:p>
          <w:p w14:paraId="31A7FED6">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color w:val="auto"/>
                <w:sz w:val="24"/>
              </w:rPr>
            </w:pPr>
          </w:p>
          <w:p w14:paraId="5AB5AF9A">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w:t>
            </w:r>
            <w:r>
              <w:rPr>
                <w:rFonts w:hint="default" w:ascii="Times New Roman" w:hAnsi="Times New Roman" w:eastAsia="宋体" w:cs="Times New Roman"/>
                <w:b/>
                <w:bCs/>
                <w:color w:val="auto"/>
                <w:spacing w:val="-20"/>
                <w:sz w:val="24"/>
              </w:rPr>
              <w:t>项目与</w:t>
            </w:r>
            <w:r>
              <w:rPr>
                <w:rFonts w:hint="eastAsia" w:ascii="Times New Roman" w:hAnsi="Times New Roman" w:eastAsia="宋体" w:cs="Times New Roman"/>
                <w:b/>
                <w:bCs/>
                <w:color w:val="auto"/>
                <w:spacing w:val="-20"/>
                <w:sz w:val="24"/>
                <w:lang w:val="en-US" w:eastAsia="zh-CN"/>
              </w:rPr>
              <w:t>园</w:t>
            </w:r>
            <w:r>
              <w:rPr>
                <w:rFonts w:hint="default" w:ascii="Times New Roman" w:hAnsi="Times New Roman" w:eastAsia="宋体" w:cs="Times New Roman"/>
                <w:b/>
                <w:bCs/>
                <w:color w:val="auto"/>
                <w:spacing w:val="-20"/>
                <w:sz w:val="24"/>
              </w:rPr>
              <w:t>区石钢片区生态环境准入清单符合性分析一览表</w:t>
            </w:r>
          </w:p>
          <w:tbl>
            <w:tblPr>
              <w:tblStyle w:val="3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264"/>
              <w:gridCol w:w="4499"/>
              <w:gridCol w:w="1742"/>
            </w:tblGrid>
            <w:tr w14:paraId="253C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gridSpan w:val="2"/>
                  <w:noWrap w:val="0"/>
                  <w:tcMar>
                    <w:top w:w="0" w:type="dxa"/>
                    <w:left w:w="28" w:type="dxa"/>
                    <w:bottom w:w="0" w:type="dxa"/>
                    <w:right w:w="28" w:type="dxa"/>
                  </w:tcMar>
                  <w:vAlign w:val="top"/>
                </w:tcPr>
                <w:p w14:paraId="5CC3150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清单类型</w:t>
                  </w:r>
                </w:p>
              </w:tc>
              <w:tc>
                <w:tcPr>
                  <w:tcW w:w="3323" w:type="pct"/>
                  <w:noWrap w:val="0"/>
                  <w:tcMar>
                    <w:top w:w="0" w:type="dxa"/>
                    <w:left w:w="28" w:type="dxa"/>
                    <w:bottom w:w="0" w:type="dxa"/>
                    <w:right w:w="28" w:type="dxa"/>
                  </w:tcMar>
                  <w:vAlign w:val="center"/>
                </w:tcPr>
                <w:p w14:paraId="19D8BF3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eastAsia="宋体"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准入要求</w:t>
                  </w:r>
                </w:p>
              </w:tc>
              <w:tc>
                <w:tcPr>
                  <w:tcW w:w="1286" w:type="pct"/>
                  <w:noWrap w:val="0"/>
                  <w:tcMar>
                    <w:top w:w="0" w:type="dxa"/>
                    <w:left w:w="28" w:type="dxa"/>
                    <w:bottom w:w="0" w:type="dxa"/>
                    <w:right w:w="28" w:type="dxa"/>
                  </w:tcMar>
                  <w:vAlign w:val="center"/>
                </w:tcPr>
                <w:p w14:paraId="732D330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highlight w:val="none"/>
                    </w:rPr>
                  </w:pPr>
                  <w:r>
                    <w:rPr>
                      <w:rFonts w:hint="default" w:ascii="Times New Roman" w:hAnsi="Times New Roman" w:cs="Times New Roman"/>
                      <w:snapToGrid w:val="0"/>
                      <w:color w:val="auto"/>
                      <w:sz w:val="21"/>
                      <w:szCs w:val="21"/>
                      <w:highlight w:val="none"/>
                    </w:rPr>
                    <w:t>符合性</w:t>
                  </w:r>
                </w:p>
              </w:tc>
            </w:tr>
            <w:tr w14:paraId="45EC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gridSpan w:val="2"/>
                  <w:noWrap w:val="0"/>
                  <w:tcMar>
                    <w:top w:w="0" w:type="dxa"/>
                    <w:left w:w="28" w:type="dxa"/>
                    <w:bottom w:w="0" w:type="dxa"/>
                    <w:right w:w="28" w:type="dxa"/>
                  </w:tcMar>
                  <w:vAlign w:val="center"/>
                </w:tcPr>
                <w:p w14:paraId="65EB738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全市总体要求*</w:t>
                  </w:r>
                </w:p>
              </w:tc>
              <w:tc>
                <w:tcPr>
                  <w:tcW w:w="3323" w:type="pct"/>
                  <w:noWrap w:val="0"/>
                  <w:tcMar>
                    <w:top w:w="0" w:type="dxa"/>
                    <w:left w:w="28" w:type="dxa"/>
                    <w:bottom w:w="0" w:type="dxa"/>
                    <w:right w:w="28" w:type="dxa"/>
                  </w:tcMar>
                  <w:vAlign w:val="top"/>
                </w:tcPr>
                <w:p w14:paraId="3BC71A6B">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按照《石家庄市人民政府关于加快实施“三线一单”生态环境分区管控的意见》（石政函[2021]40号）及《石家庄市生态环境准入清单（2023年版）》中全市总体准入要求执行，具体内容不再列出。</w:t>
                  </w:r>
                </w:p>
              </w:tc>
              <w:tc>
                <w:tcPr>
                  <w:tcW w:w="1286" w:type="pct"/>
                  <w:noWrap w:val="0"/>
                  <w:tcMar>
                    <w:top w:w="0" w:type="dxa"/>
                    <w:left w:w="28" w:type="dxa"/>
                    <w:bottom w:w="0" w:type="dxa"/>
                    <w:right w:w="28" w:type="dxa"/>
                  </w:tcMar>
                  <w:vAlign w:val="top"/>
                </w:tcPr>
                <w:p w14:paraId="42C7D44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项目符合《石家庄市人民政府关于加快实施“三线一单”生态环境分区管控的意见》（石政函[2021]40号）及《石家庄市生态环境准入清单（2023年版）》中全市总体准入要求</w:t>
                  </w:r>
                </w:p>
              </w:tc>
            </w:tr>
            <w:tr w14:paraId="635B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restart"/>
                  <w:noWrap w:val="0"/>
                  <w:tcMar>
                    <w:top w:w="0" w:type="dxa"/>
                    <w:left w:w="28" w:type="dxa"/>
                    <w:bottom w:w="0" w:type="dxa"/>
                    <w:right w:w="28" w:type="dxa"/>
                  </w:tcMar>
                  <w:vAlign w:val="center"/>
                </w:tcPr>
                <w:p w14:paraId="0179F00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本评</w:t>
                  </w:r>
                </w:p>
                <w:p w14:paraId="696AAE7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价补</w:t>
                  </w:r>
                </w:p>
                <w:p w14:paraId="63608F5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充要</w:t>
                  </w:r>
                </w:p>
                <w:p w14:paraId="1CFD0B1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求</w:t>
                  </w:r>
                </w:p>
              </w:tc>
              <w:tc>
                <w:tcPr>
                  <w:tcW w:w="195" w:type="pct"/>
                  <w:noWrap w:val="0"/>
                  <w:tcMar>
                    <w:top w:w="0" w:type="dxa"/>
                    <w:left w:w="28" w:type="dxa"/>
                    <w:bottom w:w="0" w:type="dxa"/>
                    <w:right w:w="28" w:type="dxa"/>
                  </w:tcMar>
                  <w:vAlign w:val="center"/>
                </w:tcPr>
                <w:p w14:paraId="03CBECC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产业及</w:t>
                  </w:r>
                </w:p>
                <w:p w14:paraId="5CE5FDC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政策准</w:t>
                  </w:r>
                </w:p>
                <w:p w14:paraId="435A07C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入管理</w:t>
                  </w:r>
                </w:p>
                <w:p w14:paraId="1E1F8C8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要求*</w:t>
                  </w:r>
                </w:p>
              </w:tc>
              <w:tc>
                <w:tcPr>
                  <w:tcW w:w="3323" w:type="pct"/>
                  <w:noWrap w:val="0"/>
                  <w:tcMar>
                    <w:top w:w="0" w:type="dxa"/>
                    <w:left w:w="28" w:type="dxa"/>
                    <w:bottom w:w="0" w:type="dxa"/>
                    <w:right w:w="28" w:type="dxa"/>
                  </w:tcMar>
                  <w:vAlign w:val="top"/>
                </w:tcPr>
                <w:p w14:paraId="66B18BE5">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1.禁止“两高”项目入驻，园区钢铁行业不得突破现状产能规模(年产钢坯200万吨、年产钢材192万吨)；水泥行业不得突破现状产能规模(年产水泥熟料240万吨，年产水泥151万吨)；</w:t>
                  </w:r>
                </w:p>
                <w:p w14:paraId="65AF521F">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2.禁止建设电镀、酸洗、碱洗、磷化等专门从事表面处理的建设项目；</w:t>
                  </w:r>
                </w:p>
                <w:p w14:paraId="702D63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3.禁止建设镍氢电池、铅蓄电池、锌锰电池制造项目；</w:t>
                  </w:r>
                </w:p>
                <w:p w14:paraId="1E0C373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4.严格落实《工业和信息化部国家发展和改革委员会生态环境部关于推动铸造和锻压行业高质量发展的指导意见》(工信部联通装〔2023〕40号)相关要求，严格落实主要污染物排放总量控制、能源消耗总量和强度调控制度，坚决遏制不符合要求的项目盲目发展和低水平重复建设，防止产能盲目扩张，合理选择低污染、低能耗、经济高效的先进工艺技术，严禁以铸造和锻压名义违规新增钢铁产能、违规生产钢坯钢锭；</w:t>
                  </w:r>
                </w:p>
                <w:p w14:paraId="2ABF531C">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5.禁止建设与园区产业无关联的废弃资源综合利用项目，与园区特种钢、高端装备制造、新材料等产业相关联的、利于形成园区循环经济产业链的项目方可入园；</w:t>
                  </w:r>
                </w:p>
                <w:p w14:paraId="3287300E">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6.禁止建设集中收集、贮存、利用、处置危险废物项目。</w:t>
                  </w:r>
                </w:p>
              </w:tc>
              <w:tc>
                <w:tcPr>
                  <w:tcW w:w="1286" w:type="pct"/>
                  <w:noWrap w:val="0"/>
                  <w:tcMar>
                    <w:top w:w="0" w:type="dxa"/>
                    <w:left w:w="28" w:type="dxa"/>
                    <w:bottom w:w="0" w:type="dxa"/>
                    <w:right w:w="28" w:type="dxa"/>
                  </w:tcMar>
                  <w:vAlign w:val="top"/>
                </w:tcPr>
                <w:p w14:paraId="15B6B19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highlight w:val="none"/>
                      <w:lang w:val="en-US" w:eastAsia="zh-CN"/>
                    </w:rPr>
                    <w:t>1、项目不属于</w:t>
                  </w:r>
                  <w:r>
                    <w:rPr>
                      <w:rFonts w:hint="default" w:ascii="Times New Roman" w:hAnsi="Times New Roman" w:cs="Times New Roman"/>
                      <w:snapToGrid w:val="0"/>
                      <w:color w:val="auto"/>
                      <w:sz w:val="21"/>
                      <w:szCs w:val="21"/>
                    </w:rPr>
                    <w:t>“两高”项目</w:t>
                  </w:r>
                  <w:r>
                    <w:rPr>
                      <w:rFonts w:hint="eastAsia" w:ascii="Times New Roman" w:hAnsi="Times New Roman" w:cs="Times New Roman"/>
                      <w:snapToGrid w:val="0"/>
                      <w:color w:val="auto"/>
                      <w:sz w:val="21"/>
                      <w:szCs w:val="21"/>
                      <w:lang w:eastAsia="zh-CN"/>
                    </w:rPr>
                    <w:t>、</w:t>
                  </w:r>
                  <w:r>
                    <w:rPr>
                      <w:rFonts w:hint="eastAsia" w:ascii="Times New Roman" w:hAnsi="Times New Roman" w:cs="Times New Roman"/>
                      <w:snapToGrid w:val="0"/>
                      <w:color w:val="auto"/>
                      <w:sz w:val="21"/>
                      <w:szCs w:val="21"/>
                      <w:lang w:val="en-US" w:eastAsia="zh-CN"/>
                    </w:rPr>
                    <w:t>不属于</w:t>
                  </w:r>
                  <w:r>
                    <w:rPr>
                      <w:rFonts w:hint="default" w:ascii="Times New Roman" w:hAnsi="Times New Roman" w:cs="Times New Roman"/>
                      <w:snapToGrid w:val="0"/>
                      <w:color w:val="auto"/>
                      <w:sz w:val="21"/>
                      <w:szCs w:val="21"/>
                    </w:rPr>
                    <w:t>钢铁</w:t>
                  </w:r>
                  <w:r>
                    <w:rPr>
                      <w:rFonts w:hint="eastAsia" w:ascii="Times New Roman" w:hAnsi="Times New Roman" w:cs="Times New Roman"/>
                      <w:snapToGrid w:val="0"/>
                      <w:color w:val="auto"/>
                      <w:sz w:val="21"/>
                      <w:szCs w:val="21"/>
                      <w:lang w:eastAsia="zh-CN"/>
                    </w:rPr>
                    <w:t>、</w:t>
                  </w:r>
                  <w:r>
                    <w:rPr>
                      <w:rFonts w:hint="eastAsia" w:ascii="Times New Roman" w:hAnsi="Times New Roman" w:cs="Times New Roman"/>
                      <w:snapToGrid w:val="0"/>
                      <w:color w:val="auto"/>
                      <w:sz w:val="21"/>
                      <w:szCs w:val="21"/>
                      <w:lang w:val="en-US" w:eastAsia="zh-CN"/>
                    </w:rPr>
                    <w:t>水泥</w:t>
                  </w:r>
                  <w:r>
                    <w:rPr>
                      <w:rFonts w:hint="default" w:ascii="Times New Roman" w:hAnsi="Times New Roman" w:cs="Times New Roman"/>
                      <w:snapToGrid w:val="0"/>
                      <w:color w:val="auto"/>
                      <w:sz w:val="21"/>
                      <w:szCs w:val="21"/>
                    </w:rPr>
                    <w:t>行业</w:t>
                  </w:r>
                  <w:r>
                    <w:rPr>
                      <w:rFonts w:hint="eastAsia" w:ascii="Times New Roman" w:hAnsi="Times New Roman" w:cs="Times New Roman"/>
                      <w:snapToGrid w:val="0"/>
                      <w:color w:val="auto"/>
                      <w:sz w:val="21"/>
                      <w:szCs w:val="21"/>
                      <w:lang w:eastAsia="zh-CN"/>
                    </w:rPr>
                    <w:t>；</w:t>
                  </w:r>
                </w:p>
                <w:p w14:paraId="0F2E053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2、项目不属于</w:t>
                  </w:r>
                  <w:r>
                    <w:rPr>
                      <w:rFonts w:hint="default" w:ascii="Times New Roman" w:hAnsi="Times New Roman" w:cs="Times New Roman"/>
                      <w:snapToGrid w:val="0"/>
                      <w:color w:val="auto"/>
                      <w:sz w:val="21"/>
                      <w:szCs w:val="21"/>
                    </w:rPr>
                    <w:t>电镀、酸洗、碱洗、磷化等专门从事表面处理的建设项目</w:t>
                  </w:r>
                  <w:r>
                    <w:rPr>
                      <w:rFonts w:hint="eastAsia" w:ascii="Times New Roman" w:hAnsi="Times New Roman" w:cs="Times New Roman"/>
                      <w:snapToGrid w:val="0"/>
                      <w:color w:val="auto"/>
                      <w:sz w:val="21"/>
                      <w:szCs w:val="21"/>
                      <w:lang w:eastAsia="zh-CN"/>
                    </w:rPr>
                    <w:t>；</w:t>
                  </w:r>
                </w:p>
                <w:p w14:paraId="1A800AD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3、项目不属于</w:t>
                  </w:r>
                  <w:r>
                    <w:rPr>
                      <w:rFonts w:hint="default" w:ascii="Times New Roman" w:hAnsi="Times New Roman" w:cs="Times New Roman"/>
                      <w:snapToGrid w:val="0"/>
                      <w:color w:val="auto"/>
                      <w:sz w:val="21"/>
                      <w:szCs w:val="21"/>
                    </w:rPr>
                    <w:t>镍氢电池、铅蓄电池、锌锰电池制造项目</w:t>
                  </w:r>
                  <w:r>
                    <w:rPr>
                      <w:rFonts w:hint="eastAsia" w:ascii="Times New Roman" w:hAnsi="Times New Roman" w:cs="Times New Roman"/>
                      <w:snapToGrid w:val="0"/>
                      <w:color w:val="auto"/>
                      <w:sz w:val="21"/>
                      <w:szCs w:val="21"/>
                      <w:lang w:eastAsia="zh-CN"/>
                    </w:rPr>
                    <w:t>；</w:t>
                  </w:r>
                </w:p>
                <w:p w14:paraId="26FF369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eastAsia="宋体"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4、本项目为碳素制粉备用设备技改，不属于铸造锻压，不新增产能，不涉及钢铁产能扩张，污染物及能耗不新增，符合文件管控要求。</w:t>
                  </w:r>
                </w:p>
                <w:p w14:paraId="64DAEB5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5、项目为</w:t>
                  </w:r>
                  <w:r>
                    <w:rPr>
                      <w:rFonts w:hint="eastAsia" w:ascii="Times New Roman" w:hAnsi="Times New Roman" w:eastAsia="宋体" w:cs="Times New Roman"/>
                      <w:color w:val="auto"/>
                      <w:spacing w:val="-11"/>
                      <w:sz w:val="21"/>
                      <w:szCs w:val="21"/>
                      <w:lang w:val="en-US" w:eastAsia="zh-CN"/>
                    </w:rPr>
                    <w:t>磨粉机新增备用设备项目</w:t>
                  </w:r>
                  <w:r>
                    <w:rPr>
                      <w:rFonts w:hint="eastAsia" w:ascii="Times New Roman" w:hAnsi="Times New Roman" w:cs="Times New Roman"/>
                      <w:snapToGrid w:val="0"/>
                      <w:color w:val="auto"/>
                      <w:sz w:val="21"/>
                      <w:szCs w:val="21"/>
                      <w:lang w:val="en-US" w:eastAsia="zh-CN"/>
                    </w:rPr>
                    <w:t>，不涉及废弃资源综合利用，与主体工程相关，符合园区能源资源的梯级利用要求。</w:t>
                  </w:r>
                </w:p>
                <w:p w14:paraId="3DDF115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6、本项目不涉及</w:t>
                  </w:r>
                </w:p>
              </w:tc>
            </w:tr>
            <w:tr w14:paraId="21D7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5C2CBC0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265B5AC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空间布局约束</w:t>
                  </w:r>
                </w:p>
              </w:tc>
              <w:tc>
                <w:tcPr>
                  <w:tcW w:w="3323" w:type="pct"/>
                  <w:noWrap w:val="0"/>
                  <w:tcMar>
                    <w:top w:w="0" w:type="dxa"/>
                    <w:left w:w="28" w:type="dxa"/>
                    <w:bottom w:w="0" w:type="dxa"/>
                    <w:right w:w="28" w:type="dxa"/>
                  </w:tcMar>
                  <w:vAlign w:val="top"/>
                </w:tcPr>
                <w:p w14:paraId="00C5BED1">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1.规划范围内城镇开发边界外的区域维持现状不变；基本农田范围未经依法调整，需按照《基本农田保护条例》对上述区域进行严格保护，园区规划建设一律不得占用；</w:t>
                  </w:r>
                </w:p>
                <w:p w14:paraId="5CB2FAF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2.禁止在公园绿地、广场绿地等规划绿地范围内开展与绿地无关的建设活动，禁止占用公路用地红线；</w:t>
                  </w:r>
                </w:p>
                <w:p w14:paraId="639F2C6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3.将现状村庄和规划居住区作为环境敏感点予以保护，合理控制周边建设项目布局，根据不同的区位特点进行差别化管控；</w:t>
                  </w:r>
                </w:p>
                <w:p w14:paraId="1F4A8FDF">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4.清凉湾湿地公园周边禁止倾倒有毒有害物质、废弃物、垃圾和其他破坏湿地及其生态功能的活动；</w:t>
                  </w:r>
                </w:p>
                <w:p w14:paraId="5D0F1273">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5.禁止建设集中收集、利用、处置易溶性、有毒有害废弃物的暂存和转运设施；</w:t>
                  </w:r>
                </w:p>
                <w:p w14:paraId="69189541">
                  <w:pPr>
                    <w:rPr>
                      <w:rFonts w:hint="default"/>
                      <w:color w:val="auto"/>
                    </w:rPr>
                  </w:pPr>
                  <w:r>
                    <w:rPr>
                      <w:rFonts w:hint="default"/>
                      <w:color w:val="auto"/>
                    </w:rPr>
                    <w:t>6.入区项目应做好选址可行性分析，地下岩溶区不宜布设水污染较重构建筑物及设备设施。如若工程无法避让，应在基础施工阶段对地基进行防渗处理。同时该区域涉水设备设施应采取“可视化”措施，并严格防渗，加强跟踪监测频次，最大可能的减少对区域地下水的污染影响；</w:t>
                  </w:r>
                </w:p>
                <w:p w14:paraId="1EE191CD">
                  <w:pPr>
                    <w:rPr>
                      <w:rFonts w:hint="default"/>
                      <w:color w:val="auto"/>
                    </w:rPr>
                  </w:pPr>
                  <w:r>
                    <w:rPr>
                      <w:rFonts w:hint="default"/>
                      <w:color w:val="auto"/>
                    </w:rPr>
                    <w:t>7.污染企业退出的遗留污染宗地：园区内退出的遗留宗地应当按照《污染地块土壤环境管理办法》、《工矿用地土壤环境管理办法（试行）》、《关于加强工业企业关停、搬迁及原址场地再开发利用过程中污染防治工作的通知》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w:t>
                  </w:r>
                </w:p>
              </w:tc>
              <w:tc>
                <w:tcPr>
                  <w:tcW w:w="1286" w:type="pct"/>
                  <w:noWrap w:val="0"/>
                  <w:tcMar>
                    <w:top w:w="0" w:type="dxa"/>
                    <w:left w:w="28" w:type="dxa"/>
                    <w:bottom w:w="0" w:type="dxa"/>
                    <w:right w:w="28" w:type="dxa"/>
                  </w:tcMar>
                  <w:vAlign w:val="center"/>
                </w:tcPr>
                <w:p w14:paraId="20DE17B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1-2、6、本项目不新增占地；</w:t>
                  </w:r>
                </w:p>
                <w:p w14:paraId="36C8CA7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3-5、7、不涉及；</w:t>
                  </w:r>
                </w:p>
                <w:p w14:paraId="453C262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p>
              </w:tc>
            </w:tr>
            <w:tr w14:paraId="10E1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F12282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7964190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污染物排放管</w:t>
                  </w:r>
                </w:p>
                <w:p w14:paraId="12429F3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控</w:t>
                  </w:r>
                </w:p>
              </w:tc>
              <w:tc>
                <w:tcPr>
                  <w:tcW w:w="3323" w:type="pct"/>
                  <w:noWrap w:val="0"/>
                  <w:tcMar>
                    <w:top w:w="0" w:type="dxa"/>
                    <w:left w:w="28" w:type="dxa"/>
                    <w:bottom w:w="0" w:type="dxa"/>
                    <w:right w:w="28" w:type="dxa"/>
                  </w:tcMar>
                  <w:vAlign w:val="top"/>
                </w:tcPr>
                <w:p w14:paraId="21BAF76C">
                  <w:pPr>
                    <w:rPr>
                      <w:rFonts w:hint="default"/>
                      <w:color w:val="auto"/>
                    </w:rPr>
                  </w:pPr>
                  <w:r>
                    <w:rPr>
                      <w:rFonts w:hint="default"/>
                      <w:color w:val="auto"/>
                    </w:rPr>
                    <w:t>1、入区项目需满足建设项目污染物排放总量控制要求，重点行业建设项目按照《关于加强重点行业建设项目区域削减措施监督管理的通知(环办环评〔2020〕36号)》要求，严格落实区域主要污染物削减方案；</w:t>
                  </w:r>
                </w:p>
                <w:p w14:paraId="6A038DB6">
                  <w:pPr>
                    <w:rPr>
                      <w:rFonts w:hint="default"/>
                      <w:color w:val="auto"/>
                    </w:rPr>
                  </w:pPr>
                  <w:r>
                    <w:rPr>
                      <w:rFonts w:hint="default"/>
                      <w:color w:val="auto"/>
                    </w:rPr>
                    <w:t>2.入区项目污染物排放必须满足国家、河北省、石家庄市等规定的标准要求，排放指标必须满足清洁生产指标要求(如有)；</w:t>
                  </w:r>
                </w:p>
                <w:p w14:paraId="3414EC34">
                  <w:pPr>
                    <w:rPr>
                      <w:rFonts w:hint="default"/>
                      <w:color w:val="auto"/>
                    </w:rPr>
                  </w:pPr>
                  <w:r>
                    <w:rPr>
                      <w:rFonts w:hint="default"/>
                      <w:color w:val="auto"/>
                    </w:rPr>
                    <w:t>3.固体废物零排放，其中危险废物收集、贮存、运输、处置、利用等须满足</w:t>
                  </w:r>
                  <w:r>
                    <w:rPr>
                      <w:rFonts w:hint="eastAsia"/>
                      <w:color w:val="auto"/>
                      <w:lang w:eastAsia="zh-CN"/>
                    </w:rPr>
                    <w:t>《中华人民共和国固体废物污染环境防治法》</w:t>
                  </w:r>
                  <w:r>
                    <w:rPr>
                      <w:rFonts w:hint="default"/>
                      <w:color w:val="auto"/>
                    </w:rPr>
                    <w:t>、《危险废物收集 贮存 运输技术规范》、《危险废物贮存污染控制标准》等国家、地方相关法律法规、技术规范、标准要求；</w:t>
                  </w:r>
                </w:p>
                <w:p w14:paraId="5F738B30">
                  <w:pPr>
                    <w:rPr>
                      <w:rFonts w:hint="default"/>
                      <w:color w:val="auto"/>
                    </w:rPr>
                  </w:pPr>
                  <w:r>
                    <w:rPr>
                      <w:rFonts w:hint="default"/>
                      <w:color w:val="auto"/>
                    </w:rPr>
                    <w:t>4.入区企业生产废水经处理后全部回用，不外排；</w:t>
                  </w:r>
                </w:p>
                <w:p w14:paraId="42E469BA">
                  <w:pPr>
                    <w:rPr>
                      <w:rFonts w:hint="default"/>
                      <w:color w:val="auto"/>
                    </w:rPr>
                  </w:pPr>
                  <w:r>
                    <w:rPr>
                      <w:rFonts w:hint="default"/>
                      <w:color w:val="auto"/>
                    </w:rPr>
                    <w:t>5.新建具有绩效评级要求的涉气入区建设项目，应达到B级及以上水平；</w:t>
                  </w:r>
                </w:p>
                <w:p w14:paraId="7ADDCF8B">
                  <w:pPr>
                    <w:rPr>
                      <w:rFonts w:hint="default"/>
                      <w:color w:val="auto"/>
                    </w:rPr>
                  </w:pPr>
                  <w:r>
                    <w:rPr>
                      <w:rFonts w:hint="default"/>
                      <w:color w:val="auto"/>
                    </w:rPr>
                    <w:t>6.严格落实区域减排方案，开发区污染物排放量不得突破允许排放量：颗粒物459.538t/a、二氧化硫120.165t/a、氮氧化物617.954t/a、VOCs17.332t/a；存量源削减量：颗粒物72.348t/a、二氧化硫3.721t/a、氮氧化物166.783t/a、VOCs2.017t/a；新增源控制量：颗粒物34.307t/a、二氧化硫1.804t/a、氮氧化物29.005t/a、VOCs3.349t/a；</w:t>
                  </w:r>
                </w:p>
                <w:p w14:paraId="0F90CFE9">
                  <w:pPr>
                    <w:rPr>
                      <w:rFonts w:hint="default"/>
                      <w:color w:val="auto"/>
                    </w:rPr>
                  </w:pPr>
                  <w:r>
                    <w:rPr>
                      <w:rFonts w:hint="default"/>
                      <w:color w:val="auto"/>
                    </w:rPr>
                    <w:t>7.园区废水污染物允许排放量(排入集中污水处理厂)：COD9.928t/a、氨氮0.496t/a。</w:t>
                  </w:r>
                </w:p>
                <w:p w14:paraId="787F250D">
                  <w:pPr>
                    <w:rPr>
                      <w:rFonts w:hint="default"/>
                      <w:color w:val="auto"/>
                    </w:rPr>
                  </w:pPr>
                  <w:r>
                    <w:rPr>
                      <w:rFonts w:hint="default"/>
                      <w:color w:val="auto"/>
                    </w:rPr>
                    <w:t>8.碳排放及强度：碳排放量401.29万t/a、碳排放强度1.38t/万元产值。</w:t>
                  </w:r>
                </w:p>
              </w:tc>
              <w:tc>
                <w:tcPr>
                  <w:tcW w:w="1286" w:type="pct"/>
                  <w:noWrap w:val="0"/>
                  <w:tcMar>
                    <w:top w:w="0" w:type="dxa"/>
                    <w:left w:w="28" w:type="dxa"/>
                    <w:bottom w:w="0" w:type="dxa"/>
                    <w:right w:w="28" w:type="dxa"/>
                  </w:tcMar>
                  <w:vAlign w:val="center"/>
                </w:tcPr>
                <w:p w14:paraId="1F941E38">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1、本项目不涉及SO</w:t>
                  </w:r>
                  <w:r>
                    <w:rPr>
                      <w:rFonts w:hint="eastAsia" w:ascii="Times New Roman" w:hAnsi="Times New Roman" w:cs="Times New Roman"/>
                      <w:snapToGrid w:val="0"/>
                      <w:color w:val="auto"/>
                      <w:sz w:val="21"/>
                      <w:szCs w:val="21"/>
                      <w:highlight w:val="none"/>
                      <w:vertAlign w:val="subscript"/>
                      <w:lang w:val="en-US" w:eastAsia="zh-CN"/>
                    </w:rPr>
                    <w:t>2</w:t>
                  </w:r>
                  <w:r>
                    <w:rPr>
                      <w:rFonts w:hint="eastAsia" w:ascii="Times New Roman" w:hAnsi="Times New Roman" w:cs="Times New Roman"/>
                      <w:snapToGrid w:val="0"/>
                      <w:color w:val="auto"/>
                      <w:sz w:val="21"/>
                      <w:szCs w:val="21"/>
                      <w:highlight w:val="none"/>
                      <w:lang w:val="en-US" w:eastAsia="zh-CN"/>
                    </w:rPr>
                    <w:t>、NOx、COD、氨氮排放；</w:t>
                  </w:r>
                </w:p>
                <w:p w14:paraId="638DD32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2、项目不涉及；</w:t>
                  </w:r>
                </w:p>
                <w:p w14:paraId="7ABEFFA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技改后，项目运营期固体废物产生情况与技改前基本一致。产生的除尘灰、废布袋（一般工业固废）等种类、属性及产生量均无明显变化。设备维护过程中产生的废机油、废油桶等危险废物产生数量亦未增加。所有固体废物仍按原有方式进行，交由有资质单位合规处置，固废排放总量不增加；</w:t>
                  </w:r>
                </w:p>
                <w:p w14:paraId="44E26A8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4、本项目无新增废水排放；</w:t>
                  </w:r>
                </w:p>
                <w:p w14:paraId="475D4C0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5、项目不涉及；</w:t>
                  </w:r>
                </w:p>
                <w:p w14:paraId="07B573B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6-7、本项目不新增SO</w:t>
                  </w:r>
                  <w:r>
                    <w:rPr>
                      <w:rFonts w:hint="eastAsia" w:ascii="Times New Roman" w:hAnsi="Times New Roman" w:cs="Times New Roman"/>
                      <w:snapToGrid w:val="0"/>
                      <w:color w:val="auto"/>
                      <w:sz w:val="21"/>
                      <w:szCs w:val="21"/>
                      <w:highlight w:val="none"/>
                      <w:vertAlign w:val="subscript"/>
                      <w:lang w:val="en-US" w:eastAsia="zh-CN"/>
                    </w:rPr>
                    <w:t>2</w:t>
                  </w:r>
                  <w:r>
                    <w:rPr>
                      <w:rFonts w:hint="eastAsia" w:ascii="Times New Roman" w:hAnsi="Times New Roman" w:cs="Times New Roman"/>
                      <w:snapToGrid w:val="0"/>
                      <w:color w:val="auto"/>
                      <w:sz w:val="21"/>
                      <w:szCs w:val="21"/>
                      <w:highlight w:val="none"/>
                      <w:lang w:val="en-US" w:eastAsia="zh-CN"/>
                    </w:rPr>
                    <w:t>、NOx、COD、氨氮排放；</w:t>
                  </w:r>
                </w:p>
                <w:p w14:paraId="59B0986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8、项目不涉及</w:t>
                  </w:r>
                </w:p>
              </w:tc>
            </w:tr>
            <w:tr w14:paraId="69F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09123E2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7453E58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环境风</w:t>
                  </w:r>
                </w:p>
                <w:p w14:paraId="0D5C3631">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险防控</w:t>
                  </w:r>
                </w:p>
              </w:tc>
              <w:tc>
                <w:tcPr>
                  <w:tcW w:w="3323" w:type="pct"/>
                  <w:noWrap w:val="0"/>
                  <w:tcMar>
                    <w:top w:w="0" w:type="dxa"/>
                    <w:left w:w="28" w:type="dxa"/>
                    <w:bottom w:w="0" w:type="dxa"/>
                    <w:right w:w="28" w:type="dxa"/>
                  </w:tcMar>
                  <w:vAlign w:val="top"/>
                </w:tcPr>
                <w:p w14:paraId="5B3A1E47">
                  <w:pPr>
                    <w:rPr>
                      <w:rFonts w:hint="default"/>
                      <w:color w:val="auto"/>
                    </w:rPr>
                  </w:pPr>
                  <w:r>
                    <w:rPr>
                      <w:rFonts w:hint="default"/>
                      <w:color w:val="auto"/>
                    </w:rPr>
                    <w:t>1.重点监管企业和园区周边土壤和地下水环境污染风险防控：定期开展监督性监测，重点监测重金属和持久性有机污染物；</w:t>
                  </w:r>
                </w:p>
                <w:p w14:paraId="1CA0D3B4">
                  <w:pPr>
                    <w:rPr>
                      <w:rFonts w:hint="default"/>
                      <w:color w:val="auto"/>
                    </w:rPr>
                  </w:pPr>
                  <w:r>
                    <w:rPr>
                      <w:rFonts w:hint="default"/>
                      <w:color w:val="auto"/>
                    </w:rPr>
                    <w:t>2.加强园区与周边敏感区环境风险防范设施建设；</w:t>
                  </w:r>
                </w:p>
                <w:p w14:paraId="3837A74C">
                  <w:pPr>
                    <w:rPr>
                      <w:rFonts w:hint="default"/>
                      <w:color w:val="auto"/>
                    </w:rPr>
                  </w:pPr>
                  <w:r>
                    <w:rPr>
                      <w:rFonts w:hint="default"/>
                      <w:color w:val="auto"/>
                    </w:rPr>
                    <w:t>3.对于易导致环境风险的有毒有害和易燃易爆物质的生产、使用、排放、贮运等新建、改扩建项目，风险防控措施应满足本评价提出的环境风险管理要求。</w:t>
                  </w:r>
                </w:p>
                <w:p w14:paraId="7BF6A144">
                  <w:pPr>
                    <w:rPr>
                      <w:rFonts w:hint="default"/>
                      <w:color w:val="auto"/>
                    </w:rPr>
                  </w:pPr>
                  <w:r>
                    <w:rPr>
                      <w:rFonts w:hint="default"/>
                      <w:color w:val="auto"/>
                    </w:rPr>
                    <w:t>5.实施“三级防控”措施，将事故废水严格控制在一定区域范围内。各入区涉水企业设置废水事故池，事故状态下废水送事故池存放，待废水处理站事故消除后，将事故池废水送废水站处理，不得排入外环境。</w:t>
                  </w:r>
                </w:p>
                <w:p w14:paraId="27F01DA8">
                  <w:pPr>
                    <w:rPr>
                      <w:rFonts w:hint="default"/>
                      <w:color w:val="auto"/>
                    </w:rPr>
                  </w:pPr>
                  <w:r>
                    <w:rPr>
                      <w:rFonts w:hint="default"/>
                      <w:color w:val="auto"/>
                    </w:rPr>
                    <w:t>6.危险废物全过程监管：产生危险废物的单位，按照国家有关规定制定危险废物管理计划，建立危险废物管理台账，如实记录有关信息，并通过国家危险废物信息管理系统向所在地生态环境主管部门申报危险废物的种类、产生量、流向、贮存、处置等有关资料，并执行排污许可管理制度的规定，危废贮存严格按照《危险废物贮存污染控制标准》的要求规范建设。</w:t>
                  </w:r>
                </w:p>
                <w:p w14:paraId="301C4168">
                  <w:pPr>
                    <w:rPr>
                      <w:rFonts w:hint="default"/>
                      <w:color w:val="auto"/>
                    </w:rPr>
                  </w:pPr>
                  <w:r>
                    <w:rPr>
                      <w:rFonts w:hint="default"/>
                      <w:color w:val="auto"/>
                    </w:rPr>
                    <w:t>7.建设用地风险管控和修复：用途变更为“一住两公”地块、腾退工矿企业用地、土壤污染重点监管单位在终止生产经营活动前应依法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对于拟开发利用的关停搬迁企业场地，未按有关规定开展场地环境调查及风险评估的、未明确治理修复责任主体的，禁止进行土地流转；污染场地未经治理修复的，禁止开工建设与治理修复无关的任何项目。对暂不开发利用的关停搬迁企业场地，要督促责任人采取隔离等措施，防止污染扩散。</w:t>
                  </w:r>
                </w:p>
              </w:tc>
              <w:tc>
                <w:tcPr>
                  <w:tcW w:w="1286" w:type="pct"/>
                  <w:noWrap w:val="0"/>
                  <w:tcMar>
                    <w:top w:w="0" w:type="dxa"/>
                    <w:left w:w="28" w:type="dxa"/>
                    <w:bottom w:w="0" w:type="dxa"/>
                    <w:right w:w="28" w:type="dxa"/>
                  </w:tcMar>
                  <w:vAlign w:val="center"/>
                </w:tcPr>
                <w:p w14:paraId="4A4CD4C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1-3、不涉及</w:t>
                  </w:r>
                </w:p>
                <w:p w14:paraId="00BA3BE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5、公司已设“三级防控”措施；</w:t>
                  </w:r>
                </w:p>
                <w:p w14:paraId="647D628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6、项目危废交由资质单位进行处置；</w:t>
                  </w:r>
                </w:p>
                <w:p w14:paraId="684BF71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7、不涉及</w:t>
                  </w:r>
                </w:p>
              </w:tc>
            </w:tr>
            <w:tr w14:paraId="7091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154BAD6D">
                  <w:pPr>
                    <w:rPr>
                      <w:rFonts w:hint="default" w:ascii="Times New Roman" w:hAnsi="Times New Roman" w:eastAsia="宋体" w:cs="Times New Roman"/>
                      <w:color w:val="auto"/>
                    </w:rPr>
                  </w:pPr>
                </w:p>
              </w:tc>
              <w:tc>
                <w:tcPr>
                  <w:tcW w:w="195" w:type="pct"/>
                  <w:noWrap w:val="0"/>
                  <w:tcMar>
                    <w:top w:w="0" w:type="dxa"/>
                    <w:left w:w="28" w:type="dxa"/>
                    <w:bottom w:w="0" w:type="dxa"/>
                    <w:right w:w="28" w:type="dxa"/>
                  </w:tcMar>
                  <w:vAlign w:val="center"/>
                </w:tcPr>
                <w:p w14:paraId="4E2075D4">
                  <w:pPr>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资源开发利用要求</w:t>
                  </w:r>
                </w:p>
              </w:tc>
              <w:tc>
                <w:tcPr>
                  <w:tcW w:w="3323" w:type="pct"/>
                  <w:noWrap w:val="0"/>
                  <w:tcMar>
                    <w:top w:w="0" w:type="dxa"/>
                    <w:left w:w="28" w:type="dxa"/>
                    <w:bottom w:w="0" w:type="dxa"/>
                    <w:right w:w="28" w:type="dxa"/>
                  </w:tcMar>
                  <w:vAlign w:val="top"/>
                </w:tcPr>
                <w:p w14:paraId="31F3185F">
                  <w:pPr>
                    <w:rPr>
                      <w:rFonts w:hint="default" w:ascii="Times New Roman" w:hAnsi="Times New Roman" w:eastAsia="宋体" w:cs="Times New Roman"/>
                      <w:color w:val="auto"/>
                    </w:rPr>
                  </w:pPr>
                  <w:r>
                    <w:rPr>
                      <w:rFonts w:hint="default" w:ascii="Times New Roman" w:hAnsi="Times New Roman" w:eastAsia="宋体" w:cs="Times New Roman"/>
                      <w:color w:val="auto"/>
                    </w:rPr>
                    <w:t>1.入区项目资源和能源消耗量应满足开发区划定的土地、水、能源等主要资源能源可开发利用总量上线：能源利用上线：煤炭用量39.67万t/a：天然气用量为4102.91万m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/a；水资源利用上线：新水量为432.945万m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/a；土地利用上线：工业用地面积864.20hm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t>
                  </w:r>
                </w:p>
                <w:p w14:paraId="32FAD514">
                  <w:pPr>
                    <w:rPr>
                      <w:rFonts w:hint="default" w:ascii="Times New Roman" w:hAnsi="Times New Roman" w:eastAsia="宋体" w:cs="Times New Roman"/>
                      <w:color w:val="auto"/>
                    </w:rPr>
                  </w:pPr>
                  <w:r>
                    <w:rPr>
                      <w:rFonts w:hint="default" w:ascii="Times New Roman" w:hAnsi="Times New Roman" w:eastAsia="宋体" w:cs="Times New Roman"/>
                      <w:color w:val="auto"/>
                    </w:rPr>
                    <w:t>2.不断优化能源消费结构，优先利用区域集中供热和工业余热资源，禁止建设分散燃煤供热设施。</w:t>
                  </w:r>
                </w:p>
                <w:p w14:paraId="50CC15F9">
                  <w:pPr>
                    <w:rPr>
                      <w:rFonts w:hint="default" w:ascii="Times New Roman" w:hAnsi="Times New Roman" w:eastAsia="宋体" w:cs="Times New Roman"/>
                      <w:color w:val="auto"/>
                    </w:rPr>
                  </w:pPr>
                  <w:r>
                    <w:rPr>
                      <w:rFonts w:hint="default" w:ascii="Times New Roman" w:hAnsi="Times New Roman" w:eastAsia="宋体" w:cs="Times New Roman"/>
                      <w:color w:val="auto"/>
                    </w:rPr>
                    <w:t>3.加快推进水源切换，现有拥有合法手续的自备水井给予保留备用，南寨地表水厂建成后，园区内自备水井进行封井；封井前，开发区现有企业应严格落实取水许可制度，不得突破地下水取水许可量。</w:t>
                  </w:r>
                </w:p>
              </w:tc>
              <w:tc>
                <w:tcPr>
                  <w:tcW w:w="1286" w:type="pct"/>
                  <w:noWrap w:val="0"/>
                  <w:tcMar>
                    <w:top w:w="0" w:type="dxa"/>
                    <w:left w:w="28" w:type="dxa"/>
                    <w:bottom w:w="0" w:type="dxa"/>
                    <w:right w:w="28" w:type="dxa"/>
                  </w:tcMar>
                  <w:vAlign w:val="center"/>
                </w:tcPr>
                <w:p w14:paraId="5C3EE98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1、项目不新增用水，不新增占地，生产主要采用电进行生产，用电量不突破资源上限；</w:t>
                  </w:r>
                </w:p>
                <w:p w14:paraId="329984E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2、不涉及；</w:t>
                  </w:r>
                </w:p>
                <w:p w14:paraId="12ED467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3、项目不新增用水</w:t>
                  </w:r>
                </w:p>
              </w:tc>
            </w:tr>
          </w:tbl>
          <w:p w14:paraId="108530A6">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p>
          <w:p w14:paraId="13AAA38B">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ascii="Times New Roman" w:hAnsi="Times New Roman" w:eastAsia="宋体" w:cs="Times New Roman"/>
                <w:b/>
                <w:bCs/>
                <w:color w:val="auto"/>
                <w:sz w:val="24"/>
                <w:lang w:val="en-US" w:eastAsia="zh-CN"/>
              </w:rPr>
              <w:t>3</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本项目与园区总体生态环境准入清单符合性分析一览表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502"/>
              <w:gridCol w:w="4931"/>
              <w:gridCol w:w="1070"/>
            </w:tblGrid>
            <w:tr w14:paraId="5989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pct"/>
                  <w:gridSpan w:val="2"/>
                  <w:noWrap w:val="0"/>
                  <w:tcMar>
                    <w:top w:w="0" w:type="dxa"/>
                    <w:left w:w="28" w:type="dxa"/>
                    <w:bottom w:w="0" w:type="dxa"/>
                    <w:right w:w="28" w:type="dxa"/>
                  </w:tcMar>
                  <w:vAlign w:val="top"/>
                </w:tcPr>
                <w:p w14:paraId="45FF749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清单类型</w:t>
                  </w:r>
                </w:p>
              </w:tc>
              <w:tc>
                <w:tcPr>
                  <w:tcW w:w="3642" w:type="pct"/>
                  <w:noWrap w:val="0"/>
                  <w:tcMar>
                    <w:top w:w="0" w:type="dxa"/>
                    <w:left w:w="28" w:type="dxa"/>
                    <w:bottom w:w="0" w:type="dxa"/>
                    <w:right w:w="28" w:type="dxa"/>
                  </w:tcMar>
                  <w:vAlign w:val="center"/>
                </w:tcPr>
                <w:p w14:paraId="6C57F85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eastAsia="宋体"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准入要求</w:t>
                  </w:r>
                </w:p>
              </w:tc>
              <w:tc>
                <w:tcPr>
                  <w:tcW w:w="790" w:type="pct"/>
                  <w:noWrap w:val="0"/>
                  <w:tcMar>
                    <w:top w:w="0" w:type="dxa"/>
                    <w:left w:w="28" w:type="dxa"/>
                    <w:bottom w:w="0" w:type="dxa"/>
                    <w:right w:w="28" w:type="dxa"/>
                  </w:tcMar>
                  <w:vAlign w:val="center"/>
                </w:tcPr>
                <w:p w14:paraId="29F3A1C0">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highlight w:val="none"/>
                    </w:rPr>
                  </w:pPr>
                  <w:r>
                    <w:rPr>
                      <w:rFonts w:hint="default" w:ascii="Times New Roman" w:hAnsi="Times New Roman" w:cs="Times New Roman"/>
                      <w:snapToGrid w:val="0"/>
                      <w:color w:val="auto"/>
                      <w:spacing w:val="-6"/>
                      <w:sz w:val="21"/>
                      <w:szCs w:val="21"/>
                      <w:highlight w:val="none"/>
                    </w:rPr>
                    <w:t>符合性</w:t>
                  </w:r>
                </w:p>
              </w:tc>
            </w:tr>
            <w:tr w14:paraId="5E22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restart"/>
                  <w:noWrap w:val="0"/>
                  <w:tcMar>
                    <w:top w:w="0" w:type="dxa"/>
                    <w:left w:w="28" w:type="dxa"/>
                    <w:bottom w:w="0" w:type="dxa"/>
                    <w:right w:w="28" w:type="dxa"/>
                  </w:tcMar>
                  <w:vAlign w:val="center"/>
                </w:tcPr>
                <w:p w14:paraId="0034EEF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本评</w:t>
                  </w:r>
                </w:p>
                <w:p w14:paraId="2F679A4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价补</w:t>
                  </w:r>
                </w:p>
                <w:p w14:paraId="71C6944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充要</w:t>
                  </w:r>
                </w:p>
                <w:p w14:paraId="174FF8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求</w:t>
                  </w:r>
                </w:p>
              </w:tc>
              <w:tc>
                <w:tcPr>
                  <w:tcW w:w="371" w:type="pct"/>
                  <w:noWrap w:val="0"/>
                  <w:tcMar>
                    <w:top w:w="0" w:type="dxa"/>
                    <w:left w:w="28" w:type="dxa"/>
                    <w:bottom w:w="0" w:type="dxa"/>
                    <w:right w:w="28" w:type="dxa"/>
                  </w:tcMar>
                  <w:vAlign w:val="center"/>
                </w:tcPr>
                <w:p w14:paraId="0F71026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空间布局约束</w:t>
                  </w:r>
                </w:p>
              </w:tc>
              <w:tc>
                <w:tcPr>
                  <w:tcW w:w="3642" w:type="pct"/>
                  <w:noWrap w:val="0"/>
                  <w:tcMar>
                    <w:top w:w="0" w:type="dxa"/>
                    <w:left w:w="28" w:type="dxa"/>
                    <w:bottom w:w="0" w:type="dxa"/>
                    <w:right w:w="28" w:type="dxa"/>
                  </w:tcMar>
                  <w:vAlign w:val="top"/>
                </w:tcPr>
                <w:p w14:paraId="59DA1DE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1.将位于水土保持和水源涵养一般生态空间部分划为优先保护区域，严格按照水土保持和水源涵养的管控要求进行开发建设。</w:t>
                  </w:r>
                </w:p>
                <w:p w14:paraId="41A563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2.入区项目选址还应尽量避开采空区、塌陷影响区，若确需在采空区、塌陷影响区内进行工程建设，建设前要做好采空区的勘察和评估工作，优化建设场地平面布置，结合采空区分布情况，重点优化废水污染源的布置。</w:t>
                  </w:r>
                </w:p>
                <w:p w14:paraId="206103A1">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3.居住用地、教育用地50米范围内布局办公区、仓储区或机械加工区，50~100m范围内禁止新上涉及表面处理工序的重污染项目；新增涉及喷涂工序的生产企业通过使用水性、粉末、高固体分、无溶剂、辐射固化等低VOCs含量的涂料降低有机废气排放，使用涂料应满足《低挥发性有机化合物含量涂料产品技术要求》；采用《排污许可证申请与核发技术规范铁路、船舶、航空航天和其他运输设备制造业》附录A表面处理（涂装）排污单位中可行技术，禁止使用单一低温等离子、光氧化、光催化、非水溶性VOCs废气处理技术。</w:t>
                  </w:r>
                </w:p>
                <w:p w14:paraId="30CB37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4.临近居住区和教育区一侧（道路除外）布设20m绿化带减缓对其的影响。</w:t>
                  </w:r>
                </w:p>
                <w:p w14:paraId="75772F46">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5.清凉湾湿地公园周边禁止倾倒有毒有害物质、废弃物、垃圾和其他破坏湿地及其生态功能的活动。</w:t>
                  </w:r>
                </w:p>
                <w:p w14:paraId="530A9CD7">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6.本评价要求工业园区入区企业进行工程建设前必须进行地质灾害评估和采取防治措施，入区企业根据地质情况，优化用地布局，存在环境风险的生产单元避让采空区。规划期间加强对地面沉降的监测，发现问题及时处理。</w:t>
                  </w:r>
                </w:p>
              </w:tc>
              <w:tc>
                <w:tcPr>
                  <w:tcW w:w="790" w:type="pct"/>
                  <w:noWrap w:val="0"/>
                  <w:tcMar>
                    <w:top w:w="0" w:type="dxa"/>
                    <w:left w:w="28" w:type="dxa"/>
                    <w:bottom w:w="0" w:type="dxa"/>
                    <w:right w:w="28" w:type="dxa"/>
                  </w:tcMar>
                  <w:vAlign w:val="center"/>
                </w:tcPr>
                <w:p w14:paraId="2DA7714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highlight w:val="none"/>
                      <w:lang w:val="en-US" w:eastAsia="zh-CN"/>
                    </w:rPr>
                    <w:t>1、不涉及</w:t>
                  </w:r>
                  <w:r>
                    <w:rPr>
                      <w:rFonts w:hint="eastAsia" w:ascii="Times New Roman" w:hAnsi="Times New Roman" w:cs="Times New Roman"/>
                      <w:snapToGrid w:val="0"/>
                      <w:color w:val="auto"/>
                      <w:spacing w:val="-6"/>
                      <w:sz w:val="21"/>
                      <w:szCs w:val="21"/>
                      <w:lang w:eastAsia="zh-CN"/>
                    </w:rPr>
                    <w:t>；</w:t>
                  </w:r>
                </w:p>
                <w:p w14:paraId="059BE7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2、</w:t>
                  </w:r>
                  <w:r>
                    <w:rPr>
                      <w:rFonts w:hint="eastAsia" w:ascii="Times New Roman" w:hAnsi="Times New Roman" w:cs="Times New Roman"/>
                      <w:snapToGrid w:val="0"/>
                      <w:color w:val="auto"/>
                      <w:spacing w:val="-6"/>
                      <w:sz w:val="21"/>
                      <w:szCs w:val="21"/>
                      <w:highlight w:val="none"/>
                      <w:lang w:val="en-US" w:eastAsia="zh-CN"/>
                    </w:rPr>
                    <w:t>不涉及</w:t>
                  </w:r>
                  <w:r>
                    <w:rPr>
                      <w:rFonts w:hint="eastAsia" w:ascii="Times New Roman" w:hAnsi="Times New Roman" w:cs="Times New Roman"/>
                      <w:snapToGrid w:val="0"/>
                      <w:color w:val="auto"/>
                      <w:spacing w:val="-6"/>
                      <w:sz w:val="21"/>
                      <w:szCs w:val="21"/>
                      <w:lang w:eastAsia="zh-CN"/>
                    </w:rPr>
                    <w:t>；</w:t>
                  </w:r>
                </w:p>
                <w:p w14:paraId="13E30E6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3、不涉及</w:t>
                  </w:r>
                  <w:r>
                    <w:rPr>
                      <w:rFonts w:hint="eastAsia" w:ascii="Times New Roman" w:hAnsi="Times New Roman" w:cs="Times New Roman"/>
                      <w:snapToGrid w:val="0"/>
                      <w:color w:val="auto"/>
                      <w:spacing w:val="-6"/>
                      <w:sz w:val="21"/>
                      <w:szCs w:val="21"/>
                      <w:lang w:eastAsia="zh-CN"/>
                    </w:rPr>
                    <w:t>；</w:t>
                  </w:r>
                </w:p>
                <w:p w14:paraId="16D6920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4、不涉及；</w:t>
                  </w:r>
                </w:p>
                <w:p w14:paraId="1F95389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5、不涉及；</w:t>
                  </w:r>
                </w:p>
                <w:p w14:paraId="10D7A9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6、不涉及。</w:t>
                  </w:r>
                </w:p>
              </w:tc>
            </w:tr>
            <w:tr w14:paraId="47EE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9A43AA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p>
              </w:tc>
              <w:tc>
                <w:tcPr>
                  <w:tcW w:w="371" w:type="pct"/>
                  <w:noWrap w:val="0"/>
                  <w:tcMar>
                    <w:top w:w="0" w:type="dxa"/>
                    <w:left w:w="28" w:type="dxa"/>
                    <w:bottom w:w="0" w:type="dxa"/>
                    <w:right w:w="28" w:type="dxa"/>
                  </w:tcMar>
                  <w:vAlign w:val="center"/>
                </w:tcPr>
                <w:p w14:paraId="50060380">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污染物排放管</w:t>
                  </w:r>
                </w:p>
                <w:p w14:paraId="350016A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控</w:t>
                  </w:r>
                </w:p>
              </w:tc>
              <w:tc>
                <w:tcPr>
                  <w:tcW w:w="3642" w:type="pct"/>
                  <w:noWrap w:val="0"/>
                  <w:tcMar>
                    <w:top w:w="0" w:type="dxa"/>
                    <w:left w:w="28" w:type="dxa"/>
                    <w:bottom w:w="0" w:type="dxa"/>
                    <w:right w:w="28" w:type="dxa"/>
                  </w:tcMar>
                  <w:vAlign w:val="top"/>
                </w:tcPr>
                <w:p w14:paraId="1E4F4E01">
                  <w:pPr>
                    <w:numPr>
                      <w:ilvl w:val="0"/>
                      <w:numId w:val="0"/>
                    </w:numPr>
                    <w:rPr>
                      <w:rFonts w:hint="default"/>
                      <w:color w:val="auto"/>
                      <w:spacing w:val="-6"/>
                      <w:sz w:val="21"/>
                    </w:rPr>
                  </w:pPr>
                  <w:r>
                    <w:rPr>
                      <w:rFonts w:hint="eastAsia"/>
                      <w:color w:val="auto"/>
                      <w:spacing w:val="-6"/>
                      <w:sz w:val="21"/>
                      <w:lang w:val="en-US" w:eastAsia="zh-CN"/>
                    </w:rPr>
                    <w:t>1.</w:t>
                  </w:r>
                  <w:r>
                    <w:rPr>
                      <w:rFonts w:hint="default"/>
                      <w:color w:val="auto"/>
                      <w:spacing w:val="-6"/>
                      <w:sz w:val="21"/>
                    </w:rPr>
                    <w:t>重点关注挥发性有机物排放管控，禁止使用高 VOCs含量涂料或胶粘剂。挥发性有机物治理工艺禁止采用低温等离子、光氧化/催化、劣质活性炭吸附、喷淋吸收等单一低效治理技术；采用活性炭吸附工艺的应满足《石家庄市涉VOCs企业活性炭吸附脱附技术指南》的要求；</w:t>
                  </w:r>
                </w:p>
                <w:p w14:paraId="3F8F17C9">
                  <w:pPr>
                    <w:numPr>
                      <w:ilvl w:val="0"/>
                      <w:numId w:val="0"/>
                    </w:numPr>
                    <w:rPr>
                      <w:rFonts w:hint="default"/>
                      <w:color w:val="auto"/>
                      <w:spacing w:val="-6"/>
                      <w:sz w:val="21"/>
                    </w:rPr>
                  </w:pPr>
                  <w:r>
                    <w:rPr>
                      <w:rFonts w:hint="default"/>
                      <w:color w:val="auto"/>
                      <w:spacing w:val="-6"/>
                      <w:sz w:val="21"/>
                    </w:rPr>
                    <w:t>2.入区企业生产废水经处理后全部回用，不外排。生活污水经收集后排入贾庄污水处理厂或矿区绿洁污水处理厂处理，不得向向环境水体直接排放污水。</w:t>
                  </w:r>
                </w:p>
                <w:p w14:paraId="102CD5C1">
                  <w:pPr>
                    <w:numPr>
                      <w:ilvl w:val="0"/>
                      <w:numId w:val="0"/>
                    </w:numPr>
                    <w:ind w:left="0" w:leftChars="0" w:firstLine="0" w:firstLineChars="0"/>
                    <w:rPr>
                      <w:rFonts w:hint="default"/>
                      <w:color w:val="auto"/>
                      <w:spacing w:val="-6"/>
                      <w:kern w:val="2"/>
                      <w:sz w:val="21"/>
                      <w:szCs w:val="24"/>
                      <w:lang w:val="en-US" w:eastAsia="zh-CN" w:bidi="ar-SA"/>
                    </w:rPr>
                  </w:pPr>
                  <w:r>
                    <w:rPr>
                      <w:rFonts w:hint="default"/>
                      <w:color w:val="auto"/>
                      <w:spacing w:val="-6"/>
                      <w:sz w:val="21"/>
                    </w:rPr>
                    <w:t>3.入区企业要达到清洁生产二级水平，使用天然气等清洁能源，加大大气污染物的治理力度，减少大气污染物的排放，最大限度减轻对清凉山风景名胜区的影响。</w:t>
                  </w:r>
                </w:p>
              </w:tc>
              <w:tc>
                <w:tcPr>
                  <w:tcW w:w="790" w:type="pct"/>
                  <w:noWrap w:val="0"/>
                  <w:tcMar>
                    <w:top w:w="0" w:type="dxa"/>
                    <w:left w:w="28" w:type="dxa"/>
                    <w:bottom w:w="0" w:type="dxa"/>
                    <w:right w:w="28" w:type="dxa"/>
                  </w:tcMar>
                  <w:vAlign w:val="center"/>
                </w:tcPr>
                <w:p w14:paraId="3D626C0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1、本项目不产生挥发性有机物，不使用高 VOCs含量涂料或胶粘剂；</w:t>
                  </w:r>
                </w:p>
                <w:p w14:paraId="7C2C1F6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2、项目不新增废水排放；</w:t>
                  </w:r>
                </w:p>
                <w:p w14:paraId="19BAAFC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3、项目不使用天然气</w:t>
                  </w:r>
                </w:p>
              </w:tc>
            </w:tr>
            <w:tr w14:paraId="7DB2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1236CB6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p>
              </w:tc>
              <w:tc>
                <w:tcPr>
                  <w:tcW w:w="371" w:type="pct"/>
                  <w:noWrap w:val="0"/>
                  <w:tcMar>
                    <w:top w:w="0" w:type="dxa"/>
                    <w:left w:w="28" w:type="dxa"/>
                    <w:bottom w:w="0" w:type="dxa"/>
                    <w:right w:w="28" w:type="dxa"/>
                  </w:tcMar>
                  <w:vAlign w:val="center"/>
                </w:tcPr>
                <w:p w14:paraId="40FEDCA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环境风险防控</w:t>
                  </w:r>
                </w:p>
              </w:tc>
              <w:tc>
                <w:tcPr>
                  <w:tcW w:w="3642" w:type="pct"/>
                  <w:noWrap w:val="0"/>
                  <w:tcMar>
                    <w:top w:w="0" w:type="dxa"/>
                    <w:left w:w="28" w:type="dxa"/>
                    <w:bottom w:w="0" w:type="dxa"/>
                    <w:right w:w="28" w:type="dxa"/>
                  </w:tcMar>
                  <w:vAlign w:val="top"/>
                </w:tcPr>
                <w:p w14:paraId="01574851">
                  <w:pPr>
                    <w:rPr>
                      <w:rFonts w:hint="default"/>
                      <w:color w:val="auto"/>
                      <w:spacing w:val="-6"/>
                      <w:kern w:val="2"/>
                      <w:sz w:val="21"/>
                      <w:szCs w:val="24"/>
                      <w:lang w:val="en-US" w:eastAsia="zh-CN" w:bidi="ar-SA"/>
                    </w:rPr>
                  </w:pPr>
                  <w:r>
                    <w:rPr>
                      <w:rFonts w:hint="default"/>
                      <w:color w:val="auto"/>
                      <w:spacing w:val="-6"/>
                      <w:sz w:val="21"/>
                    </w:rPr>
                    <w:t>1.结合道路绿化、居住区绿地布置，合理布置涉及风险物质的生产单元，涉重大危险源生产装置和储罐区的项目不得紧邻居住区布局。加强重大危险源企业环境风险管理。</w:t>
                  </w:r>
                </w:p>
              </w:tc>
              <w:tc>
                <w:tcPr>
                  <w:tcW w:w="790" w:type="pct"/>
                  <w:noWrap w:val="0"/>
                  <w:tcMar>
                    <w:top w:w="0" w:type="dxa"/>
                    <w:left w:w="28" w:type="dxa"/>
                    <w:bottom w:w="0" w:type="dxa"/>
                    <w:right w:w="28" w:type="dxa"/>
                  </w:tcMar>
                  <w:vAlign w:val="center"/>
                </w:tcPr>
                <w:p w14:paraId="34ADB06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1、不涉及</w:t>
                  </w:r>
                </w:p>
              </w:tc>
            </w:tr>
            <w:tr w14:paraId="03FF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2068CEE">
                  <w:pPr>
                    <w:rPr>
                      <w:rFonts w:hint="default" w:ascii="Times New Roman" w:hAnsi="Times New Roman" w:eastAsia="宋体" w:cs="Times New Roman"/>
                      <w:color w:val="auto"/>
                      <w:spacing w:val="-6"/>
                      <w:sz w:val="21"/>
                    </w:rPr>
                  </w:pPr>
                </w:p>
              </w:tc>
              <w:tc>
                <w:tcPr>
                  <w:tcW w:w="371" w:type="pct"/>
                  <w:noWrap w:val="0"/>
                  <w:tcMar>
                    <w:top w:w="0" w:type="dxa"/>
                    <w:left w:w="28" w:type="dxa"/>
                    <w:bottom w:w="0" w:type="dxa"/>
                    <w:right w:w="28" w:type="dxa"/>
                  </w:tcMar>
                  <w:vAlign w:val="center"/>
                </w:tcPr>
                <w:p w14:paraId="5E5C36F2">
                  <w:pPr>
                    <w:rPr>
                      <w:rFonts w:hint="default" w:ascii="Times New Roman" w:hAnsi="Times New Roman" w:eastAsia="宋体" w:cs="Times New Roman"/>
                      <w:color w:val="auto"/>
                      <w:spacing w:val="-6"/>
                      <w:sz w:val="21"/>
                    </w:rPr>
                  </w:pPr>
                  <w:r>
                    <w:rPr>
                      <w:rFonts w:hint="eastAsia" w:ascii="Times New Roman" w:hAnsi="Times New Roman" w:eastAsia="宋体" w:cs="Times New Roman"/>
                      <w:color w:val="auto"/>
                      <w:spacing w:val="-6"/>
                      <w:sz w:val="21"/>
                      <w:lang w:val="en-US" w:eastAsia="zh-CN"/>
                    </w:rPr>
                    <w:t>资源开发利用要求</w:t>
                  </w:r>
                </w:p>
              </w:tc>
              <w:tc>
                <w:tcPr>
                  <w:tcW w:w="3642" w:type="pct"/>
                  <w:noWrap w:val="0"/>
                  <w:tcMar>
                    <w:top w:w="0" w:type="dxa"/>
                    <w:left w:w="28" w:type="dxa"/>
                    <w:bottom w:w="0" w:type="dxa"/>
                    <w:right w:w="28" w:type="dxa"/>
                  </w:tcMar>
                  <w:vAlign w:val="top"/>
                </w:tcPr>
                <w:p w14:paraId="06A08337">
                  <w:pPr>
                    <w:rPr>
                      <w:rFonts w:hint="default"/>
                      <w:color w:val="auto"/>
                      <w:spacing w:val="-6"/>
                      <w:sz w:val="21"/>
                    </w:rPr>
                  </w:pPr>
                  <w:r>
                    <w:rPr>
                      <w:rFonts w:hint="default"/>
                      <w:color w:val="auto"/>
                      <w:spacing w:val="-6"/>
                      <w:sz w:val="21"/>
                    </w:rPr>
                    <w:t>1.加快生活污水及再生水管网建设，提高污水收集率和再生水的回用率，减轻对地表水利用的压力；</w:t>
                  </w:r>
                </w:p>
                <w:p w14:paraId="02CACBCD">
                  <w:pPr>
                    <w:rPr>
                      <w:rFonts w:hint="default"/>
                      <w:color w:val="auto"/>
                      <w:spacing w:val="-6"/>
                      <w:kern w:val="2"/>
                      <w:sz w:val="21"/>
                      <w:szCs w:val="24"/>
                      <w:lang w:val="en-US" w:eastAsia="zh-CN" w:bidi="ar-SA"/>
                    </w:rPr>
                  </w:pPr>
                  <w:r>
                    <w:rPr>
                      <w:rFonts w:hint="default"/>
                      <w:color w:val="auto"/>
                      <w:spacing w:val="-6"/>
                      <w:sz w:val="21"/>
                    </w:rPr>
                    <w:t>2.根据行业特点充分利用生产余热为主力热源，电能等清洁能源为补充。</w:t>
                  </w:r>
                </w:p>
              </w:tc>
              <w:tc>
                <w:tcPr>
                  <w:tcW w:w="790" w:type="pct"/>
                  <w:noWrap w:val="0"/>
                  <w:tcMar>
                    <w:top w:w="0" w:type="dxa"/>
                    <w:left w:w="28" w:type="dxa"/>
                    <w:bottom w:w="0" w:type="dxa"/>
                    <w:right w:w="28" w:type="dxa"/>
                  </w:tcMar>
                  <w:vAlign w:val="center"/>
                </w:tcPr>
                <w:p w14:paraId="60C4882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1、项目不新增废水；</w:t>
                  </w:r>
                </w:p>
                <w:p w14:paraId="283AC32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2、不涉及；</w:t>
                  </w:r>
                </w:p>
              </w:tc>
            </w:tr>
          </w:tbl>
          <w:p w14:paraId="111DBB36">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color w:val="auto"/>
                <w:sz w:val="24"/>
              </w:rPr>
            </w:pPr>
            <w:r>
              <w:rPr>
                <w:rFonts w:hint="eastAsia" w:ascii="Times New Roman" w:hAnsi="Times New Roman" w:cs="Times New Roman"/>
                <w:b/>
                <w:color w:val="auto"/>
                <w:kern w:val="0"/>
                <w:sz w:val="24"/>
                <w:lang w:val="en-US" w:eastAsia="zh-CN" w:bidi="ar"/>
              </w:rPr>
              <w:t>3</w:t>
            </w:r>
            <w:r>
              <w:rPr>
                <w:rFonts w:hint="default" w:ascii="Times New Roman" w:hAnsi="Times New Roman" w:cs="Times New Roman"/>
                <w:b/>
                <w:color w:val="auto"/>
                <w:kern w:val="0"/>
                <w:sz w:val="24"/>
                <w:lang w:bidi="ar"/>
              </w:rPr>
              <w:t>、规划环评审查意见符合性分析</w:t>
            </w:r>
          </w:p>
          <w:p w14:paraId="60AF3A1A">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根据河北省环境保护厅《关于河北石家庄矿区工业园区总体发展规划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r>
              <w:rPr>
                <w:rFonts w:hint="eastAsia" w:ascii="Times New Roman" w:hAnsi="Times New Roman" w:cs="Times New Roman"/>
                <w:color w:val="auto"/>
                <w:sz w:val="24"/>
                <w:lang w:val="en-US" w:eastAsia="zh-CN"/>
              </w:rPr>
              <w:t>的审查意见</w:t>
            </w:r>
            <w:r>
              <w:rPr>
                <w:rFonts w:hint="default" w:ascii="Times New Roman" w:hAnsi="Times New Roman" w:cs="Times New Roman"/>
                <w:color w:val="auto"/>
                <w:sz w:val="24"/>
              </w:rPr>
              <w:t>》（冀环</w:t>
            </w:r>
            <w:r>
              <w:rPr>
                <w:rFonts w:hint="eastAsia" w:ascii="Times New Roman" w:hAnsi="Times New Roman" w:cs="Times New Roman"/>
                <w:color w:val="auto"/>
                <w:sz w:val="24"/>
                <w:lang w:val="en-US" w:eastAsia="zh-CN"/>
              </w:rPr>
              <w:t>环</w:t>
            </w:r>
            <w:r>
              <w:rPr>
                <w:rFonts w:hint="default" w:ascii="Times New Roman" w:hAnsi="Times New Roman" w:cs="Times New Roman"/>
                <w:color w:val="auto"/>
                <w:sz w:val="24"/>
              </w:rPr>
              <w:t>评函[20</w:t>
            </w:r>
            <w:r>
              <w:rPr>
                <w:rFonts w:hint="eastAsia" w:ascii="Times New Roman" w:hAnsi="Times New Roman" w:cs="Times New Roman"/>
                <w:color w:val="auto"/>
                <w:sz w:val="24"/>
                <w:lang w:val="en-US" w:eastAsia="zh-CN"/>
              </w:rPr>
              <w:t>25</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318</w:t>
            </w:r>
            <w:r>
              <w:rPr>
                <w:rFonts w:hint="default" w:ascii="Times New Roman" w:hAnsi="Times New Roman" w:cs="Times New Roman"/>
                <w:color w:val="auto"/>
                <w:sz w:val="24"/>
              </w:rPr>
              <w:t>号），本项目与园区规划环评审查意见的相符性见表1-</w:t>
            </w:r>
            <w:r>
              <w:rPr>
                <w:rFonts w:hint="eastAsia" w:ascii="Times New Roman" w:hAnsi="Times New Roman" w:cs="Times New Roman"/>
                <w:color w:val="auto"/>
                <w:sz w:val="24"/>
                <w:lang w:val="en-US" w:eastAsia="zh-CN"/>
              </w:rPr>
              <w:t>4</w:t>
            </w:r>
            <w:r>
              <w:rPr>
                <w:rFonts w:hint="default" w:ascii="Times New Roman" w:hAnsi="Times New Roman" w:cs="Times New Roman"/>
                <w:color w:val="auto"/>
                <w:sz w:val="24"/>
              </w:rPr>
              <w:t>。</w:t>
            </w:r>
          </w:p>
          <w:p w14:paraId="555807C8">
            <w:pPr>
              <w:keepNext w:val="0"/>
              <w:keepLines w:val="0"/>
              <w:pageBreakBefore w:val="0"/>
              <w:shd w:val="clear" w:color="auto" w:fill="auto"/>
              <w:kinsoku/>
              <w:wordWrap/>
              <w:overflowPunct/>
              <w:topLinePunct w:val="0"/>
              <w:bidi w:val="0"/>
              <w:adjustRightInd/>
              <w:snapToGrid/>
              <w:spacing w:line="440" w:lineRule="exact"/>
              <w:jc w:val="center"/>
              <w:textAlignment w:val="auto"/>
              <w:rPr>
                <w:rFonts w:hint="default" w:ascii="Times New Roman" w:hAnsi="Times New Roman" w:cs="Times New Roman"/>
                <w:color w:val="auto"/>
                <w:sz w:val="24"/>
              </w:rPr>
            </w:pPr>
            <w:r>
              <w:rPr>
                <w:rFonts w:hint="default" w:ascii="Times New Roman" w:hAnsi="Times New Roman" w:cs="Times New Roman"/>
                <w:b/>
                <w:bCs/>
                <w:color w:val="auto"/>
                <w:sz w:val="24"/>
              </w:rPr>
              <w:t>表1</w:t>
            </w:r>
            <w:r>
              <w:rPr>
                <w:rFonts w:hint="default" w:ascii="Times New Roman" w:hAnsi="Times New Roman" w:cs="Times New Roman"/>
                <w:b/>
                <w:bCs/>
                <w:color w:val="auto"/>
                <w:sz w:val="24"/>
                <w:lang w:val="en-US" w:eastAsia="zh-CN"/>
              </w:rPr>
              <w:t>-</w:t>
            </w:r>
            <w:r>
              <w:rPr>
                <w:rFonts w:hint="eastAsia" w:ascii="Times New Roman" w:hAnsi="Times New Roman" w:cs="Times New Roman"/>
                <w:b/>
                <w:bCs/>
                <w:color w:val="auto"/>
                <w:sz w:val="24"/>
                <w:lang w:val="en-US" w:eastAsia="zh-CN"/>
              </w:rPr>
              <w:t>4</w:t>
            </w:r>
            <w:r>
              <w:rPr>
                <w:rFonts w:hint="default" w:ascii="Times New Roman" w:hAnsi="Times New Roman" w:cs="Times New Roman"/>
                <w:b/>
                <w:bCs/>
                <w:color w:val="auto"/>
                <w:sz w:val="24"/>
                <w:lang w:val="en-US" w:eastAsia="zh-CN"/>
              </w:rPr>
              <w:t xml:space="preserve">  </w:t>
            </w:r>
            <w:r>
              <w:rPr>
                <w:rFonts w:hint="default" w:ascii="Times New Roman" w:hAnsi="Times New Roman" w:cs="Times New Roman"/>
                <w:b/>
                <w:bCs/>
                <w:color w:val="auto"/>
                <w:sz w:val="24"/>
              </w:rPr>
              <w:t xml:space="preserve">  本项目与规划环评审查意见的相符性</w:t>
            </w: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61"/>
              <w:gridCol w:w="1451"/>
              <w:gridCol w:w="1054"/>
            </w:tblGrid>
            <w:tr w14:paraId="702C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664F9E3B">
                  <w:pPr>
                    <w:pStyle w:val="56"/>
                    <w:shd w:val="clear" w:color="auto" w:fill="auto"/>
                    <w:adjustRightInd/>
                    <w:spacing w:line="280" w:lineRule="exact"/>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园区环评批复要求</w:t>
                  </w:r>
                </w:p>
              </w:tc>
              <w:tc>
                <w:tcPr>
                  <w:tcW w:w="1072" w:type="pct"/>
                  <w:noWrap w:val="0"/>
                  <w:vAlign w:val="center"/>
                </w:tcPr>
                <w:p w14:paraId="34CE84B5">
                  <w:pPr>
                    <w:pStyle w:val="56"/>
                    <w:shd w:val="clear" w:color="auto" w:fill="auto"/>
                    <w:adjustRightInd/>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本项目情况</w:t>
                  </w:r>
                </w:p>
              </w:tc>
              <w:tc>
                <w:tcPr>
                  <w:tcW w:w="779" w:type="pct"/>
                  <w:noWrap w:val="0"/>
                  <w:vAlign w:val="center"/>
                </w:tcPr>
                <w:p w14:paraId="4E690355">
                  <w:pPr>
                    <w:pStyle w:val="56"/>
                    <w:shd w:val="clear" w:color="auto" w:fill="auto"/>
                    <w:adjustRightInd/>
                    <w:ind w:left="0" w:leftChars="0" w:firstLine="0" w:firstLineChars="0"/>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相符性</w:t>
                  </w:r>
                </w:p>
              </w:tc>
            </w:tr>
            <w:tr w14:paraId="485F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302B1375">
                  <w:pPr>
                    <w:pStyle w:val="11"/>
                    <w:shd w:val="clear" w:color="auto" w:fill="auto"/>
                    <w:spacing w:line="280" w:lineRule="exact"/>
                    <w:ind w:left="0"/>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河北石家庄矿区工业园区(以下简称园区)位于石家庄市井陉矿区，为省政府批准设立的省级开发区，批复面积16.25平方公里(城镇开发边界内10.95平方公里、城镇开发边界外5.30平方公里)。你单位编制了《河北石家庄矿区工业园区总体发展规划(2022-2030年)》(以下简称《规划》),《规划》总面积1775.19 公顷，其中省政府批复面积16.25平方公里，并延城镇开发边界内的范围适当外延150.19公顷，设置石钢片区、天汇片区、丰达片区和融合片区4个产业片区以及远景发展区，以特钢上下游、高端装备制造、新材料为主导产业。规划近期至2025年、远期至2030年。</w:t>
                  </w:r>
                </w:p>
              </w:tc>
              <w:tc>
                <w:tcPr>
                  <w:tcW w:w="1072" w:type="pct"/>
                  <w:noWrap w:val="0"/>
                  <w:vAlign w:val="center"/>
                </w:tcPr>
                <w:p w14:paraId="4285C546">
                  <w:pPr>
                    <w:pStyle w:val="56"/>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jc w:val="both"/>
                    <w:textAlignment w:val="auto"/>
                    <w:rPr>
                      <w:rFonts w:hint="default" w:ascii="Times New Roman" w:hAnsi="Times New Roman" w:cs="Times New Roman"/>
                      <w:color w:val="auto"/>
                      <w:spacing w:val="-11"/>
                      <w:sz w:val="21"/>
                      <w:szCs w:val="21"/>
                    </w:rPr>
                  </w:pPr>
                  <w:r>
                    <w:rPr>
                      <w:rFonts w:hint="eastAsia" w:ascii="Times New Roman" w:hAnsi="Times New Roman" w:cs="Times New Roman"/>
                      <w:color w:val="auto"/>
                      <w:spacing w:val="-11"/>
                      <w:sz w:val="21"/>
                      <w:szCs w:val="21"/>
                      <w:lang w:val="en-US" w:eastAsia="zh-CN" w:bidi="ar"/>
                    </w:rPr>
                    <w:t>本项目</w:t>
                  </w:r>
                  <w:r>
                    <w:rPr>
                      <w:rFonts w:hint="default" w:ascii="Times New Roman" w:hAnsi="Times New Roman" w:cs="Times New Roman"/>
                      <w:color w:val="auto"/>
                      <w:spacing w:val="-11"/>
                      <w:sz w:val="21"/>
                      <w:szCs w:val="21"/>
                      <w:lang w:val="en-US" w:eastAsia="zh-CN" w:bidi="ar"/>
                    </w:rPr>
                    <w:t>位于石家庄市</w:t>
                  </w:r>
                  <w:r>
                    <w:rPr>
                      <w:rFonts w:hint="eastAsia" w:ascii="Times New Roman" w:hAnsi="Times New Roman" w:cs="Times New Roman"/>
                      <w:color w:val="auto"/>
                      <w:spacing w:val="-11"/>
                      <w:sz w:val="21"/>
                      <w:szCs w:val="21"/>
                      <w:lang w:val="en-US" w:eastAsia="zh-CN" w:bidi="ar"/>
                    </w:rPr>
                    <w:t>井陉矿区</w:t>
                  </w:r>
                  <w:r>
                    <w:rPr>
                      <w:rFonts w:hint="default" w:ascii="Times New Roman" w:hAnsi="Times New Roman" w:cs="Times New Roman"/>
                      <w:color w:val="auto"/>
                      <w:spacing w:val="-11"/>
                      <w:sz w:val="21"/>
                      <w:szCs w:val="21"/>
                      <w:lang w:val="en-US" w:eastAsia="zh-CN" w:bidi="ar"/>
                    </w:rPr>
                    <w:t>河北鸿科碳素有限公司</w:t>
                  </w:r>
                  <w:r>
                    <w:rPr>
                      <w:rFonts w:hint="eastAsia" w:ascii="Times New Roman" w:hAnsi="Times New Roman" w:cs="Times New Roman"/>
                      <w:color w:val="auto"/>
                      <w:spacing w:val="-11"/>
                      <w:sz w:val="21"/>
                      <w:szCs w:val="21"/>
                      <w:lang w:val="en-US" w:eastAsia="zh-CN" w:bidi="ar"/>
                    </w:rPr>
                    <w:t>内</w:t>
                  </w:r>
                  <w:r>
                    <w:rPr>
                      <w:rFonts w:hint="default" w:ascii="Times New Roman" w:hAnsi="Times New Roman" w:cs="Times New Roman"/>
                      <w:color w:val="auto"/>
                      <w:spacing w:val="-11"/>
                      <w:sz w:val="21"/>
                      <w:szCs w:val="21"/>
                      <w:lang w:val="en-US" w:eastAsia="zh-CN" w:bidi="ar"/>
                    </w:rPr>
                    <w:t>，在园区规划范围内</w:t>
                  </w:r>
                  <w:r>
                    <w:rPr>
                      <w:rFonts w:hint="eastAsia" w:ascii="Times New Roman" w:hAnsi="Times New Roman" w:cs="Times New Roman"/>
                      <w:color w:val="auto"/>
                      <w:spacing w:val="-11"/>
                      <w:sz w:val="21"/>
                      <w:szCs w:val="21"/>
                      <w:lang w:val="en-US" w:eastAsia="zh-CN" w:bidi="ar"/>
                    </w:rPr>
                    <w:t>，不新增占地，符合园区规划</w:t>
                  </w:r>
                  <w:r>
                    <w:rPr>
                      <w:rFonts w:hint="default" w:ascii="Times New Roman" w:hAnsi="Times New Roman" w:cs="Times New Roman"/>
                      <w:color w:val="auto"/>
                      <w:spacing w:val="-11"/>
                      <w:sz w:val="21"/>
                      <w:szCs w:val="21"/>
                      <w:lang w:val="en-US" w:eastAsia="zh-CN" w:bidi="ar"/>
                    </w:rPr>
                    <w:t>。</w:t>
                  </w:r>
                </w:p>
              </w:tc>
              <w:tc>
                <w:tcPr>
                  <w:tcW w:w="779" w:type="pct"/>
                  <w:noWrap w:val="0"/>
                  <w:vAlign w:val="center"/>
                </w:tcPr>
                <w:p w14:paraId="404E720E">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r w14:paraId="722E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7632886B">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三、对《规划》优化调整和实施过程中的意见</w:t>
                  </w:r>
                </w:p>
                <w:p w14:paraId="53E73A16">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(一)落实国家及区域发展战略，坚持生态优先、提质增效</w:t>
                  </w:r>
                  <w:r>
                    <w:rPr>
                      <w:rFonts w:hint="eastAsia" w:ascii="Times New Roman" w:hAnsi="Times New Roman" w:cs="Times New Roman"/>
                      <w:color w:val="auto"/>
                      <w:spacing w:val="-11"/>
                      <w:sz w:val="21"/>
                      <w:szCs w:val="21"/>
                      <w:lang w:eastAsia="zh-CN"/>
                    </w:rPr>
                    <w:t>，</w:t>
                  </w:r>
                  <w:r>
                    <w:rPr>
                      <w:rFonts w:hint="default" w:ascii="Times New Roman" w:hAnsi="Times New Roman" w:cs="Times New Roman"/>
                      <w:color w:val="auto"/>
                      <w:spacing w:val="-11"/>
                      <w:sz w:val="21"/>
                      <w:szCs w:val="21"/>
                    </w:rPr>
                    <w:t>以生态环境质量改善为核心，做好与各级国土空间规划和生态环境分区管控体系的协调衔接，进一步优化《规划》布局、产业定位和发展规模。</w:t>
                  </w:r>
                </w:p>
                <w:p w14:paraId="0187D2B8">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(二)推进园区绿色低碳转型发展，实现减污降碳协同增效目标。根据国家、地方碳减排和碳达峰行动方案及路径要求，进一步优化园区能源结构、交通运输方式等《规划》内容。</w:t>
                  </w:r>
                </w:p>
                <w:p w14:paraId="400D23C1">
                  <w:pPr>
                    <w:pStyle w:val="56"/>
                    <w:shd w:val="clear" w:color="auto" w:fill="auto"/>
                    <w:adjustRightInd/>
                    <w:spacing w:line="280" w:lineRule="exact"/>
                    <w:jc w:val="both"/>
                    <w:rPr>
                      <w:rFonts w:hint="eastAsia" w:ascii="Times New Roman" w:hAnsi="Times New Roman" w:eastAsia="宋体" w:cs="Times New Roman"/>
                      <w:color w:val="auto"/>
                      <w:spacing w:val="-11"/>
                      <w:sz w:val="21"/>
                      <w:szCs w:val="21"/>
                      <w:lang w:eastAsia="zh-CN"/>
                    </w:rPr>
                  </w:pPr>
                  <w:r>
                    <w:rPr>
                      <w:rFonts w:hint="default" w:ascii="Times New Roman" w:hAnsi="Times New Roman" w:cs="Times New Roman"/>
                      <w:color w:val="auto"/>
                      <w:spacing w:val="-11"/>
                      <w:sz w:val="21"/>
                      <w:szCs w:val="21"/>
                    </w:rPr>
                    <w:t>(三)严格空间管控要求，进一步优化园区功能、空间布局城镇开发边界外区域，在规划期内维持现状不变。教育文化科研区、绿地禁止开展其他无关建设活动，园区规划实施过程中应严格遵守《中华人民共和国文物保护法》相关要求。落实《报告书》提出的空间布局引导和管控要求，优化工业、居住等各类用地的空间分布和产业的梯级布局，严格涉风险源企业管理，确保人居环境安全</w:t>
                  </w:r>
                  <w:r>
                    <w:rPr>
                      <w:rFonts w:hint="eastAsia" w:ascii="Times New Roman" w:hAnsi="Times New Roman" w:cs="Times New Roman"/>
                      <w:color w:val="auto"/>
                      <w:spacing w:val="-11"/>
                      <w:sz w:val="21"/>
                      <w:szCs w:val="21"/>
                      <w:lang w:eastAsia="zh-CN"/>
                    </w:rPr>
                    <w:t>。</w:t>
                  </w:r>
                </w:p>
                <w:p w14:paraId="18E63D67">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四)严守环境质量底线，强化污染物排放总量管控。强化现有及入区企业污染治理设施及环境管理水平，严格落实《报告书》提出的污染物减排方案及总量管控要求，确保区域环境质量持续改善。强化涉重废水污染治理，电镀工序废水经车间处理达标后全部回用，不外排。严格落实《关于加强重点行业建设项目区域削减措施监督管理的通知》相关要求</w:t>
                  </w:r>
                </w:p>
                <w:p w14:paraId="17C76BBD">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(五)严格入区项目生态环境准入，推动绿色低碳高质量发展。严格落实《报告书》提出的园区生态环境准入要求及现有企业环境管</w:t>
                  </w:r>
                  <w:r>
                    <w:rPr>
                      <w:rFonts w:hint="eastAsia" w:ascii="Times New Roman" w:hAnsi="Times New Roman" w:cs="Times New Roman"/>
                      <w:color w:val="auto"/>
                      <w:spacing w:val="-11"/>
                      <w:sz w:val="21"/>
                      <w:szCs w:val="21"/>
                      <w:lang w:val="en-US" w:eastAsia="zh-CN"/>
                    </w:rPr>
                    <w:t>理</w:t>
                  </w:r>
                  <w:r>
                    <w:rPr>
                      <w:rFonts w:hint="default" w:ascii="Times New Roman" w:hAnsi="Times New Roman" w:cs="Times New Roman"/>
                      <w:color w:val="auto"/>
                      <w:spacing w:val="-11"/>
                      <w:sz w:val="21"/>
                      <w:szCs w:val="21"/>
                    </w:rPr>
                    <w:t>要求。园区严禁新增“两高”项目、危险废物集中贮存处置项目及电镀、酸洗、碱洗、磷化等专门从事表面处理的项目入驻，现有钢铁和水泥规模不得增加。不断提高现有及在建企业清洁生产水平，促进园区产业转型升级与生态环境保护、人居环境安全相协调，</w:t>
                  </w:r>
                </w:p>
                <w:p w14:paraId="19B97CEA">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(六)统筹基础设施建设，严格落实《报告书》提出的建设内</w:t>
                  </w:r>
                  <w:r>
                    <w:rPr>
                      <w:rFonts w:hint="eastAsia" w:ascii="Times New Roman" w:hAnsi="Times New Roman" w:cs="Times New Roman"/>
                      <w:color w:val="auto"/>
                      <w:spacing w:val="-11"/>
                      <w:sz w:val="21"/>
                      <w:szCs w:val="21"/>
                      <w:lang w:val="en-US" w:eastAsia="zh-CN"/>
                    </w:rPr>
                    <w:t>容及时限。</w:t>
                  </w:r>
                  <w:r>
                    <w:rPr>
                      <w:rFonts w:hint="default" w:ascii="Times New Roman" w:hAnsi="Times New Roman" w:cs="Times New Roman"/>
                      <w:color w:val="auto"/>
                      <w:spacing w:val="-11"/>
                      <w:sz w:val="21"/>
                      <w:szCs w:val="21"/>
                    </w:rPr>
                    <w:t>加快南寨地表水厂建设进度，逐步替代企业自备水井。根据开发利用情况逐步完善再生水管网布局，扩大再生水管网覆盖范围，充分利用再生水资源。园区企业根据行业特点充分利用生产余热为主力热源，天然气、电能等清洁能源为补充，禁止企业自建燃煤供热锅炉。</w:t>
                  </w:r>
                </w:p>
                <w:p w14:paraId="2847BA42">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七)优化运输方式，落实应急运输响应方案。园区应进一步提高铁路运输及清洁能源汽车比例，减轻运输产生的不利环境影响。结合秋冬行业错峰生产和重污染天气应急响应要求，在黄色及以上重污染天气预警期间，重点用车企业实施应急运输响应。</w:t>
                  </w:r>
                </w:p>
                <w:p w14:paraId="4BB7C864">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(八)健全完善环境监测体系，强化环境风险防范。健全完善包括环境空气、地表水、地下水、土壤等环境要素的监控体系</w:t>
                  </w:r>
                  <w:r>
                    <w:rPr>
                      <w:rFonts w:hint="eastAsia" w:ascii="Times New Roman" w:hAnsi="Times New Roman" w:cs="Times New Roman"/>
                      <w:color w:val="auto"/>
                      <w:spacing w:val="-11"/>
                      <w:sz w:val="21"/>
                      <w:szCs w:val="21"/>
                      <w:lang w:eastAsia="zh-CN"/>
                    </w:rPr>
                    <w:t>；</w:t>
                  </w:r>
                  <w:r>
                    <w:rPr>
                      <w:rFonts w:hint="default" w:ascii="Times New Roman" w:hAnsi="Times New Roman" w:cs="Times New Roman"/>
                      <w:color w:val="auto"/>
                      <w:spacing w:val="-11"/>
                      <w:sz w:val="21"/>
                      <w:szCs w:val="21"/>
                    </w:rPr>
                    <w:t>强化园区风险防控体系的建立，健全应急响应联动机制。严格落实《报告书》提出的各项环境风险防控措施，加强园区与周边敏感区环境风险防范设施建设，提升环境风险防控和应急响应能力，保障区域环境安全。</w:t>
                  </w:r>
                </w:p>
                <w:p w14:paraId="05E10FBC">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(九)在《规划》实施过程中，按照相关要求适时开展环境影响跟踪评价。《规划》发生重大调整或修订的，应当依法重新或补充开展环境影响评价工作。</w:t>
                  </w:r>
                </w:p>
              </w:tc>
              <w:tc>
                <w:tcPr>
                  <w:tcW w:w="1072" w:type="pct"/>
                  <w:noWrap w:val="0"/>
                  <w:vAlign w:val="center"/>
                </w:tcPr>
                <w:p w14:paraId="68F243F1">
                  <w:pPr>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1.本项目符合国家产业政策要求。</w:t>
                  </w:r>
                </w:p>
                <w:p w14:paraId="674F70CE">
                  <w:pPr>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textAlignment w:val="auto"/>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rPr>
                    <w:t>2.</w:t>
                  </w:r>
                  <w:r>
                    <w:rPr>
                      <w:rFonts w:hint="eastAsia" w:ascii="Times New Roman" w:hAnsi="Times New Roman" w:cs="Times New Roman"/>
                      <w:color w:val="auto"/>
                      <w:spacing w:val="-11"/>
                      <w:sz w:val="21"/>
                      <w:szCs w:val="21"/>
                      <w:lang w:val="en-US" w:eastAsia="zh-CN"/>
                    </w:rPr>
                    <w:t>本项目通过新增高效节能备用磨粉机、优化设备密封及运行控制，在不新增产能和污染排放的前提下，降低系统能耗与无组织粉尘逸散，提升资源能源利用效率，符合园区绿色低碳转型及减污降碳协同增效的规划要求。</w:t>
                  </w:r>
                </w:p>
                <w:p w14:paraId="47C722D0">
                  <w:pPr>
                    <w:pStyle w:val="56"/>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jc w:val="both"/>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highlight w:val="none"/>
                    </w:rPr>
                    <w:t>3.本项目</w:t>
                  </w:r>
                  <w:r>
                    <w:rPr>
                      <w:rFonts w:hint="eastAsia" w:ascii="Times New Roman" w:hAnsi="Times New Roman" w:cs="Times New Roman"/>
                      <w:color w:val="auto"/>
                      <w:spacing w:val="-11"/>
                      <w:sz w:val="21"/>
                      <w:szCs w:val="21"/>
                      <w:highlight w:val="none"/>
                      <w:lang w:val="en-US" w:eastAsia="zh-CN"/>
                    </w:rPr>
                    <w:t>在现有厂区内进行建设，不新增占地</w:t>
                  </w:r>
                  <w:r>
                    <w:rPr>
                      <w:rFonts w:hint="default" w:ascii="Times New Roman" w:hAnsi="Times New Roman" w:cs="Times New Roman"/>
                      <w:color w:val="auto"/>
                      <w:spacing w:val="-11"/>
                      <w:sz w:val="21"/>
                      <w:szCs w:val="21"/>
                    </w:rPr>
                    <w:t>。</w:t>
                  </w:r>
                </w:p>
                <w:p w14:paraId="71FA3DA1">
                  <w:pPr>
                    <w:rPr>
                      <w:rFonts w:hint="default" w:eastAsia="宋体"/>
                      <w:color w:val="auto"/>
                      <w:lang w:val="en-US" w:eastAsia="zh-CN"/>
                    </w:rPr>
                  </w:pPr>
                  <w:r>
                    <w:rPr>
                      <w:rFonts w:hint="eastAsia" w:ascii="Times New Roman" w:hAnsi="Times New Roman" w:cs="Times New Roman"/>
                      <w:color w:val="auto"/>
                      <w:spacing w:val="-11"/>
                      <w:sz w:val="21"/>
                      <w:szCs w:val="21"/>
                      <w:lang w:val="en-US" w:eastAsia="zh-CN"/>
                    </w:rPr>
                    <w:t>4.项目不新增废水。</w:t>
                  </w:r>
                </w:p>
                <w:p w14:paraId="36CEBDC9">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5.项目不属于</w:t>
                  </w:r>
                  <w:r>
                    <w:rPr>
                      <w:rFonts w:hint="default" w:ascii="Times New Roman" w:hAnsi="Times New Roman" w:cs="Times New Roman"/>
                      <w:color w:val="auto"/>
                      <w:spacing w:val="-11"/>
                      <w:sz w:val="21"/>
                      <w:szCs w:val="21"/>
                    </w:rPr>
                    <w:t>“两高”项目、危险废物集中贮存处置项目及电镀、酸洗、碱洗、磷化等专门从事表面处理的项目</w:t>
                  </w:r>
                  <w:r>
                    <w:rPr>
                      <w:rFonts w:hint="eastAsia" w:ascii="Times New Roman" w:hAnsi="Times New Roman" w:cs="Times New Roman"/>
                      <w:color w:val="auto"/>
                      <w:spacing w:val="-11"/>
                      <w:sz w:val="21"/>
                      <w:szCs w:val="21"/>
                      <w:lang w:eastAsia="zh-CN"/>
                    </w:rPr>
                    <w:t>；</w:t>
                  </w:r>
                  <w:r>
                    <w:rPr>
                      <w:rFonts w:hint="eastAsia" w:ascii="Times New Roman" w:hAnsi="Times New Roman" w:cs="Times New Roman"/>
                      <w:color w:val="auto"/>
                      <w:spacing w:val="-11"/>
                      <w:sz w:val="21"/>
                      <w:szCs w:val="21"/>
                      <w:lang w:val="en-US" w:eastAsia="zh-CN"/>
                    </w:rPr>
                    <w:t>不属于</w:t>
                  </w:r>
                  <w:r>
                    <w:rPr>
                      <w:rFonts w:hint="default" w:ascii="Times New Roman" w:hAnsi="Times New Roman" w:cs="Times New Roman"/>
                      <w:color w:val="auto"/>
                      <w:spacing w:val="-11"/>
                      <w:sz w:val="21"/>
                      <w:szCs w:val="21"/>
                    </w:rPr>
                    <w:t>钢铁和水泥</w:t>
                  </w:r>
                  <w:r>
                    <w:rPr>
                      <w:rFonts w:hint="eastAsia" w:ascii="Times New Roman" w:hAnsi="Times New Roman" w:cs="Times New Roman"/>
                      <w:color w:val="auto"/>
                      <w:spacing w:val="-11"/>
                      <w:sz w:val="21"/>
                      <w:szCs w:val="21"/>
                      <w:lang w:val="en-US" w:eastAsia="zh-CN"/>
                    </w:rPr>
                    <w:t>项目。</w:t>
                  </w:r>
                </w:p>
                <w:p w14:paraId="6EE3D4D5">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6.项目不新增用水。</w:t>
                  </w:r>
                </w:p>
                <w:p w14:paraId="7492AF27">
                  <w:pPr>
                    <w:rPr>
                      <w:rFonts w:hint="eastAsia" w:ascii="Times New Roman" w:hAnsi="Times New Roman" w:cs="Times New Roman"/>
                      <w:color w:val="auto"/>
                      <w:spacing w:val="-11"/>
                      <w:sz w:val="21"/>
                      <w:szCs w:val="21"/>
                      <w:lang w:eastAsia="zh-CN"/>
                    </w:rPr>
                  </w:pPr>
                  <w:r>
                    <w:rPr>
                      <w:rFonts w:hint="eastAsia" w:ascii="Times New Roman" w:hAnsi="Times New Roman" w:cs="Times New Roman"/>
                      <w:color w:val="auto"/>
                      <w:spacing w:val="-11"/>
                      <w:sz w:val="21"/>
                      <w:szCs w:val="21"/>
                      <w:lang w:val="en-US" w:eastAsia="zh-CN"/>
                    </w:rPr>
                    <w:t>7.项目建成后需完善</w:t>
                  </w:r>
                  <w:r>
                    <w:rPr>
                      <w:rFonts w:hint="default" w:ascii="Times New Roman" w:hAnsi="Times New Roman" w:cs="Times New Roman"/>
                      <w:color w:val="auto"/>
                      <w:spacing w:val="-11"/>
                      <w:sz w:val="21"/>
                      <w:szCs w:val="21"/>
                    </w:rPr>
                    <w:t>应急运输响应方案</w:t>
                  </w:r>
                  <w:r>
                    <w:rPr>
                      <w:rFonts w:hint="eastAsia" w:ascii="Times New Roman" w:hAnsi="Times New Roman" w:cs="Times New Roman"/>
                      <w:color w:val="auto"/>
                      <w:spacing w:val="-11"/>
                      <w:sz w:val="21"/>
                      <w:szCs w:val="21"/>
                      <w:lang w:eastAsia="zh-CN"/>
                    </w:rPr>
                    <w:t>。</w:t>
                  </w:r>
                </w:p>
                <w:p w14:paraId="758B14B3">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8.不涉及。</w:t>
                  </w:r>
                </w:p>
                <w:p w14:paraId="48948AB8">
                  <w:pPr>
                    <w:rPr>
                      <w:rFonts w:hint="default"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9.不涉及</w:t>
                  </w:r>
                  <w:r>
                    <w:rPr>
                      <w:rFonts w:hint="eastAsia" w:cs="Times New Roman"/>
                      <w:color w:val="auto"/>
                      <w:spacing w:val="-11"/>
                      <w:sz w:val="21"/>
                      <w:szCs w:val="21"/>
                      <w:lang w:val="en-US" w:eastAsia="zh-CN"/>
                    </w:rPr>
                    <w:t>。</w:t>
                  </w:r>
                </w:p>
              </w:tc>
              <w:tc>
                <w:tcPr>
                  <w:tcW w:w="779" w:type="pct"/>
                  <w:noWrap w:val="0"/>
                  <w:vAlign w:val="center"/>
                </w:tcPr>
                <w:p w14:paraId="739D0130">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r w14:paraId="3D70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642C7098">
                  <w:pPr>
                    <w:widowControl/>
                    <w:shd w:val="clear" w:color="auto" w:fill="auto"/>
                    <w:spacing w:line="280" w:lineRule="exact"/>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四、拟入区建设项目应加强与规划环评联动，结合规划环评相关要求，做好建设项目环境影响评价工作。加强与规划环评的联动，严格项目生态环境准入条件，重点开展工程分析、污染物允许排放量测算和环保措施的可行性论证等工作，强化生态环境保护相关措施的落实。规划环评中协调性分析、环境现状、污染源调查等符合要求的资料可供建设项目环评共享，建设项目环评相应评价内容可结合实际情况予以适当简化。</w:t>
                  </w:r>
                </w:p>
              </w:tc>
              <w:tc>
                <w:tcPr>
                  <w:tcW w:w="1072" w:type="pct"/>
                  <w:noWrap w:val="0"/>
                  <w:vAlign w:val="center"/>
                </w:tcPr>
                <w:p w14:paraId="6EFDFC4F">
                  <w:pPr>
                    <w:widowControl/>
                    <w:shd w:val="clear" w:color="auto" w:fill="auto"/>
                    <w:tabs>
                      <w:tab w:val="center" w:pos="4201"/>
                      <w:tab w:val="right" w:leader="dot" w:pos="9298"/>
                    </w:tabs>
                    <w:autoSpaceDE w:val="0"/>
                    <w:autoSpaceDN w:val="0"/>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本次评价以规划环评为基础，重点分析了项目准入条件符合性、工程分析、环保措施的可行性论证、污染物排放量指标。</w:t>
                  </w:r>
                  <w:r>
                    <w:rPr>
                      <w:rFonts w:hint="eastAsia" w:ascii="Times New Roman" w:hAnsi="Times New Roman" w:cs="Times New Roman"/>
                      <w:color w:val="auto"/>
                      <w:spacing w:val="-11"/>
                      <w:sz w:val="21"/>
                      <w:szCs w:val="21"/>
                      <w:lang w:val="en-US" w:eastAsia="zh-CN"/>
                    </w:rPr>
                    <w:t>无新增生活垃圾产生</w:t>
                  </w:r>
                  <w:r>
                    <w:rPr>
                      <w:rFonts w:hint="default" w:ascii="Times New Roman" w:hAnsi="Times New Roman" w:cs="Times New Roman"/>
                      <w:color w:val="auto"/>
                      <w:spacing w:val="-11"/>
                      <w:sz w:val="21"/>
                      <w:szCs w:val="21"/>
                    </w:rPr>
                    <w:t>。在相关保护措施实施后，该项目不会对水环境造成影响。</w:t>
                  </w:r>
                </w:p>
              </w:tc>
              <w:tc>
                <w:tcPr>
                  <w:tcW w:w="779" w:type="pct"/>
                  <w:noWrap w:val="0"/>
                  <w:vAlign w:val="center"/>
                </w:tcPr>
                <w:p w14:paraId="1EAE8C9E">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bl>
          <w:p w14:paraId="74551DDF">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eastAsia" w:ascii="Times New Roman" w:hAnsi="Times New Roman" w:cs="Times New Roman"/>
                <w:bCs/>
                <w:color w:val="auto"/>
                <w:sz w:val="24"/>
                <w:szCs w:val="24"/>
                <w:highlight w:val="none"/>
                <w:lang w:eastAsia="zh-CN"/>
              </w:rPr>
            </w:pPr>
            <w:r>
              <w:rPr>
                <w:rFonts w:hint="default" w:ascii="Times New Roman" w:hAnsi="Times New Roman" w:cs="Times New Roman"/>
                <w:color w:val="auto"/>
                <w:sz w:val="24"/>
                <w:highlight w:val="none"/>
                <w:lang w:val="en-US" w:eastAsia="zh-CN"/>
              </w:rPr>
              <w:t>综上所述，</w:t>
            </w:r>
            <w:r>
              <w:rPr>
                <w:rFonts w:hint="default" w:ascii="Times New Roman" w:hAnsi="Times New Roman" w:cs="Times New Roman"/>
                <w:bCs/>
                <w:color w:val="auto"/>
                <w:sz w:val="24"/>
                <w:szCs w:val="24"/>
                <w:highlight w:val="none"/>
              </w:rPr>
              <w:t>项目</w:t>
            </w:r>
            <w:r>
              <w:rPr>
                <w:rFonts w:hint="eastAsia" w:ascii="Times New Roman" w:hAnsi="Times New Roman" w:cs="Times New Roman"/>
                <w:bCs/>
                <w:color w:val="auto"/>
                <w:sz w:val="24"/>
                <w:szCs w:val="24"/>
                <w:highlight w:val="none"/>
                <w:lang w:eastAsia="zh-CN"/>
              </w:rPr>
              <w:t>位于石家庄市井陉矿区河北鸿科碳素有限公司内</w:t>
            </w:r>
            <w:r>
              <w:rPr>
                <w:rFonts w:hint="default" w:ascii="Times New Roman" w:hAnsi="Times New Roman" w:cs="Times New Roman"/>
                <w:bCs/>
                <w:color w:val="auto"/>
                <w:sz w:val="24"/>
                <w:szCs w:val="24"/>
                <w:highlight w:val="none"/>
              </w:rPr>
              <w:t>，符合规划要求；</w:t>
            </w:r>
            <w:r>
              <w:rPr>
                <w:rFonts w:hint="default" w:ascii="Times New Roman" w:hAnsi="Times New Roman" w:cs="Times New Roman"/>
                <w:bCs/>
                <w:color w:val="auto"/>
                <w:sz w:val="24"/>
                <w:szCs w:val="24"/>
                <w:highlight w:val="none"/>
                <w:lang w:val="en-US" w:eastAsia="zh-CN"/>
              </w:rPr>
              <w:t>园区</w:t>
            </w:r>
            <w:r>
              <w:rPr>
                <w:rFonts w:hint="default" w:ascii="Times New Roman" w:hAnsi="Times New Roman" w:cs="Times New Roman"/>
                <w:bCs/>
                <w:color w:val="auto"/>
                <w:sz w:val="24"/>
                <w:szCs w:val="24"/>
                <w:highlight w:val="none"/>
              </w:rPr>
              <w:t>公共基础设施满足项目建设需求</w:t>
            </w:r>
            <w:r>
              <w:rPr>
                <w:rFonts w:hint="eastAsia" w:ascii="Times New Roman" w:hAnsi="Times New Roman" w:cs="Times New Roman"/>
                <w:bCs/>
                <w:color w:val="auto"/>
                <w:sz w:val="24"/>
                <w:szCs w:val="24"/>
                <w:highlight w:val="none"/>
                <w:lang w:eastAsia="zh-CN"/>
              </w:rPr>
              <w:t>。</w:t>
            </w:r>
          </w:p>
          <w:p w14:paraId="203DE428">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color w:val="auto"/>
                <w:sz w:val="24"/>
              </w:rPr>
            </w:pPr>
            <w:r>
              <w:rPr>
                <w:rFonts w:hint="eastAsia" w:cs="Times New Roman"/>
                <w:b/>
                <w:color w:val="auto"/>
                <w:kern w:val="0"/>
                <w:sz w:val="24"/>
                <w:lang w:val="en-US" w:eastAsia="zh-CN" w:bidi="ar"/>
              </w:rPr>
              <w:t>4</w:t>
            </w:r>
            <w:r>
              <w:rPr>
                <w:rFonts w:hint="default" w:ascii="Times New Roman" w:hAnsi="Times New Roman" w:cs="Times New Roman"/>
                <w:b/>
                <w:color w:val="auto"/>
                <w:kern w:val="0"/>
                <w:sz w:val="24"/>
                <w:lang w:bidi="ar"/>
              </w:rPr>
              <w:t>、</w:t>
            </w:r>
            <w:r>
              <w:rPr>
                <w:rFonts w:hint="default" w:ascii="Times New Roman" w:hAnsi="Times New Roman" w:cs="Times New Roman"/>
                <w:b/>
                <w:bCs/>
                <w:color w:val="auto"/>
                <w:kern w:val="0"/>
                <w:sz w:val="24"/>
                <w:highlight w:val="none"/>
              </w:rPr>
              <w:t>与规划环境影响评价结论的符合性分析</w:t>
            </w:r>
          </w:p>
          <w:p w14:paraId="221BDE7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default" w:ascii="Times New Roman" w:hAnsi="Times New Roman" w:eastAsia="宋体" w:cs="Times New Roman"/>
                <w:color w:val="auto"/>
                <w:kern w:val="2"/>
                <w:sz w:val="24"/>
                <w:szCs w:val="20"/>
                <w:highlight w:val="none"/>
                <w:lang w:val="en-US" w:eastAsia="zh-CN"/>
              </w:rPr>
              <w:t>河北石家庄矿区工业园区总体发展规划（2022-2030）环境影响报告书</w:t>
            </w:r>
            <w:r>
              <w:rPr>
                <w:rFonts w:hint="default" w:ascii="Times New Roman" w:hAnsi="Times New Roman" w:cs="Times New Roman"/>
                <w:color w:val="auto"/>
                <w:kern w:val="0"/>
                <w:sz w:val="24"/>
                <w:highlight w:val="none"/>
                <w:lang w:eastAsia="zh-CN"/>
              </w:rPr>
              <w:t>》主要</w:t>
            </w:r>
            <w:r>
              <w:rPr>
                <w:rFonts w:hint="default" w:ascii="Times New Roman" w:hAnsi="Times New Roman" w:cs="Times New Roman"/>
                <w:color w:val="auto"/>
                <w:kern w:val="0"/>
                <w:sz w:val="24"/>
                <w:highlight w:val="none"/>
              </w:rPr>
              <w:t>结论的符合性分析见表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w:t>
            </w:r>
          </w:p>
          <w:p w14:paraId="52F78DE3">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exact"/>
              <w:ind w:left="0" w:right="0" w:firstLine="0" w:firstLineChars="0"/>
              <w:jc w:val="center"/>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表</w:t>
            </w:r>
            <w:r>
              <w:rPr>
                <w:rFonts w:hint="default" w:ascii="Times New Roman" w:hAnsi="Times New Roman" w:cs="Times New Roman"/>
                <w:b/>
                <w:bCs/>
                <w:color w:val="auto"/>
                <w:kern w:val="0"/>
                <w:sz w:val="24"/>
                <w:highlight w:val="none"/>
                <w:lang w:val="en-US" w:eastAsia="zh-CN"/>
              </w:rPr>
              <w:t>1-</w:t>
            </w:r>
            <w:r>
              <w:rPr>
                <w:rFonts w:hint="eastAsia" w:ascii="Times New Roman" w:hAnsi="Times New Roman" w:cs="Times New Roman"/>
                <w:b/>
                <w:bCs/>
                <w:color w:val="auto"/>
                <w:kern w:val="0"/>
                <w:sz w:val="24"/>
                <w:highlight w:val="none"/>
                <w:lang w:val="en-US" w:eastAsia="zh-CN"/>
              </w:rPr>
              <w:t>5</w:t>
            </w:r>
            <w:r>
              <w:rPr>
                <w:rFonts w:hint="default" w:ascii="Times New Roman" w:hAnsi="Times New Roman" w:cs="Times New Roman"/>
                <w:b/>
                <w:bCs/>
                <w:color w:val="auto"/>
                <w:kern w:val="0"/>
                <w:sz w:val="24"/>
                <w:highlight w:val="none"/>
                <w:lang w:val="en-US" w:eastAsia="zh-CN"/>
              </w:rPr>
              <w:t xml:space="preserve">  </w:t>
            </w:r>
            <w:r>
              <w:rPr>
                <w:rFonts w:hint="default" w:ascii="Times New Roman" w:hAnsi="Times New Roman" w:cs="Times New Roman"/>
                <w:b/>
                <w:bCs/>
                <w:color w:val="auto"/>
                <w:kern w:val="0"/>
                <w:sz w:val="24"/>
                <w:highlight w:val="none"/>
              </w:rPr>
              <w:t>本项目与规划环境影响评价</w:t>
            </w:r>
            <w:r>
              <w:rPr>
                <w:rFonts w:hint="default" w:ascii="Times New Roman" w:hAnsi="Times New Roman" w:cs="Times New Roman"/>
                <w:b/>
                <w:bCs/>
                <w:color w:val="auto"/>
                <w:kern w:val="0"/>
                <w:sz w:val="24"/>
                <w:highlight w:val="none"/>
                <w:lang w:eastAsia="zh-CN"/>
              </w:rPr>
              <w:t>主要</w:t>
            </w:r>
            <w:r>
              <w:rPr>
                <w:rFonts w:hint="default" w:ascii="Times New Roman" w:hAnsi="Times New Roman" w:cs="Times New Roman"/>
                <w:b/>
                <w:bCs/>
                <w:color w:val="auto"/>
                <w:kern w:val="0"/>
                <w:sz w:val="24"/>
                <w:highlight w:val="none"/>
              </w:rPr>
              <w:t>结论的符合性分析</w:t>
            </w:r>
          </w:p>
          <w:tbl>
            <w:tblPr>
              <w:tblStyle w:val="36"/>
              <w:tblW w:w="4997" w:type="pct"/>
              <w:jc w:val="center"/>
              <w:tblLayout w:type="fixed"/>
              <w:tblCellMar>
                <w:top w:w="0" w:type="dxa"/>
                <w:left w:w="0" w:type="dxa"/>
                <w:bottom w:w="0" w:type="dxa"/>
                <w:right w:w="0" w:type="dxa"/>
              </w:tblCellMar>
            </w:tblPr>
            <w:tblGrid>
              <w:gridCol w:w="321"/>
              <w:gridCol w:w="4119"/>
              <w:gridCol w:w="1866"/>
              <w:gridCol w:w="470"/>
            </w:tblGrid>
            <w:tr w14:paraId="712E074E">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544862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序号</w:t>
                  </w:r>
                </w:p>
              </w:tc>
              <w:tc>
                <w:tcPr>
                  <w:tcW w:w="3039" w:type="pct"/>
                  <w:tcBorders>
                    <w:top w:val="single" w:color="000000" w:sz="4" w:space="0"/>
                    <w:left w:val="single" w:color="000000" w:sz="4" w:space="0"/>
                    <w:bottom w:val="single" w:color="000000" w:sz="4" w:space="0"/>
                    <w:right w:val="single" w:color="000000" w:sz="4" w:space="0"/>
                  </w:tcBorders>
                  <w:vAlign w:val="center"/>
                </w:tcPr>
                <w:p w14:paraId="25024861">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规划环境影响评价</w:t>
                  </w:r>
                  <w:r>
                    <w:rPr>
                      <w:rFonts w:hint="default" w:ascii="Times New Roman" w:hAnsi="Times New Roman" w:cs="Times New Roman"/>
                      <w:color w:val="auto"/>
                      <w:sz w:val="18"/>
                      <w:szCs w:val="18"/>
                      <w:highlight w:val="none"/>
                      <w:lang w:eastAsia="zh-CN"/>
                    </w:rPr>
                    <w:t>主要</w:t>
                  </w:r>
                  <w:r>
                    <w:rPr>
                      <w:rFonts w:hint="default" w:ascii="Times New Roman" w:hAnsi="Times New Roman" w:cs="Times New Roman"/>
                      <w:color w:val="auto"/>
                      <w:sz w:val="18"/>
                      <w:szCs w:val="18"/>
                      <w:highlight w:val="none"/>
                    </w:rPr>
                    <w:t>结论</w:t>
                  </w:r>
                </w:p>
              </w:tc>
              <w:tc>
                <w:tcPr>
                  <w:tcW w:w="1377" w:type="pct"/>
                  <w:tcBorders>
                    <w:top w:val="single" w:color="000000" w:sz="4" w:space="0"/>
                    <w:left w:val="single" w:color="000000" w:sz="4" w:space="0"/>
                    <w:bottom w:val="single" w:color="000000" w:sz="4" w:space="0"/>
                    <w:right w:val="single" w:color="000000" w:sz="4" w:space="0"/>
                  </w:tcBorders>
                  <w:vAlign w:val="center"/>
                </w:tcPr>
                <w:p w14:paraId="0ADBCAEE">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本项目情况</w:t>
                  </w:r>
                </w:p>
              </w:tc>
              <w:tc>
                <w:tcPr>
                  <w:tcW w:w="346" w:type="pct"/>
                  <w:tcBorders>
                    <w:top w:val="single" w:color="000000" w:sz="4" w:space="0"/>
                    <w:left w:val="single" w:color="000000" w:sz="4" w:space="0"/>
                    <w:bottom w:val="single" w:color="000000" w:sz="4" w:space="0"/>
                    <w:right w:val="single" w:color="000000" w:sz="4" w:space="0"/>
                  </w:tcBorders>
                  <w:vAlign w:val="center"/>
                </w:tcPr>
                <w:p w14:paraId="50E9516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符合性</w:t>
                  </w:r>
                </w:p>
              </w:tc>
            </w:tr>
            <w:tr w14:paraId="545B7E1C">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E04933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w:t>
                  </w:r>
                </w:p>
              </w:tc>
              <w:tc>
                <w:tcPr>
                  <w:tcW w:w="3039" w:type="pct"/>
                  <w:tcBorders>
                    <w:top w:val="single" w:color="000000" w:sz="4" w:space="0"/>
                    <w:left w:val="single" w:color="000000" w:sz="4" w:space="0"/>
                    <w:bottom w:val="single" w:color="000000" w:sz="4" w:space="0"/>
                    <w:right w:val="single" w:color="000000" w:sz="4" w:space="0"/>
                  </w:tcBorders>
                  <w:vAlign w:val="center"/>
                </w:tcPr>
                <w:p w14:paraId="1F2C1534">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大气环境影响评价结论：本次规划实施后，在入区企业严格按照环评建议提出的要求，采取完善的环境治理措施的前提下，落实规划提出的削减措施的前提下，对区域环境空气的影响程度在可接受范围之内。</w:t>
                  </w:r>
                </w:p>
              </w:tc>
              <w:tc>
                <w:tcPr>
                  <w:tcW w:w="1377" w:type="pct"/>
                  <w:tcBorders>
                    <w:top w:val="single" w:color="000000" w:sz="4" w:space="0"/>
                    <w:left w:val="single" w:color="000000" w:sz="4" w:space="0"/>
                    <w:bottom w:val="single" w:color="000000" w:sz="4" w:space="0"/>
                    <w:right w:val="single" w:color="000000" w:sz="4" w:space="0"/>
                  </w:tcBorders>
                  <w:vAlign w:val="center"/>
                </w:tcPr>
                <w:p w14:paraId="62D4BAE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本项目废气采取可行的治理措施后，达标排放，对区域环境空气的影响程度较小，在可接受范围之内。</w:t>
                  </w:r>
                </w:p>
              </w:tc>
              <w:tc>
                <w:tcPr>
                  <w:tcW w:w="346" w:type="pct"/>
                  <w:tcBorders>
                    <w:top w:val="single" w:color="000000" w:sz="4" w:space="0"/>
                    <w:left w:val="single" w:color="000000" w:sz="4" w:space="0"/>
                    <w:bottom w:val="single" w:color="000000" w:sz="4" w:space="0"/>
                    <w:right w:val="single" w:color="000000" w:sz="4" w:space="0"/>
                  </w:tcBorders>
                  <w:vAlign w:val="center"/>
                </w:tcPr>
                <w:p w14:paraId="05A965C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0FADDBD5">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54BC4F7A">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2</w:t>
                  </w:r>
                </w:p>
              </w:tc>
              <w:tc>
                <w:tcPr>
                  <w:tcW w:w="3039" w:type="pct"/>
                  <w:tcBorders>
                    <w:top w:val="single" w:color="000000" w:sz="4" w:space="0"/>
                    <w:left w:val="single" w:color="000000" w:sz="4" w:space="0"/>
                    <w:bottom w:val="single" w:color="000000" w:sz="4" w:space="0"/>
                    <w:right w:val="single" w:color="000000" w:sz="4" w:space="0"/>
                  </w:tcBorders>
                  <w:vAlign w:val="center"/>
                </w:tcPr>
                <w:p w14:paraId="6ED3A6F7">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地表水环境影响评价结论：园区规划实施后，矿区绿洁污水处理厂处理后废水中COD、BOD</w:t>
                  </w:r>
                  <w:r>
                    <w:rPr>
                      <w:rFonts w:hint="default" w:ascii="Times New Roman" w:hAnsi="Times New Roman" w:cs="Times New Roman"/>
                      <w:color w:val="auto"/>
                      <w:sz w:val="18"/>
                      <w:szCs w:val="18"/>
                      <w:highlight w:val="none"/>
                      <w:vertAlign w:val="subscript"/>
                      <w:lang w:eastAsia="zh-CN"/>
                    </w:rPr>
                    <w:t>5</w:t>
                  </w:r>
                  <w:r>
                    <w:rPr>
                      <w:rFonts w:hint="default" w:ascii="Times New Roman" w:hAnsi="Times New Roman" w:cs="Times New Roman"/>
                      <w:color w:val="auto"/>
                      <w:sz w:val="18"/>
                      <w:szCs w:val="18"/>
                      <w:highlight w:val="none"/>
                      <w:lang w:eastAsia="zh-CN"/>
                    </w:rPr>
                    <w:t>、氨氮、总氮、总磷排放浓度满足《子牙河流域水污染物排放标准》(DB13/2796-2018)表1中重点控制区排放限值、《城市污水再生利用 工业用水水质》(GB/T19923-2005)表1冷却用水标准和《农田灌溉水质标准》(GB/5084-2021)标准要求，部分回用于河钢集团石家庄钢铁有限责任公司特殊钢分公司内部生产、杏花沟生态补水、城市道路洒扫降尘、城市绿化，剩余中水排入长岗沟，进行生态补水。根据《石家庄市矿区绿洁污水处理有限公司环境影响报告书》，矿区绿洁污水处理厂污水处理后外排可行。</w:t>
                  </w:r>
                </w:p>
                <w:p w14:paraId="74270530">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另外，本次评价提出了入区企业和园区污水处理厂事故状态下的防范措施，保证事故工况下不会对区域地表水产生污染影响。综上分析，本次规划实施后对区域地表水环境影响可接受。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60EE3DC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w:t>
                  </w:r>
                  <w:r>
                    <w:rPr>
                      <w:rFonts w:hint="eastAsia" w:ascii="Times New Roman" w:hAnsi="Times New Roman" w:cs="Times New Roman"/>
                      <w:color w:val="auto"/>
                      <w:sz w:val="18"/>
                      <w:szCs w:val="18"/>
                      <w:highlight w:val="none"/>
                      <w:lang w:val="en-US" w:eastAsia="zh-CN"/>
                    </w:rPr>
                    <w:t>无</w:t>
                  </w:r>
                  <w:r>
                    <w:rPr>
                      <w:rFonts w:hint="default" w:ascii="Times New Roman" w:hAnsi="Times New Roman" w:cs="Times New Roman"/>
                      <w:color w:val="auto"/>
                      <w:sz w:val="18"/>
                      <w:szCs w:val="18"/>
                      <w:highlight w:val="none"/>
                      <w:lang w:eastAsia="zh-CN"/>
                    </w:rPr>
                    <w:t>生产废水</w:t>
                  </w:r>
                  <w:r>
                    <w:rPr>
                      <w:rFonts w:hint="eastAsia"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无新增生活污水</w:t>
                  </w:r>
                  <w:r>
                    <w:rPr>
                      <w:rFonts w:hint="default" w:ascii="Times New Roman" w:hAnsi="Times New Roman" w:cs="Times New Roman"/>
                      <w:color w:val="auto"/>
                      <w:sz w:val="18"/>
                      <w:szCs w:val="18"/>
                      <w:highlight w:val="none"/>
                      <w:lang w:eastAsia="zh-CN"/>
                    </w:rPr>
                    <w:t>，不会对区域地表水产生污染影响。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40D72A5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2E03010E">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1245454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3</w:t>
                  </w:r>
                </w:p>
              </w:tc>
              <w:tc>
                <w:tcPr>
                  <w:tcW w:w="3039" w:type="pct"/>
                  <w:tcBorders>
                    <w:top w:val="single" w:color="000000" w:sz="4" w:space="0"/>
                    <w:left w:val="single" w:color="000000" w:sz="4" w:space="0"/>
                    <w:bottom w:val="single" w:color="000000" w:sz="4" w:space="0"/>
                    <w:right w:val="single" w:color="000000" w:sz="4" w:space="0"/>
                  </w:tcBorders>
                  <w:vAlign w:val="center"/>
                </w:tcPr>
                <w:p w14:paraId="0BFB2C38">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地下水环境影响评价结论：园区内企业在严格落实防渗措施，建立健全地下水水质监测系统，突发事件预警预报系统和事故应急防范措施的基础上，园区内企业对地下水环境影响较小。因此在强化管理切实落实各项环保措施的前提下，从地下水保护的角度分析，本评价认为该园区规划是可行的。</w:t>
                  </w:r>
                </w:p>
              </w:tc>
              <w:tc>
                <w:tcPr>
                  <w:tcW w:w="1377" w:type="pct"/>
                  <w:tcBorders>
                    <w:top w:val="single" w:color="000000" w:sz="4" w:space="0"/>
                    <w:left w:val="single" w:color="000000" w:sz="4" w:space="0"/>
                    <w:bottom w:val="single" w:color="000000" w:sz="4" w:space="0"/>
                    <w:right w:val="single" w:color="000000" w:sz="4" w:space="0"/>
                  </w:tcBorders>
                  <w:vAlign w:val="center"/>
                </w:tcPr>
                <w:p w14:paraId="6015CAE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本项目采取分区防渗措施，不会对地下水环境造成影响。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68A5D54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7D854128">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452AA40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4</w:t>
                  </w:r>
                </w:p>
              </w:tc>
              <w:tc>
                <w:tcPr>
                  <w:tcW w:w="3039" w:type="pct"/>
                  <w:tcBorders>
                    <w:top w:val="single" w:color="000000" w:sz="4" w:space="0"/>
                    <w:left w:val="single" w:color="000000" w:sz="4" w:space="0"/>
                    <w:bottom w:val="single" w:color="000000" w:sz="4" w:space="0"/>
                    <w:right w:val="single" w:color="000000" w:sz="4" w:space="0"/>
                  </w:tcBorders>
                  <w:vAlign w:val="center"/>
                </w:tcPr>
                <w:p w14:paraId="73534FEC">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声环境影响评价结论</w:t>
                  </w:r>
                  <w:r>
                    <w:rPr>
                      <w:rFonts w:hint="default" w:ascii="Times New Roman" w:hAnsi="Times New Roman" w:cs="Times New Roman"/>
                      <w:color w:val="auto"/>
                      <w:sz w:val="18"/>
                      <w:szCs w:val="18"/>
                      <w:highlight w:val="none"/>
                      <w:lang w:eastAsia="zh-CN"/>
                    </w:rPr>
                    <w:t>：</w:t>
                  </w:r>
                </w:p>
                <w:p w14:paraId="2201A6D4">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根据园区规划布局和预测结果可知，园区规划道路全部建成通车后，高速路的交通噪声40m以内区域满足《声环境质量标准》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GB3096-2008</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4a类区标准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昼间 70dB(A)、夜间 55dB(A)</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要求</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省道及规划其他主、次干道的交通噪声20m以外区域声环境满足</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GB3096-2008</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3类区标准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昼间 65B(A)、夜间 55dB(A)</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要求。规划的实施不会改变区域声环境功能，满足环境质量底线要求。</w:t>
                  </w:r>
                </w:p>
              </w:tc>
              <w:tc>
                <w:tcPr>
                  <w:tcW w:w="1377" w:type="pct"/>
                  <w:tcBorders>
                    <w:top w:val="single" w:color="000000" w:sz="4" w:space="0"/>
                    <w:left w:val="single" w:color="000000" w:sz="4" w:space="0"/>
                    <w:bottom w:val="single" w:color="000000" w:sz="4" w:space="0"/>
                    <w:right w:val="single" w:color="000000" w:sz="4" w:space="0"/>
                  </w:tcBorders>
                  <w:vAlign w:val="center"/>
                </w:tcPr>
                <w:p w14:paraId="6733967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eastAsia="zh-CN"/>
                    </w:rPr>
                    <w:t>本项目噪声主要为生产设备、风机等产生的噪声，通过采取选用低噪声设备，基础减</w:t>
                  </w:r>
                  <w:r>
                    <w:rPr>
                      <w:rFonts w:hint="eastAsia" w:cs="Times New Roman"/>
                      <w:color w:val="auto"/>
                      <w:sz w:val="18"/>
                      <w:szCs w:val="18"/>
                      <w:highlight w:val="none"/>
                      <w:lang w:val="en-US" w:eastAsia="zh-CN"/>
                    </w:rPr>
                    <w:t>振</w:t>
                  </w:r>
                  <w:r>
                    <w:rPr>
                      <w:rFonts w:hint="default"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隔声罩</w:t>
                  </w:r>
                  <w:r>
                    <w:rPr>
                      <w:rFonts w:hint="default" w:ascii="Times New Roman" w:hAnsi="Times New Roman" w:cs="Times New Roman"/>
                      <w:color w:val="auto"/>
                      <w:sz w:val="18"/>
                      <w:szCs w:val="18"/>
                      <w:highlight w:val="none"/>
                      <w:lang w:eastAsia="zh-CN"/>
                    </w:rPr>
                    <w:t>等措施，厂界噪声符合</w:t>
                  </w:r>
                  <w:r>
                    <w:rPr>
                      <w:rFonts w:hint="default" w:ascii="Times New Roman" w:hAnsi="Times New Roman" w:cs="Times New Roman"/>
                      <w:color w:val="auto"/>
                      <w:sz w:val="18"/>
                      <w:szCs w:val="18"/>
                      <w:highlight w:val="none"/>
                      <w:lang w:val="en-US" w:eastAsia="zh-CN"/>
                    </w:rPr>
                    <w:t>3类标准要求，不会改变区域声环境功能。</w:t>
                  </w:r>
                </w:p>
              </w:tc>
              <w:tc>
                <w:tcPr>
                  <w:tcW w:w="346" w:type="pct"/>
                  <w:tcBorders>
                    <w:top w:val="single" w:color="000000" w:sz="4" w:space="0"/>
                    <w:left w:val="single" w:color="000000" w:sz="4" w:space="0"/>
                    <w:bottom w:val="single" w:color="000000" w:sz="4" w:space="0"/>
                    <w:right w:val="single" w:color="000000" w:sz="4" w:space="0"/>
                  </w:tcBorders>
                  <w:vAlign w:val="center"/>
                </w:tcPr>
                <w:p w14:paraId="103F027E">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2A11D877">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D1A896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5</w:t>
                  </w:r>
                </w:p>
              </w:tc>
              <w:tc>
                <w:tcPr>
                  <w:tcW w:w="3039" w:type="pct"/>
                  <w:tcBorders>
                    <w:top w:val="single" w:color="000000" w:sz="4" w:space="0"/>
                    <w:left w:val="single" w:color="000000" w:sz="4" w:space="0"/>
                    <w:bottom w:val="single" w:color="000000" w:sz="4" w:space="0"/>
                    <w:right w:val="single" w:color="000000" w:sz="4" w:space="0"/>
                  </w:tcBorders>
                  <w:vAlign w:val="center"/>
                </w:tcPr>
                <w:p w14:paraId="2E716F1F">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固体废物影响评价结论</w:t>
                  </w:r>
                  <w:r>
                    <w:rPr>
                      <w:rFonts w:hint="default" w:ascii="Times New Roman" w:hAnsi="Times New Roman" w:cs="Times New Roman"/>
                      <w:color w:val="auto"/>
                      <w:sz w:val="18"/>
                      <w:szCs w:val="18"/>
                      <w:highlight w:val="none"/>
                      <w:lang w:eastAsia="zh-CN"/>
                    </w:rPr>
                    <w:t>：</w:t>
                  </w:r>
                </w:p>
                <w:p w14:paraId="4F8D7CC5">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园区产生的生活垃圾全部进行无害化处置;一般工业固体废物全部回收利用或外售综合利用;危险废物委托有资质单位进行处理处置。在落实本评价提出的固体废物处置措施的情况下，园区产生的固体废物可全部综合利用或妥善处置，不会对区域环境产生明显不良影响。</w:t>
                  </w:r>
                </w:p>
              </w:tc>
              <w:tc>
                <w:tcPr>
                  <w:tcW w:w="1377" w:type="pct"/>
                  <w:tcBorders>
                    <w:top w:val="single" w:color="000000" w:sz="4" w:space="0"/>
                    <w:left w:val="single" w:color="000000" w:sz="4" w:space="0"/>
                    <w:bottom w:val="single" w:color="000000" w:sz="4" w:space="0"/>
                    <w:right w:val="single" w:color="000000" w:sz="4" w:space="0"/>
                  </w:tcBorders>
                  <w:vAlign w:val="center"/>
                </w:tcPr>
                <w:p w14:paraId="698BA72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本项目生活垃圾采用垃圾桶收集后，由环卫部门定期清理统一进行无害化处置；</w:t>
                  </w:r>
                  <w:r>
                    <w:rPr>
                      <w:rFonts w:hint="eastAsia" w:ascii="Times New Roman" w:hAnsi="Times New Roman" w:cs="Times New Roman"/>
                      <w:color w:val="auto"/>
                      <w:sz w:val="18"/>
                      <w:szCs w:val="18"/>
                      <w:highlight w:val="none"/>
                      <w:lang w:val="en-US" w:eastAsia="zh-CN"/>
                    </w:rPr>
                    <w:t>除尘灰、废布袋等</w:t>
                  </w:r>
                  <w:r>
                    <w:rPr>
                      <w:rFonts w:hint="default" w:ascii="Times New Roman" w:hAnsi="Times New Roman" w:cs="Times New Roman"/>
                      <w:color w:val="auto"/>
                      <w:sz w:val="18"/>
                      <w:szCs w:val="18"/>
                      <w:highlight w:val="none"/>
                      <w:lang w:eastAsia="zh-CN"/>
                    </w:rPr>
                    <w:t>一般工业固体废物全部综合利用；危险废物</w:t>
                  </w:r>
                  <w:r>
                    <w:rPr>
                      <w:rFonts w:hint="eastAsia" w:ascii="Times New Roman" w:hAnsi="Times New Roman" w:cs="Times New Roman"/>
                      <w:color w:val="auto"/>
                      <w:sz w:val="18"/>
                      <w:szCs w:val="18"/>
                      <w:highlight w:val="none"/>
                      <w:lang w:val="en-US" w:eastAsia="zh-CN"/>
                    </w:rPr>
                    <w:t>随产随清交由有资质单位进行处置</w:t>
                  </w:r>
                  <w:r>
                    <w:rPr>
                      <w:rFonts w:hint="default" w:ascii="Times New Roman" w:hAnsi="Times New Roman" w:cs="Times New Roman"/>
                      <w:color w:val="auto"/>
                      <w:sz w:val="18"/>
                      <w:szCs w:val="18"/>
                      <w:highlight w:val="none"/>
                      <w:lang w:eastAsia="zh-CN"/>
                    </w:rPr>
                    <w:t>。因此，不会对区域环境产生明显不良影响。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475834BB">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388E4BF">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4C4A21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6</w:t>
                  </w:r>
                </w:p>
              </w:tc>
              <w:tc>
                <w:tcPr>
                  <w:tcW w:w="3039" w:type="pct"/>
                  <w:tcBorders>
                    <w:top w:val="single" w:color="000000" w:sz="4" w:space="0"/>
                    <w:left w:val="single" w:color="000000" w:sz="4" w:space="0"/>
                    <w:bottom w:val="single" w:color="000000" w:sz="4" w:space="0"/>
                    <w:right w:val="single" w:color="000000" w:sz="4" w:space="0"/>
                  </w:tcBorders>
                  <w:vAlign w:val="center"/>
                </w:tcPr>
                <w:p w14:paraId="7CD8E369">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土壤环境影响评价结论</w:t>
                  </w:r>
                </w:p>
                <w:p w14:paraId="68A7FA1E">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根据分析可知，在非正常状况下，园区储罐泄漏、污水处理站泄漏、焦炭吸附池泄漏均会对土壤造成一定影响。因此规划区内企业应严格实行分区防</w:t>
                  </w:r>
                  <w:r>
                    <w:rPr>
                      <w:rFonts w:hint="default" w:ascii="Times New Roman" w:hAnsi="Times New Roman" w:cs="Times New Roman"/>
                      <w:color w:val="auto"/>
                      <w:sz w:val="18"/>
                      <w:szCs w:val="18"/>
                      <w:highlight w:val="none"/>
                      <w:lang w:eastAsia="zh-CN"/>
                    </w:rPr>
                    <w:t>渗</w:t>
                  </w:r>
                  <w:r>
                    <w:rPr>
                      <w:rFonts w:hint="default" w:ascii="Times New Roman" w:hAnsi="Times New Roman" w:cs="Times New Roman"/>
                      <w:color w:val="auto"/>
                      <w:sz w:val="18"/>
                      <w:szCs w:val="18"/>
                      <w:highlight w:val="none"/>
                    </w:rPr>
                    <w:t>的要求，对各类储罐做好检漏工作，发生事故后及时清理污染土壤。各企业在严格落实分区防渗和应急处置等措施的前提下，土壤环境影响可接受。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1748F63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本项目不涉及储罐、污水处理站等设施，项目范围采取分区防渗措施，土壤环境影响可接受。</w:t>
                  </w:r>
                </w:p>
              </w:tc>
              <w:tc>
                <w:tcPr>
                  <w:tcW w:w="346" w:type="pct"/>
                  <w:tcBorders>
                    <w:top w:val="single" w:color="000000" w:sz="4" w:space="0"/>
                    <w:left w:val="single" w:color="000000" w:sz="4" w:space="0"/>
                    <w:bottom w:val="single" w:color="000000" w:sz="4" w:space="0"/>
                    <w:right w:val="single" w:color="000000" w:sz="4" w:space="0"/>
                  </w:tcBorders>
                  <w:vAlign w:val="center"/>
                </w:tcPr>
                <w:p w14:paraId="28333630">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6811133">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CAA3AF4">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7</w:t>
                  </w:r>
                </w:p>
              </w:tc>
              <w:tc>
                <w:tcPr>
                  <w:tcW w:w="3039" w:type="pct"/>
                  <w:tcBorders>
                    <w:top w:val="single" w:color="000000" w:sz="4" w:space="0"/>
                    <w:left w:val="single" w:color="000000" w:sz="4" w:space="0"/>
                    <w:bottom w:val="single" w:color="000000" w:sz="4" w:space="0"/>
                    <w:right w:val="single" w:color="000000" w:sz="4" w:space="0"/>
                  </w:tcBorders>
                  <w:vAlign w:val="center"/>
                </w:tcPr>
                <w:p w14:paraId="5B953719">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生态环境影响评价结论：规划实施后，对工业园区内土地利用类型有一定影响，园区内耕地被完全破坏转换为工业用地，园区内城镇生态系统面积有所增加，园区的建设虽会导致园区土地利用类型发生变化，但不影响评价区范围内主导土地利用类型，不会导致评价区范围内生态功能改变，对区域生态系统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26623982">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本项目占地属于</w:t>
                  </w:r>
                  <w:r>
                    <w:rPr>
                      <w:rFonts w:hint="eastAsia" w:ascii="Times New Roman" w:hAnsi="Times New Roman" w:cs="Times New Roman"/>
                      <w:color w:val="auto"/>
                      <w:sz w:val="18"/>
                      <w:szCs w:val="18"/>
                      <w:highlight w:val="none"/>
                      <w:lang w:val="en-US" w:eastAsia="zh-CN"/>
                    </w:rPr>
                    <w:t>园区</w:t>
                  </w:r>
                  <w:r>
                    <w:rPr>
                      <w:rFonts w:hint="default" w:ascii="Times New Roman" w:hAnsi="Times New Roman" w:cs="Times New Roman"/>
                      <w:color w:val="auto"/>
                      <w:sz w:val="18"/>
                      <w:szCs w:val="18"/>
                      <w:highlight w:val="none"/>
                      <w:lang w:eastAsia="zh-CN"/>
                    </w:rPr>
                    <w:t>规划的工业用地，对区域生态系统影响可接受。</w:t>
                  </w:r>
                </w:p>
              </w:tc>
              <w:tc>
                <w:tcPr>
                  <w:tcW w:w="346" w:type="pct"/>
                  <w:tcBorders>
                    <w:top w:val="single" w:color="000000" w:sz="4" w:space="0"/>
                    <w:left w:val="single" w:color="000000" w:sz="4" w:space="0"/>
                    <w:bottom w:val="single" w:color="000000" w:sz="4" w:space="0"/>
                    <w:right w:val="single" w:color="000000" w:sz="4" w:space="0"/>
                  </w:tcBorders>
                  <w:vAlign w:val="center"/>
                </w:tcPr>
                <w:p w14:paraId="5567272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07C28E1A">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A3C07D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8</w:t>
                  </w:r>
                </w:p>
              </w:tc>
              <w:tc>
                <w:tcPr>
                  <w:tcW w:w="3039" w:type="pct"/>
                  <w:tcBorders>
                    <w:top w:val="single" w:color="000000" w:sz="4" w:space="0"/>
                    <w:left w:val="single" w:color="000000" w:sz="4" w:space="0"/>
                    <w:bottom w:val="single" w:color="000000" w:sz="4" w:space="0"/>
                    <w:right w:val="single" w:color="000000" w:sz="4" w:space="0"/>
                  </w:tcBorders>
                  <w:vAlign w:val="center"/>
                </w:tcPr>
                <w:p w14:paraId="7DD801EA">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环境风险评价结论</w:t>
                  </w:r>
                  <w:r>
                    <w:rPr>
                      <w:rFonts w:hint="default" w:ascii="Times New Roman" w:hAnsi="Times New Roman" w:cs="Times New Roman"/>
                      <w:color w:val="auto"/>
                      <w:sz w:val="18"/>
                      <w:szCs w:val="18"/>
                      <w:highlight w:val="none"/>
                      <w:lang w:eastAsia="zh-CN"/>
                    </w:rPr>
                    <w:t>：</w:t>
                  </w:r>
                </w:p>
                <w:p w14:paraId="549CAC59">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规划入区企业通过合理优化园区风险源布局、健全园区环境风险预警体系建设、加强危险化学品仓储运输管理、健全园区风险三级防控体系以及加强区域环境风险联防联</w:t>
                  </w:r>
                  <w:r>
                    <w:rPr>
                      <w:rFonts w:hint="eastAsia" w:cs="Times New Roman"/>
                      <w:color w:val="auto"/>
                      <w:sz w:val="18"/>
                      <w:szCs w:val="18"/>
                      <w:highlight w:val="none"/>
                      <w:lang w:eastAsia="zh-CN"/>
                    </w:rPr>
                    <w:t>控措</w:t>
                  </w:r>
                  <w:r>
                    <w:rPr>
                      <w:rFonts w:hint="default" w:ascii="Times New Roman" w:hAnsi="Times New Roman" w:cs="Times New Roman"/>
                      <w:color w:val="auto"/>
                      <w:sz w:val="18"/>
                      <w:szCs w:val="18"/>
                      <w:highlight w:val="none"/>
                    </w:rPr>
                    <w:t>等风险防范措施的情况下，环境风险可防控控制。同时，园区通过采取项目准入控制措施、工程措施、管理措施、监控措施、修复治理措施多项措施，可避免规划实施后对区域环境产生污染影响。</w:t>
                  </w:r>
                </w:p>
              </w:tc>
              <w:tc>
                <w:tcPr>
                  <w:tcW w:w="1377" w:type="pct"/>
                  <w:tcBorders>
                    <w:top w:val="single" w:color="000000" w:sz="4" w:space="0"/>
                    <w:left w:val="single" w:color="000000" w:sz="4" w:space="0"/>
                    <w:bottom w:val="single" w:color="000000" w:sz="4" w:space="0"/>
                    <w:right w:val="single" w:color="000000" w:sz="4" w:space="0"/>
                  </w:tcBorders>
                  <w:vAlign w:val="center"/>
                </w:tcPr>
                <w:p w14:paraId="533515D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本项目不涉及危险化学品仓储运输等，</w:t>
                  </w:r>
                  <w:r>
                    <w:rPr>
                      <w:rFonts w:hint="eastAsia" w:ascii="Times New Roman" w:hAnsi="Times New Roman" w:cs="Times New Roman"/>
                      <w:color w:val="auto"/>
                      <w:sz w:val="18"/>
                      <w:szCs w:val="18"/>
                      <w:highlight w:val="none"/>
                      <w:lang w:val="en-US" w:eastAsia="zh-CN"/>
                    </w:rPr>
                    <w:t>主要风险源为危废产生单元，通过采取随产随清、车间防渗等措施，</w:t>
                  </w:r>
                  <w:r>
                    <w:rPr>
                      <w:rFonts w:hint="default" w:ascii="Times New Roman" w:hAnsi="Times New Roman" w:cs="Times New Roman"/>
                      <w:color w:val="auto"/>
                      <w:sz w:val="18"/>
                      <w:szCs w:val="18"/>
                      <w:highlight w:val="none"/>
                      <w:lang w:eastAsia="zh-CN"/>
                    </w:rPr>
                    <w:t>不会对区域环境产生污染影响。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31050DC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64A2197">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E1D5B2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9</w:t>
                  </w:r>
                </w:p>
              </w:tc>
              <w:tc>
                <w:tcPr>
                  <w:tcW w:w="3039" w:type="pct"/>
                  <w:tcBorders>
                    <w:top w:val="single" w:color="000000" w:sz="4" w:space="0"/>
                    <w:left w:val="single" w:color="000000" w:sz="4" w:space="0"/>
                    <w:bottom w:val="single" w:color="000000" w:sz="4" w:space="0"/>
                    <w:right w:val="single" w:color="000000" w:sz="4" w:space="0"/>
                  </w:tcBorders>
                  <w:vAlign w:val="center"/>
                </w:tcPr>
                <w:p w14:paraId="005CDBCE">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总体评价结论：在落实区域削减源以及本评价提出的预防和治理措施的情况下，规划的实施对周围环境影响可接受，不会改变区域环境功能，可满足环境质量底线要求;在充分利用再生水以及加强环保管理的前提下,区域资源环境可以承载规划的实施,不突破水资源、土地资源利用上线;规划范围内不涉及生态保护红线;规划产业空间布局和能源结构相对合理，可以达到相应的环境目标。</w:t>
                  </w:r>
                </w:p>
                <w:p w14:paraId="4A8EFE9B">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规划应加强环境保护预防和治理措施，根据本评价提出的分区管控要求、环境影响减缓措施与协同降碳建议，加强园区空间管控，严格控制污染物排放总量，并采纳评价提出的调整建议和相关要求对规划进行优化调整后，河北石家庄矿区工业园区总体发展规划(2022-2030年)的实施具有环境合理性和可行性。</w:t>
                  </w:r>
                </w:p>
              </w:tc>
              <w:tc>
                <w:tcPr>
                  <w:tcW w:w="1377" w:type="pct"/>
                  <w:tcBorders>
                    <w:top w:val="single" w:color="000000" w:sz="4" w:space="0"/>
                    <w:left w:val="single" w:color="000000" w:sz="4" w:space="0"/>
                    <w:bottom w:val="single" w:color="000000" w:sz="4" w:space="0"/>
                    <w:right w:val="single" w:color="000000" w:sz="4" w:space="0"/>
                  </w:tcBorders>
                  <w:vAlign w:val="center"/>
                </w:tcPr>
                <w:p w14:paraId="1611B807">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本项目在落实规划环评和本评价提出的环境保护预防和治理措施的前提下，符合规划环评总体结论要求。</w:t>
                  </w:r>
                </w:p>
              </w:tc>
              <w:tc>
                <w:tcPr>
                  <w:tcW w:w="346" w:type="pct"/>
                  <w:tcBorders>
                    <w:top w:val="single" w:color="000000" w:sz="4" w:space="0"/>
                    <w:left w:val="single" w:color="000000" w:sz="4" w:space="0"/>
                    <w:bottom w:val="single" w:color="000000" w:sz="4" w:space="0"/>
                    <w:right w:val="single" w:color="000000" w:sz="4" w:space="0"/>
                  </w:tcBorders>
                  <w:vAlign w:val="center"/>
                </w:tcPr>
                <w:p w14:paraId="546E6CCC">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bl>
          <w:p w14:paraId="3BCA7DD3">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eastAsia" w:ascii="Times New Roman" w:hAnsi="Times New Roman" w:cs="Times New Roman"/>
                <w:bCs/>
                <w:color w:val="auto"/>
                <w:sz w:val="24"/>
                <w:szCs w:val="24"/>
                <w:highlight w:val="none"/>
                <w:lang w:eastAsia="zh-CN"/>
              </w:rPr>
            </w:pPr>
            <w:r>
              <w:rPr>
                <w:rFonts w:hint="default" w:ascii="Times New Roman" w:hAnsi="Times New Roman" w:cs="Times New Roman"/>
                <w:color w:val="auto"/>
                <w:kern w:val="0"/>
                <w:sz w:val="24"/>
                <w:highlight w:val="none"/>
              </w:rPr>
              <w:t>综上所述，本项目符合《</w:t>
            </w:r>
            <w:r>
              <w:rPr>
                <w:rFonts w:hint="default" w:ascii="Times New Roman" w:hAnsi="Times New Roman" w:eastAsia="宋体" w:cs="Times New Roman"/>
                <w:color w:val="auto"/>
                <w:kern w:val="2"/>
                <w:sz w:val="24"/>
                <w:szCs w:val="20"/>
                <w:highlight w:val="none"/>
                <w:lang w:val="en-US" w:eastAsia="zh-CN"/>
              </w:rPr>
              <w:t>河北石家庄矿区工业园区总体发展规划（2022-2030）</w:t>
            </w:r>
            <w:r>
              <w:rPr>
                <w:rFonts w:hint="default" w:ascii="Times New Roman" w:hAnsi="Times New Roman" w:cs="Times New Roman"/>
                <w:color w:val="auto"/>
                <w:kern w:val="0"/>
                <w:sz w:val="24"/>
                <w:highlight w:val="none"/>
              </w:rPr>
              <w:t>环境影响报告书》中</w:t>
            </w:r>
            <w:r>
              <w:rPr>
                <w:rFonts w:hint="default" w:ascii="Times New Roman" w:hAnsi="Times New Roman" w:cs="Times New Roman"/>
                <w:color w:val="auto"/>
                <w:kern w:val="0"/>
                <w:sz w:val="24"/>
                <w:highlight w:val="none"/>
                <w:lang w:eastAsia="zh-CN"/>
              </w:rPr>
              <w:t>规划</w:t>
            </w:r>
            <w:r>
              <w:rPr>
                <w:rFonts w:hint="default" w:ascii="Times New Roman" w:hAnsi="Times New Roman" w:cs="Times New Roman"/>
                <w:color w:val="auto"/>
                <w:kern w:val="0"/>
                <w:sz w:val="24"/>
                <w:highlight w:val="none"/>
              </w:rPr>
              <w:t>环境影响评价结论</w:t>
            </w:r>
            <w:r>
              <w:rPr>
                <w:rFonts w:hint="default" w:ascii="Times New Roman" w:hAnsi="Times New Roman" w:cs="Times New Roman"/>
                <w:color w:val="auto"/>
                <w:kern w:val="0"/>
                <w:sz w:val="24"/>
                <w:highlight w:val="none"/>
                <w:lang w:eastAsia="zh-CN"/>
              </w:rPr>
              <w:t>。</w:t>
            </w:r>
          </w:p>
        </w:tc>
      </w:tr>
      <w:tr w14:paraId="31669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vAlign w:val="center"/>
          </w:tcPr>
          <w:p w14:paraId="2018D710">
            <w:pPr>
              <w:shd w:val="clear" w:color="auto" w:fill="auto"/>
              <w:autoSpaceDE w:val="0"/>
              <w:autoSpaceDN w:val="0"/>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其他符合性分析</w:t>
            </w:r>
          </w:p>
        </w:tc>
        <w:tc>
          <w:tcPr>
            <w:tcW w:w="6996" w:type="dxa"/>
            <w:gridSpan w:val="3"/>
            <w:noWrap w:val="0"/>
            <w:vAlign w:val="center"/>
          </w:tcPr>
          <w:p w14:paraId="30C75C95">
            <w:pPr>
              <w:keepNext w:val="0"/>
              <w:keepLines w:val="0"/>
              <w:pageBreakBefore w:val="0"/>
              <w:widowControl w:val="0"/>
              <w:shd w:val="clear" w:color="auto" w:fill="auto"/>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1.产业政策符合性</w:t>
            </w:r>
          </w:p>
          <w:p w14:paraId="71C9F2EB">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（1）与《产业结构调整指导目录（20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年本）》符合性分析</w:t>
            </w:r>
          </w:p>
          <w:p w14:paraId="6274442E">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根据国家发改委发布的《产业结构调整指导目录（20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年本）》，项目</w:t>
            </w:r>
            <w:r>
              <w:rPr>
                <w:rFonts w:hint="eastAsia" w:ascii="Times New Roman" w:hAnsi="Times New Roman" w:cs="Times New Roman"/>
                <w:color w:val="auto"/>
                <w:sz w:val="24"/>
                <w:lang w:val="en-US" w:eastAsia="zh-CN"/>
              </w:rPr>
              <w:t>不属于限制、淘汰类项目</w:t>
            </w:r>
            <w:r>
              <w:rPr>
                <w:rFonts w:hint="default" w:ascii="Times New Roman" w:hAnsi="Times New Roman" w:cs="Times New Roman"/>
                <w:color w:val="auto"/>
                <w:sz w:val="24"/>
              </w:rPr>
              <w:t>，符合国家产业政策要求。</w:t>
            </w:r>
          </w:p>
          <w:p w14:paraId="1C971D8E">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与</w:t>
            </w:r>
            <w:r>
              <w:rPr>
                <w:rFonts w:hint="default" w:ascii="Times New Roman" w:hAnsi="Times New Roman" w:cs="Times New Roman"/>
                <w:color w:val="auto"/>
                <w:sz w:val="24"/>
                <w:lang w:eastAsia="zh-CN"/>
              </w:rPr>
              <w:t>《市场准入负面清单（202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eastAsia="zh-CN"/>
              </w:rPr>
              <w:t>年版）》</w:t>
            </w:r>
            <w:r>
              <w:rPr>
                <w:rFonts w:hint="default" w:ascii="Times New Roman" w:hAnsi="Times New Roman" w:cs="Times New Roman"/>
                <w:color w:val="auto"/>
                <w:sz w:val="24"/>
              </w:rPr>
              <w:t>符合性分析</w:t>
            </w:r>
          </w:p>
          <w:p w14:paraId="435B87C5">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eastAsia"/>
                <w:color w:val="auto"/>
                <w:sz w:val="24"/>
              </w:rPr>
              <w:t>本项目</w:t>
            </w:r>
            <w:r>
              <w:rPr>
                <w:color w:val="auto"/>
                <w:sz w:val="24"/>
              </w:rPr>
              <w:t>不属于《市场准入负面清单（202</w:t>
            </w:r>
            <w:r>
              <w:rPr>
                <w:rFonts w:hint="eastAsia"/>
                <w:color w:val="auto"/>
                <w:sz w:val="24"/>
                <w:lang w:val="en-US" w:eastAsia="zh-CN"/>
              </w:rPr>
              <w:t>5</w:t>
            </w:r>
            <w:r>
              <w:rPr>
                <w:color w:val="auto"/>
                <w:sz w:val="24"/>
              </w:rPr>
              <w:t>年版）》中禁止准入类建设项目</w:t>
            </w:r>
            <w:r>
              <w:rPr>
                <w:rFonts w:hint="default" w:ascii="Times New Roman" w:hAnsi="Times New Roman" w:cs="Times New Roman"/>
                <w:color w:val="auto"/>
                <w:sz w:val="24"/>
                <w:lang w:eastAsia="zh-CN"/>
              </w:rPr>
              <w:t>。</w:t>
            </w:r>
          </w:p>
          <w:p w14:paraId="1725203B">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项目已取得备案信息，</w:t>
            </w:r>
            <w:r>
              <w:rPr>
                <w:rFonts w:hint="default" w:ascii="Times New Roman" w:hAnsi="Times New Roman" w:cs="Times New Roman"/>
                <w:color w:val="auto"/>
                <w:sz w:val="24"/>
                <w:highlight w:val="none"/>
              </w:rPr>
              <w:t>备案编号：矿</w:t>
            </w:r>
            <w:r>
              <w:rPr>
                <w:rFonts w:hint="eastAsia" w:ascii="Times New Roman" w:hAnsi="Times New Roman" w:cs="Times New Roman"/>
                <w:color w:val="auto"/>
                <w:sz w:val="24"/>
                <w:highlight w:val="none"/>
                <w:lang w:val="en-US" w:eastAsia="zh-CN"/>
              </w:rPr>
              <w:t>科工信技改备字</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04</w:t>
            </w:r>
            <w:r>
              <w:rPr>
                <w:rFonts w:hint="default" w:ascii="Times New Roman" w:hAnsi="Times New Roman" w:cs="Times New Roman"/>
                <w:color w:val="auto"/>
                <w:sz w:val="24"/>
                <w:highlight w:val="none"/>
              </w:rPr>
              <w:t>号。</w:t>
            </w:r>
            <w:r>
              <w:rPr>
                <w:rFonts w:hint="default" w:ascii="Times New Roman" w:hAnsi="Times New Roman" w:cs="Times New Roman"/>
                <w:color w:val="auto"/>
                <w:sz w:val="24"/>
              </w:rPr>
              <w:t>因此，该项目符合国家及地方产业政策要求。</w:t>
            </w:r>
          </w:p>
          <w:p w14:paraId="0718A247">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2.</w:t>
            </w:r>
            <w:r>
              <w:rPr>
                <w:rFonts w:hint="default" w:ascii="Times New Roman" w:hAnsi="Times New Roman" w:cs="Times New Roman"/>
                <w:b/>
                <w:bCs/>
                <w:color w:val="auto"/>
                <w:sz w:val="24"/>
                <w:szCs w:val="24"/>
                <w:lang w:val="en-US" w:eastAsia="zh-CN"/>
              </w:rPr>
              <w:t>选址合理性分析</w:t>
            </w:r>
          </w:p>
          <w:p w14:paraId="35BF4F8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cs="Times New Roman"/>
                <w:color w:val="FF0000"/>
                <w:sz w:val="24"/>
                <w:szCs w:val="24"/>
                <w:lang w:val="en-US" w:eastAsia="zh-CN"/>
              </w:rPr>
            </w:pPr>
            <w:r>
              <w:rPr>
                <w:rFonts w:hint="default" w:ascii="Times New Roman" w:hAnsi="Times New Roman" w:cs="Times New Roman"/>
                <w:color w:val="auto"/>
                <w:sz w:val="24"/>
              </w:rPr>
              <w:t>项目位于石家庄市</w:t>
            </w:r>
            <w:r>
              <w:rPr>
                <w:rFonts w:hint="eastAsia" w:ascii="Times New Roman" w:hAnsi="Times New Roman" w:cs="Times New Roman"/>
                <w:color w:val="auto"/>
                <w:sz w:val="24"/>
                <w:lang w:val="en-US" w:eastAsia="zh-CN"/>
              </w:rPr>
              <w:t>井陉矿区</w:t>
            </w:r>
            <w:r>
              <w:rPr>
                <w:rFonts w:hint="default" w:ascii="Times New Roman" w:hAnsi="Times New Roman" w:cs="Times New Roman"/>
                <w:color w:val="auto"/>
                <w:sz w:val="24"/>
              </w:rPr>
              <w:t>河北鸿科碳素有限公司</w:t>
            </w:r>
            <w:r>
              <w:rPr>
                <w:rFonts w:hint="eastAsia" w:ascii="Times New Roman" w:hAnsi="Times New Roman" w:cs="Times New Roman"/>
                <w:color w:val="auto"/>
                <w:sz w:val="24"/>
                <w:lang w:val="en-US" w:eastAsia="zh-CN"/>
              </w:rPr>
              <w:t>内</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rPr>
              <w:t>厂区中心地理坐标为北纬38°05'14.01</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"，东经114°00'56.7</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"。厂区东侧为</w:t>
            </w:r>
            <w:r>
              <w:rPr>
                <w:rFonts w:hint="default" w:ascii="Times New Roman" w:hAnsi="Times New Roman" w:cs="Times New Roman"/>
                <w:color w:val="auto"/>
                <w:sz w:val="24"/>
                <w:szCs w:val="24"/>
                <w:highlight w:val="none"/>
              </w:rPr>
              <w:t>河北民海化工有限公司</w:t>
            </w:r>
            <w:r>
              <w:rPr>
                <w:rFonts w:hint="eastAsia" w:ascii="Times New Roman" w:hAnsi="Times New Roman" w:cs="Times New Roman"/>
                <w:color w:val="auto"/>
                <w:sz w:val="24"/>
                <w:szCs w:val="24"/>
                <w:highlight w:val="none"/>
                <w:lang w:val="en-US" w:eastAsia="zh-CN"/>
              </w:rPr>
              <w:t>二期</w:t>
            </w:r>
            <w:r>
              <w:rPr>
                <w:rFonts w:hint="default" w:ascii="Times New Roman" w:hAnsi="Times New Roman" w:cs="Times New Roman"/>
                <w:color w:val="auto"/>
                <w:sz w:val="24"/>
                <w:szCs w:val="24"/>
              </w:rPr>
              <w:t>，南侧</w:t>
            </w:r>
            <w:r>
              <w:rPr>
                <w:rFonts w:hint="eastAsia" w:ascii="Times New Roman" w:hAnsi="Times New Roman" w:cs="Times New Roman"/>
                <w:color w:val="auto"/>
                <w:sz w:val="24"/>
                <w:szCs w:val="24"/>
                <w:lang w:val="en-US" w:eastAsia="zh-CN"/>
              </w:rPr>
              <w:t>临矿区</w:t>
            </w:r>
            <w:r>
              <w:rPr>
                <w:rFonts w:hint="default" w:ascii="Times New Roman" w:hAnsi="Times New Roman" w:cs="Times New Roman"/>
                <w:color w:val="auto"/>
                <w:sz w:val="24"/>
                <w:szCs w:val="24"/>
              </w:rPr>
              <w:t>工业大道，隔路为河北民海化工有限公司，</w:t>
            </w:r>
            <w:r>
              <w:rPr>
                <w:rFonts w:hint="eastAsia" w:ascii="Times New Roman" w:hAnsi="Times New Roman" w:cs="Times New Roman"/>
                <w:color w:val="auto"/>
                <w:sz w:val="24"/>
                <w:szCs w:val="24"/>
                <w:lang w:val="en-US" w:eastAsia="zh-CN"/>
              </w:rPr>
              <w:t>西侧隔丘陵山地为龙岗路，北侧</w:t>
            </w:r>
            <w:r>
              <w:rPr>
                <w:rFonts w:hint="default" w:ascii="Times New Roman" w:hAnsi="Times New Roman" w:cs="Times New Roman"/>
                <w:color w:val="auto"/>
                <w:sz w:val="24"/>
                <w:szCs w:val="24"/>
              </w:rPr>
              <w:t>为丘陵山地。</w:t>
            </w:r>
            <w:r>
              <w:rPr>
                <w:rFonts w:hint="eastAsia" w:ascii="Times New Roman" w:hAnsi="Times New Roman" w:cs="Times New Roman"/>
                <w:color w:val="auto"/>
                <w:sz w:val="24"/>
                <w:szCs w:val="24"/>
                <w:lang w:val="en-US" w:eastAsia="zh-CN"/>
              </w:rPr>
              <w:t>根据现场调查，</w:t>
            </w:r>
            <w:r>
              <w:rPr>
                <w:rFonts w:hint="default" w:ascii="Times New Roman" w:hAnsi="Times New Roman" w:cs="Times New Roman"/>
                <w:color w:val="auto"/>
                <w:sz w:val="24"/>
                <w:szCs w:val="24"/>
              </w:rPr>
              <w:t>距项目</w:t>
            </w:r>
            <w:r>
              <w:rPr>
                <w:rFonts w:hint="eastAsia" w:ascii="Times New Roman" w:hAnsi="Times New Roman" w:cs="Times New Roman"/>
                <w:color w:val="auto"/>
                <w:sz w:val="24"/>
                <w:szCs w:val="24"/>
                <w:lang w:val="en-US" w:eastAsia="zh-CN"/>
              </w:rPr>
              <w:t>厂界</w:t>
            </w:r>
            <w:r>
              <w:rPr>
                <w:rFonts w:hint="default" w:ascii="Times New Roman" w:hAnsi="Times New Roman" w:cs="Times New Roman"/>
                <w:color w:val="auto"/>
                <w:sz w:val="24"/>
                <w:szCs w:val="24"/>
              </w:rPr>
              <w:t>最近的</w:t>
            </w:r>
            <w:r>
              <w:rPr>
                <w:rFonts w:hint="eastAsia" w:cs="Times New Roman"/>
                <w:color w:val="auto"/>
                <w:sz w:val="24"/>
                <w:szCs w:val="24"/>
                <w:lang w:eastAsia="zh-CN"/>
              </w:rPr>
              <w:t>敏感点为西北侧450m处的清凉山风景名胜区及西北侧505m处的天</w:t>
            </w:r>
            <w:r>
              <w:rPr>
                <w:rFonts w:hint="eastAsia" w:ascii="Times New Roman" w:hAnsi="Times New Roman" w:eastAsia="宋体" w:cs="Times New Roman"/>
                <w:color w:val="auto"/>
                <w:sz w:val="24"/>
                <w:szCs w:val="24"/>
                <w:lang w:val="en-US" w:eastAsia="zh-CN"/>
              </w:rPr>
              <w:t>户峪村，</w:t>
            </w:r>
            <w:r>
              <w:rPr>
                <w:rFonts w:hint="eastAsia" w:ascii="Times New Roman" w:hAnsi="Times New Roman" w:eastAsia="宋体" w:cs="Times New Roman"/>
                <w:color w:val="FF0000"/>
                <w:sz w:val="24"/>
                <w:szCs w:val="24"/>
                <w:lang w:val="en-US" w:eastAsia="zh-CN"/>
              </w:rPr>
              <w:t>项目位于</w:t>
            </w:r>
            <w:r>
              <w:rPr>
                <w:rFonts w:hint="default" w:ascii="Times New Roman" w:hAnsi="Times New Roman" w:eastAsia="宋体" w:cs="Times New Roman"/>
                <w:color w:val="FF0000"/>
                <w:sz w:val="24"/>
                <w:szCs w:val="24"/>
                <w:lang w:val="en-US" w:eastAsia="zh-CN"/>
              </w:rPr>
              <w:t>石家庄市岗南黄壁庄水库饮用水水源</w:t>
            </w:r>
            <w:r>
              <w:rPr>
                <w:rFonts w:hint="eastAsia" w:ascii="Times New Roman" w:hAnsi="Times New Roman" w:eastAsia="宋体" w:cs="Times New Roman"/>
                <w:color w:val="FF0000"/>
                <w:sz w:val="24"/>
                <w:szCs w:val="24"/>
                <w:lang w:val="en-US" w:eastAsia="zh-CN"/>
              </w:rPr>
              <w:t>保护区准保护区，距离一级保护区24.8km，距离二级保护区5.3km，具体位置关系见附图9。</w:t>
            </w:r>
          </w:p>
          <w:p w14:paraId="3B8A37A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ascii="Times New Roman" w:hAnsi="Times New Roman" w:cs="Times New Roman"/>
                <w:color w:val="FF0000"/>
                <w:sz w:val="24"/>
                <w:szCs w:val="24"/>
                <w:highlight w:val="yellow"/>
                <w:lang w:val="en-US" w:eastAsia="zh-CN"/>
              </w:rPr>
            </w:pPr>
            <w:r>
              <w:rPr>
                <w:rFonts w:hint="default" w:ascii="Times New Roman" w:hAnsi="Times New Roman" w:eastAsia="宋体" w:cs="Times New Roman"/>
                <w:snapToGrid/>
                <w:color w:val="FF0000"/>
                <w:kern w:val="2"/>
                <w:sz w:val="24"/>
                <w:szCs w:val="20"/>
                <w:highlight w:val="none"/>
                <w:lang w:val="en-US" w:eastAsia="zh-CN" w:bidi="ar-SA"/>
              </w:rPr>
              <w:t>本项目新增磨粉机作为备用设备，与现有主磨粉机一用一备、不同时运行，全厂物料加工规模及生产工况维持现状不变；项目生产工艺不用水，不新增劳动定员，技改后废气、废水、固体废物污染物产生量均无新增。项目危险废物实行随产随清，厂区内不暂存危险废物。本项目污染物无增量，符合饮用水水源准保护区相关管控要求。</w:t>
            </w:r>
            <w:r>
              <w:rPr>
                <w:rFonts w:hint="default" w:ascii="Times New Roman" w:hAnsi="Times New Roman" w:cs="Times New Roman"/>
                <w:color w:val="FF0000"/>
                <w:sz w:val="24"/>
                <w:szCs w:val="24"/>
                <w:highlight w:val="none"/>
                <w:lang w:val="en-US" w:eastAsia="zh-CN"/>
              </w:rPr>
              <w:t>本项目</w:t>
            </w:r>
            <w:r>
              <w:rPr>
                <w:rFonts w:hint="eastAsia" w:ascii="Times New Roman" w:hAnsi="Times New Roman" w:cs="Times New Roman"/>
                <w:color w:val="FF0000"/>
                <w:sz w:val="24"/>
                <w:szCs w:val="24"/>
                <w:highlight w:val="none"/>
                <w:lang w:val="en-US" w:eastAsia="zh-CN"/>
              </w:rPr>
              <w:t>在现有厂区内进行建设，不新增占地</w:t>
            </w:r>
            <w:r>
              <w:rPr>
                <w:rFonts w:hint="default" w:ascii="Times New Roman" w:hAnsi="Times New Roman" w:cs="Times New Roman"/>
                <w:color w:val="FF0000"/>
                <w:sz w:val="24"/>
                <w:szCs w:val="24"/>
                <w:highlight w:val="none"/>
                <w:lang w:val="en-US" w:eastAsia="zh-CN"/>
              </w:rPr>
              <w:t>，项目选址符合</w:t>
            </w:r>
            <w:r>
              <w:rPr>
                <w:rFonts w:hint="default" w:ascii="Times New Roman" w:hAnsi="Times New Roman" w:cs="Times New Roman"/>
                <w:color w:val="FF0000"/>
                <w:sz w:val="24"/>
              </w:rPr>
              <w:t>石家庄市矿区工业园区</w:t>
            </w:r>
            <w:r>
              <w:rPr>
                <w:rFonts w:hint="default" w:ascii="Times New Roman" w:hAnsi="Times New Roman" w:cs="Times New Roman"/>
                <w:color w:val="FF0000"/>
                <w:sz w:val="24"/>
                <w:szCs w:val="24"/>
                <w:highlight w:val="none"/>
                <w:lang w:val="en-US" w:eastAsia="zh-CN"/>
              </w:rPr>
              <w:t>规划的要求。</w:t>
            </w:r>
          </w:p>
          <w:p w14:paraId="5957C93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eastAsia" w:cs="Times New Roman"/>
                <w:color w:val="auto"/>
                <w:sz w:val="24"/>
                <w:szCs w:val="24"/>
                <w:lang w:val="en-US" w:eastAsia="zh-CN"/>
              </w:rPr>
            </w:pPr>
            <w:r>
              <w:rPr>
                <w:rFonts w:hint="eastAsia" w:cs="Times New Roman"/>
                <w:color w:val="auto"/>
                <w:sz w:val="24"/>
                <w:szCs w:val="24"/>
                <w:lang w:val="en-US" w:eastAsia="zh-CN"/>
              </w:rPr>
              <w:t>项目周边无自然保护区、重点文物保护单位、文化区、居住区等需要重点保护的环境敏感点，综上所述本项目选址可行。</w:t>
            </w:r>
          </w:p>
          <w:p w14:paraId="76D99C3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ascii="Times New Roman" w:hAnsi="Times New Roman" w:cs="Times New Roman"/>
                <w:b/>
                <w:bCs/>
                <w:color w:val="auto"/>
                <w:sz w:val="24"/>
                <w:lang w:val="en-US" w:eastAsia="zh-CN"/>
              </w:rPr>
              <w:t>3.</w:t>
            </w:r>
            <w:r>
              <w:rPr>
                <w:rFonts w:hint="default" w:ascii="Times New Roman" w:hAnsi="Times New Roman" w:cs="Times New Roman"/>
                <w:b/>
                <w:bCs/>
                <w:color w:val="auto"/>
                <w:sz w:val="24"/>
              </w:rPr>
              <w:t>与《</w:t>
            </w:r>
            <w:r>
              <w:rPr>
                <w:rFonts w:hint="eastAsia"/>
                <w:b/>
                <w:bCs/>
                <w:color w:val="auto"/>
                <w:kern w:val="0"/>
                <w:sz w:val="24"/>
                <w:highlight w:val="none"/>
              </w:rPr>
              <w:t>井陉矿区国土空间总体规划（2021-2035年）</w:t>
            </w:r>
            <w:r>
              <w:rPr>
                <w:rFonts w:hint="default" w:ascii="Times New Roman" w:hAnsi="Times New Roman" w:cs="Times New Roman"/>
                <w:b/>
                <w:bCs/>
                <w:color w:val="auto"/>
                <w:sz w:val="24"/>
              </w:rPr>
              <w:t>》相符性分析</w:t>
            </w:r>
          </w:p>
          <w:p w14:paraId="599FA959">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color w:val="auto"/>
                <w:sz w:val="24"/>
              </w:rPr>
              <w:t>根据</w:t>
            </w:r>
            <w:r>
              <w:rPr>
                <w:rFonts w:hint="eastAsia"/>
                <w:color w:val="auto"/>
                <w:sz w:val="24"/>
              </w:rPr>
              <w:t>《井陉矿区国土空间</w:t>
            </w:r>
            <w:r>
              <w:rPr>
                <w:rFonts w:hint="eastAsia"/>
                <w:color w:val="auto"/>
                <w:sz w:val="24"/>
                <w:lang w:val="en-US" w:eastAsia="zh-CN"/>
              </w:rPr>
              <w:t>总体</w:t>
            </w:r>
            <w:r>
              <w:rPr>
                <w:rFonts w:hint="eastAsia"/>
                <w:color w:val="auto"/>
                <w:sz w:val="24"/>
              </w:rPr>
              <w:t>规划（2021-2035年）》</w:t>
            </w:r>
            <w:r>
              <w:rPr>
                <w:color w:val="auto"/>
                <w:sz w:val="24"/>
              </w:rPr>
              <w:t>，</w:t>
            </w:r>
            <w:r>
              <w:rPr>
                <w:rFonts w:hint="eastAsia"/>
                <w:color w:val="auto"/>
                <w:sz w:val="24"/>
              </w:rPr>
              <w:t>《规划》提出“壮大“三园”：依托工业园区西区的石钢发展特钢产业园，释放焦化厂更新存量土地，布局和石钢产业联系紧密的制造业；东部推动丰达等企业腾笼换鸟，发展装备制造</w:t>
            </w:r>
            <w:r>
              <w:rPr>
                <w:rFonts w:hint="eastAsia"/>
                <w:color w:val="auto"/>
                <w:sz w:val="24"/>
                <w:lang w:val="en-US" w:eastAsia="zh-CN"/>
              </w:rPr>
              <w:t>产</w:t>
            </w:r>
            <w:r>
              <w:rPr>
                <w:rFonts w:hint="eastAsia"/>
                <w:color w:val="auto"/>
                <w:sz w:val="24"/>
              </w:rPr>
              <w:t>业；北区以矿峰水泥为龙头，推进天汇产业园建设，发展建材新材料产业和绿色循环产业。”</w:t>
            </w:r>
          </w:p>
          <w:p w14:paraId="34CCB379">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ascii="宋体" w:hAnsi="宋体" w:eastAsia="宋体" w:cs="宋体"/>
                <w:color w:val="auto"/>
                <w:sz w:val="24"/>
                <w:szCs w:val="24"/>
              </w:rPr>
              <w:t>本项目位于特钢产业园，属石钢配套碳素产业，利用现有厂区，不新占土地，契合存量用地发展配套制造业导向，符合</w:t>
            </w:r>
            <w:r>
              <w:rPr>
                <w:rFonts w:hint="eastAsia"/>
                <w:color w:val="auto"/>
                <w:sz w:val="24"/>
              </w:rPr>
              <w:t>《井陉矿区国土空间</w:t>
            </w:r>
            <w:r>
              <w:rPr>
                <w:rFonts w:hint="eastAsia"/>
                <w:color w:val="auto"/>
                <w:sz w:val="24"/>
                <w:lang w:val="en-US" w:eastAsia="zh-CN"/>
              </w:rPr>
              <w:t>总体</w:t>
            </w:r>
            <w:r>
              <w:rPr>
                <w:rFonts w:hint="eastAsia"/>
                <w:color w:val="auto"/>
                <w:sz w:val="24"/>
              </w:rPr>
              <w:t>规划（2021-2035年）》</w:t>
            </w:r>
            <w:r>
              <w:rPr>
                <w:rFonts w:ascii="宋体" w:hAnsi="宋体" w:eastAsia="宋体" w:cs="宋体"/>
                <w:color w:val="auto"/>
                <w:sz w:val="24"/>
                <w:szCs w:val="24"/>
              </w:rPr>
              <w:t>要求。</w:t>
            </w:r>
          </w:p>
          <w:p w14:paraId="69C908F6">
            <w:pPr>
              <w:keepNext w:val="0"/>
              <w:keepLines w:val="0"/>
              <w:pageBreakBefore w:val="0"/>
              <w:widowControl w:val="0"/>
              <w:shd w:val="clear" w:color="auto" w:fill="auto"/>
              <w:kinsoku/>
              <w:wordWrap/>
              <w:overflowPunct/>
              <w:topLinePunct w:val="0"/>
              <w:autoSpaceDE w:val="0"/>
              <w:autoSpaceDN w:val="0"/>
              <w:bidi w:val="0"/>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4</w:t>
            </w:r>
            <w:r>
              <w:rPr>
                <w:rFonts w:hint="default" w:ascii="Times New Roman" w:hAnsi="Times New Roman" w:cs="Times New Roman"/>
                <w:b/>
                <w:bCs/>
                <w:color w:val="auto"/>
                <w:sz w:val="24"/>
              </w:rPr>
              <w:t>.与水源保护区相关规划符合性分析</w:t>
            </w:r>
          </w:p>
          <w:p w14:paraId="18CF5D36">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根据《河北省人民政府关于同意石家庄市岗南、黄璧庄水库集中式饮用水水源保护区调整的批复》（冀政字[2023]46 号），调整后的石家庄市岗南、黄壁庄水库集中式饮用水水源地保护区范围为：</w:t>
            </w:r>
          </w:p>
          <w:p w14:paraId="28D4E6A5">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一级保护区范围。水域范围：岗南、黄壁庄水库将正常水位线以下的全部水域，以及两库之间滹沱河主干流行洪治导线外100米范围内的区域划为一级保护区。陆域范围：岗南、黄壁庄水库取水口一侧正常水位线以上200米范围内的陆域划为一级保护区。调整后一级保护区范围和面积保持不变，总面积135.3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75D436FB">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二级保护区范围。水域范围：滹沱河(岗南水库上游至省界段)、冶河、绵河、甘陶河在省(市)界行洪治导线以内的区域划为二级保护区。陆域范围：一级保护区以外</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公里范围；冶河、绵河、甘陶河行洪治导线外</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公里范围，其中黄壁庄水库(平山县城一侧)、冶河(平山县城段、井陉县城段)以防洪堤坝为界；平山县城外环堤坝涵洞由北向南沿来水方向依次外延475米、210米、1000米、1000米；滹沱河(岗南水库上游至省界段)水域范围外延1000米，但不超过流域分水岭范围划为二级保护区。调整后二级保护区总面积1062.68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2B49B69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准保护区范围。以地表分水岭为界，二级保护区外石家庄市行政区域内黄壁庄水库上游滹沱河水系范围划为准保护区。调整后准保护区总面积3111.84km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44F779B9">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据此分析，项目占地位于石家庄市饮用水水源保护区地表水源保护区准保护区。</w:t>
            </w:r>
          </w:p>
          <w:p w14:paraId="356EBE84">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按照《中华人民共和国水污染防治法》第六十三条规定：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国家建立饮用水水源保护区制度。饮用水水源保护区分为一级保护区和二级保护区；必要时</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可以在饮用水水源保护区外围划定一定的区域作为准保护区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0A000FB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按照《中华人民共和国水污染防治法》第六十七条规定：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71656135">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《河北省水污染防治条例》（2018年5月31日修订）中第十七条规定：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第十八条规定：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禁止在饮用水水源保护区内设置排污口</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2636F23E">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按照《石家庄市岗南黄壁庄水库饮用水水源污染防治条例》（2023年修正版）第十四条规定：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在两库饮用水水源二级保护区和准保护区内建设其它项目，建设单位应当向县级以上人民政府环境保护行政主管部门报送环境影响评价文件，未经批准的，不得兴建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544DD4E7">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eastAsia="宋体"/>
                <w:color w:val="auto"/>
                <w:szCs w:val="20"/>
                <w:highlight w:val="none"/>
                <w:lang w:eastAsia="zh-CN"/>
              </w:rPr>
            </w:pPr>
            <w:r>
              <w:rPr>
                <w:rFonts w:hint="default"/>
                <w:color w:val="auto"/>
                <w:sz w:val="24"/>
                <w:szCs w:val="20"/>
                <w:highlight w:val="none"/>
              </w:rPr>
              <w:t>根据《集中式饮用水水源地规范化建设环境保护技术要求》(HJ773-2015)中</w:t>
            </w:r>
            <w:r>
              <w:rPr>
                <w:rFonts w:hint="eastAsia"/>
                <w:color w:val="auto"/>
                <w:sz w:val="24"/>
                <w:szCs w:val="20"/>
                <w:highlight w:val="none"/>
                <w:lang w:eastAsia="zh-CN"/>
              </w:rPr>
              <w:t>“</w:t>
            </w:r>
            <w:r>
              <w:rPr>
                <w:rFonts w:hint="default"/>
                <w:color w:val="auto"/>
                <w:sz w:val="24"/>
                <w:szCs w:val="20"/>
                <w:highlight w:val="none"/>
              </w:rPr>
              <w:t>6 保护区整治要求</w:t>
            </w:r>
            <w:r>
              <w:rPr>
                <w:rFonts w:hint="eastAsia"/>
                <w:color w:val="auto"/>
                <w:sz w:val="24"/>
                <w:szCs w:val="20"/>
                <w:highlight w:val="none"/>
                <w:lang w:eastAsia="zh-CN"/>
              </w:rPr>
              <w:t>”</w:t>
            </w:r>
            <w:r>
              <w:rPr>
                <w:rFonts w:hint="default"/>
                <w:color w:val="auto"/>
                <w:sz w:val="24"/>
                <w:szCs w:val="20"/>
                <w:highlight w:val="none"/>
              </w:rPr>
              <w:t>规定：</w:t>
            </w:r>
            <w:r>
              <w:rPr>
                <w:rFonts w:hint="eastAsia"/>
                <w:color w:val="auto"/>
                <w:sz w:val="24"/>
                <w:szCs w:val="20"/>
                <w:highlight w:val="none"/>
                <w:lang w:eastAsia="zh-CN"/>
              </w:rPr>
              <w:t>“</w:t>
            </w:r>
            <w:r>
              <w:rPr>
                <w:rFonts w:hint="default"/>
                <w:color w:val="auto"/>
                <w:sz w:val="24"/>
                <w:szCs w:val="20"/>
                <w:highlight w:val="none"/>
              </w:rPr>
              <w:t>准保护区内无新建、扩建制药、化工、造纸、制革、印染、染料、炼焦、炼硫、炼砷、炼油、电镀、农药等对水体污染严重的建设项目。保护区划定前已有的上述建设项目不得增加排污量并逐步搬出。</w:t>
            </w:r>
            <w:r>
              <w:rPr>
                <w:rFonts w:hint="eastAsia"/>
                <w:color w:val="auto"/>
                <w:sz w:val="24"/>
                <w:szCs w:val="20"/>
                <w:highlight w:val="none"/>
                <w:lang w:eastAsia="zh-CN"/>
              </w:rPr>
              <w:t>”</w:t>
            </w:r>
          </w:p>
          <w:p w14:paraId="3F1A045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0"/>
                <w:highlight w:val="none"/>
                <w:lang w:val="en-US" w:eastAsia="zh-CN" w:bidi="ar-SA"/>
              </w:rPr>
            </w:pPr>
            <w:r>
              <w:rPr>
                <w:rFonts w:hint="default" w:ascii="Times New Roman" w:hAnsi="Times New Roman" w:eastAsia="宋体" w:cs="Times New Roman"/>
                <w:snapToGrid/>
                <w:color w:val="auto"/>
                <w:kern w:val="2"/>
                <w:sz w:val="24"/>
                <w:szCs w:val="20"/>
                <w:highlight w:val="none"/>
                <w:lang w:val="en-US" w:eastAsia="zh-CN" w:bidi="ar-SA"/>
              </w:rPr>
              <w:t>本项目位于石家庄市饮用水水源准保护区，新增磨粉机作为备用设备，与现有主磨粉机一用一备、不同时运行，全厂物料加工规模及生产工况维持现状不变；项目生产工艺不用水，不新增劳动定员，技改后废气、废水、固体废物污染物产生量均无新增。项目危险废物实行随产随清，厂区内不暂存危险废物。本项目不属于饮用水水源准保护区禁止建设类项目，污染物无增量，符合饮用水水源准保护区相关管控要求。</w:t>
            </w:r>
          </w:p>
          <w:p w14:paraId="29EC3FFA">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eastAsia="宋体" w:cs="Times New Roman"/>
                <w:snapToGrid/>
                <w:color w:val="auto"/>
                <w:kern w:val="2"/>
                <w:sz w:val="24"/>
                <w:szCs w:val="20"/>
                <w:highlight w:val="none"/>
                <w:lang w:val="en-US" w:eastAsia="zh-CN" w:bidi="ar-SA"/>
              </w:rPr>
            </w:pPr>
            <w:r>
              <w:rPr>
                <w:rFonts w:hint="default" w:ascii="Times New Roman" w:hAnsi="Times New Roman" w:eastAsia="宋体" w:cs="Times New Roman"/>
                <w:snapToGrid/>
                <w:color w:val="auto"/>
                <w:kern w:val="2"/>
                <w:sz w:val="24"/>
                <w:szCs w:val="20"/>
                <w:highlight w:val="none"/>
                <w:lang w:val="en-US" w:eastAsia="zh-CN" w:bidi="ar-SA"/>
              </w:rPr>
              <w:t>综上，项目符合</w:t>
            </w:r>
            <w:r>
              <w:rPr>
                <w:rFonts w:hint="eastAsia" w:ascii="Times New Roman" w:hAnsi="Times New Roman" w:eastAsia="宋体" w:cs="Times New Roman"/>
                <w:snapToGrid/>
                <w:color w:val="auto"/>
                <w:kern w:val="2"/>
                <w:sz w:val="24"/>
                <w:szCs w:val="20"/>
                <w:highlight w:val="none"/>
                <w:lang w:val="en-US" w:eastAsia="zh-CN" w:bidi="ar-SA"/>
              </w:rPr>
              <w:t>集中式饮用水水源地准保护区内</w:t>
            </w:r>
            <w:r>
              <w:rPr>
                <w:rFonts w:hint="default" w:ascii="Times New Roman" w:hAnsi="Times New Roman" w:eastAsia="宋体" w:cs="Times New Roman"/>
                <w:snapToGrid/>
                <w:color w:val="auto"/>
                <w:kern w:val="2"/>
                <w:sz w:val="24"/>
                <w:szCs w:val="20"/>
                <w:highlight w:val="none"/>
                <w:lang w:val="en-US" w:eastAsia="zh-CN" w:bidi="ar-SA"/>
              </w:rPr>
              <w:t>的相关要求。</w:t>
            </w:r>
          </w:p>
          <w:p w14:paraId="6CDC00FC">
            <w:pPr>
              <w:keepNext w:val="0"/>
              <w:keepLines w:val="0"/>
              <w:pageBreakBefore w:val="0"/>
              <w:widowControl w:val="0"/>
              <w:shd w:val="clear" w:color="auto" w:fill="auto"/>
              <w:kinsoku/>
              <w:wordWrap/>
              <w:overflowPunct/>
              <w:topLinePunct w:val="0"/>
              <w:autoSpaceDE w:val="0"/>
              <w:autoSpaceDN w:val="0"/>
              <w:bidi w:val="0"/>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5</w:t>
            </w:r>
            <w:r>
              <w:rPr>
                <w:rFonts w:hint="default" w:ascii="Times New Roman" w:hAnsi="Times New Roman" w:cs="Times New Roman"/>
                <w:b/>
                <w:bCs/>
                <w:color w:val="auto"/>
                <w:sz w:val="24"/>
              </w:rPr>
              <w:t>.环境政策分析</w:t>
            </w:r>
          </w:p>
          <w:p w14:paraId="43C563BB">
            <w:pPr>
              <w:keepNext w:val="0"/>
              <w:keepLines w:val="0"/>
              <w:pageBreakBefore w:val="0"/>
              <w:widowControl w:val="0"/>
              <w:shd w:val="clear" w:color="auto" w:fill="auto"/>
              <w:kinsoku/>
              <w:wordWrap/>
              <w:overflowPunct/>
              <w:topLinePunct w:val="0"/>
              <w:bidi w:val="0"/>
              <w:spacing w:line="440" w:lineRule="exact"/>
              <w:jc w:val="center"/>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6</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项目与《水污染防治行动计划》符合性分析一览表</w:t>
            </w:r>
          </w:p>
          <w:tbl>
            <w:tblPr>
              <w:tblStyle w:val="36"/>
              <w:tblW w:w="6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28" w:type="dxa"/>
                <w:bottom w:w="57" w:type="dxa"/>
                <w:right w:w="28" w:type="dxa"/>
              </w:tblCellMar>
            </w:tblPr>
            <w:tblGrid>
              <w:gridCol w:w="461"/>
              <w:gridCol w:w="254"/>
              <w:gridCol w:w="4212"/>
              <w:gridCol w:w="1330"/>
              <w:gridCol w:w="577"/>
            </w:tblGrid>
            <w:tr w14:paraId="2E71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noWrap w:val="0"/>
                  <w:tcMar>
                    <w:top w:w="0" w:type="dxa"/>
                    <w:left w:w="28" w:type="dxa"/>
                    <w:bottom w:w="0" w:type="dxa"/>
                    <w:right w:w="28" w:type="dxa"/>
                  </w:tcMar>
                  <w:vAlign w:val="center"/>
                </w:tcPr>
                <w:p w14:paraId="5A8C4C63">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文件名称</w:t>
                  </w:r>
                </w:p>
              </w:tc>
              <w:tc>
                <w:tcPr>
                  <w:tcW w:w="254" w:type="dxa"/>
                  <w:noWrap w:val="0"/>
                  <w:tcMar>
                    <w:top w:w="0" w:type="dxa"/>
                    <w:left w:w="28" w:type="dxa"/>
                    <w:bottom w:w="0" w:type="dxa"/>
                    <w:right w:w="28" w:type="dxa"/>
                  </w:tcMar>
                  <w:vAlign w:val="center"/>
                </w:tcPr>
                <w:p w14:paraId="4BFC63AF">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序号</w:t>
                  </w:r>
                </w:p>
              </w:tc>
              <w:tc>
                <w:tcPr>
                  <w:tcW w:w="4212" w:type="dxa"/>
                  <w:noWrap w:val="0"/>
                  <w:tcMar>
                    <w:top w:w="0" w:type="dxa"/>
                    <w:left w:w="28" w:type="dxa"/>
                    <w:bottom w:w="0" w:type="dxa"/>
                    <w:right w:w="28" w:type="dxa"/>
                  </w:tcMar>
                  <w:vAlign w:val="center"/>
                </w:tcPr>
                <w:p w14:paraId="196A777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与项目有关的条例、条文</w:t>
                  </w:r>
                </w:p>
              </w:tc>
              <w:tc>
                <w:tcPr>
                  <w:tcW w:w="1330" w:type="dxa"/>
                  <w:noWrap w:val="0"/>
                  <w:tcMar>
                    <w:top w:w="0" w:type="dxa"/>
                    <w:left w:w="28" w:type="dxa"/>
                    <w:bottom w:w="0" w:type="dxa"/>
                    <w:right w:w="28" w:type="dxa"/>
                  </w:tcMar>
                  <w:vAlign w:val="center"/>
                </w:tcPr>
                <w:p w14:paraId="627DE320">
                  <w:pPr>
                    <w:pStyle w:val="82"/>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本项目</w:t>
                  </w:r>
                </w:p>
              </w:tc>
              <w:tc>
                <w:tcPr>
                  <w:tcW w:w="577" w:type="dxa"/>
                  <w:noWrap w:val="0"/>
                  <w:tcMar>
                    <w:top w:w="0" w:type="dxa"/>
                    <w:left w:w="28" w:type="dxa"/>
                    <w:bottom w:w="0" w:type="dxa"/>
                    <w:right w:w="28" w:type="dxa"/>
                  </w:tcMar>
                  <w:vAlign w:val="center"/>
                </w:tcPr>
                <w:p w14:paraId="69E38726">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政策符合性</w:t>
                  </w:r>
                </w:p>
              </w:tc>
            </w:tr>
            <w:tr w14:paraId="5851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restart"/>
                  <w:noWrap w:val="0"/>
                  <w:tcMar>
                    <w:top w:w="0" w:type="dxa"/>
                    <w:left w:w="28" w:type="dxa"/>
                    <w:bottom w:w="0" w:type="dxa"/>
                    <w:right w:w="28" w:type="dxa"/>
                  </w:tcMar>
                  <w:vAlign w:val="center"/>
                </w:tcPr>
                <w:p w14:paraId="140961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《国务院关于印发水污染防治行动计划的通知》（国发[2015]17号）</w:t>
                  </w:r>
                </w:p>
              </w:tc>
              <w:tc>
                <w:tcPr>
                  <w:tcW w:w="254" w:type="dxa"/>
                  <w:noWrap w:val="0"/>
                  <w:tcMar>
                    <w:top w:w="0" w:type="dxa"/>
                    <w:left w:w="28" w:type="dxa"/>
                    <w:bottom w:w="0" w:type="dxa"/>
                    <w:right w:w="28" w:type="dxa"/>
                  </w:tcMar>
                  <w:vAlign w:val="center"/>
                </w:tcPr>
                <w:p w14:paraId="034F460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4270F76B">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全部取缔不符合国家产业政策的小型造纸、制革、印染、染料、炼焦、炼硫、炼砷、炼油、电镀、农药等严重污染水环境的生产项目</w:t>
                  </w:r>
                </w:p>
              </w:tc>
              <w:tc>
                <w:tcPr>
                  <w:tcW w:w="1330" w:type="dxa"/>
                  <w:vMerge w:val="restart"/>
                  <w:noWrap w:val="0"/>
                  <w:tcMar>
                    <w:top w:w="0" w:type="dxa"/>
                    <w:left w:w="28" w:type="dxa"/>
                    <w:bottom w:w="0" w:type="dxa"/>
                    <w:right w:w="28" w:type="dxa"/>
                  </w:tcMar>
                  <w:vAlign w:val="center"/>
                </w:tcPr>
                <w:p w14:paraId="2D91DE91">
                  <w:pPr>
                    <w:keepNext w:val="0"/>
                    <w:keepLines w:val="0"/>
                    <w:pageBreakBefore w:val="0"/>
                    <w:widowControl w:val="0"/>
                    <w:shd w:val="clear" w:color="auto" w:fill="auto"/>
                    <w:kinsoku/>
                    <w:wordWrap/>
                    <w:overflowPunct/>
                    <w:topLinePunct w:val="0"/>
                    <w:autoSpaceDE/>
                    <w:autoSpaceDN/>
                    <w:bidi w:val="0"/>
                    <w:adjustRightInd/>
                    <w:snapToGrid/>
                    <w:spacing w:line="0" w:lineRule="atLeast"/>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项目为</w:t>
                  </w:r>
                  <w:r>
                    <w:rPr>
                      <w:rFonts w:hint="eastAsia" w:ascii="Times New Roman" w:hAnsi="Times New Roman" w:cs="Times New Roman"/>
                      <w:color w:val="auto"/>
                      <w:spacing w:val="-11"/>
                      <w:szCs w:val="21"/>
                      <w:lang w:val="en-US" w:eastAsia="zh-CN"/>
                    </w:rPr>
                    <w:t>碳素制品制造项目</w:t>
                  </w:r>
                  <w:r>
                    <w:rPr>
                      <w:rFonts w:hint="default" w:ascii="Times New Roman" w:hAnsi="Times New Roman" w:cs="Times New Roman"/>
                      <w:color w:val="auto"/>
                      <w:spacing w:val="-11"/>
                      <w:szCs w:val="21"/>
                    </w:rPr>
                    <w:t>，不属于取缔类</w:t>
                  </w:r>
                  <w:r>
                    <w:rPr>
                      <w:rFonts w:hint="eastAsia" w:ascii="Times New Roman" w:hAnsi="Times New Roman" w:cs="Times New Roman"/>
                      <w:color w:val="auto"/>
                      <w:spacing w:val="-11"/>
                      <w:szCs w:val="21"/>
                      <w:lang w:eastAsia="zh-CN"/>
                    </w:rPr>
                    <w:t>、</w:t>
                  </w:r>
                  <w:r>
                    <w:rPr>
                      <w:rFonts w:hint="default" w:ascii="Times New Roman" w:hAnsi="Times New Roman" w:cs="Times New Roman"/>
                      <w:color w:val="auto"/>
                      <w:spacing w:val="-11"/>
                      <w:szCs w:val="21"/>
                    </w:rPr>
                    <w:t>整治类行业</w:t>
                  </w:r>
                </w:p>
              </w:tc>
              <w:tc>
                <w:tcPr>
                  <w:tcW w:w="577" w:type="dxa"/>
                  <w:noWrap w:val="0"/>
                  <w:tcMar>
                    <w:top w:w="0" w:type="dxa"/>
                    <w:left w:w="28" w:type="dxa"/>
                    <w:bottom w:w="0" w:type="dxa"/>
                    <w:right w:w="28" w:type="dxa"/>
                  </w:tcMar>
                  <w:vAlign w:val="center"/>
                </w:tcPr>
                <w:p w14:paraId="7FDE69E6">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74A9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4BC73BF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62C8999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3F10CE47">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专项整治十大重点行业。制定造纸、焦化、氮肥、有色金属、印染、农副食品加工、原料药制造、制革、农药、电镀等行业专项治理方案，实施清洁化改造</w:t>
                  </w:r>
                </w:p>
              </w:tc>
              <w:tc>
                <w:tcPr>
                  <w:tcW w:w="1330" w:type="dxa"/>
                  <w:vMerge w:val="continue"/>
                  <w:noWrap w:val="0"/>
                  <w:tcMar>
                    <w:top w:w="0" w:type="dxa"/>
                    <w:left w:w="28" w:type="dxa"/>
                    <w:bottom w:w="0" w:type="dxa"/>
                    <w:right w:w="28" w:type="dxa"/>
                  </w:tcMar>
                  <w:vAlign w:val="center"/>
                </w:tcPr>
                <w:p w14:paraId="5C2F7AB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577" w:type="dxa"/>
                  <w:noWrap w:val="0"/>
                  <w:tcMar>
                    <w:top w:w="0" w:type="dxa"/>
                    <w:left w:w="28" w:type="dxa"/>
                    <w:bottom w:w="0" w:type="dxa"/>
                    <w:right w:w="28" w:type="dxa"/>
                  </w:tcMar>
                  <w:vAlign w:val="center"/>
                </w:tcPr>
                <w:p w14:paraId="4D652DF0">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1BA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90" w:hRule="atLeast"/>
                <w:jc w:val="center"/>
              </w:trPr>
              <w:tc>
                <w:tcPr>
                  <w:tcW w:w="461" w:type="dxa"/>
                  <w:vMerge w:val="continue"/>
                  <w:noWrap w:val="0"/>
                  <w:tcMar>
                    <w:top w:w="0" w:type="dxa"/>
                    <w:left w:w="28" w:type="dxa"/>
                    <w:bottom w:w="0" w:type="dxa"/>
                    <w:right w:w="28" w:type="dxa"/>
                  </w:tcMar>
                  <w:vAlign w:val="center"/>
                </w:tcPr>
                <w:p w14:paraId="511D3F25">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0A24E884">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4212" w:type="dxa"/>
                  <w:noWrap w:val="0"/>
                  <w:tcMar>
                    <w:top w:w="0" w:type="dxa"/>
                    <w:left w:w="28" w:type="dxa"/>
                    <w:bottom w:w="0" w:type="dxa"/>
                    <w:right w:w="28" w:type="dxa"/>
                  </w:tcMar>
                  <w:vAlign w:val="center"/>
                </w:tcPr>
                <w:p w14:paraId="24087134">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调整产业结构，依法淘汰落后产能；优化空间布局，合理确定发展布局、结构和规模</w:t>
                  </w:r>
                </w:p>
              </w:tc>
              <w:tc>
                <w:tcPr>
                  <w:tcW w:w="1330" w:type="dxa"/>
                  <w:noWrap w:val="0"/>
                  <w:tcMar>
                    <w:top w:w="0" w:type="dxa"/>
                    <w:left w:w="28" w:type="dxa"/>
                    <w:bottom w:w="0" w:type="dxa"/>
                    <w:right w:w="28" w:type="dxa"/>
                  </w:tcMar>
                  <w:vAlign w:val="center"/>
                </w:tcPr>
                <w:p w14:paraId="16C17664">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项目不属于《产业结构调整指导目录（20</w:t>
                  </w:r>
                  <w:r>
                    <w:rPr>
                      <w:rFonts w:hint="eastAsia" w:ascii="Times New Roman" w:hAnsi="Times New Roman" w:cs="Times New Roman"/>
                      <w:color w:val="auto"/>
                      <w:spacing w:val="-11"/>
                      <w:szCs w:val="21"/>
                      <w:lang w:val="en-US" w:eastAsia="zh-CN"/>
                    </w:rPr>
                    <w:t>24</w:t>
                  </w:r>
                  <w:r>
                    <w:rPr>
                      <w:rFonts w:hint="default" w:ascii="Times New Roman" w:hAnsi="Times New Roman" w:cs="Times New Roman"/>
                      <w:color w:val="auto"/>
                      <w:spacing w:val="-11"/>
                      <w:szCs w:val="21"/>
                    </w:rPr>
                    <w:t>年本）》中规定的限制类、淘汰类项目</w:t>
                  </w:r>
                </w:p>
              </w:tc>
              <w:tc>
                <w:tcPr>
                  <w:tcW w:w="577" w:type="dxa"/>
                  <w:noWrap w:val="0"/>
                  <w:tcMar>
                    <w:top w:w="0" w:type="dxa"/>
                    <w:left w:w="28" w:type="dxa"/>
                    <w:bottom w:w="0" w:type="dxa"/>
                    <w:right w:w="28" w:type="dxa"/>
                  </w:tcMar>
                  <w:vAlign w:val="center"/>
                </w:tcPr>
                <w:p w14:paraId="28705C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59D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72A5905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3EF455D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4212" w:type="dxa"/>
                  <w:noWrap w:val="0"/>
                  <w:tcMar>
                    <w:top w:w="0" w:type="dxa"/>
                    <w:left w:w="28" w:type="dxa"/>
                    <w:bottom w:w="0" w:type="dxa"/>
                    <w:right w:w="28" w:type="dxa"/>
                  </w:tcMar>
                  <w:vAlign w:val="center"/>
                </w:tcPr>
                <w:p w14:paraId="2A9CC471">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严控地下水超采，在地面沉降、地裂缝、岩溶塌陷等地质灾害易发区开发利用地下水，应进行地质灾害危险性评估。严格控制开采深层承压水，地热水、矿泉水开发应严格实行取水许可和采矿许可</w:t>
                  </w:r>
                </w:p>
              </w:tc>
              <w:tc>
                <w:tcPr>
                  <w:tcW w:w="1330" w:type="dxa"/>
                  <w:noWrap w:val="0"/>
                  <w:tcMar>
                    <w:top w:w="0" w:type="dxa"/>
                    <w:left w:w="28" w:type="dxa"/>
                    <w:bottom w:w="0" w:type="dxa"/>
                    <w:right w:w="28" w:type="dxa"/>
                  </w:tcMar>
                  <w:vAlign w:val="center"/>
                </w:tcPr>
                <w:p w14:paraId="06AC9367">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本项目用水</w:t>
                  </w:r>
                  <w:r>
                    <w:rPr>
                      <w:rFonts w:hint="default" w:ascii="Times New Roman" w:hAnsi="Times New Roman" w:cs="Times New Roman"/>
                      <w:color w:val="auto"/>
                      <w:spacing w:val="-11"/>
                      <w:szCs w:val="21"/>
                      <w:lang w:val="en-US" w:eastAsia="zh-CN"/>
                    </w:rPr>
                    <w:t>由园区供水系统供给</w:t>
                  </w:r>
                </w:p>
              </w:tc>
              <w:tc>
                <w:tcPr>
                  <w:tcW w:w="577" w:type="dxa"/>
                  <w:noWrap w:val="0"/>
                  <w:tcMar>
                    <w:top w:w="0" w:type="dxa"/>
                    <w:left w:w="28" w:type="dxa"/>
                    <w:bottom w:w="0" w:type="dxa"/>
                    <w:right w:w="28" w:type="dxa"/>
                  </w:tcMar>
                  <w:vAlign w:val="center"/>
                </w:tcPr>
                <w:p w14:paraId="76EDE8A5">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D48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restart"/>
                  <w:noWrap w:val="0"/>
                  <w:tcMar>
                    <w:top w:w="0" w:type="dxa"/>
                    <w:left w:w="28" w:type="dxa"/>
                    <w:bottom w:w="0" w:type="dxa"/>
                    <w:right w:w="28" w:type="dxa"/>
                  </w:tcMar>
                  <w:vAlign w:val="center"/>
                </w:tcPr>
                <w:p w14:paraId="0B681050">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bCs/>
                      <w:color w:val="auto"/>
                      <w:spacing w:val="-11"/>
                      <w:szCs w:val="21"/>
                    </w:rPr>
                    <w:t>《河北省水污染防治工作方案》</w:t>
                  </w:r>
                </w:p>
              </w:tc>
              <w:tc>
                <w:tcPr>
                  <w:tcW w:w="254" w:type="dxa"/>
                  <w:noWrap w:val="0"/>
                  <w:tcMar>
                    <w:top w:w="0" w:type="dxa"/>
                    <w:left w:w="28" w:type="dxa"/>
                    <w:bottom w:w="0" w:type="dxa"/>
                    <w:right w:w="28" w:type="dxa"/>
                  </w:tcMar>
                  <w:vAlign w:val="center"/>
                </w:tcPr>
                <w:p w14:paraId="4652E18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6B92959A">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对造纸、焦化、氮肥、石油化工、印染、农副食品加工、原料药制造、制革、农药、电镀等“十大”重点行业，新建、改建、扩建项目实行新增主要污染物排放倍量替代</w:t>
                  </w:r>
                </w:p>
              </w:tc>
              <w:tc>
                <w:tcPr>
                  <w:tcW w:w="1330" w:type="dxa"/>
                  <w:noWrap w:val="0"/>
                  <w:tcMar>
                    <w:top w:w="0" w:type="dxa"/>
                    <w:left w:w="28" w:type="dxa"/>
                    <w:bottom w:w="0" w:type="dxa"/>
                    <w:right w:w="28" w:type="dxa"/>
                  </w:tcMar>
                  <w:vAlign w:val="center"/>
                </w:tcPr>
                <w:p w14:paraId="5776572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本项目不属于所述“十大”重点行业</w:t>
                  </w:r>
                </w:p>
              </w:tc>
              <w:tc>
                <w:tcPr>
                  <w:tcW w:w="577" w:type="dxa"/>
                  <w:noWrap w:val="0"/>
                  <w:tcMar>
                    <w:top w:w="0" w:type="dxa"/>
                    <w:left w:w="28" w:type="dxa"/>
                    <w:bottom w:w="0" w:type="dxa"/>
                    <w:right w:w="28" w:type="dxa"/>
                  </w:tcMar>
                  <w:vAlign w:val="center"/>
                </w:tcPr>
                <w:p w14:paraId="54882BA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BED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90" w:hRule="atLeast"/>
                <w:jc w:val="center"/>
              </w:trPr>
              <w:tc>
                <w:tcPr>
                  <w:tcW w:w="461" w:type="dxa"/>
                  <w:vMerge w:val="continue"/>
                  <w:noWrap w:val="0"/>
                  <w:tcMar>
                    <w:top w:w="0" w:type="dxa"/>
                    <w:left w:w="28" w:type="dxa"/>
                    <w:bottom w:w="0" w:type="dxa"/>
                    <w:right w:w="28" w:type="dxa"/>
                  </w:tcMar>
                  <w:vAlign w:val="center"/>
                </w:tcPr>
                <w:p w14:paraId="48EAE341">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402C02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5065B124">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取缔“十小”落后企业。2016年6月底前，完成全省装备水平低、环保设施差的小型企业排查，制定和实施不符合国家产业政策的小型造纸、制革、印染、染料、炼焦、炼砷、炼硫、炼油、电镀、农药等严重污染水环境的生产项目取缔实施方案，于2016年底前全部取缔</w:t>
                  </w:r>
                </w:p>
              </w:tc>
              <w:tc>
                <w:tcPr>
                  <w:tcW w:w="1330" w:type="dxa"/>
                  <w:noWrap w:val="0"/>
                  <w:tcMar>
                    <w:top w:w="0" w:type="dxa"/>
                    <w:left w:w="28" w:type="dxa"/>
                    <w:bottom w:w="0" w:type="dxa"/>
                    <w:right w:w="28" w:type="dxa"/>
                  </w:tcMar>
                  <w:vAlign w:val="center"/>
                </w:tcPr>
                <w:p w14:paraId="7D045A1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本项目不属于“十小”落后企业</w:t>
                  </w:r>
                </w:p>
              </w:tc>
              <w:tc>
                <w:tcPr>
                  <w:tcW w:w="577" w:type="dxa"/>
                  <w:noWrap w:val="0"/>
                  <w:tcMar>
                    <w:top w:w="0" w:type="dxa"/>
                    <w:left w:w="28" w:type="dxa"/>
                    <w:bottom w:w="0" w:type="dxa"/>
                    <w:right w:w="28" w:type="dxa"/>
                  </w:tcMar>
                  <w:vAlign w:val="center"/>
                </w:tcPr>
                <w:p w14:paraId="4D0780C1">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0D9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6" w:hRule="atLeast"/>
                <w:jc w:val="center"/>
              </w:trPr>
              <w:tc>
                <w:tcPr>
                  <w:tcW w:w="461" w:type="dxa"/>
                  <w:vMerge w:val="continue"/>
                  <w:noWrap w:val="0"/>
                  <w:tcMar>
                    <w:top w:w="0" w:type="dxa"/>
                    <w:left w:w="28" w:type="dxa"/>
                    <w:bottom w:w="0" w:type="dxa"/>
                    <w:right w:w="28" w:type="dxa"/>
                  </w:tcMar>
                  <w:vAlign w:val="center"/>
                </w:tcPr>
                <w:p w14:paraId="491A1FD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212A9A38">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4212" w:type="dxa"/>
                  <w:noWrap w:val="0"/>
                  <w:tcMar>
                    <w:top w:w="0" w:type="dxa"/>
                    <w:left w:w="28" w:type="dxa"/>
                    <w:bottom w:w="0" w:type="dxa"/>
                    <w:right w:w="28" w:type="dxa"/>
                  </w:tcMar>
                  <w:vAlign w:val="center"/>
                </w:tcPr>
                <w:p w14:paraId="32CBF032">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严格建设项目取水许可审批，对取用水总量已达到或超过控制指标的地区，暂停审批其建设项目新增取水许可；对取用水总量接近控制指标的地区，限制审批新增取水，逐步实现区域水资源供需平衡</w:t>
                  </w:r>
                </w:p>
              </w:tc>
              <w:tc>
                <w:tcPr>
                  <w:tcW w:w="1330" w:type="dxa"/>
                  <w:noWrap w:val="0"/>
                  <w:tcMar>
                    <w:top w:w="0" w:type="dxa"/>
                    <w:left w:w="28" w:type="dxa"/>
                    <w:bottom w:w="0" w:type="dxa"/>
                    <w:right w:w="28" w:type="dxa"/>
                  </w:tcMar>
                  <w:vAlign w:val="center"/>
                </w:tcPr>
                <w:p w14:paraId="61252E1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r>
                    <w:rPr>
                      <w:rFonts w:hint="eastAsia" w:ascii="Times New Roman" w:hAnsi="Times New Roman" w:cs="Times New Roman"/>
                      <w:color w:val="auto"/>
                      <w:spacing w:val="-11"/>
                      <w:szCs w:val="21"/>
                      <w:lang w:val="en-US" w:eastAsia="zh-CN"/>
                    </w:rPr>
                    <w:t>不新增用水</w:t>
                  </w:r>
                </w:p>
              </w:tc>
              <w:tc>
                <w:tcPr>
                  <w:tcW w:w="577" w:type="dxa"/>
                  <w:noWrap w:val="0"/>
                  <w:tcMar>
                    <w:top w:w="0" w:type="dxa"/>
                    <w:left w:w="28" w:type="dxa"/>
                    <w:bottom w:w="0" w:type="dxa"/>
                    <w:right w:w="28" w:type="dxa"/>
                  </w:tcMar>
                  <w:vAlign w:val="center"/>
                </w:tcPr>
                <w:p w14:paraId="78AC7C2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1D2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02CC491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377CB43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4212" w:type="dxa"/>
                  <w:noWrap w:val="0"/>
                  <w:tcMar>
                    <w:top w:w="0" w:type="dxa"/>
                    <w:left w:w="28" w:type="dxa"/>
                    <w:bottom w:w="0" w:type="dxa"/>
                    <w:right w:w="28" w:type="dxa"/>
                  </w:tcMar>
                  <w:vAlign w:val="center"/>
                </w:tcPr>
                <w:p w14:paraId="7CFE3E9D">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格控制地下水超采。在唐山、廊坊、保定、沧州、衡水、邢台、邯郸等地面沉降、地裂缝、岩溶塌陷等地质灾害易发区开发利用地下水，应进行地质灾害危险性评估。严格控制深层承压水开采，开采矿泉水、地热水和建设地下水源热泵系统应进行建设项目水资源论证，严格实行取水许可和地下水采矿许可。未经批准和公共供水管网覆盖范围内的自备水井，于2016年底前一律予以关闭</w:t>
                  </w:r>
                </w:p>
              </w:tc>
              <w:tc>
                <w:tcPr>
                  <w:tcW w:w="1330" w:type="dxa"/>
                  <w:noWrap w:val="0"/>
                  <w:tcMar>
                    <w:top w:w="0" w:type="dxa"/>
                    <w:left w:w="28" w:type="dxa"/>
                    <w:bottom w:w="0" w:type="dxa"/>
                    <w:right w:w="28" w:type="dxa"/>
                  </w:tcMar>
                  <w:vAlign w:val="center"/>
                </w:tcPr>
                <w:p w14:paraId="2513C94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r>
                    <w:rPr>
                      <w:rFonts w:hint="eastAsia" w:ascii="Times New Roman" w:hAnsi="Times New Roman" w:cs="Times New Roman"/>
                      <w:color w:val="auto"/>
                      <w:spacing w:val="-11"/>
                      <w:szCs w:val="21"/>
                      <w:lang w:val="en-US" w:eastAsia="zh-CN"/>
                    </w:rPr>
                    <w:t>不新增用水</w:t>
                  </w:r>
                </w:p>
              </w:tc>
              <w:tc>
                <w:tcPr>
                  <w:tcW w:w="577" w:type="dxa"/>
                  <w:noWrap w:val="0"/>
                  <w:tcMar>
                    <w:top w:w="0" w:type="dxa"/>
                    <w:left w:w="28" w:type="dxa"/>
                    <w:bottom w:w="0" w:type="dxa"/>
                    <w:right w:w="28" w:type="dxa"/>
                  </w:tcMar>
                  <w:vAlign w:val="center"/>
                </w:tcPr>
                <w:p w14:paraId="0D6497C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339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1356" w:hRule="atLeast"/>
                <w:jc w:val="center"/>
              </w:trPr>
              <w:tc>
                <w:tcPr>
                  <w:tcW w:w="461" w:type="dxa"/>
                  <w:vMerge w:val="restart"/>
                  <w:noWrap w:val="0"/>
                  <w:tcMar>
                    <w:top w:w="0" w:type="dxa"/>
                    <w:left w:w="28" w:type="dxa"/>
                    <w:bottom w:w="0" w:type="dxa"/>
                    <w:right w:w="28" w:type="dxa"/>
                  </w:tcMar>
                  <w:vAlign w:val="center"/>
                </w:tcPr>
                <w:p w14:paraId="6F0A1486">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《石家庄市水污染防治工作实施方案》</w:t>
                  </w:r>
                </w:p>
              </w:tc>
              <w:tc>
                <w:tcPr>
                  <w:tcW w:w="254" w:type="dxa"/>
                  <w:noWrap w:val="0"/>
                  <w:tcMar>
                    <w:top w:w="0" w:type="dxa"/>
                    <w:left w:w="28" w:type="dxa"/>
                    <w:bottom w:w="0" w:type="dxa"/>
                    <w:right w:w="28" w:type="dxa"/>
                  </w:tcMar>
                  <w:vAlign w:val="center"/>
                </w:tcPr>
                <w:p w14:paraId="39A8559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50727A35">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遏制地下水超采。严格控制地下水超采。严格控制深层承压水开采，开采地热水、矿泉水和建设地下水资源热泵系统应当进行建设项目水资源论证，严格实行取水许可和地下水采矿许可。</w:t>
                  </w:r>
                </w:p>
              </w:tc>
              <w:tc>
                <w:tcPr>
                  <w:tcW w:w="1330" w:type="dxa"/>
                  <w:noWrap w:val="0"/>
                  <w:tcMar>
                    <w:top w:w="0" w:type="dxa"/>
                    <w:left w:w="28" w:type="dxa"/>
                    <w:bottom w:w="0" w:type="dxa"/>
                    <w:right w:w="28" w:type="dxa"/>
                  </w:tcMar>
                  <w:vAlign w:val="center"/>
                </w:tcPr>
                <w:p w14:paraId="3BFD2B7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本项目不涉及地下水开采。</w:t>
                  </w:r>
                </w:p>
              </w:tc>
              <w:tc>
                <w:tcPr>
                  <w:tcW w:w="577" w:type="dxa"/>
                  <w:noWrap w:val="0"/>
                  <w:tcMar>
                    <w:top w:w="0" w:type="dxa"/>
                    <w:left w:w="28" w:type="dxa"/>
                    <w:bottom w:w="0" w:type="dxa"/>
                    <w:right w:w="28" w:type="dxa"/>
                  </w:tcMar>
                  <w:vAlign w:val="center"/>
                </w:tcPr>
                <w:p w14:paraId="34AEEF9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3838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15830C7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7D7351D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2C11D29B">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抓好工业节水。开展节水诊断、水平衡测试、用水效率评估，严格用水定额管理。加强工业循环使用，推进矿井综合利用，煤炭矿区补充用水、周边地区生产和生态用水有限使用矿井水。加强洗煤废水循环利用。推广先进污水深度处理技术，加强高耗水企业废水再生回用。落实节水环保“领跑者”制度，鼓励节水先进企业、工业集聚区用水效率、排污强度等达到更高标准，支持开展清洁生产、节约用水和污染治理等示范。</w:t>
                  </w:r>
                </w:p>
              </w:tc>
              <w:tc>
                <w:tcPr>
                  <w:tcW w:w="1330" w:type="dxa"/>
                  <w:noWrap w:val="0"/>
                  <w:tcMar>
                    <w:top w:w="0" w:type="dxa"/>
                    <w:left w:w="28" w:type="dxa"/>
                    <w:bottom w:w="0" w:type="dxa"/>
                    <w:right w:w="28" w:type="dxa"/>
                  </w:tcMar>
                  <w:vAlign w:val="center"/>
                </w:tcPr>
                <w:p w14:paraId="2DE10AD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highlight w:val="none"/>
                    </w:rPr>
                    <w:t>本项目</w:t>
                  </w:r>
                  <w:r>
                    <w:rPr>
                      <w:rFonts w:hint="eastAsia" w:ascii="Times New Roman" w:hAnsi="Times New Roman" w:cs="Times New Roman"/>
                      <w:color w:val="auto"/>
                      <w:spacing w:val="-11"/>
                      <w:szCs w:val="21"/>
                      <w:highlight w:val="none"/>
                      <w:lang w:val="en-US" w:eastAsia="zh-CN"/>
                    </w:rPr>
                    <w:t>为技改项目，无新增废水产生</w:t>
                  </w:r>
                  <w:r>
                    <w:rPr>
                      <w:rFonts w:hint="default" w:ascii="Times New Roman" w:hAnsi="Times New Roman" w:cs="Times New Roman"/>
                      <w:color w:val="auto"/>
                      <w:spacing w:val="-11"/>
                      <w:szCs w:val="21"/>
                    </w:rPr>
                    <w:t>。</w:t>
                  </w:r>
                </w:p>
              </w:tc>
              <w:tc>
                <w:tcPr>
                  <w:tcW w:w="577" w:type="dxa"/>
                  <w:noWrap w:val="0"/>
                  <w:tcMar>
                    <w:top w:w="0" w:type="dxa"/>
                    <w:left w:w="28" w:type="dxa"/>
                    <w:bottom w:w="0" w:type="dxa"/>
                    <w:right w:w="28" w:type="dxa"/>
                  </w:tcMar>
                  <w:vAlign w:val="center"/>
                </w:tcPr>
                <w:p w14:paraId="53ACAC2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6CDAF089">
            <w:pPr>
              <w:shd w:val="clear" w:color="auto" w:fill="auto"/>
              <w:spacing w:line="480" w:lineRule="exac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7</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项目与《大气污染防治行动计划》符合性分析一览表</w:t>
            </w:r>
          </w:p>
          <w:tbl>
            <w:tblPr>
              <w:tblStyle w:val="36"/>
              <w:tblW w:w="6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28" w:type="dxa"/>
                <w:bottom w:w="57" w:type="dxa"/>
                <w:right w:w="28" w:type="dxa"/>
              </w:tblCellMar>
            </w:tblPr>
            <w:tblGrid>
              <w:gridCol w:w="652"/>
              <w:gridCol w:w="265"/>
              <w:gridCol w:w="3611"/>
              <w:gridCol w:w="1618"/>
              <w:gridCol w:w="633"/>
            </w:tblGrid>
            <w:tr w14:paraId="6CDD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noWrap w:val="0"/>
                  <w:tcMar>
                    <w:top w:w="0" w:type="dxa"/>
                    <w:bottom w:w="0" w:type="dxa"/>
                  </w:tcMar>
                  <w:vAlign w:val="center"/>
                </w:tcPr>
                <w:p w14:paraId="1E715E09">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文件名称</w:t>
                  </w:r>
                </w:p>
              </w:tc>
              <w:tc>
                <w:tcPr>
                  <w:tcW w:w="265" w:type="dxa"/>
                  <w:noWrap w:val="0"/>
                  <w:tcMar>
                    <w:top w:w="0" w:type="dxa"/>
                    <w:bottom w:w="0" w:type="dxa"/>
                  </w:tcMar>
                  <w:vAlign w:val="center"/>
                </w:tcPr>
                <w:p w14:paraId="7228F479">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序号</w:t>
                  </w:r>
                </w:p>
              </w:tc>
              <w:tc>
                <w:tcPr>
                  <w:tcW w:w="3611" w:type="dxa"/>
                  <w:noWrap w:val="0"/>
                  <w:tcMar>
                    <w:top w:w="0" w:type="dxa"/>
                    <w:bottom w:w="0" w:type="dxa"/>
                  </w:tcMar>
                  <w:vAlign w:val="center"/>
                </w:tcPr>
                <w:p w14:paraId="314E3CDC">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与项目有关的条例、条文</w:t>
                  </w:r>
                </w:p>
              </w:tc>
              <w:tc>
                <w:tcPr>
                  <w:tcW w:w="1618" w:type="dxa"/>
                  <w:noWrap w:val="0"/>
                  <w:tcMar>
                    <w:top w:w="0" w:type="dxa"/>
                    <w:bottom w:w="0" w:type="dxa"/>
                  </w:tcMar>
                  <w:vAlign w:val="center"/>
                </w:tcPr>
                <w:p w14:paraId="08753F50">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p>
              </w:tc>
              <w:tc>
                <w:tcPr>
                  <w:tcW w:w="633" w:type="dxa"/>
                  <w:noWrap w:val="0"/>
                  <w:tcMar>
                    <w:top w:w="0" w:type="dxa"/>
                    <w:bottom w:w="0" w:type="dxa"/>
                  </w:tcMar>
                  <w:vAlign w:val="center"/>
                </w:tcPr>
                <w:p w14:paraId="59CBCC2E">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政策符合性</w:t>
                  </w:r>
                </w:p>
              </w:tc>
            </w:tr>
            <w:tr w14:paraId="7C6A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177" w:hRule="atLeast"/>
                <w:jc w:val="center"/>
              </w:trPr>
              <w:tc>
                <w:tcPr>
                  <w:tcW w:w="652" w:type="dxa"/>
                  <w:vMerge w:val="restart"/>
                  <w:noWrap w:val="0"/>
                  <w:tcMar>
                    <w:top w:w="0" w:type="dxa"/>
                    <w:bottom w:w="0" w:type="dxa"/>
                  </w:tcMar>
                  <w:vAlign w:val="center"/>
                </w:tcPr>
                <w:p w14:paraId="31E264E4">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《国务院关于印发大气污染防治行动计划的通知》（国发[2013]37号）</w:t>
                  </w:r>
                </w:p>
              </w:tc>
              <w:tc>
                <w:tcPr>
                  <w:tcW w:w="265" w:type="dxa"/>
                  <w:noWrap w:val="0"/>
                  <w:tcMar>
                    <w:top w:w="0" w:type="dxa"/>
                    <w:bottom w:w="0" w:type="dxa"/>
                  </w:tcMar>
                  <w:vAlign w:val="center"/>
                </w:tcPr>
                <w:p w14:paraId="3065A17A">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611" w:type="dxa"/>
                  <w:noWrap w:val="0"/>
                  <w:tcMar>
                    <w:top w:w="0" w:type="dxa"/>
                    <w:bottom w:w="0" w:type="dxa"/>
                  </w:tcMar>
                  <w:vAlign w:val="center"/>
                </w:tcPr>
                <w:p w14:paraId="05FDDD1D">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加强工业企业大气污染综合治理</w:t>
                  </w:r>
                </w:p>
              </w:tc>
              <w:tc>
                <w:tcPr>
                  <w:tcW w:w="1618" w:type="dxa"/>
                  <w:noWrap w:val="0"/>
                  <w:tcMar>
                    <w:top w:w="0" w:type="dxa"/>
                    <w:bottom w:w="0" w:type="dxa"/>
                  </w:tcMar>
                  <w:vAlign w:val="center"/>
                </w:tcPr>
                <w:p w14:paraId="20FF0FE0">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项目各废气均采取合理可靠有效的废气处理措施</w:t>
                  </w:r>
                </w:p>
              </w:tc>
              <w:tc>
                <w:tcPr>
                  <w:tcW w:w="633" w:type="dxa"/>
                  <w:noWrap w:val="0"/>
                  <w:tcMar>
                    <w:top w:w="0" w:type="dxa"/>
                    <w:bottom w:w="0" w:type="dxa"/>
                  </w:tcMar>
                  <w:vAlign w:val="center"/>
                </w:tcPr>
                <w:p w14:paraId="1ACF53A0">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B00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2DB545FE">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712987C8">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611" w:type="dxa"/>
                  <w:noWrap w:val="0"/>
                  <w:tcMar>
                    <w:top w:w="0" w:type="dxa"/>
                    <w:bottom w:w="0" w:type="dxa"/>
                  </w:tcMar>
                  <w:vAlign w:val="center"/>
                </w:tcPr>
                <w:p w14:paraId="5A23EBF1">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全面整治燃煤小锅炉。在供热供气管网不能覆盖的地区，改用电、新能源或洁净煤，推广应用高效节能环保型锅炉</w:t>
                  </w:r>
                </w:p>
              </w:tc>
              <w:tc>
                <w:tcPr>
                  <w:tcW w:w="1618" w:type="dxa"/>
                  <w:noWrap w:val="0"/>
                  <w:tcMar>
                    <w:top w:w="0" w:type="dxa"/>
                    <w:bottom w:w="0" w:type="dxa"/>
                  </w:tcMar>
                  <w:vAlign w:val="center"/>
                </w:tcPr>
                <w:p w14:paraId="5C42F2FE">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项目不涉及</w:t>
                  </w:r>
                </w:p>
              </w:tc>
              <w:tc>
                <w:tcPr>
                  <w:tcW w:w="633" w:type="dxa"/>
                  <w:noWrap w:val="0"/>
                  <w:tcMar>
                    <w:top w:w="0" w:type="dxa"/>
                    <w:bottom w:w="0" w:type="dxa"/>
                  </w:tcMar>
                  <w:vAlign w:val="center"/>
                </w:tcPr>
                <w:p w14:paraId="7D1935F9">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448C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45EFE564">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1205F239">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611" w:type="dxa"/>
                  <w:noWrap w:val="0"/>
                  <w:tcMar>
                    <w:top w:w="0" w:type="dxa"/>
                    <w:bottom w:w="0" w:type="dxa"/>
                  </w:tcMar>
                  <w:vAlign w:val="center"/>
                </w:tcPr>
                <w:p w14:paraId="0CBE325A">
                  <w:pPr>
                    <w:shd w:val="clear" w:color="auto" w:fill="auto"/>
                    <w:jc w:val="left"/>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加快淘汰落后产能，结合产业发展实际和环境质量状况，进一步提高环保、能耗、安全、质量等标准，分区域明确落后产能淘汰任务，倒逼产业转型升级</w:t>
                  </w:r>
                </w:p>
              </w:tc>
              <w:tc>
                <w:tcPr>
                  <w:tcW w:w="1618" w:type="dxa"/>
                  <w:noWrap w:val="0"/>
                  <w:tcMar>
                    <w:top w:w="0" w:type="dxa"/>
                    <w:bottom w:w="0" w:type="dxa"/>
                  </w:tcMar>
                  <w:vAlign w:val="center"/>
                </w:tcPr>
                <w:p w14:paraId="1F97464C">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项目不属于《产业结构调整指导目录（20</w:t>
                  </w:r>
                  <w:r>
                    <w:rPr>
                      <w:rFonts w:hint="eastAsia" w:ascii="Times New Roman" w:hAnsi="Times New Roman" w:cs="Times New Roman"/>
                      <w:color w:val="auto"/>
                      <w:spacing w:val="-11"/>
                      <w:szCs w:val="21"/>
                      <w:lang w:val="en-US" w:eastAsia="zh-CN"/>
                    </w:rPr>
                    <w:t>24</w:t>
                  </w:r>
                  <w:r>
                    <w:rPr>
                      <w:rFonts w:hint="default" w:ascii="Times New Roman" w:hAnsi="Times New Roman" w:cs="Times New Roman"/>
                      <w:color w:val="auto"/>
                      <w:spacing w:val="-11"/>
                      <w:szCs w:val="21"/>
                    </w:rPr>
                    <w:t>年本）》中规定的限制类、淘汰类项目</w:t>
                  </w:r>
                </w:p>
              </w:tc>
              <w:tc>
                <w:tcPr>
                  <w:tcW w:w="633" w:type="dxa"/>
                  <w:noWrap w:val="0"/>
                  <w:tcMar>
                    <w:top w:w="0" w:type="dxa"/>
                    <w:bottom w:w="0" w:type="dxa"/>
                  </w:tcMar>
                  <w:vAlign w:val="center"/>
                </w:tcPr>
                <w:p w14:paraId="45AD364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0C0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77E66F9A">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3038DF94">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3611" w:type="dxa"/>
                  <w:noWrap w:val="0"/>
                  <w:tcMar>
                    <w:top w:w="0" w:type="dxa"/>
                    <w:bottom w:w="0" w:type="dxa"/>
                  </w:tcMar>
                  <w:vAlign w:val="center"/>
                </w:tcPr>
                <w:p w14:paraId="3EEF100F">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全面推行清洁生产</w:t>
                  </w:r>
                </w:p>
              </w:tc>
              <w:tc>
                <w:tcPr>
                  <w:tcW w:w="1618" w:type="dxa"/>
                  <w:noWrap w:val="0"/>
                  <w:tcMar>
                    <w:top w:w="0" w:type="dxa"/>
                    <w:bottom w:w="0" w:type="dxa"/>
                  </w:tcMar>
                  <w:vAlign w:val="center"/>
                </w:tcPr>
                <w:p w14:paraId="7DE39BA0">
                  <w:pPr>
                    <w:shd w:val="clear" w:color="auto" w:fill="auto"/>
                    <w:jc w:val="center"/>
                    <w:rPr>
                      <w:rFonts w:hint="default" w:ascii="Times New Roman" w:hAnsi="Times New Roman" w:cs="Times New Roman"/>
                      <w:color w:val="auto"/>
                      <w:spacing w:val="-11"/>
                      <w:szCs w:val="21"/>
                      <w:lang w:val="en-US"/>
                    </w:rPr>
                  </w:pPr>
                  <w:r>
                    <w:rPr>
                      <w:rFonts w:hint="default" w:ascii="Times New Roman" w:hAnsi="Times New Roman" w:cs="Times New Roman"/>
                      <w:color w:val="auto"/>
                      <w:spacing w:val="-11"/>
                      <w:szCs w:val="21"/>
                      <w:highlight w:val="none"/>
                    </w:rPr>
                    <w:t>项目实行清洁生产，</w:t>
                  </w:r>
                  <w:r>
                    <w:rPr>
                      <w:rFonts w:hint="default" w:ascii="Times New Roman" w:hAnsi="Times New Roman" w:cs="Times New Roman"/>
                      <w:color w:val="auto"/>
                      <w:szCs w:val="21"/>
                      <w:highlight w:val="none"/>
                      <w:lang w:val="en-US" w:eastAsia="zh-CN"/>
                    </w:rPr>
                    <w:t>除尘灰收集后</w:t>
                  </w:r>
                  <w:r>
                    <w:rPr>
                      <w:rFonts w:hint="eastAsia" w:ascii="Times New Roman" w:hAnsi="Times New Roman" w:cs="Times New Roman"/>
                      <w:color w:val="auto"/>
                      <w:szCs w:val="21"/>
                      <w:highlight w:val="none"/>
                      <w:lang w:val="en-US" w:eastAsia="zh-CN"/>
                    </w:rPr>
                    <w:t>回用于生产</w:t>
                  </w:r>
                </w:p>
              </w:tc>
              <w:tc>
                <w:tcPr>
                  <w:tcW w:w="633" w:type="dxa"/>
                  <w:noWrap w:val="0"/>
                  <w:tcMar>
                    <w:top w:w="0" w:type="dxa"/>
                    <w:bottom w:w="0" w:type="dxa"/>
                  </w:tcMar>
                  <w:vAlign w:val="center"/>
                </w:tcPr>
                <w:p w14:paraId="54106ABF">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E6A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restart"/>
                  <w:noWrap w:val="0"/>
                  <w:tcMar>
                    <w:top w:w="0" w:type="dxa"/>
                    <w:bottom w:w="0" w:type="dxa"/>
                  </w:tcMar>
                  <w:vAlign w:val="center"/>
                </w:tcPr>
                <w:p w14:paraId="32F889E4">
                  <w:pPr>
                    <w:shd w:val="clear" w:color="auto" w:fill="auto"/>
                    <w:jc w:val="center"/>
                    <w:rPr>
                      <w:rFonts w:hint="default" w:ascii="Times New Roman" w:hAnsi="Times New Roman" w:cs="Times New Roman"/>
                      <w:color w:val="auto"/>
                      <w:spacing w:val="-11"/>
                      <w:szCs w:val="21"/>
                      <w:highlight w:val="yellow"/>
                    </w:rPr>
                  </w:pPr>
                  <w:r>
                    <w:rPr>
                      <w:rFonts w:hint="default" w:ascii="Times New Roman" w:hAnsi="Times New Roman" w:cs="Times New Roman"/>
                      <w:smallCaps w:val="0"/>
                      <w:color w:val="auto"/>
                      <w:spacing w:val="0"/>
                      <w:highlight w:val="none"/>
                    </w:rPr>
                    <w:t>《河北省大气污染防治行动计划实施方案》</w:t>
                  </w:r>
                </w:p>
              </w:tc>
              <w:tc>
                <w:tcPr>
                  <w:tcW w:w="265" w:type="dxa"/>
                  <w:noWrap w:val="0"/>
                  <w:tcMar>
                    <w:top w:w="0" w:type="dxa"/>
                    <w:bottom w:w="0" w:type="dxa"/>
                  </w:tcMar>
                  <w:vAlign w:val="center"/>
                </w:tcPr>
                <w:p w14:paraId="6919F6E1">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1</w:t>
                  </w:r>
                </w:p>
              </w:tc>
              <w:tc>
                <w:tcPr>
                  <w:tcW w:w="3611" w:type="dxa"/>
                  <w:noWrap w:val="0"/>
                  <w:tcMar>
                    <w:top w:w="0" w:type="dxa"/>
                    <w:bottom w:w="0" w:type="dxa"/>
                  </w:tcMar>
                  <w:vAlign w:val="center"/>
                </w:tcPr>
                <w:p w14:paraId="3E6B25DB">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禁燃区内不得新建燃烧煤炭、重油、渣油等高污染燃料的设施；现有燃烧高污染燃料的设施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应当限期改用清洁能源；未改用清洁能源替代的高污染燃料设施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应当配套建设先进工艺的脱硫、脱硝、除尘装置或者采取其他措施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控制二氧化硫、氮氧化物和烟尘等排放；仍未达到大气污染物排放标准的</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应当停止使用</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3974D9C5">
                  <w:pPr>
                    <w:shd w:val="clear" w:color="auto" w:fill="auto"/>
                    <w:jc w:val="center"/>
                    <w:rPr>
                      <w:rFonts w:hint="default"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本项目</w:t>
                  </w:r>
                  <w:r>
                    <w:rPr>
                      <w:rFonts w:hint="eastAsia" w:ascii="Times New Roman" w:hAnsi="Times New Roman" w:eastAsia="宋体" w:cs="Times New Roman"/>
                      <w:color w:val="auto"/>
                      <w:spacing w:val="-11"/>
                      <w:szCs w:val="21"/>
                      <w:highlight w:val="none"/>
                      <w:lang w:val="en-US" w:eastAsia="zh-CN"/>
                    </w:rPr>
                    <w:t>位于</w:t>
                  </w:r>
                  <w:r>
                    <w:rPr>
                      <w:rFonts w:hint="default" w:ascii="Times New Roman" w:hAnsi="Times New Roman" w:eastAsia="宋体" w:cs="Times New Roman"/>
                      <w:color w:val="auto"/>
                      <w:spacing w:val="-11"/>
                      <w:szCs w:val="21"/>
                      <w:highlight w:val="none"/>
                      <w:lang w:val="en-US" w:eastAsia="zh-CN"/>
                    </w:rPr>
                    <w:t>石家庄矿区工业园区</w:t>
                  </w:r>
                  <w:r>
                    <w:rPr>
                      <w:rFonts w:hint="eastAsia" w:ascii="Times New Roman" w:hAnsi="Times New Roman" w:eastAsia="宋体" w:cs="Times New Roman"/>
                      <w:color w:val="auto"/>
                      <w:spacing w:val="-11"/>
                      <w:szCs w:val="21"/>
                      <w:highlight w:val="none"/>
                      <w:lang w:val="en-US" w:eastAsia="zh-CN"/>
                    </w:rPr>
                    <w:t>内，不属于禁燃区，项目配套建有</w:t>
                  </w:r>
                  <w:r>
                    <w:rPr>
                      <w:rFonts w:hint="eastAsia" w:ascii="Times New Roman" w:hAnsi="Times New Roman" w:eastAsia="宋体" w:cs="Times New Roman"/>
                      <w:color w:val="auto"/>
                      <w:szCs w:val="21"/>
                      <w:highlight w:val="none"/>
                      <w:lang w:val="en-US" w:eastAsia="zh-CN"/>
                    </w:rPr>
                    <w:t>覆膜滤料布袋除尘器，废气经治理后通过30m高排气筒排放</w:t>
                  </w:r>
                </w:p>
              </w:tc>
              <w:tc>
                <w:tcPr>
                  <w:tcW w:w="633" w:type="dxa"/>
                  <w:noWrap w:val="0"/>
                  <w:tcMar>
                    <w:top w:w="0" w:type="dxa"/>
                    <w:bottom w:w="0" w:type="dxa"/>
                  </w:tcMar>
                  <w:vAlign w:val="center"/>
                </w:tcPr>
                <w:p w14:paraId="191BA474">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468C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7D7F0834">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06ADAEC3">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2</w:t>
                  </w:r>
                </w:p>
              </w:tc>
              <w:tc>
                <w:tcPr>
                  <w:tcW w:w="3611" w:type="dxa"/>
                  <w:noWrap w:val="0"/>
                  <w:tcMar>
                    <w:top w:w="0" w:type="dxa"/>
                    <w:bottom w:w="0" w:type="dxa"/>
                  </w:tcMar>
                  <w:vAlign w:val="center"/>
                </w:tcPr>
                <w:p w14:paraId="529C6BAF">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根据国家产业政策</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严格控制新建、改建、扩建钢铁、水泥、平板玻璃、化学合成制药、有色金属冶炼、化工等工业项目</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2E5C0DC9">
                  <w:pPr>
                    <w:shd w:val="clear" w:color="auto" w:fill="auto"/>
                    <w:jc w:val="center"/>
                    <w:rPr>
                      <w:rFonts w:hint="eastAsia"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项目为</w:t>
                  </w:r>
                  <w:r>
                    <w:rPr>
                      <w:rFonts w:hint="eastAsia" w:ascii="Times New Roman" w:hAnsi="Times New Roman" w:cs="Times New Roman"/>
                      <w:color w:val="auto"/>
                      <w:spacing w:val="-11"/>
                      <w:szCs w:val="21"/>
                      <w:lang w:val="en-US" w:eastAsia="zh-CN"/>
                    </w:rPr>
                    <w:t>碳素制品制造，不属于</w:t>
                  </w:r>
                  <w:r>
                    <w:rPr>
                      <w:rFonts w:hint="default" w:ascii="Times New Roman" w:hAnsi="Times New Roman" w:cs="Times New Roman"/>
                      <w:smallCaps w:val="0"/>
                      <w:color w:val="auto"/>
                      <w:spacing w:val="0"/>
                      <w:szCs w:val="21"/>
                      <w:highlight w:val="none"/>
                    </w:rPr>
                    <w:t>钢铁、水泥、平板玻璃、化学合成制药、有色金属冶炼、化工等</w:t>
                  </w:r>
                  <w:r>
                    <w:rPr>
                      <w:rFonts w:hint="eastAsia" w:ascii="Times New Roman" w:hAnsi="Times New Roman" w:cs="Times New Roman"/>
                      <w:smallCaps w:val="0"/>
                      <w:color w:val="auto"/>
                      <w:spacing w:val="0"/>
                      <w:szCs w:val="21"/>
                      <w:highlight w:val="none"/>
                      <w:lang w:val="en-US" w:eastAsia="zh-CN"/>
                    </w:rPr>
                    <w:t>行业</w:t>
                  </w:r>
                </w:p>
              </w:tc>
              <w:tc>
                <w:tcPr>
                  <w:tcW w:w="633" w:type="dxa"/>
                  <w:noWrap w:val="0"/>
                  <w:tcMar>
                    <w:top w:w="0" w:type="dxa"/>
                    <w:bottom w:w="0" w:type="dxa"/>
                  </w:tcMar>
                  <w:vAlign w:val="center"/>
                </w:tcPr>
                <w:p w14:paraId="05D36F0C">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3F2F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2CBC3841">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703C320B">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3</w:t>
                  </w:r>
                </w:p>
              </w:tc>
              <w:tc>
                <w:tcPr>
                  <w:tcW w:w="3611" w:type="dxa"/>
                  <w:noWrap w:val="0"/>
                  <w:tcMar>
                    <w:top w:w="0" w:type="dxa"/>
                    <w:bottom w:w="0" w:type="dxa"/>
                  </w:tcMar>
                  <w:vAlign w:val="center"/>
                </w:tcPr>
                <w:p w14:paraId="214CD927">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产生含挥发性有机物废气的生产和服务活动</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应当在密闭空间或者设备中进行</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并按照规定安装、使用污染防治设施；无法密闭的</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应当采取措施减少废气排放</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05521441">
                  <w:pPr>
                    <w:shd w:val="clear" w:color="auto" w:fill="auto"/>
                    <w:jc w:val="center"/>
                    <w:rPr>
                      <w:rFonts w:hint="default"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项目不涉及</w:t>
                  </w:r>
                  <w:r>
                    <w:rPr>
                      <w:rFonts w:hint="default" w:ascii="Times New Roman" w:hAnsi="Times New Roman" w:cs="Times New Roman"/>
                      <w:smallCaps w:val="0"/>
                      <w:color w:val="auto"/>
                      <w:spacing w:val="0"/>
                      <w:szCs w:val="21"/>
                      <w:highlight w:val="none"/>
                    </w:rPr>
                    <w:t>挥发性有机物废气</w:t>
                  </w:r>
                </w:p>
              </w:tc>
              <w:tc>
                <w:tcPr>
                  <w:tcW w:w="633" w:type="dxa"/>
                  <w:noWrap w:val="0"/>
                  <w:tcMar>
                    <w:top w:w="0" w:type="dxa"/>
                    <w:bottom w:w="0" w:type="dxa"/>
                  </w:tcMar>
                  <w:vAlign w:val="center"/>
                </w:tcPr>
                <w:p w14:paraId="11D5190B">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1985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0BC04A81">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0118E403">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4</w:t>
                  </w:r>
                </w:p>
              </w:tc>
              <w:tc>
                <w:tcPr>
                  <w:tcW w:w="3611" w:type="dxa"/>
                  <w:noWrap w:val="0"/>
                  <w:tcMar>
                    <w:top w:w="0" w:type="dxa"/>
                    <w:bottom w:w="0" w:type="dxa"/>
                  </w:tcMar>
                  <w:vAlign w:val="center"/>
                </w:tcPr>
                <w:p w14:paraId="48A39E3C">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禁止在人口集中地区从事露天喷漆、喷涂、喷砂、制作玻璃钢以及其他散发有毒有害气体的作业。</w:t>
                  </w:r>
                </w:p>
              </w:tc>
              <w:tc>
                <w:tcPr>
                  <w:tcW w:w="1618" w:type="dxa"/>
                  <w:noWrap w:val="0"/>
                  <w:tcMar>
                    <w:top w:w="0" w:type="dxa"/>
                    <w:bottom w:w="0" w:type="dxa"/>
                  </w:tcMar>
                  <w:vAlign w:val="center"/>
                </w:tcPr>
                <w:p w14:paraId="0F74DD1F">
                  <w:pPr>
                    <w:shd w:val="clear" w:color="auto" w:fill="auto"/>
                    <w:jc w:val="center"/>
                    <w:rPr>
                      <w:rFonts w:hint="default" w:ascii="Times New Roman" w:hAnsi="Times New Roman" w:cs="Times New Roman"/>
                      <w:color w:val="auto"/>
                      <w:spacing w:val="-11"/>
                      <w:szCs w:val="21"/>
                      <w:highlight w:val="none"/>
                      <w:lang w:val="en-US"/>
                    </w:rPr>
                  </w:pPr>
                  <w:r>
                    <w:rPr>
                      <w:rFonts w:hint="eastAsia" w:cs="Times New Roman"/>
                      <w:color w:val="auto"/>
                      <w:spacing w:val="-11"/>
                      <w:szCs w:val="21"/>
                      <w:highlight w:val="none"/>
                      <w:lang w:val="en-US" w:eastAsia="zh-CN"/>
                    </w:rPr>
                    <w:t>项目</w:t>
                  </w:r>
                  <w:r>
                    <w:rPr>
                      <w:rFonts w:hint="eastAsia" w:ascii="Times New Roman" w:hAnsi="Times New Roman" w:eastAsia="宋体" w:cs="Times New Roman"/>
                      <w:color w:val="auto"/>
                      <w:spacing w:val="-11"/>
                      <w:szCs w:val="21"/>
                      <w:highlight w:val="none"/>
                      <w:lang w:val="en-US" w:eastAsia="zh-CN"/>
                    </w:rPr>
                    <w:t>位于</w:t>
                  </w:r>
                  <w:r>
                    <w:rPr>
                      <w:rFonts w:hint="default" w:ascii="Times New Roman" w:hAnsi="Times New Roman" w:eastAsia="宋体" w:cs="Times New Roman"/>
                      <w:color w:val="auto"/>
                      <w:spacing w:val="-11"/>
                      <w:szCs w:val="21"/>
                      <w:highlight w:val="none"/>
                      <w:lang w:val="en-US" w:eastAsia="zh-CN"/>
                    </w:rPr>
                    <w:t>石家庄矿区工业园区</w:t>
                  </w:r>
                  <w:r>
                    <w:rPr>
                      <w:rFonts w:hint="eastAsia" w:ascii="Times New Roman" w:hAnsi="Times New Roman" w:eastAsia="宋体" w:cs="Times New Roman"/>
                      <w:color w:val="auto"/>
                      <w:spacing w:val="-11"/>
                      <w:szCs w:val="21"/>
                      <w:highlight w:val="none"/>
                      <w:lang w:val="en-US" w:eastAsia="zh-CN"/>
                    </w:rPr>
                    <w:t>内，不涉及</w:t>
                  </w:r>
                  <w:r>
                    <w:rPr>
                      <w:rFonts w:hint="default" w:ascii="Times New Roman" w:hAnsi="Times New Roman" w:cs="Times New Roman"/>
                      <w:smallCaps w:val="0"/>
                      <w:color w:val="auto"/>
                      <w:spacing w:val="0"/>
                      <w:szCs w:val="21"/>
                      <w:highlight w:val="none"/>
                    </w:rPr>
                    <w:t>露天喷漆、喷涂、喷砂、制作玻璃钢以及其他散发有毒有害气体的作业</w:t>
                  </w:r>
                </w:p>
              </w:tc>
              <w:tc>
                <w:tcPr>
                  <w:tcW w:w="633" w:type="dxa"/>
                  <w:noWrap w:val="0"/>
                  <w:tcMar>
                    <w:top w:w="0" w:type="dxa"/>
                    <w:bottom w:w="0" w:type="dxa"/>
                  </w:tcMar>
                  <w:vAlign w:val="center"/>
                </w:tcPr>
                <w:p w14:paraId="500372EC">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4861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345280C0">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7ED6114A">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5</w:t>
                  </w:r>
                </w:p>
              </w:tc>
              <w:tc>
                <w:tcPr>
                  <w:tcW w:w="3611" w:type="dxa"/>
                  <w:noWrap w:val="0"/>
                  <w:tcMar>
                    <w:top w:w="0" w:type="dxa"/>
                    <w:bottom w:w="0" w:type="dxa"/>
                  </w:tcMar>
                  <w:vAlign w:val="center"/>
                </w:tcPr>
                <w:p w14:paraId="40037A44">
                  <w:pPr>
                    <w:pStyle w:val="114"/>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根据国家产业政策</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严格控制新</w:t>
                  </w:r>
                </w:p>
                <w:p w14:paraId="42DF39B8">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highlight w:val="none"/>
                    </w:rPr>
                    <w:t>建、改建、扩建钢铁、水泥、平板玻璃、化学合成制药、有色金属冶炼、化工等工业项目。在生产经营过程中产生有毒有害大气污染物的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排污单位应当安装收集净化装置或者采取其他措施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达到国家和本省规定的排放标准。工业生产、垃圾填埋或者其他活动产生的可燃性气体应当回收利用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不具备回收利用条件的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应当采取污染防治措施。产生含挥发性有机物废气的生产和服务活动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应当在密闭空间或者设备中进行</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并按照规定安装、使用污染防治设施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无法密闭的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应当采取措施减少废气排放。禁止在人口集中地区从事露天喷漆、喷涂、喷砂、制作玻璃钢以及其他散发有毒有害气体的作业。</w:t>
                  </w:r>
                </w:p>
              </w:tc>
              <w:tc>
                <w:tcPr>
                  <w:tcW w:w="1618" w:type="dxa"/>
                  <w:noWrap w:val="0"/>
                  <w:tcMar>
                    <w:top w:w="0" w:type="dxa"/>
                    <w:bottom w:w="0" w:type="dxa"/>
                  </w:tcMar>
                  <w:vAlign w:val="center"/>
                </w:tcPr>
                <w:p w14:paraId="70CCB647">
                  <w:pPr>
                    <w:shd w:val="clear" w:color="auto" w:fill="auto"/>
                    <w:jc w:val="center"/>
                    <w:rPr>
                      <w:rFonts w:hint="default" w:ascii="Times New Roman" w:hAnsi="Times New Roman" w:cs="Times New Roman"/>
                      <w:color w:val="auto"/>
                      <w:spacing w:val="-11"/>
                      <w:szCs w:val="21"/>
                      <w:highlight w:val="none"/>
                    </w:rPr>
                  </w:pPr>
                  <w:r>
                    <w:rPr>
                      <w:rFonts w:hint="default" w:ascii="Times New Roman" w:hAnsi="Times New Roman" w:cs="Times New Roman"/>
                      <w:smallCaps w:val="0"/>
                      <w:color w:val="auto"/>
                      <w:spacing w:val="0"/>
                      <w:highlight w:val="none"/>
                    </w:rPr>
                    <w:t>本项目不属于钢铁、水泥、平板玻璃、化学合成制药、有色金属冶炼、化工等工业项目</w:t>
                  </w: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szCs w:val="20"/>
                      <w:highlight w:val="none"/>
                      <w:lang w:val="en-US" w:eastAsia="zh-CN"/>
                    </w:rPr>
                    <w:t>本项目产生的废气经布袋除尘器等设施处理后达标排放；不涉及露天作业。</w:t>
                  </w:r>
                </w:p>
              </w:tc>
              <w:tc>
                <w:tcPr>
                  <w:tcW w:w="633" w:type="dxa"/>
                  <w:noWrap w:val="0"/>
                  <w:tcMar>
                    <w:top w:w="0" w:type="dxa"/>
                    <w:bottom w:w="0" w:type="dxa"/>
                  </w:tcMar>
                  <w:vAlign w:val="center"/>
                </w:tcPr>
                <w:p w14:paraId="1B0BC526">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6C0A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restart"/>
                  <w:noWrap w:val="0"/>
                  <w:tcMar>
                    <w:top w:w="0" w:type="dxa"/>
                    <w:bottom w:w="0" w:type="dxa"/>
                  </w:tcMar>
                  <w:vAlign w:val="center"/>
                </w:tcPr>
                <w:p w14:paraId="4D5952E8">
                  <w:pPr>
                    <w:shd w:val="clear" w:color="auto" w:fill="auto"/>
                    <w:jc w:val="center"/>
                    <w:rPr>
                      <w:rFonts w:hint="default" w:ascii="Times New Roman" w:hAnsi="Times New Roman" w:cs="Times New Roman"/>
                      <w:color w:val="auto"/>
                      <w:spacing w:val="-11"/>
                      <w:szCs w:val="21"/>
                    </w:rPr>
                  </w:pPr>
                  <w:r>
                    <w:rPr>
                      <w:color w:val="auto"/>
                      <w:szCs w:val="21"/>
                    </w:rPr>
                    <w:t>《</w:t>
                  </w:r>
                  <w:r>
                    <w:rPr>
                      <w:rFonts w:hint="eastAsia"/>
                      <w:color w:val="auto"/>
                      <w:szCs w:val="21"/>
                    </w:rPr>
                    <w:t>河北省人民政府关于印发河北省空气质量持续改善行动计划实施方案的通知</w:t>
                  </w:r>
                  <w:r>
                    <w:rPr>
                      <w:color w:val="auto"/>
                      <w:szCs w:val="21"/>
                    </w:rPr>
                    <w:t>》</w:t>
                  </w:r>
                  <w:r>
                    <w:rPr>
                      <w:rFonts w:hint="eastAsia"/>
                      <w:color w:val="auto"/>
                      <w:szCs w:val="21"/>
                    </w:rPr>
                    <w:t>冀政发</w:t>
                  </w:r>
                  <w:r>
                    <w:rPr>
                      <w:rFonts w:hint="eastAsia"/>
                      <w:color w:val="auto"/>
                      <w:szCs w:val="21"/>
                      <w:lang w:val="en-US" w:eastAsia="zh-CN"/>
                    </w:rPr>
                    <w:t>[2024]</w:t>
                  </w:r>
                  <w:r>
                    <w:rPr>
                      <w:rFonts w:hint="eastAsia"/>
                      <w:color w:val="auto"/>
                      <w:szCs w:val="21"/>
                    </w:rPr>
                    <w:t>4号</w:t>
                  </w:r>
                </w:p>
              </w:tc>
              <w:tc>
                <w:tcPr>
                  <w:tcW w:w="265" w:type="dxa"/>
                  <w:noWrap w:val="0"/>
                  <w:tcMar>
                    <w:top w:w="0" w:type="dxa"/>
                    <w:bottom w:w="0" w:type="dxa"/>
                  </w:tcMar>
                  <w:vAlign w:val="center"/>
                </w:tcPr>
                <w:p w14:paraId="1484E7EA">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611" w:type="dxa"/>
                  <w:noWrap w:val="0"/>
                  <w:tcMar>
                    <w:top w:w="0" w:type="dxa"/>
                    <w:bottom w:w="0" w:type="dxa"/>
                  </w:tcMar>
                  <w:vAlign w:val="center"/>
                </w:tcPr>
                <w:p w14:paraId="6489BCB6">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二、深化产业结构优化调整</w:t>
                  </w:r>
                </w:p>
                <w:p w14:paraId="7D2A4F25">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一)严格环境准入。坚决遏制高耗能、高排放、低水平项目盲目上马。新改扩建项目严格落实国家和省产业规划、产业政策、生态环境分区管控方案、产能置换、重点污染物总量控制、污染物排放区域削减、碳排放达峰目标等相关要求，原则上采用清洁运输方式。被置换产能项目关停后，新建项目方可投产。</w:t>
                  </w:r>
                </w:p>
              </w:tc>
              <w:tc>
                <w:tcPr>
                  <w:tcW w:w="1618" w:type="dxa"/>
                  <w:noWrap w:val="0"/>
                  <w:tcMar>
                    <w:top w:w="0" w:type="dxa"/>
                    <w:bottom w:w="0" w:type="dxa"/>
                  </w:tcMar>
                  <w:vAlign w:val="center"/>
                </w:tcPr>
                <w:p w14:paraId="21092E85">
                  <w:pPr>
                    <w:shd w:val="clear" w:color="auto" w:fill="auto"/>
                    <w:jc w:val="center"/>
                    <w:rPr>
                      <w:rFonts w:hint="default" w:ascii="Times New Roman" w:hAnsi="Times New Roman" w:eastAsia="宋体" w:cs="Times New Roman"/>
                      <w:color w:val="auto"/>
                      <w:spacing w:val="-11"/>
                      <w:szCs w:val="21"/>
                      <w:lang w:val="en-US" w:eastAsia="zh-CN"/>
                    </w:rPr>
                  </w:pPr>
                  <w:r>
                    <w:rPr>
                      <w:rFonts w:hint="eastAsia" w:ascii="Times New Roman" w:hAnsi="Times New Roman" w:eastAsia="宋体" w:cs="Times New Roman"/>
                      <w:color w:val="auto"/>
                      <w:spacing w:val="-11"/>
                      <w:szCs w:val="21"/>
                      <w:lang w:val="en-US" w:eastAsia="zh-CN"/>
                    </w:rPr>
                    <w:t>本次技改</w:t>
                  </w:r>
                  <w:r>
                    <w:rPr>
                      <w:rFonts w:hint="eastAsia" w:cs="Times New Roman"/>
                      <w:bCs/>
                      <w:color w:val="auto"/>
                      <w:sz w:val="21"/>
                      <w:szCs w:val="21"/>
                      <w:lang w:val="en-US" w:eastAsia="zh-CN"/>
                    </w:rPr>
                    <w:t>对制粉工序现有的2台旧磨粉机进行改造升级（引入物料智能计量参配系统并更换新蜗壳）</w:t>
                  </w:r>
                  <w:r>
                    <w:rPr>
                      <w:rFonts w:hint="eastAsia" w:ascii="Times New Roman" w:hAnsi="Times New Roman" w:eastAsia="宋体" w:cs="Times New Roman"/>
                      <w:color w:val="auto"/>
                      <w:spacing w:val="-11"/>
                      <w:szCs w:val="21"/>
                      <w:lang w:val="en-US" w:eastAsia="zh-CN"/>
                    </w:rPr>
                    <w:t>；</w:t>
                  </w:r>
                  <w:r>
                    <w:rPr>
                      <w:rFonts w:hint="default" w:ascii="Times New Roman" w:hAnsi="Times New Roman" w:eastAsia="宋体" w:cs="Times New Roman"/>
                      <w:color w:val="auto"/>
                      <w:spacing w:val="-11"/>
                      <w:szCs w:val="21"/>
                      <w:lang w:val="en-US" w:eastAsia="zh-CN"/>
                    </w:rPr>
                    <w:t>同时新增2台备用磨粉机及配套的气力输送、螺旋输送机等设备，确保生产的连续性。</w:t>
                  </w:r>
                  <w:r>
                    <w:rPr>
                      <w:rFonts w:hint="default" w:ascii="Times New Roman" w:hAnsi="Times New Roman" w:eastAsia="宋体" w:cs="Times New Roman"/>
                      <w:color w:val="auto"/>
                      <w:spacing w:val="-11"/>
                      <w:szCs w:val="21"/>
                    </w:rPr>
                    <w:t>不涉及新增生产工序、不扩大产能规模、不改变产品方案，项目实施后，全厂废水产生量及污染物排放总量不会增加</w:t>
                  </w:r>
                  <w:r>
                    <w:rPr>
                      <w:rFonts w:hint="eastAsia" w:ascii="Times New Roman" w:hAnsi="Times New Roman" w:eastAsia="宋体" w:cs="Times New Roman"/>
                      <w:color w:val="auto"/>
                      <w:spacing w:val="-11"/>
                      <w:szCs w:val="21"/>
                      <w:lang w:eastAsia="zh-CN"/>
                    </w:rPr>
                    <w:t>，</w:t>
                  </w:r>
                  <w:r>
                    <w:rPr>
                      <w:rFonts w:hint="eastAsia" w:ascii="Times New Roman" w:hAnsi="Times New Roman" w:eastAsia="宋体" w:cs="Times New Roman"/>
                      <w:color w:val="auto"/>
                      <w:spacing w:val="-11"/>
                      <w:szCs w:val="21"/>
                      <w:lang w:val="en-US" w:eastAsia="zh-CN"/>
                    </w:rPr>
                    <w:t>不属于</w:t>
                  </w:r>
                  <w:r>
                    <w:rPr>
                      <w:rFonts w:hint="default" w:ascii="Times New Roman" w:hAnsi="Times New Roman" w:cs="Times New Roman"/>
                      <w:color w:val="auto"/>
                      <w:spacing w:val="-11"/>
                      <w:szCs w:val="21"/>
                    </w:rPr>
                    <w:t>高耗能、高排放、低水平项目</w:t>
                  </w:r>
                </w:p>
              </w:tc>
              <w:tc>
                <w:tcPr>
                  <w:tcW w:w="633" w:type="dxa"/>
                  <w:noWrap w:val="0"/>
                  <w:tcMar>
                    <w:top w:w="0" w:type="dxa"/>
                    <w:bottom w:w="0" w:type="dxa"/>
                  </w:tcMar>
                  <w:vAlign w:val="center"/>
                </w:tcPr>
                <w:p w14:paraId="22A8D09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689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4095" w:hRule="atLeast"/>
                <w:jc w:val="center"/>
              </w:trPr>
              <w:tc>
                <w:tcPr>
                  <w:tcW w:w="652" w:type="dxa"/>
                  <w:vMerge w:val="continue"/>
                  <w:noWrap w:val="0"/>
                  <w:tcMar>
                    <w:top w:w="0" w:type="dxa"/>
                    <w:bottom w:w="0" w:type="dxa"/>
                  </w:tcMar>
                  <w:vAlign w:val="center"/>
                </w:tcPr>
                <w:p w14:paraId="4DA2B3DD">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2302C7F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611" w:type="dxa"/>
                  <w:noWrap w:val="0"/>
                  <w:tcMar>
                    <w:top w:w="0" w:type="dxa"/>
                    <w:bottom w:w="0" w:type="dxa"/>
                  </w:tcMar>
                  <w:vAlign w:val="center"/>
                </w:tcPr>
                <w:p w14:paraId="0647B3A3">
                  <w:pPr>
                    <w:shd w:val="clear" w:color="auto" w:fill="auto"/>
                    <w:jc w:val="left"/>
                    <w:rPr>
                      <w:rFonts w:hint="default" w:ascii="Times New Roman" w:hAnsi="Times New Roman" w:cs="Times New Roman"/>
                      <w:color w:val="auto"/>
                      <w:spacing w:val="-11"/>
                      <w:szCs w:val="21"/>
                    </w:rPr>
                  </w:pPr>
                  <w:r>
                    <w:rPr>
                      <w:rFonts w:hint="eastAsia"/>
                      <w:color w:val="auto"/>
                      <w:szCs w:val="21"/>
                      <w:lang w:val="en-US" w:eastAsia="zh-CN"/>
                    </w:rPr>
                    <w:t>加快重点行业污染深度治理。高质量推进钢铁、水泥、焦化等重点行业及燃煤锅炉超低排放改造，开展垃圾发电企业SCR脱硝设施改造，扎实推进重点行业环保绩效创A。2024年前完成钢铁行业全面创A；到2025年，基本完成燃煤锅炉超低排放改造，A级企业数量稳定增加，重点行业环保绩效水平显著提升。加强钢铁、焦化等行业CO深度治理，减少CO排放。推进玻璃、石灰、矿棉、有色等行业深度治理。开展锅炉和工业炉窑简易低效污染治理设施分类整治。</w:t>
                  </w:r>
                </w:p>
              </w:tc>
              <w:tc>
                <w:tcPr>
                  <w:tcW w:w="1618" w:type="dxa"/>
                  <w:noWrap w:val="0"/>
                  <w:tcMar>
                    <w:top w:w="0" w:type="dxa"/>
                    <w:bottom w:w="0" w:type="dxa"/>
                  </w:tcMar>
                  <w:vAlign w:val="center"/>
                </w:tcPr>
                <w:p w14:paraId="621B511F">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w:t>
                  </w:r>
                  <w:r>
                    <w:rPr>
                      <w:rFonts w:hint="eastAsia" w:ascii="Times New Roman" w:hAnsi="Times New Roman" w:cs="Times New Roman"/>
                      <w:color w:val="auto"/>
                      <w:spacing w:val="-11"/>
                      <w:szCs w:val="21"/>
                      <w:lang w:val="en-US" w:eastAsia="zh-CN"/>
                    </w:rPr>
                    <w:t>为碳素制品制造业，</w:t>
                  </w:r>
                  <w:r>
                    <w:rPr>
                      <w:rFonts w:hint="default" w:ascii="Times New Roman" w:hAnsi="Times New Roman" w:cs="Times New Roman"/>
                      <w:color w:val="auto"/>
                      <w:spacing w:val="-11"/>
                      <w:szCs w:val="21"/>
                    </w:rPr>
                    <w:t>不属于所述行业</w:t>
                  </w:r>
                </w:p>
              </w:tc>
              <w:tc>
                <w:tcPr>
                  <w:tcW w:w="633" w:type="dxa"/>
                  <w:noWrap w:val="0"/>
                  <w:tcMar>
                    <w:top w:w="0" w:type="dxa"/>
                    <w:bottom w:w="0" w:type="dxa"/>
                  </w:tcMar>
                  <w:vAlign w:val="center"/>
                </w:tcPr>
                <w:p w14:paraId="2D25F466">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793654E8">
            <w:pPr>
              <w:shd w:val="clear" w:color="auto" w:fill="auto"/>
              <w:spacing w:line="480" w:lineRule="exac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8</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项目与土壤污染防治行动计划和净土计划相符性对照表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1"/>
              <w:gridCol w:w="283"/>
              <w:gridCol w:w="3881"/>
              <w:gridCol w:w="1128"/>
              <w:gridCol w:w="476"/>
            </w:tblGrid>
            <w:tr w14:paraId="326B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1011" w:type="dxa"/>
                  <w:noWrap w:val="0"/>
                  <w:tcMar>
                    <w:top w:w="0" w:type="dxa"/>
                    <w:left w:w="28" w:type="dxa"/>
                    <w:bottom w:w="0" w:type="dxa"/>
                    <w:right w:w="28" w:type="dxa"/>
                  </w:tcMar>
                  <w:vAlign w:val="center"/>
                </w:tcPr>
                <w:p w14:paraId="7567EF20">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文件名称</w:t>
                  </w:r>
                </w:p>
              </w:tc>
              <w:tc>
                <w:tcPr>
                  <w:tcW w:w="283" w:type="dxa"/>
                  <w:noWrap w:val="0"/>
                  <w:tcMar>
                    <w:top w:w="0" w:type="dxa"/>
                    <w:left w:w="28" w:type="dxa"/>
                    <w:bottom w:w="0" w:type="dxa"/>
                    <w:right w:w="28" w:type="dxa"/>
                  </w:tcMar>
                  <w:vAlign w:val="center"/>
                </w:tcPr>
                <w:p w14:paraId="5BAA94EF">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45DB48D5">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3881" w:type="dxa"/>
                  <w:noWrap w:val="0"/>
                  <w:tcMar>
                    <w:top w:w="0" w:type="dxa"/>
                    <w:left w:w="28" w:type="dxa"/>
                    <w:bottom w:w="0" w:type="dxa"/>
                    <w:right w:w="28" w:type="dxa"/>
                  </w:tcMar>
                  <w:vAlign w:val="center"/>
                </w:tcPr>
                <w:p w14:paraId="3F0AC54B">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128" w:type="dxa"/>
                  <w:noWrap w:val="0"/>
                  <w:tcMar>
                    <w:top w:w="0" w:type="dxa"/>
                    <w:left w:w="28" w:type="dxa"/>
                    <w:bottom w:w="0" w:type="dxa"/>
                    <w:right w:w="28" w:type="dxa"/>
                  </w:tcMar>
                  <w:vAlign w:val="center"/>
                </w:tcPr>
                <w:p w14:paraId="4B07B922">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76" w:type="dxa"/>
                  <w:noWrap w:val="0"/>
                  <w:tcMar>
                    <w:top w:w="0" w:type="dxa"/>
                    <w:left w:w="28" w:type="dxa"/>
                    <w:bottom w:w="0" w:type="dxa"/>
                    <w:right w:w="28" w:type="dxa"/>
                  </w:tcMar>
                  <w:vAlign w:val="center"/>
                </w:tcPr>
                <w:p w14:paraId="75F44BF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4BD2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1011" w:type="dxa"/>
                  <w:vMerge w:val="restart"/>
                  <w:noWrap w:val="0"/>
                  <w:tcMar>
                    <w:top w:w="0" w:type="dxa"/>
                    <w:left w:w="28" w:type="dxa"/>
                    <w:bottom w:w="0" w:type="dxa"/>
                    <w:right w:w="28" w:type="dxa"/>
                  </w:tcMar>
                  <w:vAlign w:val="center"/>
                </w:tcPr>
                <w:p w14:paraId="79B6AE54">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国务院关于印发土壤污染防治行动计划的通知国发〔2016〕</w:t>
                  </w:r>
                </w:p>
                <w:p w14:paraId="7D0BDD4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31号</w:t>
                  </w:r>
                </w:p>
              </w:tc>
              <w:tc>
                <w:tcPr>
                  <w:tcW w:w="283" w:type="dxa"/>
                  <w:noWrap w:val="0"/>
                  <w:tcMar>
                    <w:top w:w="0" w:type="dxa"/>
                    <w:left w:w="28" w:type="dxa"/>
                    <w:bottom w:w="0" w:type="dxa"/>
                    <w:right w:w="28" w:type="dxa"/>
                  </w:tcMar>
                  <w:vAlign w:val="center"/>
                </w:tcPr>
                <w:p w14:paraId="44A744BC">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6A27517B">
                  <w:pPr>
                    <w:pStyle w:val="77"/>
                    <w:shd w:val="clear" w:color="auto" w:fill="auto"/>
                    <w:ind w:hanging="29"/>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防控企业污染。严格控制在优先保护类耕地集中区域新建有色金属冶炼、石油加工、化工、焦化、电镀、制革等行业企业，现有相关行业企业要采用新技术、新工艺，加快提标升级改造步伐。</w:t>
                  </w:r>
                </w:p>
              </w:tc>
              <w:tc>
                <w:tcPr>
                  <w:tcW w:w="1128" w:type="dxa"/>
                  <w:noWrap w:val="0"/>
                  <w:tcMar>
                    <w:top w:w="0" w:type="dxa"/>
                    <w:left w:w="28" w:type="dxa"/>
                    <w:bottom w:w="0" w:type="dxa"/>
                    <w:right w:w="28" w:type="dxa"/>
                  </w:tcMar>
                  <w:vAlign w:val="center"/>
                </w:tcPr>
                <w:p w14:paraId="4F56064C">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项目用地不属于优先保护类耕地</w:t>
                  </w:r>
                </w:p>
              </w:tc>
              <w:tc>
                <w:tcPr>
                  <w:tcW w:w="476" w:type="dxa"/>
                  <w:noWrap w:val="0"/>
                  <w:tcMar>
                    <w:top w:w="0" w:type="dxa"/>
                    <w:left w:w="28" w:type="dxa"/>
                    <w:bottom w:w="0" w:type="dxa"/>
                    <w:right w:w="28" w:type="dxa"/>
                  </w:tcMar>
                  <w:vAlign w:val="center"/>
                </w:tcPr>
                <w:p w14:paraId="250F497A">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005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1" w:type="dxa"/>
                  <w:vMerge w:val="continue"/>
                  <w:noWrap w:val="0"/>
                  <w:tcMar>
                    <w:top w:w="0" w:type="dxa"/>
                    <w:left w:w="28" w:type="dxa"/>
                    <w:bottom w:w="0" w:type="dxa"/>
                    <w:right w:w="28" w:type="dxa"/>
                  </w:tcMar>
                  <w:vAlign w:val="center"/>
                </w:tcPr>
                <w:p w14:paraId="57876A40">
                  <w:pPr>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728C9A2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881" w:type="dxa"/>
                  <w:noWrap w:val="0"/>
                  <w:tcMar>
                    <w:top w:w="0" w:type="dxa"/>
                    <w:left w:w="28" w:type="dxa"/>
                    <w:bottom w:w="0" w:type="dxa"/>
                    <w:right w:w="28" w:type="dxa"/>
                  </w:tcMar>
                  <w:vAlign w:val="center"/>
                </w:tcPr>
                <w:p w14:paraId="4149AF12">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分用途明确管理措施。自2017年起，各地要结合土壤污染状况详查情况， 根据建设用地土壤环境调查评估结果，逐步建立污染地块名录及其开发利用的负面清单，合理确定土地用途</w:t>
                  </w:r>
                </w:p>
              </w:tc>
              <w:tc>
                <w:tcPr>
                  <w:tcW w:w="1128" w:type="dxa"/>
                  <w:noWrap w:val="0"/>
                  <w:tcMar>
                    <w:top w:w="0" w:type="dxa"/>
                    <w:left w:w="28" w:type="dxa"/>
                    <w:bottom w:w="0" w:type="dxa"/>
                    <w:right w:w="28" w:type="dxa"/>
                  </w:tcMar>
                  <w:vAlign w:val="center"/>
                </w:tcPr>
                <w:p w14:paraId="4BECE4AC">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lang w:val="zh-CN" w:bidi="zh-CN"/>
                    </w:rPr>
                    <w:t>本项目</w:t>
                  </w:r>
                  <w:r>
                    <w:rPr>
                      <w:rFonts w:hint="default" w:ascii="Times New Roman" w:hAnsi="Times New Roman" w:cs="Times New Roman"/>
                      <w:color w:val="auto"/>
                      <w:spacing w:val="-11"/>
                      <w:sz w:val="21"/>
                      <w:szCs w:val="21"/>
                    </w:rPr>
                    <w:t>用地属于工业用地</w:t>
                  </w:r>
                </w:p>
              </w:tc>
              <w:tc>
                <w:tcPr>
                  <w:tcW w:w="476" w:type="dxa"/>
                  <w:noWrap w:val="0"/>
                  <w:tcMar>
                    <w:top w:w="0" w:type="dxa"/>
                    <w:left w:w="28" w:type="dxa"/>
                    <w:bottom w:w="0" w:type="dxa"/>
                    <w:right w:w="28" w:type="dxa"/>
                  </w:tcMar>
                  <w:vAlign w:val="center"/>
                </w:tcPr>
                <w:p w14:paraId="4D07C0F8">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1B7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vMerge w:val="continue"/>
                  <w:noWrap w:val="0"/>
                  <w:tcMar>
                    <w:top w:w="0" w:type="dxa"/>
                    <w:left w:w="28" w:type="dxa"/>
                    <w:bottom w:w="0" w:type="dxa"/>
                    <w:right w:w="28" w:type="dxa"/>
                  </w:tcMar>
                  <w:vAlign w:val="center"/>
                </w:tcPr>
                <w:p w14:paraId="70F19BD8">
                  <w:pPr>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2A66F719">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881" w:type="dxa"/>
                  <w:noWrap w:val="0"/>
                  <w:tcMar>
                    <w:top w:w="0" w:type="dxa"/>
                    <w:left w:w="28" w:type="dxa"/>
                    <w:bottom w:w="0" w:type="dxa"/>
                    <w:right w:w="28" w:type="dxa"/>
                  </w:tcMar>
                  <w:vAlign w:val="center"/>
                </w:tcPr>
                <w:p w14:paraId="131EBCAB">
                  <w:pPr>
                    <w:pStyle w:val="77"/>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防范建设用地新增污染。排放重点污染物的建设项目，在开展环境影响评价时，要增加对土壤环境影响的评价内容，并提出防范土壤污染的具体措施；需要建设的土壤污染防治设施，要与主体工程同时设计、同时施工、同时投产使用。</w:t>
                  </w:r>
                </w:p>
              </w:tc>
              <w:tc>
                <w:tcPr>
                  <w:tcW w:w="1128" w:type="dxa"/>
                  <w:noWrap w:val="0"/>
                  <w:tcMar>
                    <w:top w:w="0" w:type="dxa"/>
                    <w:left w:w="28" w:type="dxa"/>
                    <w:bottom w:w="0" w:type="dxa"/>
                    <w:right w:w="28" w:type="dxa"/>
                  </w:tcMar>
                  <w:vAlign w:val="center"/>
                </w:tcPr>
                <w:p w14:paraId="70A6A0C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项目无重金属污染物及对于土壤有害的因子产生，不会对土壤产生影响</w:t>
                  </w:r>
                </w:p>
              </w:tc>
              <w:tc>
                <w:tcPr>
                  <w:tcW w:w="476" w:type="dxa"/>
                  <w:noWrap w:val="0"/>
                  <w:tcMar>
                    <w:top w:w="0" w:type="dxa"/>
                    <w:left w:w="28" w:type="dxa"/>
                    <w:bottom w:w="0" w:type="dxa"/>
                    <w:right w:w="28" w:type="dxa"/>
                  </w:tcMar>
                  <w:vAlign w:val="center"/>
                </w:tcPr>
                <w:p w14:paraId="6D4A81A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30E0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noWrap w:val="0"/>
                  <w:tcMar>
                    <w:top w:w="0" w:type="dxa"/>
                    <w:left w:w="28" w:type="dxa"/>
                    <w:bottom w:w="0" w:type="dxa"/>
                    <w:right w:w="28" w:type="dxa"/>
                  </w:tcMar>
                  <w:vAlign w:val="center"/>
                </w:tcPr>
                <w:p w14:paraId="5546C25A">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河北省人民政府关于印发河北省“净土行动” 土壤污染防治工作方案的通知（冀政发[2017]</w:t>
                  </w:r>
                  <w:r>
                    <w:rPr>
                      <w:rFonts w:hint="eastAsia" w:ascii="Times New Roman" w:hAnsi="Times New Roman" w:cs="Times New Roman"/>
                      <w:color w:val="auto"/>
                      <w:spacing w:val="-11"/>
                      <w:szCs w:val="21"/>
                      <w:lang w:val="en-US" w:eastAsia="zh-CN"/>
                    </w:rPr>
                    <w:t xml:space="preserve"> </w:t>
                  </w:r>
                  <w:r>
                    <w:rPr>
                      <w:rFonts w:hint="default" w:ascii="Times New Roman" w:hAnsi="Times New Roman" w:cs="Times New Roman"/>
                      <w:color w:val="auto"/>
                      <w:spacing w:val="-11"/>
                      <w:szCs w:val="21"/>
                    </w:rPr>
                    <w:t>3号）</w:t>
                  </w:r>
                </w:p>
              </w:tc>
              <w:tc>
                <w:tcPr>
                  <w:tcW w:w="283" w:type="dxa"/>
                  <w:noWrap w:val="0"/>
                  <w:tcMar>
                    <w:top w:w="0" w:type="dxa"/>
                    <w:left w:w="28" w:type="dxa"/>
                    <w:bottom w:w="0" w:type="dxa"/>
                    <w:right w:w="28" w:type="dxa"/>
                  </w:tcMar>
                  <w:vAlign w:val="center"/>
                </w:tcPr>
                <w:p w14:paraId="2FD1D57F">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3C6274BD">
                  <w:pPr>
                    <w:pStyle w:val="77"/>
                    <w:shd w:val="clear" w:color="auto" w:fill="auto"/>
                    <w:ind w:hanging="1"/>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实施重点监管企业土壤污染监测，列入全省土壤环境重点监管企业名单 的企业要自行或委托有资质的环境 监测机构对其企业用地每年开展至少 1次土壤环境监测，编制土壤环境治理报告，监测数据和报告向当地环保部门备案并向社会公开。规范危险废物处置行为，危险废物产生企业和利用处置企业要根据土壤污染防治的相关要求，完善突发环境事件应急预案内容，并向所在地环保部门备案。</w:t>
                  </w:r>
                </w:p>
              </w:tc>
              <w:tc>
                <w:tcPr>
                  <w:tcW w:w="1128" w:type="dxa"/>
                  <w:noWrap w:val="0"/>
                  <w:tcMar>
                    <w:top w:w="0" w:type="dxa"/>
                    <w:left w:w="28" w:type="dxa"/>
                    <w:bottom w:w="0" w:type="dxa"/>
                    <w:right w:w="28" w:type="dxa"/>
                  </w:tcMar>
                  <w:vAlign w:val="center"/>
                </w:tcPr>
                <w:p w14:paraId="74651EB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目前未列入上述重点名单</w:t>
                  </w:r>
                </w:p>
              </w:tc>
              <w:tc>
                <w:tcPr>
                  <w:tcW w:w="476" w:type="dxa"/>
                  <w:noWrap w:val="0"/>
                  <w:tcMar>
                    <w:top w:w="0" w:type="dxa"/>
                    <w:left w:w="28" w:type="dxa"/>
                    <w:bottom w:w="0" w:type="dxa"/>
                    <w:right w:w="28" w:type="dxa"/>
                  </w:tcMar>
                  <w:vAlign w:val="center"/>
                </w:tcPr>
                <w:p w14:paraId="76916ACB">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40F7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1" w:type="dxa"/>
                  <w:vMerge w:val="restart"/>
                  <w:noWrap w:val="0"/>
                  <w:tcMar>
                    <w:top w:w="0" w:type="dxa"/>
                    <w:left w:w="28" w:type="dxa"/>
                    <w:bottom w:w="0" w:type="dxa"/>
                    <w:right w:w="28" w:type="dxa"/>
                  </w:tcMar>
                  <w:vAlign w:val="center"/>
                </w:tcPr>
                <w:p w14:paraId="59833711">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《石家庄“净土行动”土壤污染防治实施方案》</w:t>
                  </w:r>
                </w:p>
              </w:tc>
              <w:tc>
                <w:tcPr>
                  <w:tcW w:w="283" w:type="dxa"/>
                  <w:noWrap w:val="0"/>
                  <w:tcMar>
                    <w:top w:w="0" w:type="dxa"/>
                    <w:left w:w="28" w:type="dxa"/>
                    <w:bottom w:w="0" w:type="dxa"/>
                    <w:right w:w="28" w:type="dxa"/>
                  </w:tcMar>
                  <w:vAlign w:val="center"/>
                </w:tcPr>
                <w:p w14:paraId="6BE04358">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48293243">
                  <w:pPr>
                    <w:pStyle w:val="77"/>
                    <w:shd w:val="clear" w:color="auto" w:fill="auto"/>
                    <w:ind w:hanging="1"/>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在规划和建设项目环境影响评价中，强化土壤环境质量调查，增加对土壤环境影响的评价内容，并提出防范土壤污染的具体措施，纳入建设项目环境保护“三同时”管理。严控涉重金属行业新增产能，防范建设用地新增污染。完善重金属相关行业准入条件，禁止新建落后产能或产能严重过剩行业的建设项目。对排放重点重金属的新增产能和淘汰产能实行“等量置换”或“减量置换”。对涉重金属行业新建、改(扩)建项目实行新增重金属污染物排放等量或倍量替代。对区域重金属排放量继续上升的地区，停止审批新增重金属污染物排放的建设项目。禁止向涉重金属相关行业落后产能和产能过剩行业提供土地。</w:t>
                  </w:r>
                </w:p>
              </w:tc>
              <w:tc>
                <w:tcPr>
                  <w:tcW w:w="1128" w:type="dxa"/>
                  <w:noWrap w:val="0"/>
                  <w:tcMar>
                    <w:top w:w="0" w:type="dxa"/>
                    <w:left w:w="28" w:type="dxa"/>
                    <w:bottom w:w="0" w:type="dxa"/>
                    <w:right w:w="28" w:type="dxa"/>
                  </w:tcMar>
                  <w:vAlign w:val="center"/>
                </w:tcPr>
                <w:p w14:paraId="3A14BD99">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highlight w:val="none"/>
                    </w:rPr>
                    <w:t>本项</w:t>
                  </w:r>
                  <w:r>
                    <w:rPr>
                      <w:rFonts w:hint="default" w:ascii="Times New Roman" w:hAnsi="Times New Roman" w:cs="Times New Roman"/>
                      <w:color w:val="auto"/>
                      <w:spacing w:val="-11"/>
                      <w:szCs w:val="21"/>
                      <w:highlight w:val="none"/>
                      <w:lang w:val="en-US" w:eastAsia="zh-CN"/>
                    </w:rPr>
                    <w:t>目</w:t>
                  </w:r>
                  <w:r>
                    <w:rPr>
                      <w:rFonts w:hint="default" w:ascii="Times New Roman" w:hAnsi="Times New Roman" w:cs="Times New Roman"/>
                      <w:color w:val="auto"/>
                      <w:spacing w:val="-11"/>
                      <w:szCs w:val="21"/>
                    </w:rPr>
                    <w:t>为工业用地；不属于落后产能或产能过剩行业的建设项目；本项目产生的固体废物得到合理处置。</w:t>
                  </w:r>
                </w:p>
              </w:tc>
              <w:tc>
                <w:tcPr>
                  <w:tcW w:w="476" w:type="dxa"/>
                  <w:noWrap w:val="0"/>
                  <w:tcMar>
                    <w:top w:w="0" w:type="dxa"/>
                    <w:left w:w="28" w:type="dxa"/>
                    <w:bottom w:w="0" w:type="dxa"/>
                    <w:right w:w="28" w:type="dxa"/>
                  </w:tcMar>
                  <w:vAlign w:val="center"/>
                </w:tcPr>
                <w:p w14:paraId="42E6CE3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C7F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vMerge w:val="continue"/>
                  <w:noWrap w:val="0"/>
                  <w:tcMar>
                    <w:top w:w="0" w:type="dxa"/>
                    <w:left w:w="28" w:type="dxa"/>
                    <w:bottom w:w="0" w:type="dxa"/>
                    <w:right w:w="28" w:type="dxa"/>
                  </w:tcMar>
                  <w:vAlign w:val="center"/>
                </w:tcPr>
                <w:p w14:paraId="52B15F31">
                  <w:pPr>
                    <w:pStyle w:val="77"/>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35392357">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881" w:type="dxa"/>
                  <w:noWrap w:val="0"/>
                  <w:tcMar>
                    <w:top w:w="0" w:type="dxa"/>
                    <w:left w:w="28" w:type="dxa"/>
                    <w:bottom w:w="0" w:type="dxa"/>
                    <w:right w:w="28" w:type="dxa"/>
                  </w:tcMar>
                  <w:vAlign w:val="center"/>
                </w:tcPr>
                <w:p w14:paraId="01F4E544">
                  <w:pPr>
                    <w:pStyle w:val="77"/>
                    <w:shd w:val="clear" w:color="auto" w:fill="auto"/>
                    <w:ind w:hanging="1"/>
                    <w:jc w:val="left"/>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加强空间规划和建设项目布局论证，根据土壤等环境承载能力，合理确定区域功能定位、空间布局和建设项目选择。严格控制在优先保护类耕地集中区域新建有色金属冶炼、石油加工、化工、焦化、电镀、制革、制药、铅酸蓄电池行业企业。结合区域功能定位和土壤污染防治需要，科学布局城乡生活垃圾处理、危险废物处置、废旧资源再生利用等设施和场所，合理确定畜禽养殖布局和规模。</w:t>
                  </w:r>
                </w:p>
              </w:tc>
              <w:tc>
                <w:tcPr>
                  <w:tcW w:w="1128" w:type="dxa"/>
                  <w:noWrap w:val="0"/>
                  <w:tcMar>
                    <w:top w:w="0" w:type="dxa"/>
                    <w:left w:w="28" w:type="dxa"/>
                    <w:bottom w:w="0" w:type="dxa"/>
                    <w:right w:w="28" w:type="dxa"/>
                  </w:tcMar>
                  <w:vAlign w:val="center"/>
                </w:tcPr>
                <w:p w14:paraId="16FB3B97">
                  <w:pPr>
                    <w:pStyle w:val="77"/>
                    <w:shd w:val="clear" w:color="auto" w:fill="auto"/>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项目占地类型为工业用地，符合园区用地布局。</w:t>
                  </w:r>
                </w:p>
              </w:tc>
              <w:tc>
                <w:tcPr>
                  <w:tcW w:w="476" w:type="dxa"/>
                  <w:noWrap w:val="0"/>
                  <w:tcMar>
                    <w:top w:w="0" w:type="dxa"/>
                    <w:left w:w="28" w:type="dxa"/>
                    <w:bottom w:w="0" w:type="dxa"/>
                    <w:right w:w="28" w:type="dxa"/>
                  </w:tcMar>
                  <w:vAlign w:val="center"/>
                </w:tcPr>
                <w:p w14:paraId="29A549C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4FF9D95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6</w:t>
            </w:r>
            <w:r>
              <w:rPr>
                <w:rFonts w:hint="default" w:ascii="Times New Roman" w:hAnsi="Times New Roman" w:cs="Times New Roman"/>
                <w:b/>
                <w:bCs/>
                <w:color w:val="auto"/>
                <w:sz w:val="24"/>
              </w:rPr>
              <w:t>.</w:t>
            </w:r>
            <w:r>
              <w:rPr>
                <w:rFonts w:hint="eastAsia"/>
                <w:b/>
                <w:bCs/>
                <w:color w:val="auto"/>
                <w:sz w:val="24"/>
                <w:lang w:val="en-US" w:eastAsia="zh-CN"/>
              </w:rPr>
              <w:t>项目三线一单</w:t>
            </w:r>
            <w:r>
              <w:rPr>
                <w:b/>
                <w:bCs/>
                <w:color w:val="auto"/>
                <w:sz w:val="24"/>
              </w:rPr>
              <w:t>符合性分析</w:t>
            </w:r>
          </w:p>
          <w:p w14:paraId="66D95EA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（1）生态保护红线</w:t>
            </w:r>
          </w:p>
          <w:p w14:paraId="2507A92E">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color w:val="auto"/>
                <w:sz w:val="24"/>
              </w:rPr>
              <w:t>本项目位于河北省石家庄市井陉矿区，根据《河北省人民政府关于发布&lt;河北省生态保护红线&gt;的通知》（冀政字（2018）23号）</w:t>
            </w:r>
            <w:r>
              <w:rPr>
                <w:rFonts w:hint="eastAsia"/>
                <w:color w:val="auto"/>
                <w:sz w:val="24"/>
                <w:lang w:eastAsia="zh-CN"/>
              </w:rPr>
              <w:t>、《关于公布河北省生态环境分区管控更新成果（2023版）的公告》</w:t>
            </w:r>
            <w:r>
              <w:rPr>
                <w:color w:val="auto"/>
                <w:sz w:val="24"/>
              </w:rPr>
              <w:t>，项目及影响区域内无自然保护区、世界文化和自然遗产地等特殊生态敏感区，本项目不涉及生态保护红线</w:t>
            </w:r>
            <w:r>
              <w:rPr>
                <w:rFonts w:hint="eastAsia"/>
                <w:color w:val="auto"/>
                <w:sz w:val="24"/>
                <w:lang w:eastAsia="zh-CN"/>
              </w:rPr>
              <w:t>。</w:t>
            </w:r>
            <w:r>
              <w:rPr>
                <w:rFonts w:hint="default" w:ascii="Times New Roman" w:hAnsi="Times New Roman" w:cs="Times New Roman"/>
                <w:color w:val="auto"/>
                <w:sz w:val="24"/>
                <w:highlight w:val="none"/>
                <w:lang w:eastAsia="zh-CN"/>
              </w:rPr>
              <w:t>项目与井陉矿区生态保护红线位置关系示意图</w:t>
            </w:r>
            <w:r>
              <w:rPr>
                <w:rFonts w:hint="default" w:ascii="Times New Roman" w:hAnsi="Times New Roman" w:cs="Times New Roman"/>
                <w:color w:val="auto"/>
                <w:sz w:val="24"/>
                <w:highlight w:val="none"/>
                <w:lang w:val="en-US" w:eastAsia="zh-CN"/>
              </w:rPr>
              <w:t>见附图</w:t>
            </w:r>
            <w:r>
              <w:rPr>
                <w:rFonts w:hint="eastAsia" w:cs="Times New Roman"/>
                <w:color w:val="auto"/>
                <w:sz w:val="24"/>
                <w:highlight w:val="none"/>
                <w:lang w:val="en-US" w:eastAsia="zh-CN"/>
              </w:rPr>
              <w:t>12</w:t>
            </w:r>
            <w:r>
              <w:rPr>
                <w:rFonts w:hint="default" w:ascii="Times New Roman" w:hAnsi="Times New Roman" w:cs="Times New Roman"/>
                <w:color w:val="auto"/>
                <w:sz w:val="24"/>
                <w:highlight w:val="none"/>
              </w:rPr>
              <w:t>。</w:t>
            </w:r>
          </w:p>
          <w:p w14:paraId="3010E82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（2）环境质量底线</w:t>
            </w:r>
          </w:p>
          <w:p w14:paraId="2E1B852D">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Style w:val="111"/>
                <w:rFonts w:hint="default" w:ascii="Times New Roman" w:hAnsi="Times New Roman"/>
                <w:color w:val="auto"/>
                <w:sz w:val="24"/>
                <w:szCs w:val="24"/>
              </w:rPr>
            </w:pPr>
            <w:r>
              <w:rPr>
                <w:color w:val="auto"/>
                <w:kern w:val="0"/>
                <w:sz w:val="24"/>
                <w:szCs w:val="24"/>
              </w:rPr>
              <w:t>本区域环境质量底线为：环境空气执行《环境空气质量标准》（GB3095-20</w:t>
            </w:r>
            <w:r>
              <w:rPr>
                <w:rFonts w:hint="eastAsia"/>
                <w:color w:val="auto"/>
                <w:kern w:val="0"/>
                <w:sz w:val="24"/>
                <w:szCs w:val="24"/>
                <w:lang w:val="en-US" w:eastAsia="zh-CN"/>
              </w:rPr>
              <w:t>26</w:t>
            </w:r>
            <w:r>
              <w:rPr>
                <w:color w:val="auto"/>
                <w:kern w:val="0"/>
                <w:sz w:val="24"/>
                <w:szCs w:val="24"/>
              </w:rPr>
              <w:t>）</w:t>
            </w:r>
            <w:r>
              <w:rPr>
                <w:rFonts w:hint="eastAsia"/>
                <w:color w:val="auto"/>
                <w:kern w:val="0"/>
                <w:sz w:val="24"/>
                <w:szCs w:val="24"/>
                <w:lang w:val="en-US" w:eastAsia="zh-CN"/>
              </w:rPr>
              <w:t>表1“过渡阶段浓度限值”</w:t>
            </w:r>
            <w:r>
              <w:rPr>
                <w:color w:val="auto"/>
                <w:kern w:val="0"/>
                <w:sz w:val="24"/>
                <w:szCs w:val="24"/>
              </w:rPr>
              <w:t>二级标准，其中不达标因子</w:t>
            </w:r>
            <w:r>
              <w:rPr>
                <w:rFonts w:hint="eastAsia"/>
                <w:color w:val="auto"/>
                <w:kern w:val="0"/>
                <w:sz w:val="24"/>
                <w:szCs w:val="24"/>
                <w:lang w:val="en-US" w:eastAsia="zh-CN"/>
              </w:rPr>
              <w:t>为</w:t>
            </w:r>
            <w:r>
              <w:rPr>
                <w:color w:val="auto"/>
                <w:kern w:val="0"/>
                <w:sz w:val="24"/>
                <w:szCs w:val="24"/>
              </w:rPr>
              <w:t>PM</w:t>
            </w:r>
            <w:r>
              <w:rPr>
                <w:color w:val="auto"/>
                <w:kern w:val="0"/>
                <w:sz w:val="24"/>
                <w:szCs w:val="24"/>
                <w:vertAlign w:val="subscript"/>
              </w:rPr>
              <w:t>10</w:t>
            </w:r>
            <w:r>
              <w:rPr>
                <w:color w:val="auto"/>
                <w:kern w:val="0"/>
                <w:sz w:val="24"/>
                <w:szCs w:val="24"/>
              </w:rPr>
              <w:t>、PM</w:t>
            </w:r>
            <w:r>
              <w:rPr>
                <w:color w:val="auto"/>
                <w:kern w:val="0"/>
                <w:sz w:val="24"/>
                <w:szCs w:val="24"/>
                <w:vertAlign w:val="subscript"/>
              </w:rPr>
              <w:t>2.5</w:t>
            </w:r>
            <w:r>
              <w:rPr>
                <w:color w:val="auto"/>
                <w:kern w:val="0"/>
                <w:sz w:val="24"/>
                <w:szCs w:val="24"/>
              </w:rPr>
              <w:t>、O</w:t>
            </w:r>
            <w:r>
              <w:rPr>
                <w:color w:val="auto"/>
                <w:kern w:val="0"/>
                <w:sz w:val="24"/>
                <w:szCs w:val="24"/>
                <w:vertAlign w:val="subscript"/>
              </w:rPr>
              <w:t>3</w:t>
            </w:r>
            <w:r>
              <w:rPr>
                <w:rFonts w:hint="eastAsia"/>
                <w:color w:val="auto"/>
                <w:kern w:val="0"/>
                <w:sz w:val="24"/>
                <w:szCs w:val="24"/>
                <w:vertAlign w:val="baseline"/>
                <w:lang w:val="en-US" w:eastAsia="zh-CN"/>
              </w:rPr>
              <w:t>，其他因子</w:t>
            </w:r>
            <w:r>
              <w:rPr>
                <w:color w:val="auto"/>
                <w:kern w:val="0"/>
                <w:sz w:val="24"/>
                <w:szCs w:val="24"/>
              </w:rPr>
              <w:t>满足相应环境功能区标准要求，环境质量相对现状持续改善，其中细颗粒物控制浓度满足国家、省、市、县相关要求；</w:t>
            </w:r>
            <w:r>
              <w:rPr>
                <w:rFonts w:hint="eastAsia"/>
                <w:color w:val="auto"/>
                <w:kern w:val="0"/>
                <w:sz w:val="24"/>
                <w:szCs w:val="24"/>
                <w:lang w:val="en-US" w:eastAsia="zh-CN"/>
              </w:rPr>
              <w:t>声环境执行</w:t>
            </w:r>
            <w:r>
              <w:rPr>
                <w:rFonts w:hint="default" w:ascii="Times New Roman" w:hAnsi="Times New Roman" w:cs="Times New Roman"/>
                <w:bCs/>
                <w:color w:val="auto"/>
                <w:sz w:val="24"/>
                <w:lang w:val="en-US" w:eastAsia="zh-CN"/>
              </w:rPr>
              <w:t>《声环境质量标准》（GB3096-2008）3类标准</w:t>
            </w:r>
            <w:r>
              <w:rPr>
                <w:rFonts w:hint="eastAsia"/>
                <w:color w:val="auto"/>
                <w:kern w:val="0"/>
                <w:sz w:val="24"/>
                <w:szCs w:val="24"/>
                <w:lang w:eastAsia="zh-CN"/>
              </w:rPr>
              <w:t>；</w:t>
            </w:r>
            <w:r>
              <w:rPr>
                <w:color w:val="auto"/>
                <w:kern w:val="0"/>
                <w:sz w:val="24"/>
                <w:szCs w:val="24"/>
              </w:rPr>
              <w:t>地下水环境执行《地下水质量标准》（GB/T14848-2017）</w:t>
            </w:r>
            <w:r>
              <w:rPr>
                <w:rFonts w:ascii="宋体"/>
                <w:color w:val="auto"/>
                <w:kern w:val="0"/>
                <w:sz w:val="24"/>
                <w:szCs w:val="24"/>
              </w:rPr>
              <w:t>Ⅲ</w:t>
            </w:r>
            <w:r>
              <w:rPr>
                <w:color w:val="auto"/>
                <w:kern w:val="0"/>
                <w:sz w:val="24"/>
                <w:szCs w:val="24"/>
              </w:rPr>
              <w:t>类标准；</w:t>
            </w:r>
            <w:r>
              <w:rPr>
                <w:rStyle w:val="111"/>
                <w:rFonts w:hint="default" w:ascii="Times New Roman" w:hAnsi="Times New Roman"/>
                <w:color w:val="auto"/>
                <w:sz w:val="24"/>
                <w:szCs w:val="24"/>
              </w:rPr>
              <w:t>土壤环境执行《土壤环境质量建设用地土壤污染风险管控标准》（GB36600-2018）中的第二类用地标准及《土壤环境质量农用地土壤污染风险管控标准》（GB15618-2018）。</w:t>
            </w:r>
          </w:p>
          <w:p w14:paraId="059A580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1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①</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本项目</w:t>
            </w:r>
            <w:r>
              <w:rPr>
                <w:rFonts w:hint="eastAsia" w:ascii="Times New Roman" w:hAnsi="Times New Roman" w:eastAsia="宋体" w:cs="Times New Roman"/>
                <w:snapToGrid w:val="0"/>
                <w:color w:val="auto"/>
                <w:sz w:val="24"/>
                <w:szCs w:val="24"/>
                <w:lang w:val="en-US" w:eastAsia="zh-CN"/>
              </w:rPr>
              <w:t>技改后，制粉工序在正常工况下仍由原有2台磨粉机运行，废气（主要为粉尘）的有组织排放源强及排放总量与技改前保持一致；</w:t>
            </w:r>
            <w:r>
              <w:rPr>
                <w:rFonts w:hint="eastAsia" w:ascii="Times New Roman" w:hAnsi="Times New Roman" w:cs="Times New Roman"/>
                <w:bCs/>
                <w:color w:val="auto"/>
                <w:sz w:val="24"/>
                <w:szCs w:val="24"/>
                <w:lang w:val="en-US" w:eastAsia="zh-CN"/>
              </w:rPr>
              <w:t>更换新蜗壳以恢复最佳气流场、降低风阻并消除震动隐患，两者协同作用从而全面提升磨粉系统的运行稳定性与研磨效率，有效遏制粉尘泄漏</w:t>
            </w:r>
            <w:r>
              <w:rPr>
                <w:rFonts w:hint="eastAsia" w:ascii="Times New Roman" w:hAnsi="Times New Roman" w:eastAsia="宋体" w:cs="Times New Roman"/>
                <w:snapToGrid w:val="0"/>
                <w:color w:val="auto"/>
                <w:sz w:val="24"/>
                <w:szCs w:val="24"/>
                <w:lang w:val="en-US" w:eastAsia="zh-CN"/>
              </w:rPr>
              <w:t>；新增的2台备用磨粉机仅在现有设备检修或故障时启用，其采用高效密闭结构，并接入现有除尘系统，依托已建且有效运行的废气治理设施，确保启用期间污染物排放浓度及速率不高于原设备。综上，全厂废气污染物排放总量不增加</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highlight w:val="none"/>
              </w:rPr>
              <w:t>因此，项目运营不会对周边环境空气产生明显影响。</w:t>
            </w:r>
          </w:p>
          <w:p w14:paraId="71BE8082">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②</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本项</w:t>
            </w:r>
            <w:r>
              <w:rPr>
                <w:rFonts w:hint="default" w:ascii="Times New Roman" w:hAnsi="Times New Roman" w:cs="Times New Roman"/>
                <w:color w:val="auto"/>
                <w:sz w:val="24"/>
                <w:highlight w:val="none"/>
                <w:lang w:val="en-US" w:eastAsia="zh-CN"/>
              </w:rPr>
              <w:t>目为</w:t>
            </w:r>
            <w:r>
              <w:rPr>
                <w:rFonts w:hint="eastAsia" w:ascii="Times New Roman" w:hAnsi="Times New Roman" w:cs="Times New Roman"/>
                <w:color w:val="auto"/>
                <w:sz w:val="24"/>
                <w:highlight w:val="none"/>
                <w:lang w:val="en-US" w:eastAsia="zh-CN"/>
              </w:rPr>
              <w:t>技改</w:t>
            </w:r>
            <w:r>
              <w:rPr>
                <w:rFonts w:hint="default" w:ascii="Times New Roman" w:hAnsi="Times New Roman" w:cs="Times New Roman"/>
                <w:color w:val="auto"/>
                <w:sz w:val="24"/>
                <w:highlight w:val="none"/>
                <w:lang w:val="en-US" w:eastAsia="zh-CN"/>
              </w:rPr>
              <w:t>项目，</w:t>
            </w:r>
            <w:r>
              <w:rPr>
                <w:rFonts w:hint="eastAsia" w:ascii="Times New Roman" w:hAnsi="Times New Roman" w:cs="Times New Roman"/>
                <w:color w:val="auto"/>
                <w:sz w:val="24"/>
                <w:highlight w:val="none"/>
                <w:lang w:val="en-US" w:eastAsia="zh-CN"/>
              </w:rPr>
              <w:t>无新增废水产生</w:t>
            </w:r>
            <w:r>
              <w:rPr>
                <w:rFonts w:hint="default" w:ascii="Times New Roman" w:hAnsi="Times New Roman" w:cs="Times New Roman"/>
                <w:color w:val="auto"/>
                <w:sz w:val="24"/>
                <w:highlight w:val="none"/>
              </w:rPr>
              <w:t>。</w:t>
            </w:r>
            <w:r>
              <w:rPr>
                <w:rFonts w:hint="default" w:ascii="Times New Roman" w:hAnsi="Times New Roman" w:cs="Times New Roman"/>
                <w:color w:val="auto"/>
                <w:sz w:val="24"/>
              </w:rPr>
              <w:t>因此，项目建设不会对周边水环境产生明显影响。</w:t>
            </w:r>
          </w:p>
          <w:p w14:paraId="7F27C9B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 3 \* GB3 </w:instrText>
            </w:r>
            <w:r>
              <w:rPr>
                <w:rFonts w:hint="default" w:ascii="Times New Roman" w:hAnsi="Times New Roman" w:cs="Times New Roman"/>
                <w:color w:val="auto"/>
                <w:sz w:val="24"/>
              </w:rPr>
              <w:fldChar w:fldCharType="separate"/>
            </w:r>
            <w:r>
              <w:rPr>
                <w:rFonts w:hint="default" w:ascii="Times New Roman" w:hAnsi="Times New Roman" w:cs="Times New Roman"/>
                <w:color w:val="auto"/>
                <w:sz w:val="24"/>
              </w:rPr>
              <w:t>③</w:t>
            </w:r>
            <w:r>
              <w:rPr>
                <w:rFonts w:hint="default" w:ascii="Times New Roman" w:hAnsi="Times New Roman" w:cs="Times New Roman"/>
                <w:color w:val="auto"/>
                <w:sz w:val="24"/>
              </w:rPr>
              <w:fldChar w:fldCharType="end"/>
            </w:r>
            <w:r>
              <w:rPr>
                <w:rFonts w:hint="default" w:ascii="Times New Roman" w:hAnsi="Times New Roman" w:cs="Times New Roman"/>
                <w:color w:val="auto"/>
                <w:sz w:val="24"/>
              </w:rPr>
              <w:t>本项目所在区域为3类声环境功能区，建成后噪声能满足《声环境质量标准》3类标准要求，建设运营不会改变项目所在区域的声环境功能。</w:t>
            </w:r>
          </w:p>
          <w:p w14:paraId="685E6CC2">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w:t>
            </w:r>
            <w:r>
              <w:rPr>
                <w:rFonts w:hint="eastAsia" w:ascii="Times New Roman" w:hAnsi="Times New Roman" w:cs="Times New Roman"/>
                <w:snapToGrid w:val="0"/>
                <w:color w:val="auto"/>
                <w:sz w:val="24"/>
                <w:szCs w:val="24"/>
                <w:highlight w:val="none"/>
                <w:lang w:val="en-US" w:eastAsia="zh-CN"/>
              </w:rPr>
              <w:t>技改后，项目运营期固体废物产生情况与技改前基本一致。新增的2台备用磨粉机仅在检修或故障时启用，且其运行工艺、原辅材料及污染控制措施与现有设备相同，因此产生的除尘灰</w:t>
            </w:r>
            <w:r>
              <w:rPr>
                <w:rFonts w:hint="eastAsia" w:cs="Times New Roman"/>
                <w:snapToGrid w:val="0"/>
                <w:color w:val="auto"/>
                <w:sz w:val="24"/>
                <w:szCs w:val="24"/>
                <w:highlight w:val="none"/>
                <w:lang w:val="en-US" w:eastAsia="zh-CN"/>
              </w:rPr>
              <w:t>、废布袋</w:t>
            </w:r>
            <w:r>
              <w:rPr>
                <w:rFonts w:hint="eastAsia" w:ascii="Times New Roman" w:hAnsi="Times New Roman" w:cs="Times New Roman"/>
                <w:snapToGrid w:val="0"/>
                <w:color w:val="auto"/>
                <w:sz w:val="24"/>
                <w:szCs w:val="24"/>
                <w:highlight w:val="none"/>
                <w:lang w:val="en-US" w:eastAsia="zh-CN"/>
              </w:rPr>
              <w:t>（一般工业固废）等种类、属性及产生量均无明显变化。设备维护过程中产生的废机油、废油桶等危险废物产生频次和数量亦未增加。所有固体废物仍按原有方式进行，交由有资质单位合规处置，固废排放总量不增加</w:t>
            </w:r>
            <w:r>
              <w:rPr>
                <w:rFonts w:hint="eastAsia" w:ascii="Times New Roman" w:hAnsi="Times New Roman" w:cs="Times New Roman"/>
                <w:color w:val="auto"/>
                <w:sz w:val="24"/>
                <w:szCs w:val="24"/>
                <w:highlight w:val="none"/>
                <w:lang w:val="en-US" w:eastAsia="zh-CN"/>
              </w:rPr>
              <w:t>。</w:t>
            </w:r>
          </w:p>
          <w:p w14:paraId="614EA3C5">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综上所述，本项目在认真贯彻执行国家环保法律、法规，严格落实环评规定的各项环保措施的前提下，项目的建设和运营不会突破区域环境质量底线。</w:t>
            </w:r>
          </w:p>
          <w:p w14:paraId="0D2DA714">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（3）资源利用上线</w:t>
            </w:r>
          </w:p>
          <w:p w14:paraId="29E7BED1">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生态保护红线、环境质量底线、资源利用上线和环境准入负面清单编制指南（试行）》资源利用上线指按照自然资源资产“只能增值、不能贬值”的原则，以保障生态安全和改善环境质量为目的，利用自然资源资产负债表，结合自然资源开发管控，提出的分区域分阶段的资源开发利用总量、强度、效率等上线管控要求。</w:t>
            </w:r>
          </w:p>
          <w:p w14:paraId="46573C61">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本项目运营过程中</w:t>
            </w:r>
            <w:r>
              <w:rPr>
                <w:rFonts w:hint="eastAsia" w:ascii="Times New Roman" w:hAnsi="Times New Roman" w:cs="Times New Roman"/>
                <w:color w:val="auto"/>
                <w:sz w:val="24"/>
                <w:lang w:val="en-US" w:eastAsia="zh-CN"/>
              </w:rPr>
              <w:t>消耗一定量的</w:t>
            </w:r>
            <w:r>
              <w:rPr>
                <w:rFonts w:hint="default" w:ascii="Times New Roman" w:hAnsi="Times New Roman" w:cs="Times New Roman"/>
                <w:color w:val="auto"/>
                <w:sz w:val="24"/>
              </w:rPr>
              <w:t>电力资源</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不</w:t>
            </w:r>
            <w:r>
              <w:rPr>
                <w:rFonts w:hint="default" w:ascii="Times New Roman" w:hAnsi="Times New Roman" w:cs="Times New Roman"/>
                <w:color w:val="auto"/>
                <w:sz w:val="24"/>
              </w:rPr>
              <w:t>消耗水</w:t>
            </w:r>
            <w:r>
              <w:rPr>
                <w:rFonts w:hint="eastAsia" w:ascii="Times New Roman" w:hAnsi="Times New Roman" w:cs="Times New Roman"/>
                <w:color w:val="auto"/>
                <w:sz w:val="24"/>
                <w:lang w:val="en-US" w:eastAsia="zh-CN"/>
              </w:rPr>
              <w:t>资源</w:t>
            </w:r>
            <w:r>
              <w:rPr>
                <w:rFonts w:hint="default" w:ascii="Times New Roman" w:hAnsi="Times New Roman" w:cs="Times New Roman"/>
                <w:color w:val="auto"/>
                <w:sz w:val="24"/>
              </w:rPr>
              <w:t>，项目资源消耗量相对区域资源利用总量较小，不会突破资源利用上线。</w:t>
            </w:r>
          </w:p>
          <w:p w14:paraId="0CBBA81F">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（4）环境准入负面清单</w:t>
            </w:r>
          </w:p>
          <w:p w14:paraId="60AF8849">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环境准入负面清单是基于生态保护红线、环境质量底线和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p w14:paraId="28193AB7">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rPr>
              <w:t>项目不属于《产业结构调整指导目录（20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年本）》中限制、淘汰类项目，符合国家产业政策要求；</w:t>
            </w:r>
            <w:r>
              <w:rPr>
                <w:rFonts w:hint="default" w:ascii="Times New Roman" w:hAnsi="Times New Roman" w:cs="Times New Roman"/>
                <w:color w:val="auto"/>
                <w:sz w:val="24"/>
                <w:lang w:eastAsia="zh-CN"/>
              </w:rPr>
              <w:t>项目不在《市场准入负面清单（202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eastAsia="zh-CN"/>
              </w:rPr>
              <w:t>年版）》负面清单内</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项目已取得备案信息：备案编号：</w:t>
            </w:r>
            <w:r>
              <w:rPr>
                <w:rFonts w:hint="eastAsia" w:ascii="Times New Roman" w:hAnsi="Times New Roman" w:cs="Times New Roman"/>
                <w:color w:val="auto"/>
                <w:sz w:val="24"/>
                <w:highlight w:val="none"/>
                <w:lang w:eastAsia="zh-CN"/>
              </w:rPr>
              <w:t>矿科工信技改备字[2026]04号</w:t>
            </w:r>
            <w:r>
              <w:rPr>
                <w:rFonts w:hint="default" w:ascii="Times New Roman" w:hAnsi="Times New Roman" w:cs="Times New Roman"/>
                <w:color w:val="auto"/>
                <w:sz w:val="24"/>
                <w:highlight w:val="none"/>
              </w:rPr>
              <w:t>。</w:t>
            </w:r>
          </w:p>
          <w:p w14:paraId="2C0D9F5A">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7</w:t>
            </w:r>
            <w:r>
              <w:rPr>
                <w:rFonts w:hint="default" w:ascii="Times New Roman" w:hAnsi="Times New Roman" w:cs="Times New Roman"/>
                <w:b/>
                <w:bCs/>
                <w:color w:val="auto"/>
                <w:sz w:val="24"/>
              </w:rPr>
              <w:t>.与石家庄市“三线一单”符合性分析</w:t>
            </w:r>
          </w:p>
          <w:p w14:paraId="1F5870E7">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w:t>
            </w:r>
            <w:r>
              <w:rPr>
                <w:rFonts w:hint="eastAsia" w:ascii="Times New Roman" w:hAnsi="Times New Roman" w:cs="Times New Roman"/>
                <w:color w:val="auto"/>
                <w:sz w:val="24"/>
                <w:lang w:val="en-US" w:eastAsia="zh-CN"/>
              </w:rPr>
              <w:t>《石家庄市“三线一单”生态环境准入清单（2023年版）》</w:t>
            </w:r>
            <w:r>
              <w:rPr>
                <w:rFonts w:hint="default" w:ascii="Times New Roman" w:hAnsi="Times New Roman" w:cs="Times New Roman"/>
                <w:color w:val="auto"/>
                <w:sz w:val="24"/>
              </w:rPr>
              <w:t>要求，本项目与该文件（以下简称石家庄“三线一单”）符合性分析如下：</w:t>
            </w:r>
          </w:p>
          <w:p w14:paraId="19B0FBA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（1）生态环境分区管控要求</w:t>
            </w:r>
          </w:p>
          <w:p w14:paraId="053FCE6B">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eastAsia" w:ascii="Times New Roman" w:hAnsi="Times New Roman" w:cs="Times New Roman"/>
                <w:color w:val="auto"/>
                <w:sz w:val="24"/>
                <w:lang w:eastAsia="zh-CN" w:bidi="ar"/>
              </w:rPr>
              <w:t>项目位于石家庄市井陉矿区河北鸿科碳素有限公司内</w:t>
            </w:r>
            <w:r>
              <w:rPr>
                <w:rFonts w:hint="default" w:ascii="Times New Roman" w:hAnsi="Times New Roman" w:cs="Times New Roman"/>
                <w:color w:val="auto"/>
                <w:sz w:val="24"/>
                <w:lang w:bidi="ar"/>
              </w:rPr>
              <w:t>。该区域属于工业园区重点管控单元，根据石家庄“三线一单”</w:t>
            </w:r>
            <w:r>
              <w:rPr>
                <w:rFonts w:hint="default" w:ascii="Times New Roman" w:hAnsi="Times New Roman" w:cs="Times New Roman"/>
                <w:color w:val="auto"/>
                <w:sz w:val="24"/>
                <w:lang w:val="en-US" w:eastAsia="zh-CN" w:bidi="ar"/>
              </w:rPr>
              <w:t>--</w:t>
            </w:r>
            <w:r>
              <w:rPr>
                <w:rFonts w:hint="default" w:ascii="Times New Roman" w:hAnsi="Times New Roman" w:cs="Times New Roman"/>
                <w:color w:val="auto"/>
                <w:sz w:val="24"/>
                <w:lang w:bidi="ar"/>
              </w:rPr>
              <w:t>工业园区重点管控单元要求如下：</w:t>
            </w:r>
          </w:p>
          <w:p w14:paraId="1B03CBA5">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bidi="ar"/>
              </w:rPr>
              <w:t>严格产业准入，完善园区设施建设，推动设施提标改造；实施污染物总量控制，落实排污许可证制度；强化资源利用效率和地下水开采管控。</w:t>
            </w:r>
          </w:p>
          <w:p w14:paraId="5F3BBCC8">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bidi="ar"/>
              </w:rPr>
              <w:t>项目符合性分析：</w:t>
            </w:r>
            <w:r>
              <w:rPr>
                <w:rFonts w:hint="eastAsia" w:ascii="Times New Roman" w:hAnsi="Times New Roman" w:cs="Times New Roman"/>
                <w:color w:val="auto"/>
                <w:sz w:val="24"/>
                <w:lang w:val="en-US" w:eastAsia="zh-CN" w:bidi="ar"/>
              </w:rPr>
              <w:t>企业属于</w:t>
            </w:r>
            <w:r>
              <w:rPr>
                <w:rFonts w:hint="eastAsia" w:ascii="Times New Roman" w:hAnsi="Times New Roman" w:eastAsia="宋体" w:cs="Times New Roman"/>
                <w:color w:val="auto"/>
                <w:sz w:val="24"/>
                <w:lang w:val="en-US" w:eastAsia="zh-CN" w:bidi="ar"/>
              </w:rPr>
              <w:t>碳素制品制造业，</w:t>
            </w:r>
            <w:r>
              <w:rPr>
                <w:rFonts w:hint="eastAsia" w:ascii="Times New Roman" w:hAnsi="Times New Roman" w:cs="Times New Roman"/>
                <w:bCs/>
                <w:color w:val="auto"/>
                <w:sz w:val="24"/>
                <w:szCs w:val="24"/>
                <w:lang w:val="en-US" w:eastAsia="zh-CN"/>
              </w:rPr>
              <w:t>本次技改</w:t>
            </w:r>
            <w:r>
              <w:rPr>
                <w:rFonts w:hint="eastAsia" w:cs="Times New Roman"/>
                <w:bCs/>
                <w:color w:val="auto"/>
                <w:sz w:val="24"/>
                <w:szCs w:val="24"/>
                <w:lang w:val="en-US" w:eastAsia="zh-CN"/>
              </w:rPr>
              <w:t>对制粉工序现有的2台旧磨粉机进行改造升级（引入物料智能计量参配系统并更换新蜗壳）</w:t>
            </w:r>
            <w:r>
              <w:rPr>
                <w:rFonts w:hint="eastAsia" w:ascii="Times New Roman" w:hAnsi="Times New Roman" w:cs="Times New Roman"/>
                <w:bCs/>
                <w:color w:val="auto"/>
                <w:sz w:val="24"/>
                <w:szCs w:val="24"/>
                <w:lang w:val="en-US" w:eastAsia="zh-CN"/>
              </w:rPr>
              <w:t>；</w:t>
            </w:r>
            <w:r>
              <w:rPr>
                <w:rFonts w:hint="default" w:ascii="Times New Roman" w:hAnsi="Times New Roman" w:eastAsia="宋体" w:cs="Times New Roman"/>
                <w:i w:val="0"/>
                <w:caps w:val="0"/>
                <w:color w:val="auto"/>
                <w:spacing w:val="0"/>
                <w:sz w:val="24"/>
                <w:szCs w:val="24"/>
                <w:shd w:val="clear" w:color="auto" w:fill="FFFFFF"/>
                <w:lang w:val="en-US" w:eastAsia="zh-CN"/>
              </w:rPr>
              <w:t>同时新增2台备用磨粉机及配套的气力输送、螺旋输送机等设备，确保生产的连续性</w:t>
            </w:r>
            <w:r>
              <w:rPr>
                <w:rFonts w:hint="default" w:ascii="Times New Roman" w:hAnsi="Times New Roman" w:eastAsia="宋体" w:cs="Times New Roman"/>
                <w:color w:val="auto"/>
                <w:sz w:val="24"/>
                <w:lang w:val="en-US" w:eastAsia="zh-CN" w:bidi="ar"/>
              </w:rPr>
              <w:t>。</w:t>
            </w:r>
            <w:r>
              <w:rPr>
                <w:rFonts w:hint="default" w:ascii="Times New Roman" w:hAnsi="Times New Roman" w:eastAsia="宋体" w:cs="Times New Roman"/>
                <w:color w:val="auto"/>
                <w:sz w:val="24"/>
                <w:lang w:bidi="ar"/>
              </w:rPr>
              <w:t>不涉及新增生产工序、不扩大产能规模、不改变产品方案，</w:t>
            </w:r>
            <w:r>
              <w:rPr>
                <w:rFonts w:hint="default" w:ascii="Times New Roman" w:hAnsi="Times New Roman" w:cs="Times New Roman"/>
                <w:color w:val="auto"/>
                <w:sz w:val="24"/>
                <w:lang w:bidi="ar"/>
              </w:rPr>
              <w:t>符合园区产业定位，本项目供水、供电</w:t>
            </w:r>
            <w:r>
              <w:rPr>
                <w:rFonts w:hint="eastAsia" w:ascii="Times New Roman" w:hAnsi="Times New Roman" w:cs="Times New Roman"/>
                <w:color w:val="auto"/>
                <w:sz w:val="24"/>
                <w:lang w:val="en-US" w:eastAsia="zh-CN" w:bidi="ar"/>
              </w:rPr>
              <w:t>由</w:t>
            </w:r>
            <w:r>
              <w:rPr>
                <w:rFonts w:hint="default" w:ascii="Times New Roman" w:hAnsi="Times New Roman" w:cs="Times New Roman"/>
                <w:color w:val="auto"/>
                <w:sz w:val="24"/>
                <w:lang w:val="en-US" w:eastAsia="zh-CN" w:bidi="ar"/>
              </w:rPr>
              <w:t>园区供给</w:t>
            </w:r>
            <w:r>
              <w:rPr>
                <w:rFonts w:hint="default" w:ascii="Times New Roman" w:hAnsi="Times New Roman" w:cs="Times New Roman"/>
                <w:color w:val="auto"/>
                <w:sz w:val="24"/>
                <w:lang w:bidi="ar"/>
              </w:rPr>
              <w:t>，不开采地下水，符合工业园区重点管控单元要求。</w:t>
            </w:r>
          </w:p>
          <w:p w14:paraId="23A3F3FF">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（2）石家庄生态环境准入总体要求</w:t>
            </w:r>
          </w:p>
          <w:p w14:paraId="3E981731">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lang w:bidi="ar"/>
              </w:rPr>
            </w:pPr>
            <w:r>
              <w:rPr>
                <w:rFonts w:hint="default" w:ascii="Times New Roman" w:hAnsi="Times New Roman" w:cs="Times New Roman"/>
                <w:color w:val="auto"/>
                <w:sz w:val="24"/>
              </w:rPr>
              <w:t>根据《石家庄市生态环境准入清单(2023年版)》(2024年4月28日发布)要求，</w:t>
            </w:r>
            <w:r>
              <w:rPr>
                <w:rFonts w:hint="default" w:ascii="Times New Roman" w:hAnsi="Times New Roman" w:cs="Times New Roman"/>
                <w:color w:val="auto"/>
                <w:sz w:val="24"/>
                <w:lang w:bidi="ar"/>
              </w:rPr>
              <w:t>项目与全市生态环境准入综合管控要求符合性分析见表</w:t>
            </w:r>
            <w:r>
              <w:rPr>
                <w:rFonts w:hint="default" w:ascii="Times New Roman" w:hAnsi="Times New Roman" w:cs="Times New Roman"/>
                <w:color w:val="auto"/>
                <w:sz w:val="24"/>
                <w:lang w:val="en-US" w:eastAsia="zh-CN" w:bidi="ar"/>
              </w:rPr>
              <w:t>1-</w:t>
            </w:r>
            <w:r>
              <w:rPr>
                <w:rFonts w:hint="eastAsia" w:cs="Times New Roman"/>
                <w:color w:val="auto"/>
                <w:sz w:val="24"/>
                <w:lang w:val="en-US" w:eastAsia="zh-CN" w:bidi="ar"/>
              </w:rPr>
              <w:t>9</w:t>
            </w:r>
            <w:r>
              <w:rPr>
                <w:rFonts w:hint="default" w:ascii="Times New Roman" w:hAnsi="Times New Roman" w:cs="Times New Roman"/>
                <w:color w:val="auto"/>
                <w:sz w:val="24"/>
                <w:lang w:bidi="ar"/>
              </w:rPr>
              <w:t>。</w:t>
            </w:r>
          </w:p>
          <w:p w14:paraId="00A22FC9">
            <w:pPr>
              <w:keepNext w:val="0"/>
              <w:keepLines w:val="0"/>
              <w:pageBreakBefore w:val="0"/>
              <w:shd w:val="clear" w:color="auto" w:fill="auto"/>
              <w:kinsoku/>
              <w:wordWrap/>
              <w:overflowPunct/>
              <w:topLinePunct w:val="0"/>
              <w:autoSpaceDE w:val="0"/>
              <w:autoSpaceDN w:val="0"/>
              <w:bidi w:val="0"/>
              <w:adjustRightInd/>
              <w:snapToGrid/>
              <w:spacing w:line="480" w:lineRule="exact"/>
              <w:jc w:val="center"/>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表</w:t>
            </w:r>
            <w:r>
              <w:rPr>
                <w:rFonts w:hint="default" w:ascii="Times New Roman" w:hAnsi="Times New Roman" w:cs="Times New Roman"/>
                <w:b/>
                <w:bCs/>
                <w:color w:val="auto"/>
                <w:sz w:val="24"/>
                <w:lang w:val="en-US" w:eastAsia="zh-CN"/>
              </w:rPr>
              <w:t>1-</w:t>
            </w:r>
            <w:r>
              <w:rPr>
                <w:rFonts w:hint="eastAsia" w:cs="Times New Roman"/>
                <w:b/>
                <w:bCs/>
                <w:color w:val="auto"/>
                <w:sz w:val="24"/>
                <w:lang w:val="en-US" w:eastAsia="zh-CN"/>
              </w:rPr>
              <w:t>9</w:t>
            </w:r>
            <w:r>
              <w:rPr>
                <w:rFonts w:hint="default" w:ascii="Times New Roman" w:hAnsi="Times New Roman" w:cs="Times New Roman"/>
                <w:b/>
                <w:bCs/>
                <w:color w:val="auto"/>
                <w:sz w:val="24"/>
              </w:rPr>
              <w:t xml:space="preserve">  全市生态环境准入综合管控要求符合性分析</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363"/>
              <w:gridCol w:w="305"/>
              <w:gridCol w:w="438"/>
              <w:gridCol w:w="3130"/>
              <w:gridCol w:w="1347"/>
              <w:gridCol w:w="552"/>
            </w:tblGrid>
            <w:tr w14:paraId="5F3A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tcBorders>
                    <w:top w:val="single" w:color="auto" w:sz="4" w:space="0"/>
                    <w:bottom w:val="single" w:color="auto" w:sz="4" w:space="0"/>
                  </w:tcBorders>
                  <w:noWrap w:val="0"/>
                  <w:vAlign w:val="center"/>
                </w:tcPr>
                <w:p w14:paraId="4270DDB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43D00A6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kern w:val="0"/>
                      <w:sz w:val="20"/>
                      <w:szCs w:val="20"/>
                      <w:highlight w:val="none"/>
                      <w:lang w:bidi="ar"/>
                    </w:rPr>
                    <w:t>重点区域</w:t>
                  </w:r>
                </w:p>
              </w:tc>
              <w:tc>
                <w:tcPr>
                  <w:tcW w:w="2311" w:type="pct"/>
                  <w:tcBorders>
                    <w:top w:val="single" w:color="auto" w:sz="4" w:space="0"/>
                    <w:bottom w:val="single" w:color="auto" w:sz="4" w:space="0"/>
                  </w:tcBorders>
                  <w:noWrap w:val="0"/>
                  <w:vAlign w:val="center"/>
                </w:tcPr>
                <w:p w14:paraId="002972C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管控</w:t>
                  </w:r>
                  <w:r>
                    <w:rPr>
                      <w:rFonts w:hint="eastAsia"/>
                      <w:color w:val="auto"/>
                      <w:kern w:val="0"/>
                      <w:sz w:val="20"/>
                      <w:szCs w:val="20"/>
                      <w:highlight w:val="none"/>
                      <w:lang w:bidi="ar"/>
                    </w:rPr>
                    <w:t>策略</w:t>
                  </w:r>
                </w:p>
              </w:tc>
              <w:tc>
                <w:tcPr>
                  <w:tcW w:w="994" w:type="pct"/>
                  <w:tcBorders>
                    <w:top w:val="single" w:color="auto" w:sz="4" w:space="0"/>
                    <w:bottom w:val="single" w:color="auto" w:sz="4" w:space="0"/>
                  </w:tcBorders>
                  <w:noWrap w:val="0"/>
                  <w:vAlign w:val="center"/>
                </w:tcPr>
                <w:p w14:paraId="2328288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196F4F8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2540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restart"/>
                  <w:tcBorders>
                    <w:top w:val="single" w:color="auto" w:sz="4" w:space="0"/>
                  </w:tcBorders>
                  <w:noWrap w:val="0"/>
                  <w:vAlign w:val="center"/>
                </w:tcPr>
                <w:p w14:paraId="032B09E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全市生态环境准入综合管控要求</w:t>
                  </w:r>
                </w:p>
              </w:tc>
              <w:tc>
                <w:tcPr>
                  <w:tcW w:w="816" w:type="pct"/>
                  <w:gridSpan w:val="3"/>
                  <w:tcBorders>
                    <w:top w:val="single" w:color="auto" w:sz="4" w:space="0"/>
                  </w:tcBorders>
                  <w:noWrap w:val="0"/>
                  <w:vAlign w:val="center"/>
                </w:tcPr>
                <w:p w14:paraId="04B620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全市域</w:t>
                  </w:r>
                </w:p>
              </w:tc>
              <w:tc>
                <w:tcPr>
                  <w:tcW w:w="2311" w:type="pct"/>
                  <w:tcBorders>
                    <w:top w:val="single" w:color="auto" w:sz="4" w:space="0"/>
                  </w:tcBorders>
                  <w:noWrap w:val="0"/>
                  <w:vAlign w:val="center"/>
                </w:tcPr>
                <w:p w14:paraId="7D79430F">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1、优化产业结构。落实国家、省、市产业政策，</w:t>
                  </w:r>
                  <w:r>
                    <w:rPr>
                      <w:rFonts w:hint="eastAsia"/>
                      <w:color w:val="auto"/>
                      <w:sz w:val="20"/>
                      <w:szCs w:val="20"/>
                      <w:highlight w:val="none"/>
                    </w:rPr>
                    <w:t>严格“两高”项目环评审批，落实区域削减要求，推进减污降碳协同控制</w:t>
                  </w:r>
                  <w:r>
                    <w:rPr>
                      <w:color w:val="auto"/>
                      <w:sz w:val="20"/>
                      <w:szCs w:val="20"/>
                      <w:highlight w:val="none"/>
                    </w:rPr>
                    <w:t>。</w:t>
                  </w:r>
                </w:p>
                <w:p w14:paraId="37265419">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2、强化产业入园。优化园区布局，提升园区规划、环评实效性，提升园区资源利用效率和绿色低碳水平，加强新建项目入园，严格现有分散企业污染管控。</w:t>
                  </w:r>
                </w:p>
              </w:tc>
              <w:tc>
                <w:tcPr>
                  <w:tcW w:w="994" w:type="pct"/>
                  <w:tcBorders>
                    <w:top w:val="single" w:color="auto" w:sz="4" w:space="0"/>
                    <w:bottom w:val="single" w:color="auto" w:sz="4" w:space="0"/>
                  </w:tcBorders>
                  <w:noWrap w:val="0"/>
                  <w:vAlign w:val="center"/>
                </w:tcPr>
                <w:p w14:paraId="57C902D3">
                  <w:pPr>
                    <w:keepNext w:val="0"/>
                    <w:keepLines w:val="0"/>
                    <w:pageBreakBefore w:val="0"/>
                    <w:widowControl/>
                    <w:kinsoku/>
                    <w:wordWrap/>
                    <w:overflowPunct/>
                    <w:topLinePunct w:val="0"/>
                    <w:bidi w:val="0"/>
                    <w:snapToGrid/>
                    <w:spacing w:line="0" w:lineRule="atLeast"/>
                    <w:jc w:val="center"/>
                    <w:rPr>
                      <w:rFonts w:hint="eastAsia" w:eastAsia="宋体"/>
                      <w:color w:val="auto"/>
                      <w:sz w:val="20"/>
                      <w:szCs w:val="20"/>
                      <w:highlight w:val="none"/>
                      <w:lang w:eastAsia="zh-CN"/>
                    </w:rPr>
                  </w:pPr>
                  <w:r>
                    <w:rPr>
                      <w:rFonts w:hint="eastAsia" w:ascii="Times New Roman" w:hAnsi="Times New Roman" w:eastAsia="宋体" w:cs="Times New Roman"/>
                      <w:color w:val="auto"/>
                      <w:kern w:val="0"/>
                      <w:sz w:val="20"/>
                      <w:szCs w:val="20"/>
                      <w:highlight w:val="none"/>
                      <w:lang w:bidi="ar"/>
                    </w:rPr>
                    <w:t>本项目位于工业园区内，为现有企业技改，不属于新增 “两高” 项目，符合产业入园相关政策要求</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1FA2459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5B16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20F1826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01DB0E0C">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石家庄市划定的高污染燃料禁燃区</w:t>
                  </w:r>
                </w:p>
              </w:tc>
              <w:tc>
                <w:tcPr>
                  <w:tcW w:w="2311" w:type="pct"/>
                  <w:tcBorders>
                    <w:top w:val="single" w:color="auto" w:sz="4" w:space="0"/>
                    <w:bottom w:val="single" w:color="auto" w:sz="4" w:space="0"/>
                  </w:tcBorders>
                  <w:noWrap w:val="0"/>
                  <w:vAlign w:val="center"/>
                </w:tcPr>
                <w:p w14:paraId="1242A788">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禁燃区内不得新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color w:val="auto"/>
                      <w:sz w:val="20"/>
                      <w:szCs w:val="20"/>
                      <w:highlight w:val="none"/>
                    </w:rPr>
                    <w:t>；</w:t>
                  </w:r>
                  <w:r>
                    <w:rPr>
                      <w:color w:val="auto"/>
                      <w:sz w:val="20"/>
                      <w:szCs w:val="20"/>
                      <w:highlight w:val="none"/>
                    </w:rPr>
                    <w:t>仍未达到大气污染物排放标准的，应当停止使用。</w:t>
                  </w:r>
                </w:p>
                <w:p w14:paraId="64884B83">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2、禁燃区内禁止销售、使用高污染物燃料。</w:t>
                  </w:r>
                </w:p>
                <w:p w14:paraId="02186AE8">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3、禁燃区内禁止原煤散烧。</w:t>
                  </w:r>
                </w:p>
                <w:p w14:paraId="0C0A61A6">
                  <w:pPr>
                    <w:pStyle w:val="56"/>
                    <w:keepNext w:val="0"/>
                    <w:keepLines w:val="0"/>
                    <w:pageBreakBefore w:val="0"/>
                    <w:kinsoku/>
                    <w:wordWrap/>
                    <w:overflowPunct/>
                    <w:topLinePunct w:val="0"/>
                    <w:bidi w:val="0"/>
                    <w:snapToGrid/>
                    <w:spacing w:line="0" w:lineRule="atLeast"/>
                    <w:rPr>
                      <w:color w:val="auto"/>
                      <w:sz w:val="20"/>
                      <w:szCs w:val="20"/>
                      <w:highlight w:val="none"/>
                    </w:rPr>
                  </w:pPr>
                  <w:r>
                    <w:rPr>
                      <w:rFonts w:hint="eastAsia" w:ascii="Times New Roman" w:hAnsi="Times New Roman" w:cs="Times New Roman"/>
                      <w:color w:val="auto"/>
                      <w:sz w:val="20"/>
                      <w:szCs w:val="20"/>
                      <w:highlight w:val="none"/>
                    </w:rPr>
                    <w:t>4、其他平原县和山区县执行县级政府确定的禁燃区范围和管理要求。</w:t>
                  </w:r>
                </w:p>
              </w:tc>
              <w:tc>
                <w:tcPr>
                  <w:tcW w:w="994" w:type="pct"/>
                  <w:tcBorders>
                    <w:top w:val="single" w:color="auto" w:sz="4" w:space="0"/>
                    <w:bottom w:val="single" w:color="auto" w:sz="4" w:space="0"/>
                  </w:tcBorders>
                  <w:noWrap w:val="0"/>
                  <w:vAlign w:val="center"/>
                </w:tcPr>
                <w:p w14:paraId="78CBA998">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val="en-US" w:eastAsia="zh-CN" w:bidi="ar"/>
                    </w:rPr>
                    <w:t>本项目</w:t>
                  </w:r>
                  <w:r>
                    <w:rPr>
                      <w:rFonts w:hint="eastAsia"/>
                      <w:color w:val="auto"/>
                      <w:kern w:val="0"/>
                      <w:sz w:val="20"/>
                      <w:szCs w:val="20"/>
                      <w:highlight w:val="none"/>
                      <w:lang w:bidi="ar"/>
                    </w:rPr>
                    <w:t>不涉及。</w:t>
                  </w:r>
                </w:p>
                <w:p w14:paraId="3A395D3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407" w:type="pct"/>
                  <w:tcBorders>
                    <w:top w:val="single" w:color="auto" w:sz="4" w:space="0"/>
                    <w:bottom w:val="single" w:color="auto" w:sz="4" w:space="0"/>
                    <w:right w:val="single" w:color="auto" w:sz="4" w:space="0"/>
                  </w:tcBorders>
                  <w:noWrap w:val="0"/>
                  <w:vAlign w:val="center"/>
                </w:tcPr>
                <w:p w14:paraId="6137A10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8C1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468" w:type="pct"/>
                  <w:vMerge w:val="continue"/>
                  <w:noWrap w:val="0"/>
                  <w:vAlign w:val="center"/>
                </w:tcPr>
                <w:p w14:paraId="62E8C06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76B86A12">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地下水重点管控区</w:t>
                  </w:r>
                </w:p>
              </w:tc>
              <w:tc>
                <w:tcPr>
                  <w:tcW w:w="2311" w:type="pct"/>
                  <w:tcBorders>
                    <w:top w:val="single" w:color="auto" w:sz="4" w:space="0"/>
                    <w:bottom w:val="single" w:color="auto" w:sz="4" w:space="0"/>
                  </w:tcBorders>
                  <w:noWrap w:val="0"/>
                  <w:vAlign w:val="center"/>
                </w:tcPr>
                <w:p w14:paraId="6E21E806">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落实最严格水资源管理制度，强化用水监管，优化用水结构，推动城镇农村生活、工业、农业节水，发掘多源供水，缓解地下水超采压力，加强地下水开采重点管控区和生态用水补给区的管控</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7A5213D2">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default" w:ascii="Times New Roman" w:hAnsi="Times New Roman" w:eastAsia="宋体" w:cs="Times New Roman"/>
                      <w:color w:val="auto"/>
                      <w:kern w:val="0"/>
                      <w:sz w:val="20"/>
                      <w:szCs w:val="20"/>
                      <w:highlight w:val="none"/>
                      <w:lang w:val="en-US" w:eastAsia="zh-CN" w:bidi="ar"/>
                    </w:rPr>
                    <w:t>项目</w:t>
                  </w:r>
                  <w:r>
                    <w:rPr>
                      <w:rFonts w:hint="eastAsia" w:ascii="Times New Roman" w:hAnsi="Times New Roman" w:eastAsia="宋体" w:cs="Times New Roman"/>
                      <w:color w:val="auto"/>
                      <w:kern w:val="0"/>
                      <w:sz w:val="20"/>
                      <w:szCs w:val="20"/>
                      <w:highlight w:val="none"/>
                      <w:lang w:val="en-US" w:eastAsia="zh-CN" w:bidi="ar"/>
                    </w:rPr>
                    <w:t>不新增用水，厂区用水由园区供水管网提供。</w:t>
                  </w:r>
                </w:p>
              </w:tc>
              <w:tc>
                <w:tcPr>
                  <w:tcW w:w="407" w:type="pct"/>
                  <w:tcBorders>
                    <w:top w:val="single" w:color="auto" w:sz="4" w:space="0"/>
                    <w:bottom w:val="single" w:color="auto" w:sz="4" w:space="0"/>
                    <w:right w:val="single" w:color="auto" w:sz="4" w:space="0"/>
                  </w:tcBorders>
                  <w:noWrap w:val="0"/>
                  <w:vAlign w:val="center"/>
                </w:tcPr>
                <w:p w14:paraId="5A47AFE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3FAF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6FE9725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相关要求</w:t>
                  </w:r>
                </w:p>
              </w:tc>
              <w:tc>
                <w:tcPr>
                  <w:tcW w:w="268" w:type="pct"/>
                  <w:tcBorders>
                    <w:top w:val="single" w:color="auto" w:sz="4" w:space="0"/>
                    <w:bottom w:val="single" w:color="auto" w:sz="4" w:space="0"/>
                  </w:tcBorders>
                  <w:noWrap w:val="0"/>
                  <w:vAlign w:val="center"/>
                </w:tcPr>
                <w:p w14:paraId="7325C8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属性</w:t>
                  </w:r>
                </w:p>
              </w:tc>
              <w:tc>
                <w:tcPr>
                  <w:tcW w:w="548" w:type="pct"/>
                  <w:gridSpan w:val="2"/>
                  <w:tcBorders>
                    <w:top w:val="single" w:color="auto" w:sz="4" w:space="0"/>
                    <w:bottom w:val="single" w:color="auto" w:sz="4" w:space="0"/>
                  </w:tcBorders>
                  <w:noWrap w:val="0"/>
                  <w:vAlign w:val="center"/>
                </w:tcPr>
                <w:p w14:paraId="79C682A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w:t>
                  </w:r>
                </w:p>
              </w:tc>
              <w:tc>
                <w:tcPr>
                  <w:tcW w:w="2311" w:type="pct"/>
                  <w:tcBorders>
                    <w:top w:val="single" w:color="auto" w:sz="4" w:space="0"/>
                    <w:bottom w:val="single" w:color="auto" w:sz="4" w:space="0"/>
                  </w:tcBorders>
                  <w:noWrap w:val="0"/>
                  <w:vAlign w:val="center"/>
                </w:tcPr>
                <w:p w14:paraId="172A727F">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5EA289A6">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1F6BBAB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2EAF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44B8FFD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全市生态空间总体管控要求</w:t>
                  </w:r>
                </w:p>
              </w:tc>
              <w:tc>
                <w:tcPr>
                  <w:tcW w:w="268" w:type="pct"/>
                  <w:vMerge w:val="restart"/>
                  <w:tcBorders>
                    <w:top w:val="single" w:color="auto" w:sz="4" w:space="0"/>
                  </w:tcBorders>
                  <w:noWrap w:val="0"/>
                  <w:vAlign w:val="center"/>
                </w:tcPr>
                <w:p w14:paraId="7403839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生态保护红线</w:t>
                  </w:r>
                </w:p>
              </w:tc>
              <w:tc>
                <w:tcPr>
                  <w:tcW w:w="225" w:type="pct"/>
                  <w:vMerge w:val="restart"/>
                  <w:tcBorders>
                    <w:top w:val="single" w:color="auto" w:sz="4" w:space="0"/>
                  </w:tcBorders>
                  <w:noWrap w:val="0"/>
                  <w:vAlign w:val="center"/>
                </w:tcPr>
                <w:p w14:paraId="451D2C9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323" w:type="pct"/>
                  <w:tcBorders>
                    <w:top w:val="single" w:color="auto" w:sz="4" w:space="0"/>
                    <w:bottom w:val="single" w:color="auto" w:sz="4" w:space="0"/>
                  </w:tcBorders>
                  <w:noWrap w:val="0"/>
                  <w:vAlign w:val="center"/>
                </w:tcPr>
                <w:p w14:paraId="2B6C5E10">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禁止开发建设活动的要求</w:t>
                  </w:r>
                </w:p>
              </w:tc>
              <w:tc>
                <w:tcPr>
                  <w:tcW w:w="2311" w:type="pct"/>
                  <w:tcBorders>
                    <w:top w:val="single" w:color="auto" w:sz="4" w:space="0"/>
                    <w:bottom w:val="single" w:color="auto" w:sz="4" w:space="0"/>
                  </w:tcBorders>
                  <w:noWrap w:val="0"/>
                  <w:vAlign w:val="center"/>
                </w:tcPr>
                <w:p w14:paraId="26131C2B">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1、生态保护红线原则上按禁止开发区域的要求进行管理。严禁不符合主体功能定位的各类开发活动，严禁任意改变用途。</w:t>
                  </w:r>
                </w:p>
                <w:p w14:paraId="7A8175D6">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2、自然保护地核心保护区原则上禁止人为活动，其他区域严格禁止开发性、生产性建设活动，法律法规另有规定的，从其规定。</w:t>
                  </w:r>
                  <w:r>
                    <w:rPr>
                      <w:rFonts w:hint="eastAsia"/>
                      <w:color w:val="auto"/>
                      <w:sz w:val="20"/>
                      <w:szCs w:val="20"/>
                      <w:highlight w:val="none"/>
                    </w:rPr>
                    <w:t>生态保护红线内自然保护区、风景名胜区、饮用水水源保护区等区域，依照相关法律法规执行。</w:t>
                  </w:r>
                </w:p>
              </w:tc>
              <w:tc>
                <w:tcPr>
                  <w:tcW w:w="994" w:type="pct"/>
                  <w:tcBorders>
                    <w:top w:val="single" w:color="auto" w:sz="4" w:space="0"/>
                  </w:tcBorders>
                  <w:noWrap w:val="0"/>
                  <w:vAlign w:val="center"/>
                </w:tcPr>
                <w:p w14:paraId="0175FECA">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hint="default" w:ascii="Times New Roman" w:hAnsi="Times New Roman" w:eastAsia="宋体" w:cs="Times New Roman"/>
                      <w:color w:val="auto"/>
                      <w:kern w:val="0"/>
                      <w:sz w:val="20"/>
                      <w:szCs w:val="20"/>
                      <w:highlight w:val="none"/>
                      <w:lang w:bidi="ar"/>
                    </w:rPr>
                    <w:t>项目位于石家庄市</w:t>
                  </w:r>
                  <w:r>
                    <w:rPr>
                      <w:rFonts w:hint="eastAsia" w:ascii="Times New Roman" w:hAnsi="Times New Roman" w:eastAsia="宋体" w:cs="Times New Roman"/>
                      <w:color w:val="auto"/>
                      <w:kern w:val="0"/>
                      <w:sz w:val="20"/>
                      <w:szCs w:val="20"/>
                      <w:highlight w:val="none"/>
                      <w:lang w:val="en-US" w:eastAsia="zh-CN" w:bidi="ar"/>
                    </w:rPr>
                    <w:t>井陉矿区</w:t>
                  </w:r>
                  <w:r>
                    <w:rPr>
                      <w:rFonts w:hint="default" w:ascii="Times New Roman" w:hAnsi="Times New Roman" w:eastAsia="宋体" w:cs="Times New Roman"/>
                      <w:color w:val="auto"/>
                      <w:kern w:val="0"/>
                      <w:sz w:val="20"/>
                      <w:szCs w:val="20"/>
                      <w:highlight w:val="none"/>
                      <w:lang w:bidi="ar"/>
                    </w:rPr>
                    <w:t>河北鸿科碳素有限公司</w:t>
                  </w:r>
                  <w:r>
                    <w:rPr>
                      <w:rFonts w:hint="eastAsia" w:ascii="Times New Roman" w:hAnsi="Times New Roman" w:eastAsia="宋体" w:cs="Times New Roman"/>
                      <w:color w:val="auto"/>
                      <w:kern w:val="0"/>
                      <w:sz w:val="20"/>
                      <w:szCs w:val="20"/>
                      <w:highlight w:val="none"/>
                      <w:lang w:val="en-US" w:eastAsia="zh-CN" w:bidi="ar"/>
                    </w:rPr>
                    <w:t>内</w:t>
                  </w:r>
                  <w:r>
                    <w:rPr>
                      <w:rFonts w:hint="default" w:ascii="Times New Roman" w:hAnsi="Times New Roman" w:eastAsia="宋体" w:cs="Times New Roman"/>
                      <w:color w:val="auto"/>
                      <w:kern w:val="0"/>
                      <w:sz w:val="20"/>
                      <w:szCs w:val="20"/>
                      <w:highlight w:val="none"/>
                      <w:lang w:bidi="ar"/>
                    </w:rPr>
                    <w:t>，不在生态保护红线范围内</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3BCBF13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6D79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D2A73D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5DBCC9BD">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225" w:type="pct"/>
                  <w:vMerge w:val="continue"/>
                  <w:tcBorders>
                    <w:bottom w:val="single" w:color="auto" w:sz="4" w:space="0"/>
                  </w:tcBorders>
                  <w:noWrap w:val="0"/>
                  <w:vAlign w:val="center"/>
                </w:tcPr>
                <w:p w14:paraId="2CB16DBB">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323" w:type="pct"/>
                  <w:tcBorders>
                    <w:top w:val="single" w:color="auto" w:sz="4" w:space="0"/>
                    <w:bottom w:val="single" w:color="auto" w:sz="4" w:space="0"/>
                  </w:tcBorders>
                  <w:noWrap w:val="0"/>
                  <w:vAlign w:val="center"/>
                </w:tcPr>
                <w:p w14:paraId="12714E8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有限人为活动</w:t>
                  </w:r>
                </w:p>
              </w:tc>
              <w:tc>
                <w:tcPr>
                  <w:tcW w:w="2311" w:type="pct"/>
                  <w:tcBorders>
                    <w:top w:val="single" w:color="auto" w:sz="4" w:space="0"/>
                    <w:bottom w:val="single" w:color="auto" w:sz="4" w:space="0"/>
                  </w:tcBorders>
                  <w:noWrap w:val="0"/>
                  <w:vAlign w:val="center"/>
                </w:tcPr>
                <w:p w14:paraId="51FC5AF6">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自然保护地核心区外，在符合法律法规的情况下，除国家重大战略外，仅允许以下对生态功能不造成破坏的有限人为活动。①管护巡护、保护执法、科学研究、调查监测、测绘导航、防灾减灾救灾、军事国防、疫情防控等活动及相关的必要设施修筑。②原住居民和其他合法权益主体，允许在不扩大现有建设用地、用海用岛、耕地、水产养殖规模和放牧强度(符合草畜平衡管理规定)的前提下，开展种植、放牧、捕捞、养殖(不包括投礁型海洋牧场、围海养殖)等活动，修筑生产生活设施。③经依法批准的考古调查发掘、古生物化石调查发掘、标本采集和文物保护活动。④按规定对人工商品林进行抚育采伐，或以提升森林质量、优化栖息地、建设生物防火隔离带等为目的的树种更新，依法开展的竹林采伐经营。⑤不破坏生态功能的适度参观旅游、科普宣教及符合相关规划的配套性服务设施和相关的必要公共设施建设及维护。⑥必须且无法避让、符合县级以上国土空间规划的线性基础设施、通讯和防洪、供水设施建设和船舶航行、航道疏浚清淤等活动；已有的合法水利、交通运输等设施运行维护改造。⑦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 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⑧依据县级以上国土空间规划和生态保护修复专项规划开展的生态修复。⑨根据我国相关法律法规和与邻国签署的国界管理制度协定(条约)开展的边界边境通视道清理以及界务工程的修建、维护和拆除工作。⑩法律法规规定允许的其他人为活动。</w:t>
                  </w:r>
                </w:p>
                <w:p w14:paraId="0C40C882">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对审批中发现涉及生态保护红线和相关法定保护区的输气管线、铁路等线性项目，指导督促项目优化调整选线、主动避让；确实无法避让的，要求建设单位采取无害化穿(跨)越方式，或依法依规向有关行政主管部门履行穿越法定保护区的行政许可手续、强化减缓和补偿措施。</w:t>
                  </w:r>
                </w:p>
                <w:p w14:paraId="62B542E5">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3、涉及饮用水水源地保护区的区域，还应严格执行《</w:t>
                  </w:r>
                  <w:r>
                    <w:rPr>
                      <w:rFonts w:hint="eastAsia"/>
                      <w:color w:val="auto"/>
                      <w:sz w:val="20"/>
                      <w:szCs w:val="20"/>
                      <w:highlight w:val="none"/>
                      <w:lang w:val="en-US" w:eastAsia="zh-CN"/>
                    </w:rPr>
                    <w:t>中华人民共和国</w:t>
                  </w:r>
                  <w:r>
                    <w:rPr>
                      <w:color w:val="auto"/>
                      <w:sz w:val="20"/>
                      <w:szCs w:val="20"/>
                      <w:highlight w:val="none"/>
                    </w:rPr>
                    <w:t>水污染防治法》《集中式饮用水水源地规范化建设环境保护技术要求(HJ773-2015)》相关要求。</w:t>
                  </w:r>
                </w:p>
              </w:tc>
              <w:tc>
                <w:tcPr>
                  <w:tcW w:w="994" w:type="pct"/>
                  <w:tcBorders>
                    <w:bottom w:val="single" w:color="auto" w:sz="4" w:space="0"/>
                  </w:tcBorders>
                  <w:noWrap w:val="0"/>
                  <w:vAlign w:val="center"/>
                </w:tcPr>
                <w:p w14:paraId="01A8911B">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1、不涉及。</w:t>
                  </w:r>
                </w:p>
                <w:p w14:paraId="563EBAE8">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2、不涉及。</w:t>
                  </w:r>
                </w:p>
                <w:p w14:paraId="2559173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3、不涉及。</w:t>
                  </w:r>
                </w:p>
              </w:tc>
              <w:tc>
                <w:tcPr>
                  <w:tcW w:w="407" w:type="pct"/>
                  <w:tcBorders>
                    <w:bottom w:val="single" w:color="auto" w:sz="4" w:space="0"/>
                    <w:right w:val="single" w:color="auto" w:sz="4" w:space="0"/>
                  </w:tcBorders>
                  <w:noWrap w:val="0"/>
                  <w:vAlign w:val="center"/>
                </w:tcPr>
                <w:p w14:paraId="2AA75550">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符合</w:t>
                  </w:r>
                </w:p>
              </w:tc>
            </w:tr>
            <w:tr w14:paraId="4593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587E6A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tcBorders>
                    <w:top w:val="single" w:color="auto" w:sz="4" w:space="0"/>
                    <w:bottom w:val="single" w:color="auto" w:sz="4" w:space="0"/>
                  </w:tcBorders>
                  <w:noWrap w:val="0"/>
                  <w:vAlign w:val="center"/>
                </w:tcPr>
                <w:p w14:paraId="680F143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一般生态空间</w:t>
                  </w:r>
                </w:p>
              </w:tc>
              <w:tc>
                <w:tcPr>
                  <w:tcW w:w="225" w:type="pct"/>
                  <w:tcBorders>
                    <w:top w:val="single" w:color="auto" w:sz="4" w:space="0"/>
                    <w:bottom w:val="single" w:color="auto" w:sz="4" w:space="0"/>
                  </w:tcBorders>
                  <w:noWrap w:val="0"/>
                  <w:vAlign w:val="center"/>
                </w:tcPr>
                <w:p w14:paraId="1FB1904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总体要求</w:t>
                  </w:r>
                </w:p>
              </w:tc>
              <w:tc>
                <w:tcPr>
                  <w:tcW w:w="323" w:type="pct"/>
                  <w:tcBorders>
                    <w:top w:val="single" w:color="auto" w:sz="4" w:space="0"/>
                    <w:bottom w:val="single" w:color="auto" w:sz="4" w:space="0"/>
                  </w:tcBorders>
                  <w:noWrap w:val="0"/>
                  <w:vAlign w:val="center"/>
                </w:tcPr>
                <w:p w14:paraId="6D523AE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2311" w:type="pct"/>
                  <w:tcBorders>
                    <w:top w:val="single" w:color="auto" w:sz="4" w:space="0"/>
                    <w:bottom w:val="single" w:color="auto" w:sz="4" w:space="0"/>
                  </w:tcBorders>
                  <w:noWrap w:val="0"/>
                  <w:vAlign w:val="center"/>
                </w:tcPr>
                <w:p w14:paraId="18AE0200">
                  <w:pPr>
                    <w:pStyle w:val="108"/>
                    <w:keepNext w:val="0"/>
                    <w:keepLines w:val="0"/>
                    <w:pageBreakBefore w:val="0"/>
                    <w:widowControl w:val="0"/>
                    <w:tabs>
                      <w:tab w:val="left" w:pos="264"/>
                    </w:tabs>
                    <w:kinsoku/>
                    <w:wordWrap/>
                    <w:overflowPunct/>
                    <w:topLinePunct w:val="0"/>
                    <w:autoSpaceDE/>
                    <w:autoSpaceDN/>
                    <w:bidi w:val="0"/>
                    <w:adjustRightInd/>
                    <w:snapToGrid/>
                    <w:spacing w:after="0" w:line="320" w:lineRule="exact"/>
                    <w:ind w:firstLine="0"/>
                    <w:textAlignment w:val="auto"/>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kern w:val="2"/>
                      <w:sz w:val="20"/>
                      <w:szCs w:val="20"/>
                      <w:highlight w:val="none"/>
                      <w:lang w:val="en-US" w:eastAsia="zh-CN" w:bidi="ar-SA"/>
                    </w:rPr>
                    <w:t>①严格矿产资源开发与管控，矿产开发管控依照《河北省加强矿产资源开发管控十条措施》、《河北省人民代表大会常务委员会关于加强矿产开发管控保护生态环境的决定》等相关文件要求执行。②涉及饮用水水源地保护区的，水环境总体管控要求中饮用水水源地保护区相关要求进行管控。</w:t>
                  </w:r>
                </w:p>
              </w:tc>
              <w:tc>
                <w:tcPr>
                  <w:tcW w:w="994" w:type="pct"/>
                  <w:tcBorders>
                    <w:top w:val="single" w:color="auto" w:sz="4" w:space="0"/>
                    <w:bottom w:val="single" w:color="auto" w:sz="4" w:space="0"/>
                  </w:tcBorders>
                  <w:noWrap w:val="0"/>
                  <w:vAlign w:val="center"/>
                </w:tcPr>
                <w:p w14:paraId="33BD7649">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ascii="Times New Roman" w:hAnsi="Times New Roman" w:eastAsia="宋体" w:cs="Times New Roman"/>
                      <w:color w:val="auto"/>
                      <w:kern w:val="2"/>
                      <w:sz w:val="20"/>
                      <w:szCs w:val="20"/>
                      <w:highlight w:val="none"/>
                      <w:lang w:val="en-US" w:eastAsia="zh-CN" w:bidi="ar-SA"/>
                    </w:rPr>
                    <w:t>本项目不涉及矿产资源开发；项目位于饮用水水源准保护区，严格落实准保护区水环境管控相关要求</w:t>
                  </w:r>
                  <w:r>
                    <w:rPr>
                      <w:rFonts w:hint="eastAsia" w:ascii="Times New Roman" w:hAnsi="Times New Roman" w:eastAsia="宋体" w:cs="Times New Roman"/>
                      <w:color w:val="auto"/>
                      <w:kern w:val="2"/>
                      <w:sz w:val="20"/>
                      <w:szCs w:val="20"/>
                      <w:highlight w:val="none"/>
                      <w:lang w:val="en-US" w:eastAsia="zh-CN" w:bidi="ar-SA"/>
                    </w:rPr>
                    <w:t>。</w:t>
                  </w:r>
                </w:p>
              </w:tc>
              <w:tc>
                <w:tcPr>
                  <w:tcW w:w="407" w:type="pct"/>
                  <w:tcBorders>
                    <w:top w:val="single" w:color="auto" w:sz="4" w:space="0"/>
                    <w:bottom w:val="single" w:color="auto" w:sz="4" w:space="0"/>
                    <w:right w:val="single" w:color="auto" w:sz="4" w:space="0"/>
                  </w:tcBorders>
                  <w:noWrap w:val="0"/>
                  <w:vAlign w:val="center"/>
                </w:tcPr>
                <w:p w14:paraId="79B312B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2E29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1107CC1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268" w:type="pct"/>
                  <w:tcBorders>
                    <w:top w:val="single" w:color="auto" w:sz="4" w:space="0"/>
                    <w:bottom w:val="single" w:color="auto" w:sz="4" w:space="0"/>
                  </w:tcBorders>
                  <w:noWrap w:val="0"/>
                  <w:vAlign w:val="center"/>
                </w:tcPr>
                <w:p w14:paraId="7753673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分类</w:t>
                  </w:r>
                </w:p>
              </w:tc>
              <w:tc>
                <w:tcPr>
                  <w:tcW w:w="548" w:type="pct"/>
                  <w:gridSpan w:val="2"/>
                  <w:tcBorders>
                    <w:top w:val="single" w:color="auto" w:sz="4" w:space="0"/>
                    <w:bottom w:val="single" w:color="auto" w:sz="4" w:space="0"/>
                  </w:tcBorders>
                  <w:noWrap w:val="0"/>
                  <w:vAlign w:val="center"/>
                </w:tcPr>
                <w:p w14:paraId="4DD0571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管控类型</w:t>
                  </w:r>
                </w:p>
              </w:tc>
              <w:tc>
                <w:tcPr>
                  <w:tcW w:w="2311" w:type="pct"/>
                  <w:tcBorders>
                    <w:top w:val="single" w:color="auto" w:sz="4" w:space="0"/>
                    <w:bottom w:val="single" w:color="auto" w:sz="4" w:space="0"/>
                  </w:tcBorders>
                  <w:noWrap w:val="0"/>
                  <w:vAlign w:val="center"/>
                </w:tcPr>
                <w:p w14:paraId="2F05062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1964F63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015542C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67E6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75C14B7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全市水环境总体管控要求</w:t>
                  </w:r>
                </w:p>
              </w:tc>
              <w:tc>
                <w:tcPr>
                  <w:tcW w:w="268" w:type="pct"/>
                  <w:tcBorders>
                    <w:top w:val="single" w:color="auto" w:sz="4" w:space="0"/>
                  </w:tcBorders>
                  <w:noWrap w:val="0"/>
                  <w:vAlign w:val="center"/>
                </w:tcPr>
                <w:p w14:paraId="2F9E7002">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饮用水水源地保护区</w:t>
                  </w:r>
                </w:p>
              </w:tc>
              <w:tc>
                <w:tcPr>
                  <w:tcW w:w="548" w:type="pct"/>
                  <w:gridSpan w:val="2"/>
                  <w:tcBorders>
                    <w:top w:val="single" w:color="auto" w:sz="4" w:space="0"/>
                    <w:bottom w:val="single" w:color="auto" w:sz="4" w:space="0"/>
                  </w:tcBorders>
                  <w:noWrap w:val="0"/>
                  <w:vAlign w:val="center"/>
                </w:tcPr>
                <w:p w14:paraId="295B29B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2311" w:type="pct"/>
                  <w:tcBorders>
                    <w:top w:val="single" w:color="auto" w:sz="4" w:space="0"/>
                    <w:bottom w:val="single" w:color="auto" w:sz="4" w:space="0"/>
                  </w:tcBorders>
                  <w:noWrap w:val="0"/>
                  <w:vAlign w:val="center"/>
                </w:tcPr>
                <w:p w14:paraId="79F91BFC">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1、在饮用水水源保护区内，禁止设置排污口。</w:t>
                  </w:r>
                </w:p>
                <w:p w14:paraId="690B045B">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2、禁止在饮用水水源一级保护区内新建、改建、扩建与供水设施和保护水源无关的建设项目；已建成的与供水设施和保护水源无关的建设项目，由县级以上人民政府责令拆除或者关闭。禁止在饮用水水源一级保护区内从事网箱养殖、旅游、游泳、垂钓或者其他可能污染饮用水水体的活动。</w:t>
                  </w:r>
                </w:p>
                <w:p w14:paraId="17888529">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3、禁止在饮用水水源二级保护区内新建、</w:t>
                  </w:r>
                  <w:r>
                    <w:rPr>
                      <w:rFonts w:hint="eastAsia"/>
                      <w:color w:val="auto"/>
                      <w:sz w:val="20"/>
                      <w:szCs w:val="20"/>
                      <w:highlight w:val="none"/>
                    </w:rPr>
                    <w:t>改建、</w:t>
                  </w:r>
                  <w:r>
                    <w:rPr>
                      <w:color w:val="auto"/>
                      <w:sz w:val="20"/>
                      <w:szCs w:val="20"/>
                      <w:highlight w:val="none"/>
                    </w:rPr>
                    <w:t>扩建排放污染物的建设项目；已建成的排放污染物的建设项目，由县级以上人民政府责令拆除或者关闭。在饮用水水源二级保护区内从事网箱养殖、旅游等活动的，应当按照规定采取措施，防止污染饮用水水体。</w:t>
                  </w:r>
                </w:p>
                <w:p w14:paraId="6A15E45E">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4、禁止在饮用水水源</w:t>
                  </w:r>
                  <w:r>
                    <w:rPr>
                      <w:rFonts w:hint="eastAsia"/>
                      <w:color w:val="auto"/>
                      <w:sz w:val="20"/>
                      <w:szCs w:val="20"/>
                      <w:highlight w:val="none"/>
                    </w:rPr>
                    <w:t>地准</w:t>
                  </w:r>
                  <w:r>
                    <w:rPr>
                      <w:color w:val="auto"/>
                      <w:sz w:val="20"/>
                      <w:szCs w:val="20"/>
                      <w:highlight w:val="none"/>
                    </w:rPr>
                    <w:t>保护区内新建、扩建对水体污染严重的建设项目；改建建设项目，不得增加排污量。</w:t>
                  </w:r>
                </w:p>
                <w:p w14:paraId="41FFC0A4">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5、县级以上地方人民政府应当根据保护饮用水水源的实际需要，在准保护区内采取工程措施或者建造湿地、水源涵养林等生态保护措施，防止水污染物直接排入饮用水水体，确保饮用水安全。</w:t>
                  </w:r>
                </w:p>
              </w:tc>
              <w:tc>
                <w:tcPr>
                  <w:tcW w:w="994" w:type="pct"/>
                  <w:tcBorders>
                    <w:top w:val="single" w:color="auto" w:sz="4" w:space="0"/>
                    <w:bottom w:val="single" w:color="auto" w:sz="4" w:space="0"/>
                  </w:tcBorders>
                  <w:noWrap w:val="0"/>
                  <w:vAlign w:val="center"/>
                </w:tcPr>
                <w:p w14:paraId="6F442F0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default" w:ascii="Times New Roman" w:hAnsi="Times New Roman" w:eastAsia="宋体" w:cs="Times New Roman"/>
                      <w:color w:val="auto"/>
                      <w:sz w:val="20"/>
                      <w:szCs w:val="20"/>
                      <w:highlight w:val="none"/>
                    </w:rPr>
                    <w:t>项目位于饮用水水源准保护区，本项目为</w:t>
                  </w:r>
                  <w:r>
                    <w:rPr>
                      <w:rFonts w:hint="eastAsia" w:ascii="Times New Roman" w:hAnsi="Times New Roman" w:eastAsia="宋体" w:cs="Times New Roman"/>
                      <w:color w:val="auto"/>
                      <w:sz w:val="20"/>
                      <w:szCs w:val="20"/>
                      <w:highlight w:val="none"/>
                      <w:lang w:val="en-US" w:eastAsia="zh-CN"/>
                    </w:rPr>
                    <w:t>技改</w:t>
                  </w:r>
                  <w:r>
                    <w:rPr>
                      <w:rFonts w:hint="default" w:ascii="Times New Roman" w:hAnsi="Times New Roman" w:eastAsia="宋体" w:cs="Times New Roman"/>
                      <w:color w:val="auto"/>
                      <w:sz w:val="20"/>
                      <w:szCs w:val="20"/>
                      <w:highlight w:val="none"/>
                    </w:rPr>
                    <w:t>项目，无新增废水产生，</w:t>
                  </w:r>
                  <w:r>
                    <w:rPr>
                      <w:rFonts w:hint="eastAsia" w:ascii="Times New Roman" w:hAnsi="Times New Roman" w:eastAsia="宋体" w:cs="Times New Roman"/>
                      <w:color w:val="auto"/>
                      <w:sz w:val="20"/>
                      <w:szCs w:val="20"/>
                      <w:highlight w:val="none"/>
                      <w:lang w:val="en-US" w:eastAsia="zh-CN"/>
                    </w:rPr>
                    <w:t>不增加污染物排放量</w:t>
                  </w:r>
                  <w:r>
                    <w:rPr>
                      <w:rFonts w:hint="default" w:ascii="Times New Roman" w:hAnsi="Times New Roman" w:eastAsia="宋体" w:cs="Times New Roman"/>
                      <w:color w:val="auto"/>
                      <w:sz w:val="20"/>
                      <w:szCs w:val="20"/>
                      <w:highlight w:val="none"/>
                    </w:rPr>
                    <w:t>。</w:t>
                  </w:r>
                </w:p>
              </w:tc>
              <w:tc>
                <w:tcPr>
                  <w:tcW w:w="407" w:type="pct"/>
                  <w:tcBorders>
                    <w:top w:val="single" w:color="auto" w:sz="4" w:space="0"/>
                    <w:bottom w:val="single" w:color="auto" w:sz="4" w:space="0"/>
                    <w:right w:val="single" w:color="auto" w:sz="4" w:space="0"/>
                  </w:tcBorders>
                  <w:noWrap w:val="0"/>
                  <w:vAlign w:val="center"/>
                </w:tcPr>
                <w:p w14:paraId="3227458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797C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jc w:val="center"/>
              </w:trPr>
              <w:tc>
                <w:tcPr>
                  <w:tcW w:w="468" w:type="pct"/>
                  <w:vMerge w:val="continue"/>
                  <w:noWrap w:val="0"/>
                  <w:vAlign w:val="center"/>
                </w:tcPr>
                <w:p w14:paraId="0B7F2BB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restart"/>
                  <w:tcBorders>
                    <w:top w:val="single" w:color="auto" w:sz="4" w:space="0"/>
                  </w:tcBorders>
                  <w:noWrap w:val="0"/>
                  <w:vAlign w:val="center"/>
                </w:tcPr>
                <w:p w14:paraId="3571455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水环境工业污染重点管控区</w:t>
                  </w:r>
                </w:p>
              </w:tc>
              <w:tc>
                <w:tcPr>
                  <w:tcW w:w="548" w:type="pct"/>
                  <w:gridSpan w:val="2"/>
                  <w:tcBorders>
                    <w:top w:val="single" w:color="auto" w:sz="4" w:space="0"/>
                  </w:tcBorders>
                  <w:noWrap w:val="0"/>
                  <w:vAlign w:val="center"/>
                </w:tcPr>
                <w:p w14:paraId="3487AB8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污染物排放管控</w:t>
                  </w:r>
                </w:p>
              </w:tc>
              <w:tc>
                <w:tcPr>
                  <w:tcW w:w="2311" w:type="pct"/>
                  <w:tcBorders>
                    <w:top w:val="single" w:color="auto" w:sz="4" w:space="0"/>
                  </w:tcBorders>
                  <w:noWrap w:val="0"/>
                  <w:vAlign w:val="center"/>
                </w:tcPr>
                <w:p w14:paraId="7D61F73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1、严格控制高污染、高耗水行业新增产能。产能过剩产业实行新增产能等量替代、涉水主要污染物排放同行业倍量替代。对造纸、焦化、氮肥、石油化工、印染、农副食品加工、原料药制造、制革、农药、电镀等重点行业，新建、改建、扩建项目实行新增主要污染物排放倍量替代。2、工业园区全部建成污水集中处理设施，并安装自动在线监控装置；有流域特别排放限值要求的地区，执行流域特别排放限值。</w:t>
                  </w:r>
                  <w:r>
                    <w:rPr>
                      <w:rFonts w:hint="eastAsia" w:ascii="Times New Roman" w:hAnsi="Times New Roman" w:eastAsia="宋体" w:cs="Times New Roman"/>
                      <w:color w:val="auto"/>
                      <w:sz w:val="20"/>
                      <w:szCs w:val="20"/>
                      <w:highlight w:val="none"/>
                      <w:lang w:val="en-US" w:eastAsia="zh-CN" w:bidi="ar-SA"/>
                    </w:rPr>
                    <w:t>3、排放工业废水的企业应当采取有效措施，收集和处理产生的全部废水，防止污染环境。含有毒有害水污染物的工业废水应当分类收集和处理，不得稀释排放。4、企业、学校、科研院所、医疗机构、检验检疫机构等单位的实验室、检验室、化验室等产生的酸液、碱液及其他有毒有害废液，应当按照国家和省有关规定进行处理后达标排放或者单独收集、安全处置。</w:t>
                  </w:r>
                </w:p>
              </w:tc>
              <w:tc>
                <w:tcPr>
                  <w:tcW w:w="994" w:type="pct"/>
                  <w:tcBorders>
                    <w:top w:val="single" w:color="auto" w:sz="4" w:space="0"/>
                    <w:bottom w:val="single" w:color="auto" w:sz="4" w:space="0"/>
                  </w:tcBorders>
                  <w:noWrap w:val="0"/>
                  <w:vAlign w:val="center"/>
                </w:tcPr>
                <w:p w14:paraId="617AE9F5">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ascii="Times New Roman" w:hAnsi="Times New Roman" w:eastAsia="宋体" w:cs="Times New Roman"/>
                      <w:color w:val="auto"/>
                      <w:kern w:val="0"/>
                      <w:sz w:val="20"/>
                      <w:szCs w:val="20"/>
                      <w:highlight w:val="none"/>
                      <w:lang w:bidi="ar"/>
                    </w:rPr>
                    <w:t>本项目为备用磨粉机技改，不新增产能，不属于所列重点涉水行业；</w:t>
                  </w:r>
                  <w:r>
                    <w:rPr>
                      <w:rFonts w:hint="eastAsia" w:ascii="Times New Roman" w:hAnsi="Times New Roman" w:eastAsia="宋体" w:cs="Times New Roman"/>
                      <w:color w:val="auto"/>
                      <w:kern w:val="0"/>
                      <w:sz w:val="20"/>
                      <w:szCs w:val="20"/>
                      <w:highlight w:val="none"/>
                      <w:lang w:val="en-US" w:eastAsia="zh-CN" w:bidi="ar"/>
                    </w:rPr>
                    <w:t>技改项目无</w:t>
                  </w:r>
                  <w:r>
                    <w:rPr>
                      <w:rFonts w:ascii="Times New Roman" w:hAnsi="Times New Roman" w:eastAsia="宋体" w:cs="Times New Roman"/>
                      <w:color w:val="auto"/>
                      <w:kern w:val="0"/>
                      <w:sz w:val="20"/>
                      <w:szCs w:val="20"/>
                      <w:highlight w:val="none"/>
                      <w:lang w:bidi="ar"/>
                    </w:rPr>
                    <w:t>废水</w:t>
                  </w:r>
                  <w:r>
                    <w:rPr>
                      <w:rFonts w:hint="eastAsia" w:ascii="Times New Roman" w:hAnsi="Times New Roman" w:eastAsia="宋体" w:cs="Times New Roman"/>
                      <w:color w:val="auto"/>
                      <w:kern w:val="0"/>
                      <w:sz w:val="20"/>
                      <w:szCs w:val="20"/>
                      <w:highlight w:val="none"/>
                      <w:lang w:val="en-US" w:eastAsia="zh-CN" w:bidi="ar"/>
                    </w:rPr>
                    <w:t>产生</w:t>
                  </w:r>
                  <w:r>
                    <w:rPr>
                      <w:rFonts w:ascii="Times New Roman" w:hAnsi="Times New Roman" w:eastAsia="宋体" w:cs="Times New Roman"/>
                      <w:color w:val="auto"/>
                      <w:kern w:val="0"/>
                      <w:sz w:val="20"/>
                      <w:szCs w:val="20"/>
                      <w:highlight w:val="none"/>
                      <w:lang w:bidi="ar"/>
                    </w:rPr>
                    <w:t>，不新增废水污染物排放</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55AAAD7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02E9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468" w:type="pct"/>
                  <w:vMerge w:val="continue"/>
                  <w:noWrap w:val="0"/>
                  <w:vAlign w:val="center"/>
                </w:tcPr>
                <w:p w14:paraId="22CDDB6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1F5DCCF4">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tcBorders>
                  <w:noWrap w:val="0"/>
                  <w:vAlign w:val="center"/>
                </w:tcPr>
                <w:p w14:paraId="3C1D173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环境风险防控</w:t>
                  </w:r>
                </w:p>
              </w:tc>
              <w:tc>
                <w:tcPr>
                  <w:tcW w:w="2311" w:type="pct"/>
                  <w:tcBorders>
                    <w:top w:val="single" w:color="auto" w:sz="4" w:space="0"/>
                  </w:tcBorders>
                  <w:noWrap w:val="0"/>
                  <w:vAlign w:val="center"/>
                </w:tcPr>
                <w:p w14:paraId="2D18077E">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1、</w:t>
                  </w:r>
                  <w:r>
                    <w:rPr>
                      <w:rFonts w:hint="eastAsia" w:ascii="Times New Roman" w:hAnsi="Times New Roman" w:eastAsia="宋体" w:cs="Times New Roman"/>
                      <w:color w:val="auto"/>
                      <w:sz w:val="20"/>
                      <w:szCs w:val="20"/>
                      <w:highlight w:val="none"/>
                      <w:lang w:val="en-US" w:eastAsia="zh-CN" w:bidi="ar-SA"/>
                    </w:rPr>
                    <w:t>化学品生产、存储、运输、销售企业以及</w:t>
                  </w:r>
                  <w:r>
                    <w:rPr>
                      <w:rFonts w:ascii="Times New Roman" w:hAnsi="Times New Roman" w:eastAsia="宋体" w:cs="Times New Roman"/>
                      <w:color w:val="auto"/>
                      <w:sz w:val="20"/>
                      <w:szCs w:val="20"/>
                      <w:highlight w:val="none"/>
                      <w:lang w:val="en-US" w:eastAsia="zh-CN" w:bidi="ar-SA"/>
                    </w:rPr>
                    <w:t>工业园区(工业集聚区)、矿山开采区、尾矿库、危险废物处置场、垃圾填埋场等运营、管理单位，应当采取防渗漏等措施，防止地下水污染。 2、加油站、储油库等的地下油罐应当使用双层罐或者采取建造防渗池等其他有效措施，并进行防渗漏监测，防止污染地下水。 3、工业固体废弃物集中贮存、处置的设施、场所和生活垃圾填埋场应当采取防扬散、防流失、防渗漏或者其他符合水污染防治要求的措施，防止污染水环境。4、可能发生水污染事故的企业事业单位，应当按照有关规定制定有关水污染事故的应急方案，做好应急准备，定期进行预防演练。</w:t>
                  </w:r>
                </w:p>
              </w:tc>
              <w:tc>
                <w:tcPr>
                  <w:tcW w:w="994" w:type="pct"/>
                  <w:tcBorders>
                    <w:top w:val="single" w:color="auto" w:sz="4" w:space="0"/>
                    <w:bottom w:val="single" w:color="auto" w:sz="4" w:space="0"/>
                  </w:tcBorders>
                  <w:noWrap w:val="0"/>
                  <w:vAlign w:val="center"/>
                </w:tcPr>
                <w:p w14:paraId="746ECD00">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w:t>
                  </w:r>
                  <w:r>
                    <w:rPr>
                      <w:rFonts w:hint="eastAsia"/>
                      <w:color w:val="auto"/>
                      <w:sz w:val="20"/>
                      <w:szCs w:val="20"/>
                      <w:highlight w:val="none"/>
                      <w:lang w:val="en-US" w:eastAsia="zh-CN"/>
                    </w:rPr>
                    <w:t>不涉及</w:t>
                  </w:r>
                  <w:r>
                    <w:rPr>
                      <w:rFonts w:hint="eastAsia"/>
                      <w:color w:val="auto"/>
                      <w:sz w:val="20"/>
                      <w:szCs w:val="20"/>
                      <w:highlight w:val="none"/>
                    </w:rPr>
                    <w:t>。</w:t>
                  </w:r>
                </w:p>
                <w:p w14:paraId="2C93A827">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367D049C">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3、项目</w:t>
                  </w:r>
                  <w:r>
                    <w:rPr>
                      <w:rFonts w:hint="eastAsia"/>
                      <w:color w:val="auto"/>
                      <w:sz w:val="20"/>
                      <w:szCs w:val="20"/>
                      <w:highlight w:val="none"/>
                      <w:lang w:eastAsia="zh-CN"/>
                    </w:rPr>
                    <w:t>危废产生前提前联系有危废处置资质单位，做到即产即清</w:t>
                  </w:r>
                  <w:r>
                    <w:rPr>
                      <w:rFonts w:hint="eastAsia"/>
                      <w:color w:val="auto"/>
                      <w:sz w:val="20"/>
                      <w:szCs w:val="20"/>
                      <w:highlight w:val="none"/>
                    </w:rPr>
                    <w:t>，现有生产车间、库房</w:t>
                  </w:r>
                  <w:r>
                    <w:rPr>
                      <w:rFonts w:hint="eastAsia"/>
                      <w:color w:val="auto"/>
                      <w:sz w:val="20"/>
                      <w:szCs w:val="20"/>
                      <w:highlight w:val="none"/>
                      <w:lang w:val="en-US" w:eastAsia="zh-CN"/>
                    </w:rPr>
                    <w:t>等</w:t>
                  </w:r>
                  <w:r>
                    <w:rPr>
                      <w:rFonts w:hint="eastAsia"/>
                      <w:color w:val="auto"/>
                      <w:sz w:val="20"/>
                      <w:szCs w:val="20"/>
                      <w:highlight w:val="none"/>
                    </w:rPr>
                    <w:t>进行一般防渗。</w:t>
                  </w:r>
                </w:p>
                <w:p w14:paraId="348C85FB">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rFonts w:hint="eastAsia"/>
                      <w:color w:val="auto"/>
                      <w:sz w:val="20"/>
                      <w:szCs w:val="20"/>
                      <w:highlight w:val="none"/>
                    </w:rPr>
                    <w:t>4、不涉及。</w:t>
                  </w:r>
                </w:p>
              </w:tc>
              <w:tc>
                <w:tcPr>
                  <w:tcW w:w="407" w:type="pct"/>
                  <w:tcBorders>
                    <w:top w:val="single" w:color="auto" w:sz="4" w:space="0"/>
                    <w:right w:val="single" w:color="auto" w:sz="4" w:space="0"/>
                  </w:tcBorders>
                  <w:noWrap w:val="0"/>
                  <w:vAlign w:val="center"/>
                </w:tcPr>
                <w:p w14:paraId="074C7BD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6FCB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767B392">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tcBorders>
                    <w:top w:val="single" w:color="auto" w:sz="4" w:space="0"/>
                    <w:bottom w:val="single" w:color="auto" w:sz="4" w:space="0"/>
                  </w:tcBorders>
                  <w:noWrap w:val="0"/>
                  <w:vAlign w:val="center"/>
                </w:tcPr>
                <w:p w14:paraId="1FEAB55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水环境一般管控区</w:t>
                  </w:r>
                </w:p>
              </w:tc>
              <w:tc>
                <w:tcPr>
                  <w:tcW w:w="548" w:type="pct"/>
                  <w:gridSpan w:val="2"/>
                  <w:tcBorders>
                    <w:top w:val="single" w:color="auto" w:sz="4" w:space="0"/>
                    <w:bottom w:val="single" w:color="auto" w:sz="4" w:space="0"/>
                  </w:tcBorders>
                  <w:noWrap w:val="0"/>
                  <w:vAlign w:val="center"/>
                </w:tcPr>
                <w:p w14:paraId="53FED6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污染物排放管控</w:t>
                  </w:r>
                </w:p>
              </w:tc>
              <w:tc>
                <w:tcPr>
                  <w:tcW w:w="2311" w:type="pct"/>
                  <w:tcBorders>
                    <w:top w:val="single" w:color="auto" w:sz="4" w:space="0"/>
                    <w:bottom w:val="single" w:color="auto" w:sz="4" w:space="0"/>
                  </w:tcBorders>
                  <w:noWrap w:val="0"/>
                  <w:vAlign w:val="center"/>
                </w:tcPr>
                <w:p w14:paraId="54AD186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3BAAA905">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5996C0E9">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7AF864A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严格落实全市最新污染防治要求，加强工业源、生活源、农业源、集中式治理设施等排放管控。</w:t>
                  </w:r>
                </w:p>
                <w:p w14:paraId="4193498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5093F6C9">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32D0F06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169F5E00">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tc>
              <w:tc>
                <w:tcPr>
                  <w:tcW w:w="994" w:type="pct"/>
                  <w:tcBorders>
                    <w:bottom w:val="single" w:color="auto" w:sz="4" w:space="0"/>
                  </w:tcBorders>
                  <w:noWrap w:val="0"/>
                  <w:vAlign w:val="center"/>
                </w:tcPr>
                <w:p w14:paraId="5C3D17FA">
                  <w:pPr>
                    <w:pStyle w:val="35"/>
                    <w:keepNext w:val="0"/>
                    <w:keepLines w:val="0"/>
                    <w:pageBreakBefore w:val="0"/>
                    <w:kinsoku/>
                    <w:wordWrap/>
                    <w:overflowPunct/>
                    <w:topLinePunct w:val="0"/>
                    <w:bidi w:val="0"/>
                    <w:snapToGrid/>
                    <w:spacing w:after="0" w:line="0" w:lineRule="atLeast"/>
                    <w:ind w:left="0" w:leftChars="0" w:firstLine="0" w:firstLineChars="0"/>
                    <w:jc w:val="center"/>
                    <w:rPr>
                      <w:color w:val="auto"/>
                      <w:sz w:val="20"/>
                      <w:szCs w:val="20"/>
                      <w:highlight w:val="none"/>
                    </w:rPr>
                  </w:pPr>
                  <w:r>
                    <w:rPr>
                      <w:color w:val="auto"/>
                      <w:sz w:val="20"/>
                      <w:szCs w:val="20"/>
                      <w:highlight w:val="none"/>
                    </w:rPr>
                    <w:t>项目</w:t>
                  </w:r>
                  <w:r>
                    <w:rPr>
                      <w:rFonts w:hint="eastAsia"/>
                      <w:color w:val="auto"/>
                      <w:kern w:val="0"/>
                      <w:sz w:val="20"/>
                      <w:szCs w:val="20"/>
                      <w:highlight w:val="none"/>
                      <w:lang w:bidi="ar"/>
                    </w:rPr>
                    <w:t>废气、噪声均能达标排放，固废妥善处理</w:t>
                  </w:r>
                  <w:r>
                    <w:rPr>
                      <w:color w:val="auto"/>
                      <w:sz w:val="20"/>
                      <w:szCs w:val="20"/>
                      <w:highlight w:val="none"/>
                    </w:rPr>
                    <w:t>。</w:t>
                  </w:r>
                </w:p>
              </w:tc>
              <w:tc>
                <w:tcPr>
                  <w:tcW w:w="407" w:type="pct"/>
                  <w:tcBorders>
                    <w:top w:val="single" w:color="auto" w:sz="4" w:space="0"/>
                    <w:bottom w:val="single" w:color="auto" w:sz="4" w:space="0"/>
                    <w:right w:val="single" w:color="auto" w:sz="4" w:space="0"/>
                  </w:tcBorders>
                  <w:noWrap w:val="0"/>
                  <w:vAlign w:val="center"/>
                </w:tcPr>
                <w:p w14:paraId="03E44EC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564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672DD9A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0AC9BF0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管控类型</w:t>
                  </w:r>
                </w:p>
              </w:tc>
              <w:tc>
                <w:tcPr>
                  <w:tcW w:w="2311" w:type="pct"/>
                  <w:tcBorders>
                    <w:top w:val="single" w:color="auto" w:sz="4" w:space="0"/>
                    <w:bottom w:val="single" w:color="auto" w:sz="4" w:space="0"/>
                  </w:tcBorders>
                  <w:noWrap w:val="0"/>
                  <w:vAlign w:val="center"/>
                </w:tcPr>
                <w:p w14:paraId="2ED5E658">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准入要求</w:t>
                  </w:r>
                </w:p>
              </w:tc>
              <w:tc>
                <w:tcPr>
                  <w:tcW w:w="994" w:type="pct"/>
                  <w:tcBorders>
                    <w:top w:val="single" w:color="auto" w:sz="4" w:space="0"/>
                    <w:bottom w:val="single" w:color="auto" w:sz="4" w:space="0"/>
                  </w:tcBorders>
                  <w:noWrap w:val="0"/>
                  <w:vAlign w:val="center"/>
                </w:tcPr>
                <w:p w14:paraId="7648A13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7B414C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6C77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2D61B35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大气环境总体准入要求</w:t>
                  </w:r>
                </w:p>
              </w:tc>
              <w:tc>
                <w:tcPr>
                  <w:tcW w:w="816" w:type="pct"/>
                  <w:gridSpan w:val="3"/>
                  <w:vMerge w:val="restart"/>
                  <w:tcBorders>
                    <w:top w:val="single" w:color="auto" w:sz="4" w:space="0"/>
                  </w:tcBorders>
                  <w:noWrap w:val="0"/>
                  <w:vAlign w:val="center"/>
                </w:tcPr>
                <w:p w14:paraId="5E6B28FC">
                  <w:pPr>
                    <w:pStyle w:val="109"/>
                    <w:keepNext w:val="0"/>
                    <w:keepLines w:val="0"/>
                    <w:pageBreakBefore w:val="0"/>
                    <w:kinsoku/>
                    <w:wordWrap/>
                    <w:overflowPunct/>
                    <w:topLinePunct w:val="0"/>
                    <w:bidi w:val="0"/>
                    <w:snapToGrid/>
                    <w:spacing w:line="0" w:lineRule="atLeast"/>
                    <w:jc w:val="center"/>
                    <w:rPr>
                      <w:rFonts w:ascii="Times New Roman" w:hAnsi="Times New Roman" w:cs="Times New Roman"/>
                      <w:color w:val="auto"/>
                      <w:sz w:val="20"/>
                      <w:szCs w:val="20"/>
                      <w:highlight w:val="none"/>
                      <w:lang w:eastAsia="zh-CN"/>
                    </w:rPr>
                  </w:pPr>
                  <w:r>
                    <w:rPr>
                      <w:rFonts w:ascii="Times New Roman" w:hAnsi="Times New Roman" w:cs="Times New Roman"/>
                      <w:color w:val="auto"/>
                      <w:sz w:val="20"/>
                      <w:szCs w:val="20"/>
                      <w:highlight w:val="none"/>
                      <w:lang w:val="en-US" w:eastAsia="zh-CN" w:bidi="ar-SA"/>
                    </w:rPr>
                    <w:t>空间布局约束</w:t>
                  </w:r>
                </w:p>
              </w:tc>
              <w:tc>
                <w:tcPr>
                  <w:tcW w:w="2311" w:type="pct"/>
                  <w:tcBorders>
                    <w:top w:val="single" w:color="auto" w:sz="4" w:space="0"/>
                  </w:tcBorders>
                  <w:noWrap w:val="0"/>
                  <w:vAlign w:val="center"/>
                </w:tcPr>
                <w:p w14:paraId="7012EA27">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val="en-US" w:eastAsia="zh-CN" w:bidi="ar-SA"/>
                    </w:rPr>
                  </w:pPr>
                  <w:r>
                    <w:rPr>
                      <w:rFonts w:ascii="Times New Roman" w:hAnsi="Times New Roman" w:cs="Times New Roman"/>
                      <w:color w:val="auto"/>
                      <w:sz w:val="20"/>
                      <w:szCs w:val="20"/>
                      <w:highlight w:val="none"/>
                      <w:lang w:val="en-US" w:eastAsia="zh-CN"/>
                    </w:rPr>
                    <w:t>1、加大钢铁、焦化等行业结构调整力度，推进化工、石化企业治理改造，优先发展战略新兴产业和先进制造业，坚决遏制高耗能高排放低水平项目盲目发展。</w:t>
                  </w:r>
                  <w:bookmarkStart w:id="2" w:name="bookmark39"/>
                  <w:bookmarkEnd w:id="2"/>
                </w:p>
              </w:tc>
              <w:tc>
                <w:tcPr>
                  <w:tcW w:w="994" w:type="pct"/>
                  <w:tcBorders>
                    <w:top w:val="single" w:color="auto" w:sz="4" w:space="0"/>
                    <w:bottom w:val="single" w:color="auto" w:sz="4" w:space="0"/>
                  </w:tcBorders>
                  <w:noWrap w:val="0"/>
                  <w:vAlign w:val="center"/>
                </w:tcPr>
                <w:p w14:paraId="3999757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本项目不属于钢铁、焦化、化工、石化企业。</w:t>
                  </w:r>
                </w:p>
              </w:tc>
              <w:tc>
                <w:tcPr>
                  <w:tcW w:w="407" w:type="pct"/>
                  <w:tcBorders>
                    <w:top w:val="single" w:color="auto" w:sz="4" w:space="0"/>
                    <w:right w:val="single" w:color="auto" w:sz="4" w:space="0"/>
                  </w:tcBorders>
                  <w:noWrap w:val="0"/>
                  <w:vAlign w:val="center"/>
                </w:tcPr>
                <w:p w14:paraId="4A42A0B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5C44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9C33C53">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4F07FE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236613E8">
                  <w:pPr>
                    <w:pStyle w:val="109"/>
                    <w:keepNext w:val="0"/>
                    <w:keepLines w:val="0"/>
                    <w:pageBreakBefore w:val="0"/>
                    <w:tabs>
                      <w:tab w:val="left" w:pos="1798"/>
                    </w:tabs>
                    <w:kinsoku/>
                    <w:wordWrap/>
                    <w:overflowPunct/>
                    <w:topLinePunct w:val="0"/>
                    <w:bidi w:val="0"/>
                    <w:snapToGrid/>
                    <w:spacing w:line="0" w:lineRule="atLeast"/>
                    <w:rPr>
                      <w:color w:val="auto"/>
                      <w:sz w:val="20"/>
                      <w:szCs w:val="20"/>
                      <w:highlight w:val="none"/>
                    </w:rPr>
                  </w:pPr>
                  <w:r>
                    <w:rPr>
                      <w:rFonts w:ascii="Times New Roman" w:hAnsi="Times New Roman" w:cs="Times New Roman"/>
                      <w:color w:val="auto"/>
                      <w:sz w:val="20"/>
                      <w:szCs w:val="20"/>
                      <w:highlight w:val="none"/>
                      <w:lang w:val="en-US" w:eastAsia="zh-CN"/>
                    </w:rPr>
                    <w:t>2、引导重点行业向环境容量充足、扩散条件较好区域布局。</w:t>
                  </w:r>
                </w:p>
              </w:tc>
              <w:tc>
                <w:tcPr>
                  <w:tcW w:w="994" w:type="pct"/>
                  <w:tcBorders>
                    <w:top w:val="single" w:color="auto" w:sz="4" w:space="0"/>
                    <w:bottom w:val="single" w:color="auto" w:sz="4" w:space="0"/>
                  </w:tcBorders>
                  <w:noWrap w:val="0"/>
                  <w:vAlign w:val="center"/>
                </w:tcPr>
                <w:p w14:paraId="1F2D2E0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本项目不属于重点行业</w:t>
                  </w:r>
                </w:p>
              </w:tc>
              <w:tc>
                <w:tcPr>
                  <w:tcW w:w="407" w:type="pct"/>
                  <w:tcBorders>
                    <w:right w:val="single" w:color="auto" w:sz="4" w:space="0"/>
                  </w:tcBorders>
                  <w:noWrap w:val="0"/>
                  <w:vAlign w:val="center"/>
                </w:tcPr>
                <w:p w14:paraId="730CFDD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C14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69ED0C0">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7E5065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6649612">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eastAsia="zh-CN"/>
                    </w:rPr>
                  </w:pPr>
                  <w:r>
                    <w:rPr>
                      <w:rFonts w:hint="eastAsia" w:ascii="Times New Roman" w:hAnsi="Times New Roman" w:cs="Times New Roman"/>
                      <w:color w:val="auto"/>
                      <w:sz w:val="20"/>
                      <w:szCs w:val="20"/>
                      <w:highlight w:val="none"/>
                      <w:lang w:val="en-US" w:eastAsia="zh-CN"/>
                    </w:rPr>
                    <w:t>3、</w:t>
                  </w:r>
                  <w:r>
                    <w:rPr>
                      <w:rFonts w:ascii="Times New Roman" w:hAnsi="Times New Roman" w:cs="Times New Roman"/>
                      <w:color w:val="auto"/>
                      <w:sz w:val="20"/>
                      <w:szCs w:val="20"/>
                      <w:highlight w:val="none"/>
                      <w:lang w:val="en-US" w:eastAsia="zh-CN"/>
                    </w:rPr>
                    <w:t>大气环境受体敏感重点管控区、大气环境布局敏感重点管控区、大气环境弱扩散重点管控区严格控制</w:t>
                  </w:r>
                  <w:r>
                    <w:rPr>
                      <w:rFonts w:hint="eastAsia" w:ascii="Times New Roman" w:hAnsi="Times New Roman" w:cs="Times New Roman"/>
                      <w:color w:val="auto"/>
                      <w:sz w:val="20"/>
                      <w:szCs w:val="20"/>
                      <w:highlight w:val="none"/>
                      <w:lang w:val="en-US" w:eastAsia="zh-CN"/>
                    </w:rPr>
                    <w:t>高耗能、高排放项目建设。严禁新增钢铁、焦化、水泥、平板玻璃、电解铝等产能。</w:t>
                  </w:r>
                </w:p>
              </w:tc>
              <w:tc>
                <w:tcPr>
                  <w:tcW w:w="994" w:type="pct"/>
                  <w:tcBorders>
                    <w:top w:val="single" w:color="auto" w:sz="4" w:space="0"/>
                    <w:bottom w:val="single" w:color="auto" w:sz="4" w:space="0"/>
                  </w:tcBorders>
                  <w:noWrap w:val="0"/>
                  <w:vAlign w:val="center"/>
                </w:tcPr>
                <w:p w14:paraId="3821802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本项目不属于高耗能、高排放项目，不属于钢铁、焦化、水泥、平板玻璃、电解铝等项目。</w:t>
                  </w:r>
                </w:p>
              </w:tc>
              <w:tc>
                <w:tcPr>
                  <w:tcW w:w="407" w:type="pct"/>
                  <w:tcBorders>
                    <w:right w:val="single" w:color="auto" w:sz="4" w:space="0"/>
                  </w:tcBorders>
                  <w:noWrap w:val="0"/>
                  <w:vAlign w:val="center"/>
                </w:tcPr>
                <w:p w14:paraId="3844279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DB9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48B1FAAC">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02AA422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F5078E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4</w:t>
                  </w:r>
                  <w:r>
                    <w:rPr>
                      <w:color w:val="auto"/>
                      <w:sz w:val="20"/>
                      <w:szCs w:val="20"/>
                      <w:highlight w:val="none"/>
                    </w:rPr>
                    <w:t>、大气环境受体敏感重点管控区中重点涉气行业企业，除必须依托城市或直接服务于城市的企业外，均应规划退城搬迁。</w:t>
                  </w:r>
                </w:p>
              </w:tc>
              <w:tc>
                <w:tcPr>
                  <w:tcW w:w="994" w:type="pct"/>
                  <w:tcBorders>
                    <w:top w:val="single" w:color="auto" w:sz="4" w:space="0"/>
                    <w:bottom w:val="single" w:color="auto" w:sz="4" w:space="0"/>
                  </w:tcBorders>
                  <w:noWrap w:val="0"/>
                  <w:vAlign w:val="center"/>
                </w:tcPr>
                <w:p w14:paraId="3BB93D3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w:t>
                  </w:r>
                  <w:r>
                    <w:rPr>
                      <w:color w:val="auto"/>
                      <w:sz w:val="20"/>
                      <w:szCs w:val="20"/>
                      <w:highlight w:val="none"/>
                    </w:rPr>
                    <w:t>重点涉气行业企业</w:t>
                  </w:r>
                  <w:r>
                    <w:rPr>
                      <w:rFonts w:hint="eastAsia"/>
                      <w:color w:val="auto"/>
                      <w:sz w:val="20"/>
                      <w:szCs w:val="20"/>
                      <w:highlight w:val="none"/>
                    </w:rPr>
                    <w:t>。</w:t>
                  </w:r>
                </w:p>
              </w:tc>
              <w:tc>
                <w:tcPr>
                  <w:tcW w:w="407" w:type="pct"/>
                  <w:tcBorders>
                    <w:right w:val="single" w:color="auto" w:sz="4" w:space="0"/>
                  </w:tcBorders>
                  <w:noWrap w:val="0"/>
                  <w:vAlign w:val="center"/>
                </w:tcPr>
                <w:p w14:paraId="144A32C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670F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5F5E85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3A3B8D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1F3469B8">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eastAsia="zh-CN"/>
                    </w:rPr>
                  </w:pPr>
                  <w:r>
                    <w:rPr>
                      <w:rFonts w:hint="eastAsia" w:ascii="Times New Roman" w:hAnsi="Times New Roman" w:cs="Times New Roman"/>
                      <w:color w:val="auto"/>
                      <w:sz w:val="20"/>
                      <w:szCs w:val="20"/>
                      <w:highlight w:val="none"/>
                      <w:lang w:val="en-US" w:eastAsia="zh-CN"/>
                    </w:rPr>
                    <w:t>5</w:t>
                  </w:r>
                  <w:r>
                    <w:rPr>
                      <w:rFonts w:ascii="Times New Roman" w:hAnsi="Times New Roman" w:cs="Times New Roman"/>
                      <w:color w:val="auto"/>
                      <w:sz w:val="20"/>
                      <w:szCs w:val="20"/>
                      <w:highlight w:val="none"/>
                      <w:lang w:val="en-US" w:eastAsia="zh-CN"/>
                    </w:rPr>
                    <w:t>、大气环境弱扩散重点管控区内严格控制新建、扩建燃煤火电、钢铁，以及除国家、省、市规划外的石化等高污染</w:t>
                  </w:r>
                  <w:r>
                    <w:rPr>
                      <w:rFonts w:hint="eastAsia" w:ascii="Times New Roman" w:hAnsi="Times New Roman" w:cs="Times New Roman"/>
                      <w:color w:val="auto"/>
                      <w:sz w:val="20"/>
                      <w:szCs w:val="20"/>
                      <w:highlight w:val="none"/>
                      <w:lang w:val="en-US" w:eastAsia="zh-CN"/>
                    </w:rPr>
                    <w:t>高</w:t>
                  </w:r>
                  <w:r>
                    <w:rPr>
                      <w:rFonts w:ascii="Times New Roman" w:hAnsi="Times New Roman" w:cs="Times New Roman"/>
                      <w:color w:val="auto"/>
                      <w:sz w:val="20"/>
                      <w:szCs w:val="20"/>
                      <w:highlight w:val="none"/>
                      <w:lang w:val="en-US" w:eastAsia="zh-CN"/>
                    </w:rPr>
                    <w:t>排放项目。</w:t>
                  </w:r>
                </w:p>
              </w:tc>
              <w:tc>
                <w:tcPr>
                  <w:tcW w:w="994" w:type="pct"/>
                  <w:tcBorders>
                    <w:top w:val="single" w:color="auto" w:sz="4" w:space="0"/>
                    <w:bottom w:val="single" w:color="auto" w:sz="4" w:space="0"/>
                  </w:tcBorders>
                  <w:noWrap w:val="0"/>
                  <w:vAlign w:val="center"/>
                </w:tcPr>
                <w:p w14:paraId="221BD73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w:t>
                  </w:r>
                  <w:r>
                    <w:rPr>
                      <w:color w:val="auto"/>
                      <w:sz w:val="20"/>
                      <w:szCs w:val="20"/>
                      <w:highlight w:val="none"/>
                    </w:rPr>
                    <w:t>燃煤燃油火电、钢铁，以及石化等高污染排放项目</w:t>
                  </w:r>
                  <w:r>
                    <w:rPr>
                      <w:rFonts w:hint="eastAsia"/>
                      <w:color w:val="auto"/>
                      <w:sz w:val="20"/>
                      <w:szCs w:val="20"/>
                      <w:highlight w:val="none"/>
                    </w:rPr>
                    <w:t>。</w:t>
                  </w:r>
                </w:p>
              </w:tc>
              <w:tc>
                <w:tcPr>
                  <w:tcW w:w="407" w:type="pct"/>
                  <w:tcBorders>
                    <w:right w:val="single" w:color="auto" w:sz="4" w:space="0"/>
                  </w:tcBorders>
                  <w:noWrap w:val="0"/>
                  <w:vAlign w:val="center"/>
                </w:tcPr>
                <w:p w14:paraId="7F54C9A5">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FA9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7F8043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38A294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2EBB3E3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6</w:t>
                  </w:r>
                  <w:r>
                    <w:rPr>
                      <w:color w:val="auto"/>
                      <w:sz w:val="20"/>
                      <w:szCs w:val="20"/>
                      <w:highlight w:val="none"/>
                    </w:rPr>
                    <w:t>、对热效率低下、敞开未封闭，装备简易落后、自动化程度低，布局分散、规模小、无组织排放突出，以及无治理设施或治理设施工艺落后的工业炉窑，依法责令停业关闭</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32739AC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53F96458">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D21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5606D05">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471C4ED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902514E">
                  <w:pPr>
                    <w:keepNext w:val="0"/>
                    <w:keepLines w:val="0"/>
                    <w:pageBreakBefore w:val="0"/>
                    <w:widowControl/>
                    <w:numPr>
                      <w:ilvl w:val="0"/>
                      <w:numId w:val="2"/>
                    </w:numPr>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全市禁止新建35蒸吨/小时及以下燃煤锅炉，35蒸吨/小时以上燃煤锅炉要达到超低排放标准。</w:t>
                  </w:r>
                  <w:r>
                    <w:rPr>
                      <w:rFonts w:hint="eastAsia"/>
                      <w:color w:val="auto"/>
                      <w:sz w:val="20"/>
                      <w:szCs w:val="20"/>
                      <w:highlight w:val="none"/>
                    </w:rPr>
                    <w:t>城市主城区</w:t>
                  </w:r>
                  <w:r>
                    <w:rPr>
                      <w:color w:val="auto"/>
                      <w:sz w:val="20"/>
                      <w:szCs w:val="20"/>
                      <w:highlight w:val="none"/>
                    </w:rPr>
                    <w:t>和县城禁止新建35蒸吨/小时及以下生物质</w:t>
                  </w:r>
                  <w:r>
                    <w:rPr>
                      <w:rFonts w:hint="eastAsia"/>
                      <w:color w:val="auto"/>
                      <w:sz w:val="20"/>
                      <w:szCs w:val="20"/>
                      <w:highlight w:val="none"/>
                    </w:rPr>
                    <w:t>和燃油（醇基燃料）</w:t>
                  </w:r>
                  <w:r>
                    <w:rPr>
                      <w:color w:val="auto"/>
                      <w:sz w:val="20"/>
                      <w:szCs w:val="20"/>
                      <w:highlight w:val="none"/>
                    </w:rPr>
                    <w:t>锅炉，35蒸吨/小时以上的</w:t>
                  </w:r>
                  <w:r>
                    <w:rPr>
                      <w:rFonts w:hint="eastAsia"/>
                      <w:color w:val="auto"/>
                      <w:sz w:val="20"/>
                      <w:szCs w:val="20"/>
                      <w:highlight w:val="none"/>
                    </w:rPr>
                    <w:t>燃油和生物质锅炉</w:t>
                  </w:r>
                  <w:r>
                    <w:rPr>
                      <w:color w:val="auto"/>
                      <w:sz w:val="20"/>
                      <w:szCs w:val="20"/>
                      <w:highlight w:val="none"/>
                    </w:rPr>
                    <w:t>要达到超低排放标准</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044FC6D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1BBC03D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97D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70974A6">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tcBorders>
                    <w:bottom w:val="single" w:color="auto" w:sz="4" w:space="0"/>
                  </w:tcBorders>
                  <w:noWrap w:val="0"/>
                  <w:vAlign w:val="center"/>
                </w:tcPr>
                <w:p w14:paraId="4BF5DBE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tcBorders>
                    <w:bottom w:val="single" w:color="auto" w:sz="4" w:space="0"/>
                  </w:tcBorders>
                  <w:noWrap w:val="0"/>
                  <w:vAlign w:val="center"/>
                </w:tcPr>
                <w:p w14:paraId="0589A9C0">
                  <w:pPr>
                    <w:keepNext w:val="0"/>
                    <w:keepLines w:val="0"/>
                    <w:pageBreakBefore w:val="0"/>
                    <w:widowControl/>
                    <w:numPr>
                      <w:ilvl w:val="0"/>
                      <w:numId w:val="3"/>
                    </w:numPr>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禁燃区内不得新建</w:t>
                  </w:r>
                  <w:r>
                    <w:rPr>
                      <w:rFonts w:hint="eastAsia"/>
                      <w:color w:val="auto"/>
                      <w:sz w:val="20"/>
                      <w:szCs w:val="20"/>
                      <w:highlight w:val="none"/>
                    </w:rPr>
                    <w:t>、扩建</w:t>
                  </w:r>
                  <w:r>
                    <w:rPr>
                      <w:color w:val="auto"/>
                      <w:sz w:val="20"/>
                      <w:szCs w:val="20"/>
                      <w:highlight w:val="none"/>
                    </w:rPr>
                    <w:t>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w:t>
                  </w:r>
                  <w:r>
                    <w:rPr>
                      <w:rFonts w:hint="eastAsia"/>
                      <w:color w:val="auto"/>
                      <w:sz w:val="20"/>
                      <w:szCs w:val="20"/>
                      <w:highlight w:val="none"/>
                    </w:rPr>
                    <w:t>。禁燃区内禁止原煤散烧。禁止销售、使用高污染燃料。</w:t>
                  </w:r>
                </w:p>
                <w:p w14:paraId="014E0F2A">
                  <w:pPr>
                    <w:keepNext w:val="0"/>
                    <w:keepLines w:val="0"/>
                    <w:pageBreakBefore w:val="0"/>
                    <w:widowControl/>
                    <w:numPr>
                      <w:ilvl w:val="0"/>
                      <w:numId w:val="0"/>
                    </w:numPr>
                    <w:kinsoku/>
                    <w:wordWrap/>
                    <w:overflowPunct/>
                    <w:topLinePunct w:val="0"/>
                    <w:bidi w:val="0"/>
                    <w:snapToGrid/>
                    <w:spacing w:line="0" w:lineRule="atLeast"/>
                    <w:jc w:val="both"/>
                    <w:rPr>
                      <w:rFonts w:hint="eastAsia"/>
                      <w:color w:val="auto"/>
                      <w:sz w:val="20"/>
                      <w:szCs w:val="20"/>
                      <w:highlight w:val="none"/>
                    </w:rPr>
                  </w:pPr>
                </w:p>
              </w:tc>
              <w:tc>
                <w:tcPr>
                  <w:tcW w:w="994" w:type="pct"/>
                  <w:tcBorders>
                    <w:top w:val="single" w:color="auto" w:sz="4" w:space="0"/>
                    <w:bottom w:val="single" w:color="auto" w:sz="4" w:space="0"/>
                  </w:tcBorders>
                  <w:noWrap w:val="0"/>
                  <w:vAlign w:val="center"/>
                </w:tcPr>
                <w:p w14:paraId="0DA0B57F">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不涉及煤炭、重油、渣油的高污染燃料设施。</w:t>
                  </w:r>
                </w:p>
              </w:tc>
              <w:tc>
                <w:tcPr>
                  <w:tcW w:w="407" w:type="pct"/>
                  <w:tcBorders>
                    <w:bottom w:val="single" w:color="auto" w:sz="4" w:space="0"/>
                    <w:right w:val="single" w:color="auto" w:sz="4" w:space="0"/>
                  </w:tcBorders>
                  <w:noWrap w:val="0"/>
                  <w:vAlign w:val="center"/>
                </w:tcPr>
                <w:p w14:paraId="18D48BBB">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4118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4350609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vMerge w:val="restart"/>
                  <w:tcBorders>
                    <w:top w:val="single" w:color="auto" w:sz="4" w:space="0"/>
                  </w:tcBorders>
                  <w:noWrap w:val="0"/>
                  <w:vAlign w:val="center"/>
                </w:tcPr>
                <w:p w14:paraId="4D8B4CDB">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污染物排放管控</w:t>
                  </w:r>
                </w:p>
              </w:tc>
              <w:tc>
                <w:tcPr>
                  <w:tcW w:w="2311" w:type="pct"/>
                  <w:tcBorders>
                    <w:top w:val="single" w:color="auto" w:sz="4" w:space="0"/>
                  </w:tcBorders>
                  <w:noWrap w:val="0"/>
                  <w:vAlign w:val="center"/>
                </w:tcPr>
                <w:p w14:paraId="67C75897">
                  <w:pPr>
                    <w:pStyle w:val="108"/>
                    <w:keepNext w:val="0"/>
                    <w:keepLines w:val="0"/>
                    <w:pageBreakBefore w:val="0"/>
                    <w:numPr>
                      <w:ilvl w:val="0"/>
                      <w:numId w:val="0"/>
                    </w:numPr>
                    <w:tabs>
                      <w:tab w:val="left" w:pos="317"/>
                    </w:tabs>
                    <w:kinsoku/>
                    <w:wordWrap/>
                    <w:overflowPunct/>
                    <w:topLinePunct w:val="0"/>
                    <w:bidi w:val="0"/>
                    <w:snapToGrid/>
                    <w:spacing w:after="0" w:line="0" w:lineRule="atLeast"/>
                    <w:ind w:firstLine="400" w:firstLineChars="0"/>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kern w:val="2"/>
                      <w:sz w:val="20"/>
                      <w:szCs w:val="20"/>
                      <w:lang w:val="en-US" w:eastAsia="zh-CN" w:bidi="zh-TW"/>
                    </w:rPr>
                    <w:t>1、</w:t>
                  </w:r>
                  <w:r>
                    <w:rPr>
                      <w:rFonts w:ascii="Times New Roman" w:hAnsi="Times New Roman" w:eastAsia="宋体" w:cs="Times New Roman"/>
                      <w:color w:val="auto"/>
                      <w:sz w:val="20"/>
                      <w:szCs w:val="20"/>
                      <w:highlight w:val="none"/>
                      <w:lang w:val="en-US" w:eastAsia="zh-CN"/>
                    </w:rPr>
                    <w:t>严格区域削减要求。严格执行《生态环境部办公厅关于加强重点行业建设项目区域削减措施监督管理的通知》（环办环评〔2020〕36 号）相关要求</w:t>
                  </w:r>
                  <w:r>
                    <w:rPr>
                      <w:rFonts w:hint="eastAsia" w:ascii="Times New Roman" w:hAnsi="Times New Roman" w:eastAsia="宋体" w:cs="Times New Roman"/>
                      <w:color w:val="auto"/>
                      <w:sz w:val="20"/>
                      <w:szCs w:val="20"/>
                      <w:highlight w:val="none"/>
                      <w:lang w:val="en-US" w:eastAsia="zh-CN"/>
                    </w:rPr>
                    <w:t>。</w:t>
                  </w:r>
                </w:p>
              </w:tc>
              <w:tc>
                <w:tcPr>
                  <w:tcW w:w="994" w:type="pct"/>
                  <w:tcBorders>
                    <w:top w:val="single" w:color="auto" w:sz="4" w:space="0"/>
                    <w:bottom w:val="single" w:color="auto" w:sz="4" w:space="0"/>
                  </w:tcBorders>
                  <w:noWrap w:val="0"/>
                  <w:vAlign w:val="center"/>
                </w:tcPr>
                <w:p w14:paraId="4BDB90FE">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本项目不属于石化、煤化工、燃煤发电（含热电）、钢铁、有色金属冶炼、制浆造纸等重点行业。</w:t>
                  </w:r>
                </w:p>
              </w:tc>
              <w:tc>
                <w:tcPr>
                  <w:tcW w:w="407" w:type="pct"/>
                  <w:tcBorders>
                    <w:top w:val="single" w:color="auto" w:sz="4" w:space="0"/>
                    <w:right w:val="single" w:color="auto" w:sz="4" w:space="0"/>
                  </w:tcBorders>
                  <w:noWrap w:val="0"/>
                  <w:vAlign w:val="center"/>
                </w:tcPr>
                <w:p w14:paraId="122DF055">
                  <w:pPr>
                    <w:pStyle w:val="13"/>
                    <w:keepNext w:val="0"/>
                    <w:keepLines w:val="0"/>
                    <w:pageBreakBefore w:val="0"/>
                    <w:kinsoku/>
                    <w:wordWrap/>
                    <w:overflowPunct/>
                    <w:topLinePunct w:val="0"/>
                    <w:bidi w:val="0"/>
                    <w:snapToGrid/>
                    <w:spacing w:line="0" w:lineRule="atLeast"/>
                    <w:rPr>
                      <w:rFonts w:hint="eastAsia"/>
                      <w:color w:val="auto"/>
                      <w:sz w:val="20"/>
                      <w:szCs w:val="20"/>
                      <w:highlight w:val="none"/>
                    </w:rPr>
                  </w:pPr>
                  <w:r>
                    <w:rPr>
                      <w:rFonts w:hint="eastAsia"/>
                      <w:color w:val="auto"/>
                      <w:sz w:val="20"/>
                      <w:szCs w:val="20"/>
                      <w:highlight w:val="none"/>
                    </w:rPr>
                    <w:t>符合</w:t>
                  </w:r>
                </w:p>
              </w:tc>
            </w:tr>
            <w:tr w14:paraId="79CF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A86079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6C7A939E">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6B576B2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2、</w:t>
                  </w:r>
                  <w:r>
                    <w:rPr>
                      <w:color w:val="auto"/>
                      <w:sz w:val="20"/>
                      <w:szCs w:val="20"/>
                      <w:highlight w:val="none"/>
                      <w:lang w:bidi="zh-TW"/>
                    </w:rPr>
                    <w:t>对保留的工业炉窑开展环保提标改造，配套建设高效脱硫脱硝除尘设施，确保稳定达标排放，按照《河北省工业炉窑综合治理实施方案》执行</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C0240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2B2DF683">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CE0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4" w:hRule="atLeast"/>
                <w:jc w:val="center"/>
              </w:trPr>
              <w:tc>
                <w:tcPr>
                  <w:tcW w:w="468" w:type="pct"/>
                  <w:vMerge w:val="continue"/>
                  <w:noWrap w:val="0"/>
                  <w:vAlign w:val="center"/>
                </w:tcPr>
                <w:p w14:paraId="1327B91E">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3BF21CC0">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0324FF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3、</w:t>
                  </w:r>
                  <w:r>
                    <w:rPr>
                      <w:rFonts w:hint="eastAsia"/>
                      <w:color w:val="auto"/>
                      <w:sz w:val="20"/>
                      <w:szCs w:val="20"/>
                      <w:highlight w:val="none"/>
                      <w:lang w:bidi="zh-TW"/>
                    </w:rPr>
                    <w:t>按照《低挥发性有机化合物含量涂料产品技术要求》（GB/T38597-2020），开展低挥发性有机物含量涂料推广替代试点工作，加快推进党政机关单位定点印刷企业率先使用水性油墨、大豆油墨等低挥发性有机物含量油墨和胶粘剂。</w:t>
                  </w:r>
                </w:p>
              </w:tc>
              <w:tc>
                <w:tcPr>
                  <w:tcW w:w="994" w:type="pct"/>
                  <w:tcBorders>
                    <w:top w:val="single" w:color="auto" w:sz="4" w:space="0"/>
                    <w:bottom w:val="single" w:color="auto" w:sz="4" w:space="0"/>
                  </w:tcBorders>
                  <w:noWrap w:val="0"/>
                  <w:vAlign w:val="center"/>
                </w:tcPr>
                <w:p w14:paraId="432C569B">
                  <w:pPr>
                    <w:keepNext w:val="0"/>
                    <w:keepLines w:val="0"/>
                    <w:pageBreakBefore w:val="0"/>
                    <w:widowControl/>
                    <w:kinsoku/>
                    <w:wordWrap/>
                    <w:overflowPunct/>
                    <w:topLinePunct w:val="0"/>
                    <w:bidi w:val="0"/>
                    <w:snapToGrid/>
                    <w:spacing w:line="0" w:lineRule="atLeast"/>
                    <w:jc w:val="center"/>
                    <w:rPr>
                      <w:rFonts w:hint="eastAsia" w:eastAsia="宋体"/>
                      <w:color w:val="auto"/>
                      <w:sz w:val="20"/>
                      <w:szCs w:val="20"/>
                      <w:highlight w:val="none"/>
                      <w:lang w:eastAsia="zh-CN"/>
                    </w:rPr>
                  </w:pPr>
                  <w:r>
                    <w:rPr>
                      <w:rFonts w:hint="eastAsia"/>
                      <w:color w:val="auto"/>
                      <w:sz w:val="20"/>
                      <w:szCs w:val="20"/>
                      <w:highlight w:val="none"/>
                      <w:lang w:val="en-US" w:eastAsia="zh-CN"/>
                    </w:rPr>
                    <w:t>不涉及</w:t>
                  </w:r>
                </w:p>
              </w:tc>
              <w:tc>
                <w:tcPr>
                  <w:tcW w:w="407" w:type="pct"/>
                  <w:tcBorders>
                    <w:right w:val="single" w:color="auto" w:sz="4" w:space="0"/>
                  </w:tcBorders>
                  <w:noWrap w:val="0"/>
                  <w:vAlign w:val="center"/>
                </w:tcPr>
                <w:p w14:paraId="245FD08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729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5B97B91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3CC2154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1D8B8D65">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4、</w:t>
                  </w:r>
                  <w:r>
                    <w:rPr>
                      <w:color w:val="auto"/>
                      <w:sz w:val="20"/>
                      <w:szCs w:val="20"/>
                      <w:highlight w:val="none"/>
                      <w:lang w:bidi="zh-TW"/>
                    </w:rPr>
                    <w:t>加强无组织排放治理，开展钢铁、水泥、燃煤电厂、焦化平板玻璃、陶瓷等行业重点行业无组织排放检查工作，物料存储运输等全部采用密闭或封闭形式</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1F5A6F9">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项目不属于钢铁、水泥、燃煤电厂、焦化平板玻璃、陶瓷等玻璃行业</w:t>
                  </w:r>
                </w:p>
              </w:tc>
              <w:tc>
                <w:tcPr>
                  <w:tcW w:w="407" w:type="pct"/>
                  <w:tcBorders>
                    <w:right w:val="single" w:color="auto" w:sz="4" w:space="0"/>
                  </w:tcBorders>
                  <w:noWrap w:val="0"/>
                  <w:vAlign w:val="center"/>
                </w:tcPr>
                <w:p w14:paraId="602E58E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24E9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6DC791D">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77B80CE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BBA1B3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ascii="Times New Roman" w:hAnsi="Times New Roman" w:eastAsia="宋体" w:cs="Times New Roman"/>
                      <w:color w:val="auto"/>
                      <w:kern w:val="2"/>
                      <w:sz w:val="20"/>
                      <w:szCs w:val="20"/>
                      <w:lang w:val="en-US" w:eastAsia="zh-CN" w:bidi="zh-TW"/>
                    </w:rPr>
                  </w:pPr>
                </w:p>
                <w:p w14:paraId="38AD6439">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color w:val="auto"/>
                      <w:sz w:val="20"/>
                      <w:szCs w:val="20"/>
                      <w:highlight w:val="none"/>
                      <w:lang w:bidi="zh-TW"/>
                    </w:rPr>
                  </w:pPr>
                  <w:r>
                    <w:rPr>
                      <w:rFonts w:ascii="Times New Roman" w:hAnsi="Times New Roman" w:eastAsia="宋体" w:cs="Times New Roman"/>
                      <w:color w:val="auto"/>
                      <w:kern w:val="2"/>
                      <w:sz w:val="20"/>
                      <w:szCs w:val="20"/>
                      <w:lang w:val="en-US" w:eastAsia="zh-CN" w:bidi="zh-TW"/>
                    </w:rPr>
                    <w:t>5、</w:t>
                  </w:r>
                  <w:r>
                    <w:rPr>
                      <w:color w:val="auto"/>
                      <w:sz w:val="20"/>
                      <w:szCs w:val="20"/>
                      <w:highlight w:val="none"/>
                      <w:lang w:bidi="zh-TW"/>
                    </w:rPr>
                    <w:t>加快推进铁路专用线建设，大宗货物及产品年货运量150万吨以上的企业原则上全部修建铁路专用线，达不到的采用清洁能源汽车或国六排放标准汽车代替。</w:t>
                  </w:r>
                </w:p>
              </w:tc>
              <w:tc>
                <w:tcPr>
                  <w:tcW w:w="994" w:type="pct"/>
                  <w:tcBorders>
                    <w:top w:val="single" w:color="auto" w:sz="4" w:space="0"/>
                    <w:bottom w:val="single" w:color="auto" w:sz="4" w:space="0"/>
                  </w:tcBorders>
                  <w:noWrap w:val="0"/>
                  <w:vAlign w:val="center"/>
                </w:tcPr>
                <w:p w14:paraId="4EE77CD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73E6D61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2666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jc w:val="center"/>
              </w:trPr>
              <w:tc>
                <w:tcPr>
                  <w:tcW w:w="468" w:type="pct"/>
                  <w:vMerge w:val="continue"/>
                  <w:noWrap w:val="0"/>
                  <w:vAlign w:val="center"/>
                </w:tcPr>
                <w:p w14:paraId="41A3D98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6E22201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C44E22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ascii="Times New Roman" w:hAnsi="Times New Roman" w:eastAsia="宋体" w:cs="Times New Roman"/>
                      <w:color w:val="auto"/>
                      <w:kern w:val="2"/>
                      <w:sz w:val="20"/>
                      <w:szCs w:val="20"/>
                      <w:lang w:val="en-US" w:eastAsia="zh-CN" w:bidi="zh-TW"/>
                    </w:rPr>
                  </w:pPr>
                </w:p>
                <w:p w14:paraId="71A22BA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ascii="Times New Roman" w:hAnsi="Times New Roman" w:eastAsia="宋体" w:cs="Times New Roman"/>
                      <w:color w:val="auto"/>
                      <w:kern w:val="2"/>
                      <w:sz w:val="20"/>
                      <w:szCs w:val="20"/>
                      <w:lang w:val="en-US" w:eastAsia="zh-CN" w:bidi="zh-TW"/>
                    </w:rPr>
                  </w:pPr>
                </w:p>
                <w:p w14:paraId="552C0468">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6、</w:t>
                  </w:r>
                  <w:r>
                    <w:rPr>
                      <w:color w:val="auto"/>
                      <w:sz w:val="20"/>
                      <w:szCs w:val="20"/>
                      <w:highlight w:val="none"/>
                      <w:lang w:bidi="zh-TW"/>
                    </w:rPr>
                    <w:t>深化建筑施工扬尘专项整治，严格执行《石家庄市建设工程围挡设置和扬尘管理标准》加强道路扬尘综合整治。全市工业企业料堆场全部实现规范管理；对环境敏感区的煤场、料场、渣场实现在线监控和视频监控全覆盖</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63EED9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项目施工期</w:t>
                  </w:r>
                  <w:r>
                    <w:rPr>
                      <w:color w:val="auto"/>
                      <w:sz w:val="20"/>
                      <w:szCs w:val="20"/>
                      <w:highlight w:val="none"/>
                      <w:lang w:bidi="zh-TW"/>
                    </w:rPr>
                    <w:t>严格执行《石家庄市建设工程围挡设置和扬尘管理标准》加强道路扬尘综合整治</w:t>
                  </w:r>
                  <w:r>
                    <w:rPr>
                      <w:rFonts w:hint="eastAsia"/>
                      <w:color w:val="auto"/>
                      <w:sz w:val="20"/>
                      <w:szCs w:val="20"/>
                      <w:highlight w:val="none"/>
                      <w:lang w:bidi="zh-TW"/>
                    </w:rPr>
                    <w:t>。</w:t>
                  </w:r>
                </w:p>
              </w:tc>
              <w:tc>
                <w:tcPr>
                  <w:tcW w:w="407" w:type="pct"/>
                  <w:tcBorders>
                    <w:right w:val="single" w:color="auto" w:sz="4" w:space="0"/>
                  </w:tcBorders>
                  <w:noWrap w:val="0"/>
                  <w:vAlign w:val="center"/>
                </w:tcPr>
                <w:p w14:paraId="73AF8D64">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D62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AC541D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0FF4B6F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03B3C1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7、</w:t>
                  </w:r>
                  <w:r>
                    <w:rPr>
                      <w:color w:val="auto"/>
                      <w:sz w:val="20"/>
                      <w:szCs w:val="20"/>
                      <w:highlight w:val="none"/>
                      <w:lang w:bidi="zh-TW"/>
                    </w:rPr>
                    <w:t>严禁秸秆、垃圾露天焚烧，实施农村地区的散煤替代及清洁开发利用工程</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102BE5C">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4850B62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5BD8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2C4D6E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832F075">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E89876E">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ascii="Times New Roman" w:hAnsi="Times New Roman" w:eastAsia="宋体" w:cs="Times New Roman"/>
                      <w:color w:val="auto"/>
                      <w:kern w:val="2"/>
                      <w:sz w:val="20"/>
                      <w:szCs w:val="20"/>
                      <w:lang w:val="en-US" w:eastAsia="zh-CN" w:bidi="zh-TW"/>
                    </w:rPr>
                  </w:pPr>
                </w:p>
                <w:p w14:paraId="5FDF1944">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8、</w:t>
                  </w:r>
                  <w:r>
                    <w:rPr>
                      <w:color w:val="auto"/>
                      <w:sz w:val="20"/>
                      <w:szCs w:val="20"/>
                      <w:highlight w:val="none"/>
                      <w:lang w:bidi="zh-TW"/>
                    </w:rPr>
                    <w:t>巩固钢铁、焦化、煤电、水泥、平板玻璃、陶瓷等行业超低排放成效，实施工艺全流程深度治理，全面加强无组织排放管控</w:t>
                  </w:r>
                  <w:r>
                    <w:rPr>
                      <w:rFonts w:hint="eastAsia"/>
                      <w:color w:val="auto"/>
                      <w:sz w:val="20"/>
                      <w:szCs w:val="20"/>
                      <w:highlight w:val="none"/>
                      <w:lang w:bidi="zh-TW"/>
                    </w:rPr>
                    <w:t>。</w:t>
                  </w:r>
                </w:p>
                <w:p w14:paraId="5949FE82">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p>
              </w:tc>
              <w:tc>
                <w:tcPr>
                  <w:tcW w:w="994" w:type="pct"/>
                  <w:tcBorders>
                    <w:top w:val="single" w:color="auto" w:sz="4" w:space="0"/>
                    <w:bottom w:val="single" w:color="auto" w:sz="4" w:space="0"/>
                  </w:tcBorders>
                  <w:noWrap w:val="0"/>
                  <w:vAlign w:val="center"/>
                </w:tcPr>
                <w:p w14:paraId="265B4BB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项目不属于钢铁、水泥、燃煤电厂、焦化平板玻璃、陶瓷等玻璃行业</w:t>
                  </w:r>
                </w:p>
              </w:tc>
              <w:tc>
                <w:tcPr>
                  <w:tcW w:w="407" w:type="pct"/>
                  <w:tcBorders>
                    <w:right w:val="single" w:color="auto" w:sz="4" w:space="0"/>
                  </w:tcBorders>
                  <w:noWrap w:val="0"/>
                  <w:vAlign w:val="center"/>
                </w:tcPr>
                <w:p w14:paraId="5B602B6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30F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EBFB156">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tcBorders>
                    <w:bottom w:val="single" w:color="auto" w:sz="4" w:space="0"/>
                  </w:tcBorders>
                  <w:noWrap w:val="0"/>
                  <w:vAlign w:val="center"/>
                </w:tcPr>
                <w:p w14:paraId="478F4C13">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tcBorders>
                    <w:bottom w:val="single" w:color="auto" w:sz="4" w:space="0"/>
                  </w:tcBorders>
                  <w:noWrap w:val="0"/>
                  <w:vAlign w:val="center"/>
                </w:tcPr>
                <w:p w14:paraId="55298442">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9、</w:t>
                  </w:r>
                  <w:r>
                    <w:rPr>
                      <w:color w:val="auto"/>
                      <w:sz w:val="20"/>
                      <w:szCs w:val="20"/>
                      <w:highlight w:val="none"/>
                      <w:lang w:bidi="zh-TW"/>
                    </w:rPr>
                    <w:t>对以煤、石油焦、重油等为燃料的工业炉窑，加快使用清洁低碳能源以及利用工厂余热、电厂热力等进行替代，全</w:t>
                  </w:r>
                  <w:r>
                    <w:rPr>
                      <w:rFonts w:hint="eastAsia"/>
                      <w:color w:val="auto"/>
                      <w:sz w:val="20"/>
                      <w:szCs w:val="20"/>
                      <w:highlight w:val="none"/>
                      <w:lang w:bidi="zh-TW"/>
                    </w:rPr>
                    <w:t>市</w:t>
                  </w:r>
                  <w:r>
                    <w:rPr>
                      <w:color w:val="auto"/>
                      <w:sz w:val="20"/>
                      <w:szCs w:val="20"/>
                      <w:highlight w:val="none"/>
                      <w:lang w:bidi="zh-TW"/>
                    </w:rPr>
                    <w:t>禁止掺烧高硫石油焦（硫含量大于 3%）。玻璃行业全面禁止掺烧高硫石油焦</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B84F9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bottom w:val="single" w:color="auto" w:sz="4" w:space="0"/>
                    <w:right w:val="single" w:color="auto" w:sz="4" w:space="0"/>
                  </w:tcBorders>
                  <w:noWrap w:val="0"/>
                  <w:vAlign w:val="center"/>
                </w:tcPr>
                <w:p w14:paraId="2BEC9C6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6130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2C79E778">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5C95527C">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环境风险防控</w:t>
                  </w:r>
                </w:p>
              </w:tc>
              <w:tc>
                <w:tcPr>
                  <w:tcW w:w="2311" w:type="pct"/>
                  <w:tcBorders>
                    <w:top w:val="single" w:color="auto" w:sz="4" w:space="0"/>
                    <w:bottom w:val="single" w:color="auto" w:sz="4" w:space="0"/>
                  </w:tcBorders>
                  <w:noWrap w:val="0"/>
                  <w:vAlign w:val="center"/>
                </w:tcPr>
                <w:p w14:paraId="1721297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r>
                    <w:rPr>
                      <w:rFonts w:ascii="Times New Roman" w:hAnsi="Times New Roman" w:eastAsia="宋体" w:cs="Times New Roman"/>
                      <w:color w:val="auto"/>
                      <w:sz w:val="20"/>
                      <w:szCs w:val="20"/>
                      <w:highlight w:val="none"/>
                    </w:rPr>
                    <w:t>。</w:t>
                  </w:r>
                </w:p>
              </w:tc>
              <w:tc>
                <w:tcPr>
                  <w:tcW w:w="994" w:type="pct"/>
                  <w:tcBorders>
                    <w:top w:val="single" w:color="auto" w:sz="4" w:space="0"/>
                    <w:bottom w:val="single" w:color="auto" w:sz="4" w:space="0"/>
                  </w:tcBorders>
                  <w:noWrap w:val="0"/>
                  <w:vAlign w:val="center"/>
                </w:tcPr>
                <w:p w14:paraId="627A85C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top w:val="single" w:color="auto" w:sz="4" w:space="0"/>
                    <w:bottom w:val="single" w:color="auto" w:sz="4" w:space="0"/>
                    <w:right w:val="single" w:color="auto" w:sz="4" w:space="0"/>
                  </w:tcBorders>
                  <w:noWrap w:val="0"/>
                  <w:vAlign w:val="center"/>
                </w:tcPr>
                <w:p w14:paraId="481F590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6D8B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3C7681B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55BBF73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属性</w:t>
                  </w:r>
                </w:p>
              </w:tc>
              <w:tc>
                <w:tcPr>
                  <w:tcW w:w="2311" w:type="pct"/>
                  <w:tcBorders>
                    <w:top w:val="single" w:color="auto" w:sz="4" w:space="0"/>
                    <w:bottom w:val="single" w:color="auto" w:sz="4" w:space="0"/>
                  </w:tcBorders>
                  <w:noWrap w:val="0"/>
                  <w:vAlign w:val="center"/>
                </w:tcPr>
                <w:p w14:paraId="26816099">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管控要求</w:t>
                  </w:r>
                </w:p>
              </w:tc>
              <w:tc>
                <w:tcPr>
                  <w:tcW w:w="994" w:type="pct"/>
                  <w:tcBorders>
                    <w:top w:val="single" w:color="auto" w:sz="4" w:space="0"/>
                    <w:bottom w:val="single" w:color="auto" w:sz="4" w:space="0"/>
                  </w:tcBorders>
                  <w:noWrap w:val="0"/>
                  <w:vAlign w:val="center"/>
                </w:tcPr>
                <w:p w14:paraId="2A9CB04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399669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30BA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4" w:hRule="atLeast"/>
                <w:jc w:val="center"/>
              </w:trPr>
              <w:tc>
                <w:tcPr>
                  <w:tcW w:w="468" w:type="pct"/>
                  <w:noWrap w:val="0"/>
                  <w:vAlign w:val="center"/>
                </w:tcPr>
                <w:p w14:paraId="124F05A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全市土壤环境总体管控要求</w:t>
                  </w:r>
                </w:p>
              </w:tc>
              <w:tc>
                <w:tcPr>
                  <w:tcW w:w="816" w:type="pct"/>
                  <w:gridSpan w:val="3"/>
                  <w:tcBorders>
                    <w:top w:val="single" w:color="auto" w:sz="4" w:space="0"/>
                  </w:tcBorders>
                  <w:noWrap w:val="0"/>
                  <w:vAlign w:val="center"/>
                </w:tcPr>
                <w:p w14:paraId="204B3F1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土壤污染重点监管单位</w:t>
                  </w:r>
                </w:p>
              </w:tc>
              <w:tc>
                <w:tcPr>
                  <w:tcW w:w="2311" w:type="pct"/>
                  <w:tcBorders>
                    <w:top w:val="single" w:color="auto" w:sz="4" w:space="0"/>
                  </w:tcBorders>
                  <w:noWrap w:val="0"/>
                  <w:vAlign w:val="center"/>
                </w:tcPr>
                <w:p w14:paraId="2C49C60C">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1、土壤污染重点监管单位应该严格控制有毒有害物质排放，并按年度向相关主管部门报告排放情况；建立土壤污染隐患排查制度，保证持续有效防止有毒有害物质渗漏、流失、扬散；制定、实施自行监测方案，并将监测数据报相关主管部门。并对监测数据的真实性和准确性负责。相关主管部门发现土壤污染重点监管单位监测数据异常，应当及时进行调查。</w:t>
                  </w:r>
                </w:p>
                <w:p w14:paraId="774BB13F">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2、土壤污染重点监管单位拆除设施、设备或者建筑物、构筑物的，应当制定包括应急措施在内的土壤污染防治工作方案。</w:t>
                  </w:r>
                </w:p>
                <w:p w14:paraId="55A2F33D">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3、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相关主管部门备案</w:t>
                  </w:r>
                  <w:r>
                    <w:rPr>
                      <w:rFonts w:ascii="Times New Roman" w:hAnsi="Times New Roman" w:eastAsia="宋体" w:cs="Times New Roman"/>
                      <w:color w:val="auto"/>
                      <w:sz w:val="20"/>
                      <w:szCs w:val="20"/>
                      <w:highlight w:val="none"/>
                    </w:rPr>
                    <w:t>。</w:t>
                  </w:r>
                </w:p>
              </w:tc>
              <w:tc>
                <w:tcPr>
                  <w:tcW w:w="994" w:type="pct"/>
                  <w:tcBorders>
                    <w:top w:val="single" w:color="auto" w:sz="4" w:space="0"/>
                  </w:tcBorders>
                  <w:noWrap w:val="0"/>
                  <w:vAlign w:val="center"/>
                </w:tcPr>
                <w:p w14:paraId="1B2FB536">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1、本项目为技改</w:t>
                  </w:r>
                  <w:r>
                    <w:rPr>
                      <w:rFonts w:hint="eastAsia" w:ascii="Times New Roman" w:hAnsi="Times New Roman" w:eastAsia="宋体" w:cs="Times New Roman"/>
                      <w:color w:val="auto"/>
                      <w:sz w:val="20"/>
                      <w:szCs w:val="20"/>
                      <w:highlight w:val="none"/>
                    </w:rPr>
                    <w:t>项目，位于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rFonts w:hint="eastAsia" w:ascii="Times New Roman" w:hAnsi="Times New Roman" w:eastAsia="宋体" w:cs="Times New Roman"/>
                      <w:color w:val="auto"/>
                      <w:sz w:val="20"/>
                      <w:szCs w:val="20"/>
                      <w:highlight w:val="none"/>
                    </w:rPr>
                    <w:t>，不涉及有毒有</w:t>
                  </w:r>
                  <w:r>
                    <w:rPr>
                      <w:rFonts w:hint="eastAsia"/>
                      <w:color w:val="auto"/>
                      <w:sz w:val="20"/>
                      <w:szCs w:val="20"/>
                      <w:highlight w:val="none"/>
                    </w:rPr>
                    <w:t>害物质排放；不属于土壤污染重点监管单位。</w:t>
                  </w:r>
                </w:p>
                <w:p w14:paraId="04720F6D">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594C29C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3、不涉及。</w:t>
                  </w:r>
                </w:p>
              </w:tc>
              <w:tc>
                <w:tcPr>
                  <w:tcW w:w="407" w:type="pct"/>
                  <w:tcBorders>
                    <w:top w:val="single" w:color="auto" w:sz="4" w:space="0"/>
                    <w:bottom w:val="single" w:color="auto" w:sz="4" w:space="0"/>
                    <w:right w:val="single" w:color="auto" w:sz="4" w:space="0"/>
                  </w:tcBorders>
                  <w:noWrap w:val="0"/>
                  <w:vAlign w:val="center"/>
                </w:tcPr>
                <w:p w14:paraId="4929C6B5">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符合</w:t>
                  </w:r>
                </w:p>
              </w:tc>
            </w:tr>
            <w:tr w14:paraId="52A9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7B1EBF7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268" w:type="pct"/>
                  <w:tcBorders>
                    <w:top w:val="single" w:color="auto" w:sz="4" w:space="0"/>
                    <w:bottom w:val="single" w:color="auto" w:sz="4" w:space="0"/>
                  </w:tcBorders>
                  <w:noWrap w:val="0"/>
                  <w:vAlign w:val="center"/>
                </w:tcPr>
                <w:p w14:paraId="6E4EB72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要素</w:t>
                  </w:r>
                </w:p>
              </w:tc>
              <w:tc>
                <w:tcPr>
                  <w:tcW w:w="548" w:type="pct"/>
                  <w:gridSpan w:val="2"/>
                  <w:tcBorders>
                    <w:top w:val="single" w:color="auto" w:sz="4" w:space="0"/>
                    <w:bottom w:val="single" w:color="auto" w:sz="4" w:space="0"/>
                  </w:tcBorders>
                  <w:noWrap w:val="0"/>
                  <w:vAlign w:val="center"/>
                </w:tcPr>
                <w:p w14:paraId="3429739C">
                  <w:pPr>
                    <w:pStyle w:val="108"/>
                    <w:keepNext w:val="0"/>
                    <w:keepLines w:val="0"/>
                    <w:pageBreakBefore w:val="0"/>
                    <w:widowControl w:val="0"/>
                    <w:tabs>
                      <w:tab w:val="left" w:pos="202"/>
                    </w:tabs>
                    <w:kinsoku/>
                    <w:wordWrap/>
                    <w:overflowPunct/>
                    <w:topLinePunct w:val="0"/>
                    <w:autoSpaceDE/>
                    <w:autoSpaceDN/>
                    <w:bidi w:val="0"/>
                    <w:adjustRightInd/>
                    <w:snapToGrid/>
                    <w:spacing w:after="0" w:line="0" w:lineRule="atLeast"/>
                    <w:ind w:left="0" w:leftChars="0" w:firstLine="0" w:firstLineChars="0"/>
                    <w:jc w:val="center"/>
                    <w:textAlignment w:val="auto"/>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管控类型</w:t>
                  </w:r>
                </w:p>
              </w:tc>
              <w:tc>
                <w:tcPr>
                  <w:tcW w:w="2311" w:type="pct"/>
                  <w:tcBorders>
                    <w:top w:val="single" w:color="auto" w:sz="4" w:space="0"/>
                    <w:bottom w:val="single" w:color="auto" w:sz="4" w:space="0"/>
                  </w:tcBorders>
                  <w:noWrap w:val="0"/>
                  <w:vAlign w:val="center"/>
                </w:tcPr>
                <w:p w14:paraId="1BFC6DB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35B1CBC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692BDFE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4AE6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5AE4D17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全市自然资源总体管控要求</w:t>
                  </w:r>
                </w:p>
              </w:tc>
              <w:tc>
                <w:tcPr>
                  <w:tcW w:w="268" w:type="pct"/>
                  <w:vMerge w:val="restart"/>
                  <w:tcBorders>
                    <w:top w:val="single" w:color="auto" w:sz="4" w:space="0"/>
                  </w:tcBorders>
                  <w:noWrap w:val="0"/>
                  <w:vAlign w:val="center"/>
                </w:tcPr>
                <w:p w14:paraId="7C452BF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水资源</w:t>
                  </w:r>
                </w:p>
              </w:tc>
              <w:tc>
                <w:tcPr>
                  <w:tcW w:w="548" w:type="pct"/>
                  <w:gridSpan w:val="2"/>
                  <w:tcBorders>
                    <w:top w:val="single" w:color="auto" w:sz="4" w:space="0"/>
                    <w:bottom w:val="single" w:color="auto" w:sz="4" w:space="0"/>
                  </w:tcBorders>
                  <w:noWrap w:val="0"/>
                  <w:vAlign w:val="center"/>
                </w:tcPr>
                <w:p w14:paraId="17FA790D">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eastAsia="zh-TW" w:bidi="zh-TW"/>
                    </w:rPr>
                  </w:pPr>
                  <w:r>
                    <w:rPr>
                      <w:color w:val="auto"/>
                      <w:sz w:val="20"/>
                      <w:szCs w:val="20"/>
                      <w:highlight w:val="none"/>
                      <w:lang w:val="zh-TW" w:eastAsia="zh-TW" w:bidi="zh-TW"/>
                    </w:rPr>
                    <w:t>地下水开采重点管控区（地 下水严重超采区）</w:t>
                  </w:r>
                </w:p>
              </w:tc>
              <w:tc>
                <w:tcPr>
                  <w:tcW w:w="2311" w:type="pct"/>
                  <w:tcBorders>
                    <w:top w:val="single" w:color="auto" w:sz="4" w:space="0"/>
                    <w:bottom w:val="single" w:color="auto" w:sz="4" w:space="0"/>
                  </w:tcBorders>
                  <w:noWrap w:val="0"/>
                  <w:vAlign w:val="center"/>
                </w:tcPr>
                <w:p w14:paraId="2312DB50">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hint="eastAsia" w:ascii="Times New Roman" w:hAnsi="Times New Roman" w:eastAsia="宋体" w:cs="Times New Roman"/>
                      <w:color w:val="auto"/>
                      <w:sz w:val="20"/>
                      <w:szCs w:val="20"/>
                      <w:highlight w:val="none"/>
                      <w:lang w:val="en-US" w:eastAsia="zh-CN"/>
                    </w:rPr>
                    <w:t>在</w:t>
                  </w:r>
                  <w:r>
                    <w:rPr>
                      <w:rFonts w:ascii="Times New Roman" w:hAnsi="Times New Roman" w:eastAsia="宋体" w:cs="Times New Roman"/>
                      <w:color w:val="auto"/>
                      <w:sz w:val="20"/>
                      <w:szCs w:val="20"/>
                      <w:highlight w:val="none"/>
                    </w:rPr>
                    <w:t>地下水</w:t>
                  </w:r>
                  <w:r>
                    <w:rPr>
                      <w:rFonts w:hint="eastAsia" w:ascii="Times New Roman" w:hAnsi="Times New Roman" w:eastAsia="宋体" w:cs="Times New Roman"/>
                      <w:color w:val="auto"/>
                      <w:sz w:val="20"/>
                      <w:szCs w:val="20"/>
                      <w:highlight w:val="none"/>
                      <w:lang w:val="en-US" w:eastAsia="zh-CN"/>
                    </w:rPr>
                    <w:t>禁采区内</w:t>
                  </w:r>
                  <w:r>
                    <w:rPr>
                      <w:rFonts w:ascii="Times New Roman" w:hAnsi="Times New Roman" w:eastAsia="宋体" w:cs="Times New Roman"/>
                      <w:color w:val="auto"/>
                      <w:sz w:val="20"/>
                      <w:szCs w:val="20"/>
                      <w:highlight w:val="none"/>
                    </w:rPr>
                    <w:t>，</w:t>
                  </w:r>
                  <w:r>
                    <w:rPr>
                      <w:rFonts w:hint="eastAsia" w:ascii="Times New Roman" w:hAnsi="Times New Roman" w:eastAsia="宋体" w:cs="Times New Roman"/>
                      <w:color w:val="auto"/>
                      <w:sz w:val="20"/>
                      <w:szCs w:val="20"/>
                      <w:highlight w:val="none"/>
                      <w:lang w:val="en-US" w:eastAsia="zh-CN"/>
                    </w:rPr>
                    <w:t>除为保障地下工程施工安全和生产安全必须进行临时应急取（排）水、为消除对公共安全或者公共利益的危害临时应急取水，以及为开展地下水监测、勘探、试验少量取水外，禁止取用地下水</w:t>
                  </w:r>
                  <w:r>
                    <w:rPr>
                      <w:rFonts w:ascii="Times New Roman" w:hAnsi="Times New Roman" w:eastAsia="宋体" w:cs="Times New Roman"/>
                      <w:color w:val="auto"/>
                      <w:sz w:val="20"/>
                      <w:szCs w:val="20"/>
                      <w:highlight w:val="none"/>
                    </w:rPr>
                    <w:t>。</w:t>
                  </w:r>
                </w:p>
                <w:p w14:paraId="657F6935">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hint="eastAsia" w:ascii="Times New Roman" w:hAnsi="Times New Roman" w:eastAsia="宋体" w:cs="Times New Roman"/>
                      <w:color w:val="auto"/>
                      <w:sz w:val="20"/>
                      <w:szCs w:val="20"/>
                      <w:highlight w:val="none"/>
                      <w:lang w:val="en-US" w:eastAsia="zh-CN"/>
                    </w:rPr>
                    <w:t>在</w:t>
                  </w:r>
                  <w:r>
                    <w:rPr>
                      <w:rFonts w:ascii="Times New Roman" w:hAnsi="Times New Roman" w:eastAsia="宋体" w:cs="Times New Roman"/>
                      <w:color w:val="auto"/>
                      <w:sz w:val="20"/>
                      <w:szCs w:val="20"/>
                      <w:highlight w:val="none"/>
                    </w:rPr>
                    <w:t>地下水</w:t>
                  </w:r>
                  <w:r>
                    <w:rPr>
                      <w:rFonts w:hint="eastAsia" w:ascii="Times New Roman" w:hAnsi="Times New Roman" w:eastAsia="宋体" w:cs="Times New Roman"/>
                      <w:color w:val="auto"/>
                      <w:sz w:val="20"/>
                      <w:szCs w:val="20"/>
                      <w:highlight w:val="none"/>
                      <w:lang w:val="en-US" w:eastAsia="zh-CN"/>
                    </w:rPr>
                    <w:t>限采区内</w:t>
                  </w:r>
                  <w:r>
                    <w:rPr>
                      <w:rFonts w:ascii="Times New Roman" w:hAnsi="Times New Roman" w:eastAsia="宋体" w:cs="Times New Roman"/>
                      <w:color w:val="auto"/>
                      <w:sz w:val="20"/>
                      <w:szCs w:val="20"/>
                      <w:highlight w:val="none"/>
                    </w:rPr>
                    <w:t>，</w:t>
                  </w:r>
                  <w:r>
                    <w:rPr>
                      <w:rFonts w:hint="eastAsia" w:ascii="Times New Roman" w:hAnsi="Times New Roman" w:eastAsia="宋体" w:cs="Times New Roman"/>
                      <w:color w:val="auto"/>
                      <w:sz w:val="20"/>
                      <w:szCs w:val="20"/>
                      <w:highlight w:val="none"/>
                      <w:lang w:val="en-US" w:eastAsia="zh-CN"/>
                    </w:rPr>
                    <w:t>对当地社会发展和群众生活有重大影响的重点建设项目确需取用地下水的，应按照用1减2的比例以及先减后加的原则，同步削减其他取水单位的地下水开采量，且不得深层、浅层地下水相互替代</w:t>
                  </w:r>
                  <w:r>
                    <w:rPr>
                      <w:rFonts w:ascii="Times New Roman" w:hAnsi="Times New Roman" w:eastAsia="宋体" w:cs="Times New Roman"/>
                      <w:color w:val="auto"/>
                      <w:sz w:val="20"/>
                      <w:szCs w:val="20"/>
                      <w:highlight w:val="none"/>
                    </w:rPr>
                    <w:t>。</w:t>
                  </w:r>
                </w:p>
              </w:tc>
              <w:tc>
                <w:tcPr>
                  <w:tcW w:w="994" w:type="pct"/>
                  <w:tcBorders>
                    <w:top w:val="single" w:color="auto" w:sz="4" w:space="0"/>
                  </w:tcBorders>
                  <w:noWrap w:val="0"/>
                  <w:vAlign w:val="center"/>
                </w:tcPr>
                <w:p w14:paraId="1E9EE9EC">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w:t>
                  </w:r>
                  <w:r>
                    <w:rPr>
                      <w:color w:val="auto"/>
                      <w:sz w:val="20"/>
                      <w:szCs w:val="20"/>
                      <w:highlight w:val="none"/>
                    </w:rPr>
                    <w:t>项目位于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color w:val="auto"/>
                      <w:sz w:val="20"/>
                      <w:szCs w:val="20"/>
                      <w:highlight w:val="none"/>
                    </w:rPr>
                    <w:t>，不涉及地下水开采，用水</w:t>
                  </w:r>
                  <w:r>
                    <w:rPr>
                      <w:rFonts w:hint="eastAsia"/>
                      <w:color w:val="auto"/>
                      <w:sz w:val="20"/>
                      <w:szCs w:val="20"/>
                      <w:highlight w:val="none"/>
                    </w:rPr>
                    <w:t>由</w:t>
                  </w:r>
                  <w:r>
                    <w:rPr>
                      <w:rFonts w:hint="eastAsia"/>
                      <w:color w:val="auto"/>
                      <w:sz w:val="20"/>
                      <w:szCs w:val="20"/>
                      <w:highlight w:val="none"/>
                      <w:lang w:val="en-US" w:eastAsia="zh-CN"/>
                    </w:rPr>
                    <w:t>园区供水</w:t>
                  </w:r>
                  <w:r>
                    <w:rPr>
                      <w:rFonts w:hint="eastAsia"/>
                      <w:color w:val="auto"/>
                      <w:sz w:val="20"/>
                      <w:szCs w:val="20"/>
                      <w:highlight w:val="none"/>
                    </w:rPr>
                    <w:t>管网提供。</w:t>
                  </w:r>
                </w:p>
                <w:p w14:paraId="31CF9B3B">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76BAEF9F">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407" w:type="pct"/>
                  <w:tcBorders>
                    <w:top w:val="single" w:color="auto" w:sz="4" w:space="0"/>
                    <w:bottom w:val="single" w:color="auto" w:sz="4" w:space="0"/>
                    <w:right w:val="single" w:color="auto" w:sz="4" w:space="0"/>
                  </w:tcBorders>
                  <w:noWrap w:val="0"/>
                  <w:vAlign w:val="center"/>
                </w:tcPr>
                <w:p w14:paraId="79689BC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122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332EC06">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noWrap w:val="0"/>
                  <w:vAlign w:val="center"/>
                </w:tcPr>
                <w:p w14:paraId="1D062E04">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bottom w:val="single" w:color="auto" w:sz="4" w:space="0"/>
                  </w:tcBorders>
                  <w:noWrap w:val="0"/>
                  <w:vAlign w:val="center"/>
                </w:tcPr>
                <w:p w14:paraId="6CAA8C8E">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rPr>
                    <w:t>一般管控区</w:t>
                  </w:r>
                </w:p>
              </w:tc>
              <w:tc>
                <w:tcPr>
                  <w:tcW w:w="2311" w:type="pct"/>
                  <w:tcBorders>
                    <w:top w:val="single" w:color="auto" w:sz="4" w:space="0"/>
                    <w:bottom w:val="single" w:color="auto" w:sz="4" w:space="0"/>
                  </w:tcBorders>
                  <w:noWrap w:val="0"/>
                  <w:vAlign w:val="center"/>
                </w:tcPr>
                <w:p w14:paraId="4A01EAE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严格执行</w:t>
                  </w:r>
                  <w:r>
                    <w:rPr>
                      <w:rFonts w:ascii="Times New Roman" w:hAnsi="Times New Roman" w:eastAsia="宋体" w:cs="Times New Roman"/>
                      <w:color w:val="auto"/>
                      <w:sz w:val="20"/>
                      <w:szCs w:val="20"/>
                      <w:highlight w:val="none"/>
                      <w:lang w:val="zh-CN" w:eastAsia="zh-CN"/>
                    </w:rPr>
                    <w:t>“最严</w:t>
                  </w:r>
                  <w:r>
                    <w:rPr>
                      <w:rFonts w:ascii="Times New Roman" w:hAnsi="Times New Roman" w:eastAsia="宋体" w:cs="Times New Roman"/>
                      <w:color w:val="auto"/>
                      <w:sz w:val="20"/>
                      <w:szCs w:val="20"/>
                      <w:highlight w:val="none"/>
                    </w:rPr>
                    <w:t>格水资源管理制度”确定的用水总量控制指标，加强水资源取水论证，严格水资源总量考核管理，同时全面推进节水型社会建设，提高用水效率。</w:t>
                  </w:r>
                </w:p>
                <w:p w14:paraId="0332E15C">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地下水开采重点管控区外的地下水超采区按照《华北地区地下水超采综合治理行动方案》、《河北省人民政府关于公布地下水超采区</w:t>
                  </w:r>
                  <w:r>
                    <w:rPr>
                      <w:rFonts w:hint="eastAsia" w:ascii="Times New Roman" w:hAnsi="Times New Roman" w:eastAsia="宋体" w:cs="Times New Roman"/>
                      <w:color w:val="auto"/>
                      <w:sz w:val="20"/>
                      <w:szCs w:val="20"/>
                      <w:highlight w:val="none"/>
                      <w:lang w:val="en-US" w:eastAsia="zh-CN"/>
                    </w:rPr>
                    <w:t>和</w:t>
                  </w:r>
                  <w:r>
                    <w:rPr>
                      <w:rFonts w:ascii="Times New Roman" w:hAnsi="Times New Roman" w:eastAsia="宋体" w:cs="Times New Roman"/>
                      <w:color w:val="auto"/>
                      <w:sz w:val="20"/>
                      <w:szCs w:val="20"/>
                      <w:highlight w:val="none"/>
                    </w:rPr>
                    <w:t>禁止开采区</w:t>
                  </w:r>
                  <w:r>
                    <w:rPr>
                      <w:rFonts w:hint="eastAsia" w:ascii="Times New Roman" w:hAnsi="Times New Roman" w:eastAsia="宋体" w:cs="Times New Roman"/>
                      <w:color w:val="auto"/>
                      <w:sz w:val="20"/>
                      <w:szCs w:val="20"/>
                      <w:highlight w:val="none"/>
                      <w:lang w:eastAsia="zh-CN"/>
                    </w:rPr>
                    <w:t>、</w:t>
                  </w:r>
                  <w:r>
                    <w:rPr>
                      <w:rFonts w:ascii="Times New Roman" w:hAnsi="Times New Roman" w:eastAsia="宋体" w:cs="Times New Roman"/>
                      <w:color w:val="auto"/>
                      <w:sz w:val="20"/>
                      <w:szCs w:val="20"/>
                      <w:highlight w:val="none"/>
                    </w:rPr>
                    <w:t>限制开采区范围的通知》及《关于地下水超采综合治理实施意见》进行管控。</w:t>
                  </w:r>
                </w:p>
              </w:tc>
              <w:tc>
                <w:tcPr>
                  <w:tcW w:w="994" w:type="pct"/>
                  <w:tcBorders>
                    <w:bottom w:val="single" w:color="auto" w:sz="4" w:space="0"/>
                  </w:tcBorders>
                  <w:noWrap w:val="0"/>
                  <w:vAlign w:val="center"/>
                </w:tcPr>
                <w:p w14:paraId="1B9BEB6A">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1、不涉及。</w:t>
                  </w:r>
                </w:p>
                <w:p w14:paraId="2C7C4F51">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7F74FC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407" w:type="pct"/>
                  <w:tcBorders>
                    <w:top w:val="single" w:color="auto" w:sz="4" w:space="0"/>
                    <w:bottom w:val="single" w:color="auto" w:sz="4" w:space="0"/>
                    <w:right w:val="single" w:color="auto" w:sz="4" w:space="0"/>
                  </w:tcBorders>
                  <w:noWrap w:val="0"/>
                  <w:vAlign w:val="center"/>
                </w:tcPr>
                <w:p w14:paraId="39CCC39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EC5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2" w:hRule="atLeast"/>
                <w:jc w:val="center"/>
              </w:trPr>
              <w:tc>
                <w:tcPr>
                  <w:tcW w:w="468" w:type="pct"/>
                  <w:vMerge w:val="continue"/>
                  <w:noWrap w:val="0"/>
                  <w:vAlign w:val="center"/>
                </w:tcPr>
                <w:p w14:paraId="45D6C56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restart"/>
                  <w:tcBorders>
                    <w:top w:val="single" w:color="auto" w:sz="4" w:space="0"/>
                  </w:tcBorders>
                  <w:noWrap w:val="0"/>
                  <w:vAlign w:val="center"/>
                </w:tcPr>
                <w:p w14:paraId="19E768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能源</w:t>
                  </w:r>
                </w:p>
              </w:tc>
              <w:tc>
                <w:tcPr>
                  <w:tcW w:w="548" w:type="pct"/>
                  <w:gridSpan w:val="2"/>
                  <w:tcBorders>
                    <w:top w:val="single" w:color="auto" w:sz="4" w:space="0"/>
                    <w:bottom w:val="single" w:color="auto" w:sz="4" w:space="0"/>
                  </w:tcBorders>
                  <w:noWrap w:val="0"/>
                  <w:vAlign w:val="center"/>
                </w:tcPr>
                <w:p w14:paraId="7F56D04B">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eastAsia="zh-TW" w:bidi="zh-TW"/>
                    </w:rPr>
                  </w:pPr>
                  <w:r>
                    <w:rPr>
                      <w:color w:val="auto"/>
                      <w:sz w:val="20"/>
                      <w:szCs w:val="20"/>
                      <w:highlight w:val="none"/>
                      <w:lang w:val="zh-TW" w:eastAsia="zh-TW" w:bidi="zh-TW"/>
                    </w:rPr>
                    <w:t>高污染燃料禁燃区</w:t>
                  </w:r>
                </w:p>
              </w:tc>
              <w:tc>
                <w:tcPr>
                  <w:tcW w:w="2311" w:type="pct"/>
                  <w:tcBorders>
                    <w:top w:val="single" w:color="auto" w:sz="4" w:space="0"/>
                    <w:bottom w:val="single" w:color="auto" w:sz="4" w:space="0"/>
                  </w:tcBorders>
                  <w:noWrap w:val="0"/>
                  <w:vAlign w:val="center"/>
                </w:tcPr>
                <w:p w14:paraId="1B046DAC">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禁燃区内不得新建、改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ascii="Times New Roman" w:hAnsi="Times New Roman" w:eastAsia="宋体" w:cs="Times New Roman"/>
                      <w:color w:val="auto"/>
                      <w:sz w:val="20"/>
                      <w:szCs w:val="20"/>
                      <w:highlight w:val="none"/>
                      <w:lang w:eastAsia="zh-CN"/>
                    </w:rPr>
                    <w:t>；</w:t>
                  </w:r>
                  <w:r>
                    <w:rPr>
                      <w:rFonts w:ascii="Times New Roman" w:hAnsi="Times New Roman" w:eastAsia="宋体" w:cs="Times New Roman"/>
                      <w:color w:val="auto"/>
                      <w:sz w:val="20"/>
                      <w:szCs w:val="20"/>
                      <w:highlight w:val="none"/>
                    </w:rPr>
                    <w:t>仍未达到大气污染物排放标准的，应当停止使用。</w:t>
                  </w:r>
                </w:p>
                <w:p w14:paraId="316AA932">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禁燃区内禁止</w:t>
                  </w:r>
                  <w:r>
                    <w:rPr>
                      <w:rFonts w:hint="eastAsia" w:ascii="Times New Roman" w:hAnsi="Times New Roman" w:eastAsia="宋体" w:cs="Times New Roman"/>
                      <w:color w:val="auto"/>
                      <w:sz w:val="20"/>
                      <w:szCs w:val="20"/>
                      <w:highlight w:val="none"/>
                      <w:lang w:val="en-US" w:eastAsia="zh-CN"/>
                    </w:rPr>
                    <w:t>销售、使用高污染燃料</w:t>
                  </w:r>
                  <w:r>
                    <w:rPr>
                      <w:rFonts w:ascii="Times New Roman" w:hAnsi="Times New Roman" w:eastAsia="宋体" w:cs="Times New Roman"/>
                      <w:color w:val="auto"/>
                      <w:sz w:val="20"/>
                      <w:szCs w:val="20"/>
                      <w:highlight w:val="none"/>
                    </w:rPr>
                    <w:t>。</w:t>
                  </w:r>
                </w:p>
                <w:p w14:paraId="3919C626">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3、</w:t>
                  </w:r>
                  <w:r>
                    <w:rPr>
                      <w:rFonts w:hint="eastAsia" w:ascii="Times New Roman" w:hAnsi="Times New Roman" w:eastAsia="宋体" w:cs="Times New Roman"/>
                      <w:color w:val="auto"/>
                      <w:sz w:val="20"/>
                      <w:szCs w:val="20"/>
                      <w:highlight w:val="none"/>
                      <w:lang w:val="en-US" w:eastAsia="zh-CN"/>
                    </w:rPr>
                    <w:t>禁燃区内禁止原煤散烧</w:t>
                  </w:r>
                  <w:r>
                    <w:rPr>
                      <w:rFonts w:ascii="Times New Roman" w:hAnsi="Times New Roman" w:eastAsia="宋体" w:cs="Times New Roman"/>
                      <w:color w:val="auto"/>
                      <w:sz w:val="20"/>
                      <w:szCs w:val="20"/>
                      <w:highlight w:val="none"/>
                    </w:rPr>
                    <w:t>。</w:t>
                  </w:r>
                </w:p>
                <w:p w14:paraId="4CAB8816">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sz w:val="20"/>
                      <w:szCs w:val="20"/>
                      <w:highlight w:val="none"/>
                      <w:lang w:val="en-US" w:eastAsia="zh-CN"/>
                    </w:rPr>
                    <w:t>4、其他平原县和山区县执行县级政府确定的禁燃区范围和管理要求。</w:t>
                  </w:r>
                </w:p>
              </w:tc>
              <w:tc>
                <w:tcPr>
                  <w:tcW w:w="994" w:type="pct"/>
                  <w:tcBorders>
                    <w:top w:val="single" w:color="auto" w:sz="4" w:space="0"/>
                    <w:bottom w:val="single" w:color="auto" w:sz="4" w:space="0"/>
                  </w:tcBorders>
                  <w:noWrap w:val="0"/>
                  <w:vAlign w:val="center"/>
                </w:tcPr>
                <w:p w14:paraId="547F3E3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val="zh-TW" w:bidi="zh-TW"/>
                    </w:rPr>
                  </w:pPr>
                  <w:r>
                    <w:rPr>
                      <w:rFonts w:hint="eastAsia"/>
                      <w:color w:val="auto"/>
                      <w:sz w:val="20"/>
                      <w:szCs w:val="20"/>
                      <w:highlight w:val="none"/>
                    </w:rPr>
                    <w:t>1、</w:t>
                  </w:r>
                  <w:r>
                    <w:rPr>
                      <w:rFonts w:hint="eastAsia" w:ascii="Times New Roman" w:hAnsi="Times New Roman" w:eastAsia="宋体" w:cs="Times New Roman"/>
                      <w:color w:val="auto"/>
                      <w:sz w:val="20"/>
                      <w:szCs w:val="20"/>
                      <w:highlight w:val="none"/>
                    </w:rPr>
                    <w:t>项目</w:t>
                  </w:r>
                  <w:r>
                    <w:rPr>
                      <w:rFonts w:hint="eastAsia" w:ascii="Times New Roman" w:hAnsi="Times New Roman" w:eastAsia="宋体" w:cs="Times New Roman"/>
                      <w:color w:val="auto"/>
                      <w:sz w:val="20"/>
                      <w:szCs w:val="20"/>
                      <w:highlight w:val="none"/>
                      <w:lang w:val="en-US" w:eastAsia="zh-CN"/>
                    </w:rPr>
                    <w:t>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rFonts w:hint="eastAsia" w:ascii="Times New Roman" w:hAnsi="Times New Roman" w:eastAsia="宋体" w:cs="Times New Roman"/>
                      <w:color w:val="auto"/>
                      <w:sz w:val="20"/>
                      <w:szCs w:val="20"/>
                      <w:highlight w:val="none"/>
                    </w:rPr>
                    <w:t>，生</w:t>
                  </w:r>
                  <w:r>
                    <w:rPr>
                      <w:rFonts w:hint="eastAsia"/>
                      <w:color w:val="auto"/>
                      <w:sz w:val="20"/>
                      <w:szCs w:val="20"/>
                      <w:highlight w:val="none"/>
                    </w:rPr>
                    <w:t>产用热采用电能</w:t>
                  </w:r>
                  <w:r>
                    <w:rPr>
                      <w:rFonts w:hint="eastAsia"/>
                      <w:color w:val="auto"/>
                      <w:sz w:val="20"/>
                      <w:szCs w:val="20"/>
                      <w:highlight w:val="none"/>
                      <w:lang w:val="zh-TW" w:bidi="zh-TW"/>
                    </w:rPr>
                    <w:t>。</w:t>
                  </w:r>
                </w:p>
                <w:p w14:paraId="3919386A">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bidi="zh-TW"/>
                    </w:rPr>
                    <w:t>2</w:t>
                  </w:r>
                  <w:r>
                    <w:rPr>
                      <w:rFonts w:hint="eastAsia"/>
                      <w:color w:val="auto"/>
                      <w:sz w:val="20"/>
                      <w:szCs w:val="20"/>
                      <w:highlight w:val="none"/>
                      <w:lang w:eastAsia="zh-TW"/>
                    </w:rPr>
                    <w:t>、不涉及。</w:t>
                  </w:r>
                </w:p>
                <w:p w14:paraId="507AA05B">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rPr>
                    <w:t>3、不涉及。</w:t>
                  </w:r>
                </w:p>
                <w:p w14:paraId="5FBE014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rPr>
                    <w:t>4、不涉及。</w:t>
                  </w:r>
                </w:p>
              </w:tc>
              <w:tc>
                <w:tcPr>
                  <w:tcW w:w="407" w:type="pct"/>
                  <w:tcBorders>
                    <w:top w:val="single" w:color="auto" w:sz="4" w:space="0"/>
                    <w:bottom w:val="single" w:color="auto" w:sz="4" w:space="0"/>
                    <w:right w:val="single" w:color="auto" w:sz="4" w:space="0"/>
                  </w:tcBorders>
                  <w:noWrap w:val="0"/>
                  <w:vAlign w:val="center"/>
                </w:tcPr>
                <w:p w14:paraId="790C89F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22CE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4D29803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3F6C0338">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bottom w:val="single" w:color="auto" w:sz="4" w:space="0"/>
                  </w:tcBorders>
                  <w:noWrap w:val="0"/>
                  <w:vAlign w:val="center"/>
                </w:tcPr>
                <w:p w14:paraId="112DBFE6">
                  <w:pPr>
                    <w:pStyle w:val="108"/>
                    <w:keepNext w:val="0"/>
                    <w:keepLines w:val="0"/>
                    <w:pageBreakBefore w:val="0"/>
                    <w:tabs>
                      <w:tab w:val="left" w:pos="202"/>
                    </w:tabs>
                    <w:kinsoku/>
                    <w:wordWrap/>
                    <w:overflowPunct/>
                    <w:topLinePunct w:val="0"/>
                    <w:bidi w:val="0"/>
                    <w:snapToGrid/>
                    <w:spacing w:after="0" w:line="0" w:lineRule="atLeast"/>
                    <w:ind w:left="0" w:leftChars="0" w:firstLine="0" w:firstLineChars="0"/>
                    <w:jc w:val="both"/>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rPr>
                    <w:t>一般管控区</w:t>
                  </w:r>
                </w:p>
              </w:tc>
              <w:tc>
                <w:tcPr>
                  <w:tcW w:w="2311" w:type="pct"/>
                  <w:tcBorders>
                    <w:top w:val="single" w:color="auto" w:sz="4" w:space="0"/>
                    <w:bottom w:val="single" w:color="auto" w:sz="4" w:space="0"/>
                  </w:tcBorders>
                  <w:noWrap w:val="0"/>
                  <w:vAlign w:val="center"/>
                </w:tcPr>
                <w:p w14:paraId="0AB21696">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强化能源消费约束，严格实施能源消费总量和强度“双控”。从工艺技术、主要用能设备、节能措施等方面切实加强项目单耗先进性审查，新建高能耗项目单位产品(产值)能耗达到国际先进水平，用能设备达到国家一级能效标准。</w:t>
                  </w:r>
                </w:p>
                <w:p w14:paraId="47602E1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以工业、建筑和交通运输领域为重点，深入推进技术节能和管理节能。推进农业和农村节能，强化商用和民用节能，实施公共机构节能。完善节能措施引导，完善峰谷电价、阶梯气价等价格政策等。</w:t>
                  </w:r>
                </w:p>
                <w:p w14:paraId="673D4B57">
                  <w:pPr>
                    <w:pStyle w:val="108"/>
                    <w:keepNext w:val="0"/>
                    <w:keepLines w:val="0"/>
                    <w:pageBreakBefore w:val="0"/>
                    <w:tabs>
                      <w:tab w:val="left" w:pos="202"/>
                    </w:tabs>
                    <w:kinsoku/>
                    <w:wordWrap/>
                    <w:overflowPunct/>
                    <w:topLinePunct w:val="0"/>
                    <w:bidi w:val="0"/>
                    <w:snapToGrid/>
                    <w:spacing w:after="0" w:line="0" w:lineRule="atLeast"/>
                    <w:rPr>
                      <w:rFonts w:hint="eastAsia" w:ascii="Times New Roman" w:hAnsi="Times New Roman" w:eastAsia="宋体" w:cs="Times New Roman"/>
                      <w:color w:val="auto"/>
                      <w:sz w:val="20"/>
                      <w:szCs w:val="20"/>
                      <w:highlight w:val="none"/>
                      <w:lang w:eastAsia="zh-CN"/>
                    </w:rPr>
                  </w:pPr>
                  <w:r>
                    <w:rPr>
                      <w:rFonts w:ascii="Times New Roman" w:hAnsi="Times New Roman" w:eastAsia="宋体" w:cs="Times New Roman"/>
                      <w:color w:val="auto"/>
                      <w:sz w:val="20"/>
                      <w:szCs w:val="20"/>
                      <w:highlight w:val="none"/>
                      <w:lang w:val="en-US" w:eastAsia="zh-CN"/>
                    </w:rPr>
                    <w:t>3、</w:t>
                  </w:r>
                  <w:r>
                    <w:rPr>
                      <w:rFonts w:ascii="Times New Roman" w:hAnsi="Times New Roman" w:eastAsia="宋体" w:cs="Times New Roman"/>
                      <w:color w:val="auto"/>
                      <w:sz w:val="20"/>
                      <w:szCs w:val="20"/>
                      <w:highlight w:val="none"/>
                    </w:rPr>
                    <w:t>控制煤炭消费总量，加快产业结构向高新高端产业转变，推进钢铁、水泥等重点行业去产能。大力实施散煤替代</w:t>
                  </w:r>
                  <w:r>
                    <w:rPr>
                      <w:rFonts w:hint="eastAsia" w:ascii="Times New Roman" w:hAnsi="Times New Roman" w:eastAsia="宋体" w:cs="Times New Roman"/>
                      <w:color w:val="auto"/>
                      <w:sz w:val="20"/>
                      <w:szCs w:val="20"/>
                      <w:highlight w:val="none"/>
                      <w:lang w:eastAsia="zh-CN"/>
                    </w:rPr>
                    <w:t>。</w:t>
                  </w:r>
                </w:p>
                <w:p w14:paraId="39F267A4">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4、</w:t>
                  </w:r>
                  <w:r>
                    <w:rPr>
                      <w:rFonts w:ascii="Times New Roman" w:hAnsi="Times New Roman" w:eastAsia="宋体" w:cs="Times New Roman"/>
                      <w:color w:val="auto"/>
                      <w:sz w:val="20"/>
                      <w:szCs w:val="20"/>
                      <w:highlight w:val="none"/>
                    </w:rPr>
                    <w:t>深入推进煤炭清洁高效利用，扩大清洁能源利用。加强煤炭质量监管，严格落实省、市燃煤质量标准，全市禁止生产、销售灰分劣质煤。严厉打击销售使用劣质煤行为。燃煤发电企业使用的煤炭要符合河北省《工业和民用燃料煤》标准。</w:t>
                  </w:r>
                </w:p>
              </w:tc>
              <w:tc>
                <w:tcPr>
                  <w:tcW w:w="994" w:type="pct"/>
                  <w:tcBorders>
                    <w:top w:val="single" w:color="auto" w:sz="4" w:space="0"/>
                    <w:bottom w:val="single" w:color="auto" w:sz="4" w:space="0"/>
                  </w:tcBorders>
                  <w:noWrap w:val="0"/>
                  <w:vAlign w:val="center"/>
                </w:tcPr>
                <w:p w14:paraId="7D78FD9C">
                  <w:pPr>
                    <w:keepNext w:val="0"/>
                    <w:keepLines w:val="0"/>
                    <w:pageBreakBefore w:val="0"/>
                    <w:widowControl/>
                    <w:kinsoku/>
                    <w:wordWrap/>
                    <w:overflowPunct/>
                    <w:topLinePunct w:val="0"/>
                    <w:bidi w:val="0"/>
                    <w:snapToGrid/>
                    <w:spacing w:line="0" w:lineRule="atLeast"/>
                    <w:jc w:val="center"/>
                    <w:rPr>
                      <w:rFonts w:hint="eastAsia"/>
                      <w:color w:val="auto"/>
                      <w:spacing w:val="2"/>
                      <w:kern w:val="0"/>
                      <w:sz w:val="20"/>
                      <w:szCs w:val="20"/>
                      <w:highlight w:val="none"/>
                    </w:rPr>
                  </w:pPr>
                  <w:r>
                    <w:rPr>
                      <w:rFonts w:hint="eastAsia"/>
                      <w:color w:val="auto"/>
                      <w:sz w:val="20"/>
                      <w:szCs w:val="20"/>
                      <w:highlight w:val="none"/>
                    </w:rPr>
                    <w:t>1、</w:t>
                  </w:r>
                  <w:r>
                    <w:rPr>
                      <w:color w:val="auto"/>
                      <w:sz w:val="20"/>
                      <w:szCs w:val="20"/>
                      <w:highlight w:val="none"/>
                    </w:rPr>
                    <w:t>项目</w:t>
                  </w:r>
                  <w:r>
                    <w:rPr>
                      <w:rFonts w:hint="eastAsia"/>
                      <w:color w:val="auto"/>
                      <w:spacing w:val="2"/>
                      <w:kern w:val="0"/>
                      <w:sz w:val="20"/>
                      <w:szCs w:val="20"/>
                      <w:highlight w:val="none"/>
                    </w:rPr>
                    <w:t>用电由</w:t>
                  </w:r>
                  <w:r>
                    <w:rPr>
                      <w:rFonts w:hint="eastAsia"/>
                      <w:color w:val="auto"/>
                      <w:spacing w:val="2"/>
                      <w:kern w:val="0"/>
                      <w:sz w:val="20"/>
                      <w:szCs w:val="20"/>
                      <w:highlight w:val="none"/>
                      <w:lang w:val="en-US" w:eastAsia="zh-CN"/>
                    </w:rPr>
                    <w:t>园区供电电网</w:t>
                  </w:r>
                  <w:r>
                    <w:rPr>
                      <w:rFonts w:hint="eastAsia"/>
                      <w:color w:val="auto"/>
                      <w:spacing w:val="2"/>
                      <w:kern w:val="0"/>
                      <w:sz w:val="20"/>
                      <w:szCs w:val="20"/>
                      <w:highlight w:val="none"/>
                    </w:rPr>
                    <w:t>统一供给，</w:t>
                  </w:r>
                  <w:r>
                    <w:rPr>
                      <w:rFonts w:hint="eastAsia"/>
                      <w:color w:val="auto"/>
                      <w:sz w:val="20"/>
                      <w:szCs w:val="20"/>
                      <w:highlight w:val="none"/>
                    </w:rPr>
                    <w:t>生产用热采用电能</w:t>
                  </w:r>
                  <w:r>
                    <w:rPr>
                      <w:rFonts w:hint="eastAsia"/>
                      <w:color w:val="auto"/>
                      <w:spacing w:val="2"/>
                      <w:kern w:val="0"/>
                      <w:sz w:val="20"/>
                      <w:szCs w:val="20"/>
                      <w:highlight w:val="none"/>
                    </w:rPr>
                    <w:t>，不属于</w:t>
                  </w:r>
                  <w:r>
                    <w:rPr>
                      <w:color w:val="auto"/>
                      <w:sz w:val="20"/>
                      <w:szCs w:val="20"/>
                      <w:highlight w:val="none"/>
                    </w:rPr>
                    <w:t>高能耗项目</w:t>
                  </w:r>
                  <w:r>
                    <w:rPr>
                      <w:rFonts w:hint="eastAsia"/>
                      <w:color w:val="auto"/>
                      <w:spacing w:val="2"/>
                      <w:kern w:val="0"/>
                      <w:sz w:val="20"/>
                      <w:szCs w:val="20"/>
                      <w:highlight w:val="none"/>
                    </w:rPr>
                    <w:t>。</w:t>
                  </w:r>
                </w:p>
                <w:p w14:paraId="20A29594">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lang w:bidi="zh-TW"/>
                    </w:rPr>
                    <w:t>2</w:t>
                  </w:r>
                  <w:r>
                    <w:rPr>
                      <w:rFonts w:hint="eastAsia"/>
                      <w:color w:val="auto"/>
                      <w:sz w:val="20"/>
                      <w:szCs w:val="20"/>
                      <w:highlight w:val="none"/>
                    </w:rPr>
                    <w:t>、不涉及。</w:t>
                  </w:r>
                </w:p>
                <w:p w14:paraId="4A11F248">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3、不涉及。</w:t>
                  </w:r>
                </w:p>
                <w:p w14:paraId="7DDC335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4、不涉及。</w:t>
                  </w:r>
                </w:p>
              </w:tc>
              <w:tc>
                <w:tcPr>
                  <w:tcW w:w="407" w:type="pct"/>
                  <w:tcBorders>
                    <w:top w:val="single" w:color="auto" w:sz="4" w:space="0"/>
                    <w:bottom w:val="single" w:color="auto" w:sz="4" w:space="0"/>
                    <w:right w:val="single" w:color="auto" w:sz="4" w:space="0"/>
                  </w:tcBorders>
                  <w:noWrap w:val="0"/>
                  <w:vAlign w:val="center"/>
                </w:tcPr>
                <w:p w14:paraId="50274A68">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539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08C7119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5764BC1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分类</w:t>
                  </w:r>
                </w:p>
              </w:tc>
              <w:tc>
                <w:tcPr>
                  <w:tcW w:w="2311" w:type="pct"/>
                  <w:tcBorders>
                    <w:top w:val="single" w:color="auto" w:sz="4" w:space="0"/>
                    <w:bottom w:val="single" w:color="auto" w:sz="4" w:space="0"/>
                  </w:tcBorders>
                  <w:noWrap w:val="0"/>
                  <w:vAlign w:val="center"/>
                </w:tcPr>
                <w:p w14:paraId="2B51850F">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管控要求</w:t>
                  </w:r>
                </w:p>
              </w:tc>
              <w:tc>
                <w:tcPr>
                  <w:tcW w:w="994" w:type="pct"/>
                  <w:tcBorders>
                    <w:top w:val="single" w:color="auto" w:sz="4" w:space="0"/>
                    <w:bottom w:val="single" w:color="auto" w:sz="4" w:space="0"/>
                  </w:tcBorders>
                  <w:noWrap w:val="0"/>
                  <w:vAlign w:val="center"/>
                </w:tcPr>
                <w:p w14:paraId="25FDF51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3DCD85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7542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0EE4DA90">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全市产业布局总体管控要求</w:t>
                  </w:r>
                </w:p>
              </w:tc>
              <w:tc>
                <w:tcPr>
                  <w:tcW w:w="816" w:type="pct"/>
                  <w:gridSpan w:val="3"/>
                  <w:vMerge w:val="restart"/>
                  <w:tcBorders>
                    <w:top w:val="single" w:color="auto" w:sz="4" w:space="0"/>
                  </w:tcBorders>
                  <w:noWrap w:val="0"/>
                  <w:vAlign w:val="center"/>
                </w:tcPr>
                <w:p w14:paraId="72D3B415">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产业总体布局要求</w:t>
                  </w:r>
                </w:p>
              </w:tc>
              <w:tc>
                <w:tcPr>
                  <w:tcW w:w="2311" w:type="pct"/>
                  <w:tcBorders>
                    <w:top w:val="single" w:color="auto" w:sz="4" w:space="0"/>
                  </w:tcBorders>
                  <w:noWrap w:val="0"/>
                  <w:vAlign w:val="center"/>
                </w:tcPr>
                <w:p w14:paraId="5A700F67">
                  <w:pPr>
                    <w:pStyle w:val="108"/>
                    <w:keepNext w:val="0"/>
                    <w:keepLines w:val="0"/>
                    <w:pageBreakBefore w:val="0"/>
                    <w:tabs>
                      <w:tab w:val="left" w:pos="360"/>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1、严格建设项目环境准入，新、改、扩建项目的环境影响评价应满足区域、规划环评要求</w:t>
                  </w:r>
                  <w:r>
                    <w:rPr>
                      <w:rFonts w:hint="eastAsia" w:ascii="Times New Roman" w:hAnsi="Times New Roman" w:eastAsia="宋体" w:cs="Times New Roman"/>
                      <w:color w:val="auto"/>
                      <w:sz w:val="20"/>
                      <w:szCs w:val="20"/>
                      <w:highlight w:val="none"/>
                      <w:lang w:val="en-US" w:eastAsia="zh-CN"/>
                    </w:rPr>
                    <w:t>。</w:t>
                  </w:r>
                </w:p>
              </w:tc>
              <w:tc>
                <w:tcPr>
                  <w:tcW w:w="994" w:type="pct"/>
                  <w:tcBorders>
                    <w:top w:val="single" w:color="auto" w:sz="4" w:space="0"/>
                    <w:bottom w:val="single" w:color="auto" w:sz="4" w:space="0"/>
                  </w:tcBorders>
                  <w:noWrap w:val="0"/>
                  <w:vAlign w:val="center"/>
                </w:tcPr>
                <w:p w14:paraId="116918C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ascii="Times New Roman" w:hAnsi="Times New Roman" w:eastAsia="宋体" w:cs="Times New Roman"/>
                      <w:color w:val="auto"/>
                      <w:kern w:val="0"/>
                      <w:sz w:val="20"/>
                      <w:szCs w:val="20"/>
                      <w:highlight w:val="none"/>
                    </w:rPr>
                    <w:t>项目位于</w:t>
                  </w:r>
                  <w:r>
                    <w:rPr>
                      <w:rFonts w:hint="default" w:ascii="Times New Roman" w:hAnsi="Times New Roman" w:eastAsia="宋体" w:cs="Times New Roman"/>
                      <w:color w:val="auto"/>
                      <w:kern w:val="0"/>
                      <w:sz w:val="20"/>
                      <w:szCs w:val="20"/>
                      <w:highlight w:val="none"/>
                    </w:rPr>
                    <w:t>石家庄市</w:t>
                  </w:r>
                  <w:r>
                    <w:rPr>
                      <w:rFonts w:hint="eastAsia" w:ascii="Times New Roman" w:hAnsi="Times New Roman" w:eastAsia="宋体" w:cs="Times New Roman"/>
                      <w:color w:val="auto"/>
                      <w:kern w:val="0"/>
                      <w:sz w:val="20"/>
                      <w:szCs w:val="20"/>
                      <w:highlight w:val="none"/>
                      <w:lang w:val="en-US" w:eastAsia="zh-CN"/>
                    </w:rPr>
                    <w:t>井陉矿区</w:t>
                  </w:r>
                  <w:r>
                    <w:rPr>
                      <w:rFonts w:hint="default" w:ascii="Times New Roman" w:hAnsi="Times New Roman" w:eastAsia="宋体" w:cs="Times New Roman"/>
                      <w:color w:val="auto"/>
                      <w:kern w:val="0"/>
                      <w:sz w:val="20"/>
                      <w:szCs w:val="20"/>
                      <w:highlight w:val="none"/>
                    </w:rPr>
                    <w:t>河北鸿科碳素有限公司</w:t>
                  </w:r>
                  <w:r>
                    <w:rPr>
                      <w:rFonts w:hint="eastAsia" w:ascii="Times New Roman" w:hAnsi="Times New Roman" w:eastAsia="宋体" w:cs="Times New Roman"/>
                      <w:color w:val="auto"/>
                      <w:kern w:val="0"/>
                      <w:sz w:val="20"/>
                      <w:szCs w:val="20"/>
                      <w:highlight w:val="none"/>
                      <w:lang w:val="en-US" w:eastAsia="zh-CN"/>
                    </w:rPr>
                    <w:t>内</w:t>
                  </w:r>
                  <w:r>
                    <w:rPr>
                      <w:rFonts w:hint="eastAsia" w:ascii="Times New Roman" w:hAnsi="Times New Roman" w:eastAsia="宋体" w:cs="Times New Roman"/>
                      <w:color w:val="auto"/>
                      <w:kern w:val="0"/>
                      <w:sz w:val="20"/>
                      <w:szCs w:val="20"/>
                      <w:highlight w:val="none"/>
                    </w:rPr>
                    <w:t>，本项目在现有厂区进</w:t>
                  </w:r>
                  <w:r>
                    <w:rPr>
                      <w:rFonts w:hint="eastAsia"/>
                      <w:color w:val="auto"/>
                      <w:kern w:val="0"/>
                      <w:sz w:val="20"/>
                      <w:szCs w:val="20"/>
                      <w:highlight w:val="none"/>
                    </w:rPr>
                    <w:t>行技改，不新增占地，</w:t>
                  </w:r>
                  <w:r>
                    <w:rPr>
                      <w:rFonts w:hint="eastAsia"/>
                      <w:color w:val="auto"/>
                      <w:sz w:val="20"/>
                      <w:szCs w:val="20"/>
                      <w:highlight w:val="none"/>
                    </w:rPr>
                    <w:t>符合总体规划</w:t>
                  </w:r>
                  <w:r>
                    <w:rPr>
                      <w:rFonts w:hint="eastAsia"/>
                      <w:color w:val="auto"/>
                      <w:kern w:val="0"/>
                      <w:sz w:val="20"/>
                      <w:szCs w:val="20"/>
                      <w:highlight w:val="none"/>
                    </w:rPr>
                    <w:t>。</w:t>
                  </w:r>
                </w:p>
              </w:tc>
              <w:tc>
                <w:tcPr>
                  <w:tcW w:w="407" w:type="pct"/>
                  <w:tcBorders>
                    <w:top w:val="single" w:color="auto" w:sz="4" w:space="0"/>
                    <w:right w:val="single" w:color="auto" w:sz="4" w:space="0"/>
                  </w:tcBorders>
                  <w:noWrap w:val="0"/>
                  <w:vAlign w:val="center"/>
                </w:tcPr>
                <w:p w14:paraId="5B5D815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429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68" w:type="pct"/>
                  <w:vMerge w:val="continue"/>
                  <w:noWrap w:val="0"/>
                  <w:vAlign w:val="center"/>
                </w:tcPr>
                <w:p w14:paraId="7D0176D2">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93F0FF2">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A4DD127">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color w:val="auto"/>
                      <w:sz w:val="20"/>
                      <w:szCs w:val="20"/>
                      <w:highlight w:val="none"/>
                      <w:lang w:bidi="zh-TW"/>
                    </w:rPr>
                    <w:t>2、新建、改建、扩建用煤项目，应当实行煤炭的等量或者减量替代</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2F41F2A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531BA3D8">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395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AA6EDB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1CDC7A47">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2D5D29A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3、严格执行国家《产业结构调整指导目录》、《市场准入负面清单》以及《河北省禁止投资的产业目录》中准入要求</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C60F7F2">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项目不属于《</w:t>
                  </w:r>
                  <w:bookmarkStart w:id="3" w:name="OLE_LINK3"/>
                  <w:r>
                    <w:rPr>
                      <w:rFonts w:hint="eastAsia"/>
                      <w:color w:val="auto"/>
                      <w:kern w:val="0"/>
                      <w:sz w:val="20"/>
                      <w:szCs w:val="20"/>
                      <w:highlight w:val="none"/>
                      <w:lang w:bidi="ar"/>
                    </w:rPr>
                    <w:t>产业结构调整指导目录</w:t>
                  </w:r>
                  <w:bookmarkEnd w:id="3"/>
                  <w:r>
                    <w:rPr>
                      <w:rFonts w:hint="eastAsia"/>
                      <w:color w:val="auto"/>
                      <w:kern w:val="0"/>
                      <w:sz w:val="20"/>
                      <w:szCs w:val="20"/>
                      <w:highlight w:val="none"/>
                      <w:lang w:bidi="ar"/>
                    </w:rPr>
                    <w:t>（2024年）》中鼓励类、限制类、淘汰类，为允许建设项目；符合《市场准入负面清单（2025年版）》中相关要求，不属于</w:t>
                  </w:r>
                  <w:r>
                    <w:rPr>
                      <w:color w:val="auto"/>
                      <w:sz w:val="20"/>
                      <w:szCs w:val="20"/>
                      <w:highlight w:val="none"/>
                      <w:lang w:bidi="zh-TW"/>
                    </w:rPr>
                    <w:t>《河北省禁止投资的产业目录》</w:t>
                  </w:r>
                  <w:r>
                    <w:rPr>
                      <w:rFonts w:hint="eastAsia"/>
                      <w:color w:val="FF0000"/>
                      <w:sz w:val="20"/>
                      <w:szCs w:val="20"/>
                      <w:highlight w:val="none"/>
                      <w:lang w:val="en-US" w:eastAsia="zh-CN" w:bidi="zh-TW"/>
                    </w:rPr>
                    <w:t>相关</w:t>
                  </w:r>
                  <w:r>
                    <w:rPr>
                      <w:color w:val="FF0000"/>
                      <w:sz w:val="20"/>
                      <w:szCs w:val="20"/>
                      <w:highlight w:val="none"/>
                    </w:rPr>
                    <w:t>项目</w:t>
                  </w:r>
                  <w:r>
                    <w:rPr>
                      <w:rFonts w:hint="eastAsia"/>
                      <w:color w:val="FF0000"/>
                      <w:sz w:val="20"/>
                      <w:szCs w:val="20"/>
                      <w:highlight w:val="none"/>
                      <w:lang w:eastAsia="zh-CN" w:bidi="zh-TW"/>
                    </w:rPr>
                    <w:t>，</w:t>
                  </w:r>
                  <w:r>
                    <w:rPr>
                      <w:rFonts w:hint="eastAsia"/>
                      <w:color w:val="FF0000"/>
                      <w:kern w:val="0"/>
                      <w:sz w:val="20"/>
                      <w:szCs w:val="20"/>
                      <w:highlight w:val="none"/>
                      <w:lang w:bidi="ar"/>
                    </w:rPr>
                    <w:t>不属于</w:t>
                  </w:r>
                  <w:r>
                    <w:rPr>
                      <w:color w:val="FF0000"/>
                      <w:sz w:val="20"/>
                      <w:szCs w:val="20"/>
                      <w:highlight w:val="none"/>
                    </w:rPr>
                    <w:t>禁止准入类建设项目</w:t>
                  </w:r>
                  <w:r>
                    <w:rPr>
                      <w:rFonts w:hint="eastAsia"/>
                      <w:color w:val="FF0000"/>
                      <w:kern w:val="0"/>
                      <w:sz w:val="20"/>
                      <w:szCs w:val="20"/>
                      <w:highlight w:val="none"/>
                      <w:lang w:bidi="ar"/>
                    </w:rPr>
                    <w:t>。</w:t>
                  </w:r>
                </w:p>
              </w:tc>
              <w:tc>
                <w:tcPr>
                  <w:tcW w:w="407" w:type="pct"/>
                  <w:tcBorders>
                    <w:right w:val="single" w:color="auto" w:sz="4" w:space="0"/>
                  </w:tcBorders>
                  <w:noWrap w:val="0"/>
                  <w:vAlign w:val="center"/>
                </w:tcPr>
                <w:p w14:paraId="796AD86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89A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76E5CE0">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D40AEA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1604CF0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4、严格控制《环境保护综合名录》中“高污染、高</w:t>
                  </w:r>
                  <w:r>
                    <w:rPr>
                      <w:rFonts w:hint="eastAsia"/>
                      <w:color w:val="auto"/>
                      <w:sz w:val="20"/>
                      <w:szCs w:val="20"/>
                      <w:highlight w:val="none"/>
                      <w:lang w:bidi="zh-TW"/>
                    </w:rPr>
                    <w:t>环境</w:t>
                  </w:r>
                  <w:r>
                    <w:rPr>
                      <w:color w:val="auto"/>
                      <w:sz w:val="20"/>
                      <w:szCs w:val="20"/>
                      <w:highlight w:val="none"/>
                      <w:lang w:bidi="zh-TW"/>
                    </w:rPr>
                    <w:t>风险”产品加工项目，城市工业企业退城搬迁改造及产能置换项目除外</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580B88E">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本项目不属于</w:t>
                  </w:r>
                  <w:r>
                    <w:rPr>
                      <w:color w:val="auto"/>
                      <w:sz w:val="20"/>
                      <w:szCs w:val="20"/>
                      <w:highlight w:val="none"/>
                      <w:lang w:bidi="zh-TW"/>
                    </w:rPr>
                    <w:t>《环境保护综合名录》中</w:t>
                  </w:r>
                  <w:r>
                    <w:rPr>
                      <w:rFonts w:hint="eastAsia"/>
                      <w:color w:val="auto"/>
                      <w:sz w:val="20"/>
                      <w:szCs w:val="20"/>
                      <w:highlight w:val="none"/>
                      <w:lang w:bidi="zh-TW"/>
                    </w:rPr>
                    <w:t>“</w:t>
                  </w:r>
                  <w:r>
                    <w:rPr>
                      <w:color w:val="auto"/>
                      <w:sz w:val="20"/>
                      <w:szCs w:val="20"/>
                      <w:highlight w:val="none"/>
                      <w:lang w:bidi="zh-TW"/>
                    </w:rPr>
                    <w:t>高污染、高风险</w:t>
                  </w:r>
                  <w:r>
                    <w:rPr>
                      <w:rFonts w:hint="eastAsia"/>
                      <w:color w:val="auto"/>
                      <w:sz w:val="20"/>
                      <w:szCs w:val="20"/>
                      <w:highlight w:val="none"/>
                      <w:lang w:bidi="zh-TW"/>
                    </w:rPr>
                    <w:t>”</w:t>
                  </w:r>
                  <w:r>
                    <w:rPr>
                      <w:color w:val="auto"/>
                      <w:sz w:val="20"/>
                      <w:szCs w:val="20"/>
                      <w:highlight w:val="none"/>
                      <w:lang w:bidi="zh-TW"/>
                    </w:rPr>
                    <w:t>产品加工项目</w:t>
                  </w:r>
                  <w:r>
                    <w:rPr>
                      <w:rFonts w:hint="eastAsia"/>
                      <w:color w:val="auto"/>
                      <w:sz w:val="20"/>
                      <w:szCs w:val="20"/>
                      <w:highlight w:val="none"/>
                      <w:lang w:bidi="zh-TW"/>
                    </w:rPr>
                    <w:t>。</w:t>
                  </w:r>
                </w:p>
              </w:tc>
              <w:tc>
                <w:tcPr>
                  <w:tcW w:w="407" w:type="pct"/>
                  <w:tcBorders>
                    <w:right w:val="single" w:color="auto" w:sz="4" w:space="0"/>
                  </w:tcBorders>
                  <w:noWrap w:val="0"/>
                  <w:vAlign w:val="center"/>
                </w:tcPr>
                <w:p w14:paraId="385A742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3C4D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B4C371B">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61366D90">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5CBEAA4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5、新建项目一律不得违规占用河库管理范围</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3FFB538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0D0F8EF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2F7F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E52FF8A">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D057836">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919E7A3">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6、以石化、化工、涂装、医药、包装印刷、油品储运销等行业领域为重点，安全高效推进挥发性有机物（VOCs）综合治理，实施原辅材料和产品源头替代、无组织排放和末端深度治理等提升改造工程。</w:t>
                  </w:r>
                </w:p>
              </w:tc>
              <w:tc>
                <w:tcPr>
                  <w:tcW w:w="994" w:type="pct"/>
                  <w:tcBorders>
                    <w:top w:val="single" w:color="auto" w:sz="4" w:space="0"/>
                    <w:bottom w:val="single" w:color="auto" w:sz="4" w:space="0"/>
                  </w:tcBorders>
                  <w:noWrap w:val="0"/>
                  <w:vAlign w:val="center"/>
                </w:tcPr>
                <w:p w14:paraId="42EE86D2">
                  <w:pPr>
                    <w:keepNext w:val="0"/>
                    <w:keepLines w:val="0"/>
                    <w:pageBreakBefore w:val="0"/>
                    <w:widowControl/>
                    <w:kinsoku/>
                    <w:wordWrap/>
                    <w:overflowPunct/>
                    <w:topLinePunct w:val="0"/>
                    <w:bidi w:val="0"/>
                    <w:snapToGrid/>
                    <w:spacing w:line="0" w:lineRule="atLeast"/>
                    <w:jc w:val="center"/>
                    <w:rPr>
                      <w:rFonts w:hint="default" w:eastAsia="宋体"/>
                      <w:color w:val="auto"/>
                      <w:kern w:val="0"/>
                      <w:sz w:val="20"/>
                      <w:szCs w:val="20"/>
                      <w:highlight w:val="none"/>
                      <w:lang w:val="en-US" w:eastAsia="zh-CN" w:bidi="ar"/>
                    </w:rPr>
                  </w:pPr>
                  <w:r>
                    <w:rPr>
                      <w:rFonts w:hint="eastAsia" w:eastAsia="宋体"/>
                      <w:color w:val="auto"/>
                      <w:kern w:val="0"/>
                      <w:sz w:val="20"/>
                      <w:szCs w:val="20"/>
                      <w:highlight w:val="none"/>
                      <w:lang w:val="en-US" w:eastAsia="zh-CN" w:bidi="ar"/>
                    </w:rPr>
                    <w:t>不涉及</w:t>
                  </w:r>
                </w:p>
              </w:tc>
              <w:tc>
                <w:tcPr>
                  <w:tcW w:w="407" w:type="pct"/>
                  <w:tcBorders>
                    <w:right w:val="single" w:color="auto" w:sz="4" w:space="0"/>
                  </w:tcBorders>
                  <w:noWrap w:val="0"/>
                  <w:vAlign w:val="center"/>
                </w:tcPr>
                <w:p w14:paraId="35D78833">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160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1E9716D">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6DE6C5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0F272767">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sz w:val="20"/>
                      <w:szCs w:val="20"/>
                      <w:highlight w:val="none"/>
                      <w:lang w:bidi="zh-TW"/>
                    </w:rPr>
                    <w:t>7</w:t>
                  </w:r>
                  <w:r>
                    <w:rPr>
                      <w:color w:val="auto"/>
                      <w:sz w:val="20"/>
                      <w:szCs w:val="20"/>
                      <w:highlight w:val="none"/>
                      <w:lang w:bidi="zh-TW"/>
                    </w:rPr>
                    <w:t>、锅炉大气污染物排放控制要求、污染物监测要求、达标判定要求按照河北省地标《锅炉大气污染物排放标准》（DB13/5161-2020）执行</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358C325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不涉及</w:t>
                  </w:r>
                </w:p>
              </w:tc>
              <w:tc>
                <w:tcPr>
                  <w:tcW w:w="407" w:type="pct"/>
                  <w:tcBorders>
                    <w:right w:val="single" w:color="auto" w:sz="4" w:space="0"/>
                  </w:tcBorders>
                  <w:noWrap w:val="0"/>
                  <w:vAlign w:val="center"/>
                </w:tcPr>
                <w:p w14:paraId="1BB58D3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310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468" w:type="pct"/>
                  <w:vMerge w:val="continue"/>
                  <w:noWrap w:val="0"/>
                  <w:vAlign w:val="center"/>
                </w:tcPr>
                <w:p w14:paraId="131F57A8">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94F7B8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65A02B5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8</w:t>
                  </w:r>
                  <w:r>
                    <w:rPr>
                      <w:color w:val="auto"/>
                      <w:sz w:val="20"/>
                      <w:szCs w:val="20"/>
                      <w:highlight w:val="none"/>
                      <w:lang w:bidi="zh-TW"/>
                    </w:rPr>
                    <w:t>、禁止在居民区和学校、医院、疗养院、养老院等单位周边新建、改建、扩建有色金属冶炼、石油加工、焦化、化工、电镀、制革等可能造成土壤污染的建设项目</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16BC2B6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27BD6AC2">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A24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A0B3A9F">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02BB9F1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47A26A67">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9</w:t>
                  </w:r>
                  <w:r>
                    <w:rPr>
                      <w:color w:val="auto"/>
                      <w:sz w:val="20"/>
                      <w:szCs w:val="20"/>
                      <w:highlight w:val="none"/>
                      <w:lang w:bidi="zh-TW"/>
                    </w:rPr>
                    <w:t>、在地下水超采区控制高耗水产业发展</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386D82">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hint="eastAsia"/>
                      <w:color w:val="auto"/>
                      <w:kern w:val="0"/>
                      <w:sz w:val="20"/>
                      <w:szCs w:val="20"/>
                      <w:highlight w:val="none"/>
                      <w:lang w:val="en-US" w:eastAsia="zh-CN" w:bidi="ar"/>
                    </w:rPr>
                    <w:t>不涉及</w:t>
                  </w:r>
                </w:p>
              </w:tc>
              <w:tc>
                <w:tcPr>
                  <w:tcW w:w="407" w:type="pct"/>
                  <w:tcBorders>
                    <w:right w:val="single" w:color="auto" w:sz="4" w:space="0"/>
                  </w:tcBorders>
                  <w:noWrap w:val="0"/>
                  <w:vAlign w:val="center"/>
                </w:tcPr>
                <w:p w14:paraId="6F0F592B">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47F9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EAE930F">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1EE658AB">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5C7C85C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10</w:t>
                  </w:r>
                  <w:r>
                    <w:rPr>
                      <w:color w:val="auto"/>
                      <w:sz w:val="20"/>
                      <w:szCs w:val="20"/>
                      <w:highlight w:val="none"/>
                      <w:lang w:bidi="zh-TW"/>
                    </w:rPr>
                    <w:t>、涉重金属重点行业企业“十四五”期间依法依规至少开展一轮强制性清洁生产审核，到 2025 年底，涉重金属重点行业企业基本达到国内清洁生产先进水平</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6FEA4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71BD4DC6">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35B3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AA1E1F8">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08E6E143">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ACB6FB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11</w:t>
                  </w:r>
                  <w:r>
                    <w:rPr>
                      <w:color w:val="auto"/>
                      <w:sz w:val="20"/>
                      <w:szCs w:val="20"/>
                      <w:highlight w:val="none"/>
                      <w:lang w:bidi="zh-TW"/>
                    </w:rPr>
                    <w:t>、</w:t>
                  </w:r>
                  <w:r>
                    <w:rPr>
                      <w:rFonts w:hint="eastAsia"/>
                      <w:color w:val="auto"/>
                      <w:sz w:val="20"/>
                      <w:szCs w:val="20"/>
                      <w:highlight w:val="none"/>
                      <w:lang w:bidi="zh-TW"/>
                    </w:rPr>
                    <w:t>按</w:t>
                  </w:r>
                  <w:r>
                    <w:rPr>
                      <w:color w:val="auto"/>
                      <w:sz w:val="20"/>
                      <w:szCs w:val="20"/>
                      <w:highlight w:val="none"/>
                      <w:lang w:bidi="zh-TW"/>
                    </w:rPr>
                    <w:t>照《关于进一步加强塑料污染治理的实施方案》要求，石家庄城市建成区和重点领域禁止、限制部分塑料制品的生产、销售和使用</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03918A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4FC6F173">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4AB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0C7FA3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3E8716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02679543">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12</w:t>
                  </w:r>
                  <w:r>
                    <w:rPr>
                      <w:color w:val="auto"/>
                      <w:sz w:val="20"/>
                      <w:szCs w:val="20"/>
                      <w:highlight w:val="none"/>
                      <w:lang w:bidi="zh-TW"/>
                    </w:rPr>
                    <w:t>、实施制造业绿色改造重点专项，开展制造业绿色发展示范工程，推进生物医药、化工、钢铁等行业工艺技术装备绿色化改造。鼓励企业实施绿色战略、绿色标准、绿色管理和绿色生产，推行“互联网+绿色制造”模式，开发绿色产品，建设绿色工厂，打造绿色供应链，构建绿色制造体系。大力发展节能环保、清洁生产和清洁能源产业。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613F413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项目</w:t>
                  </w:r>
                  <w:r>
                    <w:rPr>
                      <w:rFonts w:hint="eastAsia"/>
                      <w:color w:val="auto"/>
                      <w:kern w:val="0"/>
                      <w:sz w:val="20"/>
                      <w:szCs w:val="20"/>
                      <w:highlight w:val="none"/>
                      <w:lang w:bidi="ar"/>
                    </w:rPr>
                    <w:t>废气、噪声均能达标排放，固废妥善处理，对周围环境影响较小。</w:t>
                  </w:r>
                </w:p>
              </w:tc>
              <w:tc>
                <w:tcPr>
                  <w:tcW w:w="407" w:type="pct"/>
                  <w:tcBorders>
                    <w:right w:val="single" w:color="auto" w:sz="4" w:space="0"/>
                  </w:tcBorders>
                  <w:noWrap w:val="0"/>
                  <w:vAlign w:val="center"/>
                </w:tcPr>
                <w:p w14:paraId="70EF634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1BDA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0AC20F4">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2CF5F1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40775100">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13</w:t>
                  </w:r>
                  <w:r>
                    <w:rPr>
                      <w:color w:val="auto"/>
                      <w:sz w:val="20"/>
                      <w:szCs w:val="20"/>
                      <w:highlight w:val="none"/>
                      <w:lang w:bidi="zh-TW"/>
                    </w:rPr>
                    <w:t>、新建、改建、扩建“两高”项目须符合生态环境保护法律法规和相关法定规划，满足重点污染物排放总量控制、碳排放达峰目标、生态环境准入清单、相关规划环评和相应行业建设项目环境准入条件、环评文件审批原则要求。新增主要污染物排放量的“两高”项目，严格落实生态环境部《关于加强重点 行业建设项目区域削减措施监督管理的通知要求》，提出有效区域削减方案，主要污染物实行区域倍量削减，规范削减措施来源，强化建设单位、出让减排量排污单位和地方政府责任，确保落实区域削减措施</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6049FC1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项目不属于</w:t>
                  </w:r>
                  <w:r>
                    <w:rPr>
                      <w:rFonts w:hint="eastAsia"/>
                      <w:color w:val="auto"/>
                      <w:sz w:val="20"/>
                      <w:szCs w:val="20"/>
                      <w:highlight w:val="none"/>
                      <w:lang w:bidi="zh-TW"/>
                    </w:rPr>
                    <w:t>“</w:t>
                  </w:r>
                  <w:r>
                    <w:rPr>
                      <w:color w:val="auto"/>
                      <w:sz w:val="20"/>
                      <w:szCs w:val="20"/>
                      <w:highlight w:val="none"/>
                      <w:lang w:bidi="zh-TW"/>
                    </w:rPr>
                    <w:t>两高</w:t>
                  </w:r>
                  <w:r>
                    <w:rPr>
                      <w:rFonts w:hint="eastAsia"/>
                      <w:color w:val="auto"/>
                      <w:sz w:val="20"/>
                      <w:szCs w:val="20"/>
                      <w:highlight w:val="none"/>
                      <w:lang w:bidi="zh-TW"/>
                    </w:rPr>
                    <w:t>”</w:t>
                  </w:r>
                  <w:r>
                    <w:rPr>
                      <w:color w:val="auto"/>
                      <w:sz w:val="20"/>
                      <w:szCs w:val="20"/>
                      <w:highlight w:val="none"/>
                      <w:lang w:bidi="zh-TW"/>
                    </w:rPr>
                    <w:t>项目</w:t>
                  </w:r>
                  <w:r>
                    <w:rPr>
                      <w:rFonts w:hint="eastAsia"/>
                      <w:color w:val="auto"/>
                      <w:sz w:val="20"/>
                      <w:szCs w:val="20"/>
                      <w:highlight w:val="none"/>
                      <w:lang w:bidi="zh-TW"/>
                    </w:rPr>
                    <w:t>。</w:t>
                  </w:r>
                </w:p>
              </w:tc>
              <w:tc>
                <w:tcPr>
                  <w:tcW w:w="407" w:type="pct"/>
                  <w:tcBorders>
                    <w:right w:val="single" w:color="auto" w:sz="4" w:space="0"/>
                  </w:tcBorders>
                  <w:noWrap w:val="0"/>
                  <w:vAlign w:val="center"/>
                </w:tcPr>
                <w:p w14:paraId="70EE1A5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2D7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9F92EB6">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0E16D9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C721646">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14</w:t>
                  </w:r>
                  <w:r>
                    <w:rPr>
                      <w:color w:val="auto"/>
                      <w:sz w:val="20"/>
                      <w:szCs w:val="20"/>
                      <w:highlight w:val="none"/>
                      <w:lang w:bidi="zh-TW"/>
                    </w:rPr>
                    <w:t>、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一区多园”的产业园区，应整体开展规划环境影响评价(跟踪评价)工作，实现规划环评“一本制”</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F45183D">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244D871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B1D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AD0759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tcBorders>
                    <w:bottom w:val="single" w:color="auto" w:sz="4" w:space="0"/>
                  </w:tcBorders>
                  <w:noWrap w:val="0"/>
                  <w:vAlign w:val="center"/>
                </w:tcPr>
                <w:p w14:paraId="3E787A1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default" w:ascii="Times New Roman" w:hAnsi="Times New Roman" w:eastAsia="宋体" w:cs="Times New Roman"/>
                      <w:color w:val="auto"/>
                      <w:sz w:val="20"/>
                      <w:szCs w:val="20"/>
                      <w:highlight w:val="none"/>
                      <w:lang w:bidi="zh-TW"/>
                    </w:rPr>
                    <w:t>项目入园准入要求</w:t>
                  </w:r>
                </w:p>
              </w:tc>
              <w:tc>
                <w:tcPr>
                  <w:tcW w:w="2311" w:type="pct"/>
                  <w:tcBorders>
                    <w:bottom w:val="single" w:color="auto" w:sz="4" w:space="0"/>
                  </w:tcBorders>
                  <w:noWrap w:val="0"/>
                  <w:vAlign w:val="center"/>
                </w:tcPr>
                <w:p w14:paraId="7448A531">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1、</w:t>
                  </w:r>
                  <w:r>
                    <w:rPr>
                      <w:rFonts w:hint="eastAsia"/>
                      <w:color w:val="auto"/>
                      <w:sz w:val="20"/>
                      <w:szCs w:val="20"/>
                      <w:highlight w:val="none"/>
                      <w:lang w:bidi="zh-TW"/>
                    </w:rPr>
                    <w:t>县级以下原则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冀政办字(2021)122号)相关要求执行。</w:t>
                  </w:r>
                </w:p>
                <w:p w14:paraId="5BF99D54">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2、加强园区规划及环评时效性。现有县市级工业区在遵从规划、规划环评及跟踪评价的要求前提下，严格遵循全省、地市及对应单元生态环境准入要求。</w:t>
                  </w:r>
                </w:p>
                <w:p w14:paraId="1ADBB986">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3、对新设立或扩区未开展规划环评的园区，规划定位、范围、布局、结构、规模等发生调整未开展规划环评调整的以及规划实施已超过5年未进行规划环境影响跟踪评价的园区，督促园区管委会抓紧整改。</w:t>
                  </w:r>
                </w:p>
                <w:p w14:paraId="7A0E2E5D">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4、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994" w:type="pct"/>
                  <w:tcBorders>
                    <w:top w:val="single" w:color="auto" w:sz="4" w:space="0"/>
                    <w:bottom w:val="single" w:color="auto" w:sz="4" w:space="0"/>
                  </w:tcBorders>
                  <w:noWrap w:val="0"/>
                  <w:vAlign w:val="center"/>
                </w:tcPr>
                <w:p w14:paraId="2F62F4C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ascii="Times New Roman" w:hAnsi="Times New Roman" w:eastAsia="宋体" w:cs="Times New Roman"/>
                      <w:color w:val="auto"/>
                      <w:sz w:val="20"/>
                      <w:szCs w:val="20"/>
                      <w:highlight w:val="none"/>
                      <w:lang w:val="en-US" w:eastAsia="zh-CN"/>
                    </w:rPr>
                    <w:t>项目位于石家庄市井陉矿区河北鸿科碳素有限公司内，符合规划要求。</w:t>
                  </w:r>
                </w:p>
              </w:tc>
              <w:tc>
                <w:tcPr>
                  <w:tcW w:w="407" w:type="pct"/>
                  <w:tcBorders>
                    <w:bottom w:val="single" w:color="auto" w:sz="4" w:space="0"/>
                    <w:right w:val="single" w:color="auto" w:sz="4" w:space="0"/>
                  </w:tcBorders>
                  <w:noWrap w:val="0"/>
                  <w:vAlign w:val="center"/>
                </w:tcPr>
                <w:p w14:paraId="179115AB">
                  <w:pPr>
                    <w:keepNext w:val="0"/>
                    <w:keepLines w:val="0"/>
                    <w:pageBreakBefore w:val="0"/>
                    <w:widowControl/>
                    <w:kinsoku/>
                    <w:wordWrap/>
                    <w:overflowPunct/>
                    <w:topLinePunct w:val="0"/>
                    <w:bidi w:val="0"/>
                    <w:snapToGrid/>
                    <w:spacing w:line="0" w:lineRule="atLeast"/>
                    <w:rPr>
                      <w:rFonts w:hint="default" w:eastAsia="宋体"/>
                      <w:color w:val="auto"/>
                      <w:kern w:val="0"/>
                      <w:sz w:val="20"/>
                      <w:szCs w:val="20"/>
                      <w:highlight w:val="none"/>
                      <w:lang w:val="en-US" w:eastAsia="zh-CN" w:bidi="ar"/>
                    </w:rPr>
                  </w:pPr>
                  <w:r>
                    <w:rPr>
                      <w:rFonts w:hint="eastAsia"/>
                      <w:color w:val="auto"/>
                      <w:kern w:val="0"/>
                      <w:sz w:val="20"/>
                      <w:szCs w:val="20"/>
                      <w:highlight w:val="none"/>
                      <w:lang w:val="en-US" w:eastAsia="zh-CN" w:bidi="ar"/>
                    </w:rPr>
                    <w:t>符合</w:t>
                  </w:r>
                </w:p>
              </w:tc>
            </w:tr>
          </w:tbl>
          <w:p w14:paraId="71E05F6C">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pacing w:val="0"/>
                <w:sz w:val="24"/>
                <w:lang w:bidi="ar"/>
              </w:rPr>
            </w:pPr>
            <w:r>
              <w:rPr>
                <w:rFonts w:hint="default" w:ascii="Times New Roman" w:hAnsi="Times New Roman" w:cs="Times New Roman"/>
                <w:color w:val="auto"/>
                <w:spacing w:val="0"/>
                <w:sz w:val="24"/>
                <w:lang w:bidi="ar"/>
              </w:rPr>
              <w:t>项目所在区域属于井陉矿区区重点管控单元3，项目与井陉矿区区重点管控单元生态环境准入综合管控要求符合性分析见表</w:t>
            </w:r>
            <w:r>
              <w:rPr>
                <w:rFonts w:hint="default" w:ascii="Times New Roman" w:hAnsi="Times New Roman" w:cs="Times New Roman"/>
                <w:color w:val="auto"/>
                <w:spacing w:val="0"/>
                <w:sz w:val="24"/>
                <w:lang w:val="en-US" w:eastAsia="zh-CN" w:bidi="ar"/>
              </w:rPr>
              <w:t>1-</w:t>
            </w:r>
            <w:r>
              <w:rPr>
                <w:rFonts w:hint="eastAsia" w:cs="Times New Roman"/>
                <w:color w:val="auto"/>
                <w:spacing w:val="0"/>
                <w:sz w:val="24"/>
                <w:lang w:val="en-US" w:eastAsia="zh-CN" w:bidi="ar"/>
              </w:rPr>
              <w:t>10</w:t>
            </w:r>
            <w:r>
              <w:rPr>
                <w:rFonts w:hint="default" w:ascii="Times New Roman" w:hAnsi="Times New Roman" w:cs="Times New Roman"/>
                <w:color w:val="auto"/>
                <w:spacing w:val="0"/>
                <w:sz w:val="24"/>
                <w:lang w:bidi="ar"/>
              </w:rPr>
              <w:t>。</w:t>
            </w:r>
          </w:p>
          <w:p w14:paraId="01BFBE3D">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cs="Times New Roman"/>
                <w:b/>
                <w:bCs/>
                <w:color w:val="auto"/>
                <w:sz w:val="24"/>
                <w:lang w:val="en-US" w:eastAsia="zh-CN"/>
              </w:rPr>
              <w:t>10</w:t>
            </w:r>
            <w:r>
              <w:rPr>
                <w:rFonts w:hint="default" w:ascii="Times New Roman" w:hAnsi="Times New Roman" w:eastAsia="宋体" w:cs="Times New Roman"/>
                <w:b/>
                <w:bCs/>
                <w:color w:val="auto"/>
                <w:sz w:val="24"/>
              </w:rPr>
              <w:t xml:space="preserve">  本项目与井陉矿区重点管控单元符合性分析一览表</w:t>
            </w:r>
          </w:p>
          <w:tbl>
            <w:tblPr>
              <w:tblStyle w:val="36"/>
              <w:tblW w:w="6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27" w:type="dxa"/>
                <w:bottom w:w="0" w:type="dxa"/>
                <w:right w:w="227" w:type="dxa"/>
              </w:tblCellMar>
            </w:tblPr>
            <w:tblGrid>
              <w:gridCol w:w="325"/>
              <w:gridCol w:w="311"/>
              <w:gridCol w:w="497"/>
              <w:gridCol w:w="438"/>
              <w:gridCol w:w="2400"/>
              <w:gridCol w:w="2673"/>
              <w:gridCol w:w="240"/>
            </w:tblGrid>
            <w:tr w14:paraId="6373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noWrap w:val="0"/>
                  <w:tcMar>
                    <w:top w:w="0" w:type="dxa"/>
                    <w:left w:w="28" w:type="dxa"/>
                    <w:bottom w:w="0" w:type="dxa"/>
                    <w:right w:w="28" w:type="dxa"/>
                  </w:tcMar>
                  <w:vAlign w:val="center"/>
                </w:tcPr>
                <w:p w14:paraId="6D2F977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县(市/区)</w:t>
                  </w:r>
                </w:p>
              </w:tc>
              <w:tc>
                <w:tcPr>
                  <w:tcW w:w="311" w:type="dxa"/>
                  <w:noWrap w:val="0"/>
                  <w:tcMar>
                    <w:top w:w="0" w:type="dxa"/>
                    <w:left w:w="28" w:type="dxa"/>
                    <w:bottom w:w="0" w:type="dxa"/>
                    <w:right w:w="28" w:type="dxa"/>
                  </w:tcMar>
                  <w:vAlign w:val="center"/>
                </w:tcPr>
                <w:p w14:paraId="3A147A8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单元类别</w:t>
                  </w:r>
                </w:p>
              </w:tc>
              <w:tc>
                <w:tcPr>
                  <w:tcW w:w="497" w:type="dxa"/>
                  <w:noWrap w:val="0"/>
                  <w:tcMar>
                    <w:top w:w="0" w:type="dxa"/>
                    <w:left w:w="28" w:type="dxa"/>
                    <w:bottom w:w="0" w:type="dxa"/>
                    <w:right w:w="28" w:type="dxa"/>
                  </w:tcMar>
                  <w:vAlign w:val="center"/>
                </w:tcPr>
                <w:p w14:paraId="27E9AE91">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环境要素类别</w:t>
                  </w:r>
                </w:p>
              </w:tc>
              <w:tc>
                <w:tcPr>
                  <w:tcW w:w="438" w:type="dxa"/>
                  <w:noWrap w:val="0"/>
                  <w:tcMar>
                    <w:top w:w="0" w:type="dxa"/>
                    <w:left w:w="28" w:type="dxa"/>
                    <w:bottom w:w="0" w:type="dxa"/>
                    <w:right w:w="28" w:type="dxa"/>
                  </w:tcMar>
                  <w:vAlign w:val="center"/>
                </w:tcPr>
                <w:p w14:paraId="11A5C34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维度</w:t>
                  </w:r>
                </w:p>
              </w:tc>
              <w:tc>
                <w:tcPr>
                  <w:tcW w:w="2400" w:type="dxa"/>
                  <w:noWrap w:val="0"/>
                  <w:tcMar>
                    <w:top w:w="0" w:type="dxa"/>
                    <w:left w:w="28" w:type="dxa"/>
                    <w:bottom w:w="0" w:type="dxa"/>
                    <w:right w:w="28" w:type="dxa"/>
                  </w:tcMar>
                  <w:vAlign w:val="center"/>
                </w:tcPr>
                <w:p w14:paraId="3B4A350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管控措施</w:t>
                  </w:r>
                </w:p>
              </w:tc>
              <w:tc>
                <w:tcPr>
                  <w:tcW w:w="2673" w:type="dxa"/>
                  <w:noWrap w:val="0"/>
                  <w:tcMar>
                    <w:top w:w="0" w:type="dxa"/>
                    <w:left w:w="28" w:type="dxa"/>
                    <w:bottom w:w="0" w:type="dxa"/>
                    <w:right w:w="28" w:type="dxa"/>
                  </w:tcMar>
                  <w:vAlign w:val="center"/>
                </w:tcPr>
                <w:p w14:paraId="4AF0461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符合性分析</w:t>
                  </w:r>
                </w:p>
              </w:tc>
              <w:tc>
                <w:tcPr>
                  <w:tcW w:w="240" w:type="dxa"/>
                  <w:noWrap w:val="0"/>
                  <w:tcMar>
                    <w:top w:w="0" w:type="dxa"/>
                    <w:left w:w="28" w:type="dxa"/>
                    <w:bottom w:w="0" w:type="dxa"/>
                    <w:right w:w="28" w:type="dxa"/>
                  </w:tcMar>
                  <w:vAlign w:val="center"/>
                </w:tcPr>
                <w:p w14:paraId="47F01423">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符合性</w:t>
                  </w:r>
                </w:p>
              </w:tc>
            </w:tr>
            <w:tr w14:paraId="1E85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1291" w:hRule="atLeast"/>
                <w:jc w:val="center"/>
              </w:trPr>
              <w:tc>
                <w:tcPr>
                  <w:tcW w:w="325" w:type="dxa"/>
                  <w:vMerge w:val="restart"/>
                  <w:noWrap w:val="0"/>
                  <w:tcMar>
                    <w:top w:w="0" w:type="dxa"/>
                    <w:left w:w="28" w:type="dxa"/>
                    <w:bottom w:w="0" w:type="dxa"/>
                    <w:right w:w="28" w:type="dxa"/>
                  </w:tcMar>
                  <w:vAlign w:val="center"/>
                </w:tcPr>
                <w:p w14:paraId="2D336DD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井陉矿区</w:t>
                  </w:r>
                </w:p>
              </w:tc>
              <w:tc>
                <w:tcPr>
                  <w:tcW w:w="311" w:type="dxa"/>
                  <w:vMerge w:val="restart"/>
                  <w:noWrap w:val="0"/>
                  <w:tcMar>
                    <w:top w:w="0" w:type="dxa"/>
                    <w:left w:w="28" w:type="dxa"/>
                    <w:bottom w:w="0" w:type="dxa"/>
                    <w:right w:w="28" w:type="dxa"/>
                  </w:tcMar>
                  <w:vAlign w:val="center"/>
                </w:tcPr>
                <w:p w14:paraId="32827B33">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重点管控单元3</w:t>
                  </w:r>
                </w:p>
              </w:tc>
              <w:tc>
                <w:tcPr>
                  <w:tcW w:w="497" w:type="dxa"/>
                  <w:vMerge w:val="restart"/>
                  <w:noWrap w:val="0"/>
                  <w:tcMar>
                    <w:top w:w="0" w:type="dxa"/>
                    <w:left w:w="28" w:type="dxa"/>
                    <w:bottom w:w="0" w:type="dxa"/>
                    <w:right w:w="28" w:type="dxa"/>
                  </w:tcMar>
                  <w:vAlign w:val="center"/>
                </w:tcPr>
                <w:p w14:paraId="3C1A416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大气高排放重点管控区、河北石家庄矿区工业园区（西区）</w:t>
                  </w:r>
                </w:p>
              </w:tc>
              <w:tc>
                <w:tcPr>
                  <w:tcW w:w="438" w:type="dxa"/>
                  <w:noWrap w:val="0"/>
                  <w:tcMar>
                    <w:top w:w="0" w:type="dxa"/>
                    <w:left w:w="28" w:type="dxa"/>
                    <w:bottom w:w="0" w:type="dxa"/>
                    <w:right w:w="28" w:type="dxa"/>
                  </w:tcMar>
                  <w:vAlign w:val="center"/>
                </w:tcPr>
                <w:p w14:paraId="351EBA21">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空间布局约束</w:t>
                  </w:r>
                </w:p>
              </w:tc>
              <w:tc>
                <w:tcPr>
                  <w:tcW w:w="2400" w:type="dxa"/>
                  <w:noWrap w:val="0"/>
                  <w:tcMar>
                    <w:top w:w="0" w:type="dxa"/>
                    <w:left w:w="28" w:type="dxa"/>
                    <w:bottom w:w="0" w:type="dxa"/>
                    <w:right w:w="28" w:type="dxa"/>
                  </w:tcMar>
                  <w:vAlign w:val="center"/>
                </w:tcPr>
                <w:p w14:paraId="70B0CEB5">
                  <w:pPr>
                    <w:keepNext w:val="0"/>
                    <w:keepLines w:val="0"/>
                    <w:pageBreakBefore w:val="0"/>
                    <w:widowControl w:val="0"/>
                    <w:numPr>
                      <w:ilvl w:val="0"/>
                      <w:numId w:val="4"/>
                    </w:numPr>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严格落实国家、河北省以及石家庄市最新产业目录准入要求。</w:t>
                  </w:r>
                </w:p>
                <w:p w14:paraId="2CBC520B">
                  <w:pPr>
                    <w:pStyle w:val="56"/>
                    <w:keepNext w:val="0"/>
                    <w:keepLines w:val="0"/>
                    <w:pageBreakBefore w:val="0"/>
                    <w:widowControl w:val="0"/>
                    <w:numPr>
                      <w:ilvl w:val="0"/>
                      <w:numId w:val="4"/>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严格落实最新规划环评及其批复文件制定的环境准入要求。</w:t>
                  </w:r>
                </w:p>
              </w:tc>
              <w:tc>
                <w:tcPr>
                  <w:tcW w:w="2673" w:type="dxa"/>
                  <w:noWrap w:val="0"/>
                  <w:tcMar>
                    <w:top w:w="0" w:type="dxa"/>
                    <w:left w:w="28" w:type="dxa"/>
                    <w:bottom w:w="0" w:type="dxa"/>
                    <w:right w:w="28" w:type="dxa"/>
                  </w:tcMar>
                  <w:vAlign w:val="center"/>
                </w:tcPr>
                <w:p w14:paraId="1992A697">
                  <w:pPr>
                    <w:keepNext w:val="0"/>
                    <w:keepLines w:val="0"/>
                    <w:pageBreakBefore w:val="0"/>
                    <w:widowControl w:val="0"/>
                    <w:suppressLineNumbers w:val="0"/>
                    <w:kinsoku/>
                    <w:wordWrap/>
                    <w:overflowPunct/>
                    <w:topLinePunct w:val="0"/>
                    <w:bidi w:val="0"/>
                    <w:snapToGrid/>
                    <w:spacing w:before="0" w:beforeAutospacing="0" w:after="0" w:afterAutospacing="0" w:line="240" w:lineRule="exact"/>
                    <w:ind w:left="0" w:right="0" w:firstLine="0" w:firstLineChars="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1、本项目不属于《产业结构调整指导目录(2024年本)》中限制类、淘汰类项目</w:t>
                  </w:r>
                  <w:r>
                    <w:rPr>
                      <w:rFonts w:hint="default" w:ascii="Times New Roman" w:hAnsi="Times New Roman"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eastAsia="zh-CN"/>
                    </w:rPr>
                    <w:t>对照《市场准入负面清单(202</w:t>
                  </w:r>
                  <w:r>
                    <w:rPr>
                      <w:rFonts w:hint="default" w:ascii="Times New Roman" w:hAnsi="Times New Roman" w:cs="Times New Roman"/>
                      <w:color w:val="auto"/>
                      <w:sz w:val="18"/>
                      <w:szCs w:val="18"/>
                      <w:highlight w:val="none"/>
                      <w:lang w:val="en-US" w:eastAsia="zh-CN"/>
                    </w:rPr>
                    <w:t>5</w:t>
                  </w:r>
                  <w:r>
                    <w:rPr>
                      <w:rFonts w:hint="default" w:ascii="Times New Roman" w:hAnsi="Times New Roman" w:eastAsia="宋体" w:cs="Times New Roman"/>
                      <w:color w:val="auto"/>
                      <w:sz w:val="18"/>
                      <w:szCs w:val="18"/>
                      <w:highlight w:val="none"/>
                      <w:lang w:eastAsia="zh-CN"/>
                    </w:rPr>
                    <w:t>年版)》，本项目不属于其中禁止准入类。</w:t>
                  </w:r>
                </w:p>
                <w:p w14:paraId="198AE3D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eastAsia="宋体" w:cs="Times New Roman"/>
                      <w:color w:val="auto"/>
                      <w:sz w:val="18"/>
                      <w:szCs w:val="18"/>
                      <w:highlight w:val="none"/>
                      <w:lang w:eastAsia="zh-CN"/>
                    </w:rPr>
                    <w:t>2、本项目符合</w:t>
                  </w:r>
                  <w:r>
                    <w:rPr>
                      <w:rFonts w:hint="default" w:ascii="Times New Roman" w:hAnsi="Times New Roman" w:eastAsia="宋体" w:cs="Times New Roman"/>
                      <w:color w:val="auto"/>
                      <w:kern w:val="0"/>
                      <w:sz w:val="18"/>
                      <w:szCs w:val="18"/>
                      <w:highlight w:val="none"/>
                      <w:lang w:val="en-US" w:eastAsia="zh-CN" w:bidi="ar"/>
                    </w:rPr>
                    <w:t>河北</w:t>
                  </w:r>
                  <w:r>
                    <w:rPr>
                      <w:rFonts w:hint="default" w:ascii="Times New Roman" w:hAnsi="Times New Roman" w:cs="Times New Roman"/>
                      <w:color w:val="auto"/>
                      <w:kern w:val="0"/>
                      <w:sz w:val="18"/>
                      <w:szCs w:val="18"/>
                      <w:highlight w:val="none"/>
                      <w:lang w:val="en-US" w:eastAsia="zh-CN" w:bidi="ar"/>
                    </w:rPr>
                    <w:t>石家庄矿区工业园区最新</w:t>
                  </w:r>
                  <w:r>
                    <w:rPr>
                      <w:rFonts w:hint="default" w:ascii="Times New Roman" w:hAnsi="Times New Roman" w:eastAsia="宋体" w:cs="Times New Roman"/>
                      <w:color w:val="auto"/>
                      <w:sz w:val="18"/>
                      <w:szCs w:val="18"/>
                      <w:highlight w:val="none"/>
                      <w:lang w:eastAsia="zh-CN"/>
                    </w:rPr>
                    <w:t>规划环评及其审查意见制定的环境准入要求。</w:t>
                  </w:r>
                </w:p>
              </w:tc>
              <w:tc>
                <w:tcPr>
                  <w:tcW w:w="240" w:type="dxa"/>
                  <w:noWrap w:val="0"/>
                  <w:tcMar>
                    <w:top w:w="0" w:type="dxa"/>
                    <w:left w:w="28" w:type="dxa"/>
                    <w:bottom w:w="0" w:type="dxa"/>
                    <w:right w:w="28" w:type="dxa"/>
                  </w:tcMar>
                  <w:vAlign w:val="center"/>
                </w:tcPr>
                <w:p w14:paraId="21E18FD0">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4AF7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vMerge w:val="continue"/>
                  <w:noWrap w:val="0"/>
                  <w:tcMar>
                    <w:top w:w="0" w:type="dxa"/>
                    <w:left w:w="28" w:type="dxa"/>
                    <w:bottom w:w="0" w:type="dxa"/>
                    <w:right w:w="28" w:type="dxa"/>
                  </w:tcMar>
                  <w:vAlign w:val="center"/>
                </w:tcPr>
                <w:p w14:paraId="0DDBE51E">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362192D5">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1E7A50F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3E2F2493">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污染物排放管控</w:t>
                  </w:r>
                </w:p>
              </w:tc>
              <w:tc>
                <w:tcPr>
                  <w:tcW w:w="2400" w:type="dxa"/>
                  <w:noWrap w:val="0"/>
                  <w:tcMar>
                    <w:top w:w="0" w:type="dxa"/>
                    <w:left w:w="28" w:type="dxa"/>
                    <w:bottom w:w="0" w:type="dxa"/>
                    <w:right w:w="28" w:type="dxa"/>
                  </w:tcMar>
                  <w:vAlign w:val="center"/>
                </w:tcPr>
                <w:p w14:paraId="0DD07AEC">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1.涉挥发性有机物企业排放标准执行《工业企业挥发性有机物排放控制标准》（DB13/2322-2016）和《挥发性有机物无组织排放控制标准》（GB37822-2019）。</w:t>
                  </w:r>
                </w:p>
                <w:p w14:paraId="16FED271">
                  <w:pPr>
                    <w:pStyle w:val="56"/>
                    <w:keepNext w:val="0"/>
                    <w:keepLines w:val="0"/>
                    <w:pageBreakBefore w:val="0"/>
                    <w:widowControl w:val="0"/>
                    <w:numPr>
                      <w:ilvl w:val="0"/>
                      <w:numId w:val="5"/>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新（改、扩）建向环境水体直接排放污水的排污单位执行《子牙河流域水污染物排放标准》（DB13/2796-2018）排放限值。</w:t>
                  </w:r>
                </w:p>
              </w:tc>
              <w:tc>
                <w:tcPr>
                  <w:tcW w:w="2673" w:type="dxa"/>
                  <w:noWrap w:val="0"/>
                  <w:tcMar>
                    <w:top w:w="0" w:type="dxa"/>
                    <w:left w:w="28" w:type="dxa"/>
                    <w:bottom w:w="0" w:type="dxa"/>
                    <w:right w:w="28" w:type="dxa"/>
                  </w:tcMar>
                  <w:vAlign w:val="center"/>
                </w:tcPr>
                <w:p w14:paraId="6632CA46">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1.本项目运营期不涉及挥发性有机物产生和排放；</w:t>
                  </w:r>
                </w:p>
                <w:p w14:paraId="2BF0913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2.本</w:t>
                  </w:r>
                  <w:r>
                    <w:rPr>
                      <w:rFonts w:hint="eastAsia" w:ascii="Times New Roman" w:hAnsi="Times New Roman" w:cs="Times New Roman"/>
                      <w:color w:val="auto"/>
                      <w:spacing w:val="-11"/>
                      <w:sz w:val="18"/>
                      <w:szCs w:val="18"/>
                      <w:lang w:val="en-US" w:eastAsia="zh-CN"/>
                    </w:rPr>
                    <w:t>项目无新增废水产生</w:t>
                  </w:r>
                  <w:r>
                    <w:rPr>
                      <w:rFonts w:hint="default" w:ascii="Times New Roman" w:hAnsi="Times New Roman" w:cs="Times New Roman"/>
                      <w:color w:val="auto"/>
                      <w:spacing w:val="-11"/>
                      <w:sz w:val="18"/>
                      <w:szCs w:val="18"/>
                    </w:rPr>
                    <w:t>；满足污染物排放管控要求。</w:t>
                  </w:r>
                </w:p>
              </w:tc>
              <w:tc>
                <w:tcPr>
                  <w:tcW w:w="240" w:type="dxa"/>
                  <w:noWrap w:val="0"/>
                  <w:tcMar>
                    <w:top w:w="0" w:type="dxa"/>
                    <w:left w:w="28" w:type="dxa"/>
                    <w:bottom w:w="0" w:type="dxa"/>
                    <w:right w:w="28" w:type="dxa"/>
                  </w:tcMar>
                  <w:vAlign w:val="center"/>
                </w:tcPr>
                <w:p w14:paraId="70F1024D">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7404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vMerge w:val="continue"/>
                  <w:noWrap w:val="0"/>
                  <w:tcMar>
                    <w:top w:w="0" w:type="dxa"/>
                    <w:left w:w="28" w:type="dxa"/>
                    <w:bottom w:w="0" w:type="dxa"/>
                    <w:right w:w="28" w:type="dxa"/>
                  </w:tcMar>
                  <w:vAlign w:val="center"/>
                </w:tcPr>
                <w:p w14:paraId="103E140E">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405BE9B4">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2EF76574">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224A698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环境风险防控</w:t>
                  </w:r>
                </w:p>
              </w:tc>
              <w:tc>
                <w:tcPr>
                  <w:tcW w:w="2400" w:type="dxa"/>
                  <w:noWrap w:val="0"/>
                  <w:tcMar>
                    <w:top w:w="0" w:type="dxa"/>
                    <w:left w:w="28" w:type="dxa"/>
                    <w:bottom w:w="0" w:type="dxa"/>
                    <w:right w:w="28" w:type="dxa"/>
                  </w:tcMar>
                  <w:vAlign w:val="center"/>
                </w:tcPr>
                <w:p w14:paraId="75EE282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1.园区按照相关要求，建立完善环境风险管理相关制度和有效的事故风险防范体系。</w:t>
                  </w:r>
                </w:p>
              </w:tc>
              <w:tc>
                <w:tcPr>
                  <w:tcW w:w="2673" w:type="dxa"/>
                  <w:noWrap w:val="0"/>
                  <w:tcMar>
                    <w:top w:w="0" w:type="dxa"/>
                    <w:left w:w="28" w:type="dxa"/>
                    <w:bottom w:w="0" w:type="dxa"/>
                    <w:right w:w="28" w:type="dxa"/>
                  </w:tcMar>
                  <w:vAlign w:val="center"/>
                </w:tcPr>
                <w:p w14:paraId="0E08264C">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21"/>
                    </w:rPr>
                  </w:pPr>
                  <w:r>
                    <w:rPr>
                      <w:rFonts w:hint="default" w:ascii="Times New Roman" w:hAnsi="Times New Roman" w:eastAsia="宋体" w:cs="Times New Roman"/>
                      <w:color w:val="auto"/>
                      <w:sz w:val="18"/>
                      <w:szCs w:val="18"/>
                      <w:highlight w:val="none"/>
                      <w:lang w:val="en-US" w:eastAsia="zh-CN"/>
                    </w:rPr>
                    <w:t>1、项目</w:t>
                  </w:r>
                  <w:r>
                    <w:rPr>
                      <w:rFonts w:hint="default" w:ascii="Times New Roman" w:hAnsi="Times New Roman" w:cs="Times New Roman"/>
                      <w:color w:val="auto"/>
                      <w:sz w:val="18"/>
                      <w:szCs w:val="18"/>
                      <w:highlight w:val="none"/>
                    </w:rPr>
                    <w:t>加强风险防范管理，</w:t>
                  </w:r>
                  <w:r>
                    <w:rPr>
                      <w:rFonts w:hint="default" w:ascii="Times New Roman" w:hAnsi="Times New Roman" w:cs="Times New Roman"/>
                      <w:color w:val="auto"/>
                      <w:sz w:val="18"/>
                      <w:szCs w:val="18"/>
                      <w:highlight w:val="none"/>
                      <w:lang w:eastAsia="zh-CN"/>
                    </w:rPr>
                    <w:t>落实园区环境风险防范相关要求</w:t>
                  </w:r>
                  <w:r>
                    <w:rPr>
                      <w:rFonts w:hint="default" w:ascii="Times New Roman" w:hAnsi="Times New Roman" w:cs="Times New Roman"/>
                      <w:color w:val="auto"/>
                      <w:sz w:val="18"/>
                      <w:szCs w:val="18"/>
                      <w:highlight w:val="none"/>
                    </w:rPr>
                    <w:t>。</w:t>
                  </w:r>
                </w:p>
              </w:tc>
              <w:tc>
                <w:tcPr>
                  <w:tcW w:w="240" w:type="dxa"/>
                  <w:noWrap w:val="0"/>
                  <w:tcMar>
                    <w:top w:w="0" w:type="dxa"/>
                    <w:left w:w="28" w:type="dxa"/>
                    <w:bottom w:w="0" w:type="dxa"/>
                    <w:right w:w="28" w:type="dxa"/>
                  </w:tcMar>
                  <w:vAlign w:val="center"/>
                </w:tcPr>
                <w:p w14:paraId="163B8916">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28ED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90" w:hRule="atLeast"/>
                <w:jc w:val="center"/>
              </w:trPr>
              <w:tc>
                <w:tcPr>
                  <w:tcW w:w="325" w:type="dxa"/>
                  <w:vMerge w:val="continue"/>
                  <w:noWrap w:val="0"/>
                  <w:tcMar>
                    <w:top w:w="0" w:type="dxa"/>
                    <w:left w:w="28" w:type="dxa"/>
                    <w:bottom w:w="0" w:type="dxa"/>
                    <w:right w:w="28" w:type="dxa"/>
                  </w:tcMar>
                  <w:vAlign w:val="center"/>
                </w:tcPr>
                <w:p w14:paraId="1681061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0746C969">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17D8A02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018D342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资源利用效率</w:t>
                  </w:r>
                </w:p>
              </w:tc>
              <w:tc>
                <w:tcPr>
                  <w:tcW w:w="2400" w:type="dxa"/>
                  <w:noWrap w:val="0"/>
                  <w:tcMar>
                    <w:top w:w="0" w:type="dxa"/>
                    <w:left w:w="28" w:type="dxa"/>
                    <w:bottom w:w="0" w:type="dxa"/>
                    <w:right w:w="28" w:type="dxa"/>
                  </w:tcMar>
                  <w:vAlign w:val="center"/>
                </w:tcPr>
                <w:p w14:paraId="6250C8B5">
                  <w:pPr>
                    <w:keepNext w:val="0"/>
                    <w:keepLines w:val="0"/>
                    <w:pageBreakBefore w:val="0"/>
                    <w:widowControl w:val="0"/>
                    <w:numPr>
                      <w:ilvl w:val="0"/>
                      <w:numId w:val="6"/>
                    </w:numPr>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提高中水回用率。</w:t>
                  </w:r>
                </w:p>
                <w:p w14:paraId="7B299406">
                  <w:pPr>
                    <w:pStyle w:val="56"/>
                    <w:keepNext w:val="0"/>
                    <w:keepLines w:val="0"/>
                    <w:pageBreakBefore w:val="0"/>
                    <w:widowControl w:val="0"/>
                    <w:numPr>
                      <w:ilvl w:val="0"/>
                      <w:numId w:val="6"/>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鼓励开展余热利用，提高能源利用效率。</w:t>
                  </w:r>
                </w:p>
              </w:tc>
              <w:tc>
                <w:tcPr>
                  <w:tcW w:w="2673" w:type="dxa"/>
                  <w:noWrap w:val="0"/>
                  <w:tcMar>
                    <w:top w:w="0" w:type="dxa"/>
                    <w:left w:w="28" w:type="dxa"/>
                    <w:bottom w:w="0" w:type="dxa"/>
                    <w:right w:w="28" w:type="dxa"/>
                  </w:tcMar>
                  <w:vAlign w:val="center"/>
                </w:tcPr>
                <w:p w14:paraId="1DBD12E0">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不涉及</w:t>
                  </w:r>
                </w:p>
              </w:tc>
              <w:tc>
                <w:tcPr>
                  <w:tcW w:w="240" w:type="dxa"/>
                  <w:noWrap w:val="0"/>
                  <w:tcMar>
                    <w:top w:w="0" w:type="dxa"/>
                    <w:left w:w="28" w:type="dxa"/>
                    <w:bottom w:w="0" w:type="dxa"/>
                    <w:right w:w="28" w:type="dxa"/>
                  </w:tcMar>
                  <w:vAlign w:val="center"/>
                </w:tcPr>
                <w:p w14:paraId="4B8B1953">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bl>
          <w:p w14:paraId="49F3FF69">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eastAsia" w:ascii="Times New Roman" w:hAnsi="Times New Roman" w:cs="Times New Roman"/>
                <w:color w:val="auto"/>
                <w:sz w:val="24"/>
                <w:lang w:val="en-US" w:eastAsia="zh-CN"/>
              </w:rPr>
              <w:t>石家庄市“三线一单”生态环境准入清单（2023年版）</w:t>
            </w:r>
            <w:r>
              <w:rPr>
                <w:rFonts w:hint="default" w:ascii="Times New Roman" w:hAnsi="Times New Roman" w:cs="Times New Roman"/>
                <w:color w:val="auto"/>
                <w:sz w:val="24"/>
              </w:rPr>
              <w:t>》中相关要求。</w:t>
            </w:r>
          </w:p>
          <w:p w14:paraId="1D373B45">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b/>
                <w:bCs/>
                <w:color w:val="auto"/>
                <w:sz w:val="24"/>
                <w:lang w:eastAsia="zh-CN"/>
              </w:rPr>
            </w:pPr>
            <w:r>
              <w:rPr>
                <w:rFonts w:hint="eastAsia" w:cs="Times New Roman"/>
                <w:b/>
                <w:bCs/>
                <w:color w:val="auto"/>
                <w:sz w:val="24"/>
                <w:lang w:val="en-US" w:eastAsia="zh-CN"/>
              </w:rPr>
              <w:t>8</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eastAsia="zh-CN"/>
              </w:rPr>
              <w:t>与沙区相关环境管理要求的符合性分析</w:t>
            </w:r>
          </w:p>
          <w:p w14:paraId="067FBC40">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lang w:eastAsia="zh-CN"/>
              </w:rPr>
              <w:t>根据《关于进一步做好沙区建设项目环境影响评价工作得通知》（冀环办字函[2023]326号)，“沙区范围主要涉及地域石家庄：藁城区、行唐县、晋州市、灵寿县、深泽县、无极县新乐市、赵县、正定县等。</w:t>
            </w:r>
          </w:p>
          <w:p w14:paraId="0903A0E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本项目位于</w:t>
            </w:r>
            <w:r>
              <w:rPr>
                <w:rFonts w:hint="eastAsia" w:ascii="Times New Roman" w:hAnsi="Times New Roman" w:eastAsia="宋体" w:cs="Times New Roman"/>
                <w:color w:val="auto"/>
                <w:sz w:val="24"/>
                <w:lang w:val="en-US" w:eastAsia="zh-CN"/>
              </w:rPr>
              <w:t>井陉矿区，不位于沙区范围主要涉及的地域之中。本项目不在沙区范围内。</w:t>
            </w:r>
          </w:p>
          <w:p w14:paraId="4A0CD59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b/>
                <w:bCs/>
                <w:color w:val="auto"/>
                <w:sz w:val="24"/>
                <w:lang w:val="en-US" w:eastAsia="zh-CN"/>
              </w:rPr>
            </w:pPr>
            <w:r>
              <w:rPr>
                <w:rFonts w:hint="eastAsia" w:cs="Times New Roman"/>
                <w:b/>
                <w:bCs/>
                <w:color w:val="auto"/>
                <w:sz w:val="24"/>
                <w:lang w:val="en-US" w:eastAsia="zh-CN"/>
              </w:rPr>
              <w:t>9、与《固体废物综合治理行动计划》的符合性分析</w:t>
            </w:r>
          </w:p>
          <w:p w14:paraId="40C219F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固体废物综合治理行动计划</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11</w:t>
            </w:r>
            <w:r>
              <w:rPr>
                <w:rFonts w:hint="default" w:ascii="Times New Roman" w:hAnsi="Times New Roman" w:cs="Times New Roman"/>
                <w:color w:val="auto"/>
                <w:kern w:val="0"/>
                <w:sz w:val="24"/>
                <w:highlight w:val="none"/>
              </w:rPr>
              <w:t>。</w:t>
            </w:r>
          </w:p>
          <w:p w14:paraId="7DBAA07D">
            <w:pPr>
              <w:shd w:val="clear" w:color="auto" w:fill="auto"/>
              <w:spacing w:line="480" w:lineRule="exact"/>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 xml:space="preserve">表1-11 </w:t>
            </w:r>
            <w:r>
              <w:rPr>
                <w:rFonts w:hint="default" w:ascii="Times New Roman" w:hAnsi="Times New Roman" w:eastAsia="宋体" w:cs="Times New Roman"/>
                <w:b/>
                <w:bCs/>
                <w:color w:val="auto"/>
                <w:sz w:val="24"/>
                <w:szCs w:val="24"/>
              </w:rPr>
              <w:t>项目与</w:t>
            </w:r>
            <w:r>
              <w:rPr>
                <w:rFonts w:hint="default"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固体废物综合治理行动计划</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相符性对照表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9"/>
              <w:gridCol w:w="3643"/>
              <w:gridCol w:w="2236"/>
              <w:gridCol w:w="558"/>
            </w:tblGrid>
            <w:tr w14:paraId="4626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243" w:type="pct"/>
                  <w:noWrap w:val="0"/>
                  <w:tcMar>
                    <w:top w:w="0" w:type="dxa"/>
                    <w:left w:w="28" w:type="dxa"/>
                    <w:bottom w:w="0" w:type="dxa"/>
                    <w:right w:w="28" w:type="dxa"/>
                  </w:tcMar>
                  <w:vAlign w:val="center"/>
                </w:tcPr>
                <w:p w14:paraId="1616B06B">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01B0AB7C">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2691" w:type="pct"/>
                  <w:noWrap w:val="0"/>
                  <w:tcMar>
                    <w:top w:w="0" w:type="dxa"/>
                    <w:left w:w="28" w:type="dxa"/>
                    <w:bottom w:w="0" w:type="dxa"/>
                    <w:right w:w="28" w:type="dxa"/>
                  </w:tcMar>
                  <w:vAlign w:val="center"/>
                </w:tcPr>
                <w:p w14:paraId="21B52AC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652" w:type="pct"/>
                  <w:noWrap w:val="0"/>
                  <w:tcMar>
                    <w:top w:w="0" w:type="dxa"/>
                    <w:left w:w="28" w:type="dxa"/>
                    <w:bottom w:w="0" w:type="dxa"/>
                    <w:right w:w="28" w:type="dxa"/>
                  </w:tcMar>
                  <w:vAlign w:val="center"/>
                </w:tcPr>
                <w:p w14:paraId="703DD6B8">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12" w:type="pct"/>
                  <w:noWrap w:val="0"/>
                  <w:tcMar>
                    <w:top w:w="0" w:type="dxa"/>
                    <w:left w:w="28" w:type="dxa"/>
                    <w:bottom w:w="0" w:type="dxa"/>
                    <w:right w:w="28" w:type="dxa"/>
                  </w:tcMar>
                  <w:vAlign w:val="center"/>
                </w:tcPr>
                <w:p w14:paraId="572B99B0">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4B3A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243" w:type="pct"/>
                  <w:noWrap w:val="0"/>
                  <w:tcMar>
                    <w:top w:w="0" w:type="dxa"/>
                    <w:left w:w="28" w:type="dxa"/>
                    <w:bottom w:w="0" w:type="dxa"/>
                    <w:right w:w="28" w:type="dxa"/>
                  </w:tcMar>
                  <w:vAlign w:val="center"/>
                </w:tcPr>
                <w:p w14:paraId="63E49BDD">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2691" w:type="pct"/>
                  <w:noWrap w:val="0"/>
                  <w:tcMar>
                    <w:top w:w="0" w:type="dxa"/>
                    <w:left w:w="28" w:type="dxa"/>
                    <w:bottom w:w="0" w:type="dxa"/>
                    <w:right w:w="28" w:type="dxa"/>
                  </w:tcMar>
                  <w:vAlign w:val="center"/>
                </w:tcPr>
                <w:p w14:paraId="4CFD9432">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源头减量（第二条）：推行绿色设计，改进生产工艺和装备，降低固废产生强度，推动产生量与消纳量动态平衡</w:t>
                  </w:r>
                </w:p>
              </w:tc>
              <w:tc>
                <w:tcPr>
                  <w:tcW w:w="1652" w:type="pct"/>
                  <w:noWrap w:val="0"/>
                  <w:tcMar>
                    <w:top w:w="0" w:type="dxa"/>
                    <w:left w:w="28" w:type="dxa"/>
                    <w:bottom w:w="0" w:type="dxa"/>
                    <w:right w:w="28" w:type="dxa"/>
                  </w:tcMar>
                  <w:vAlign w:val="center"/>
                </w:tcPr>
                <w:p w14:paraId="0E0C6A4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除尘灰返回生产利用，实现固废内部循环消纳，从末端处置前移至过程回用，有效降低固废外排量</w:t>
                  </w:r>
                </w:p>
              </w:tc>
              <w:tc>
                <w:tcPr>
                  <w:tcW w:w="412" w:type="pct"/>
                  <w:noWrap w:val="0"/>
                  <w:tcMar>
                    <w:top w:w="0" w:type="dxa"/>
                    <w:left w:w="28" w:type="dxa"/>
                    <w:bottom w:w="0" w:type="dxa"/>
                    <w:right w:w="28" w:type="dxa"/>
                  </w:tcMar>
                  <w:vAlign w:val="center"/>
                </w:tcPr>
                <w:p w14:paraId="0F37BB0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42C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43" w:type="pct"/>
                  <w:noWrap w:val="0"/>
                  <w:tcMar>
                    <w:top w:w="0" w:type="dxa"/>
                    <w:left w:w="28" w:type="dxa"/>
                    <w:bottom w:w="0" w:type="dxa"/>
                    <w:right w:w="28" w:type="dxa"/>
                  </w:tcMar>
                  <w:vAlign w:val="center"/>
                </w:tcPr>
                <w:p w14:paraId="2B614575">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2691" w:type="pct"/>
                  <w:noWrap w:val="0"/>
                  <w:tcMar>
                    <w:top w:w="0" w:type="dxa"/>
                    <w:left w:w="28" w:type="dxa"/>
                    <w:bottom w:w="0" w:type="dxa"/>
                    <w:right w:w="28" w:type="dxa"/>
                  </w:tcMar>
                  <w:vAlign w:val="center"/>
                </w:tcPr>
                <w:p w14:paraId="189C2B57">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规范收集转运和贮存（第四条）：完善工业固废管理台账制度，强化全链条跟踪管控；分类收集贮存，防范混堆混排</w:t>
                  </w:r>
                </w:p>
              </w:tc>
              <w:tc>
                <w:tcPr>
                  <w:tcW w:w="1652" w:type="pct"/>
                  <w:noWrap w:val="0"/>
                  <w:tcMar>
                    <w:top w:w="0" w:type="dxa"/>
                    <w:left w:w="28" w:type="dxa"/>
                    <w:bottom w:w="0" w:type="dxa"/>
                    <w:right w:w="28" w:type="dxa"/>
                  </w:tcMar>
                  <w:vAlign w:val="center"/>
                </w:tcPr>
                <w:p w14:paraId="58AD3614">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除尘灰返回生产、废布袋外售、废机油/废油桶交资质单位处置</w:t>
                  </w:r>
                </w:p>
              </w:tc>
              <w:tc>
                <w:tcPr>
                  <w:tcW w:w="412" w:type="pct"/>
                  <w:noWrap w:val="0"/>
                  <w:tcMar>
                    <w:top w:w="0" w:type="dxa"/>
                    <w:left w:w="28" w:type="dxa"/>
                    <w:bottom w:w="0" w:type="dxa"/>
                    <w:right w:w="28" w:type="dxa"/>
                  </w:tcMar>
                  <w:vAlign w:val="center"/>
                </w:tcPr>
                <w:p w14:paraId="1F5417B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611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3" w:type="pct"/>
                  <w:noWrap w:val="0"/>
                  <w:tcMar>
                    <w:top w:w="0" w:type="dxa"/>
                    <w:left w:w="28" w:type="dxa"/>
                    <w:bottom w:w="0" w:type="dxa"/>
                    <w:right w:w="28" w:type="dxa"/>
                  </w:tcMar>
                  <w:vAlign w:val="center"/>
                </w:tcPr>
                <w:p w14:paraId="5A3AE87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2691" w:type="pct"/>
                  <w:noWrap w:val="0"/>
                  <w:tcMar>
                    <w:top w:w="0" w:type="dxa"/>
                    <w:left w:w="28" w:type="dxa"/>
                    <w:bottom w:w="0" w:type="dxa"/>
                    <w:right w:w="28" w:type="dxa"/>
                  </w:tcMar>
                  <w:vAlign w:val="center"/>
                </w:tcPr>
                <w:p w14:paraId="734A8D2F">
                  <w:pPr>
                    <w:pStyle w:val="77"/>
                    <w:shd w:val="clear" w:color="auto" w:fill="auto"/>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资源化利用（第四条）：加强大宗固废综合利用，提升再生资源循环利用水平</w:t>
                  </w:r>
                </w:p>
              </w:tc>
              <w:tc>
                <w:tcPr>
                  <w:tcW w:w="1652" w:type="pct"/>
                  <w:noWrap w:val="0"/>
                  <w:tcMar>
                    <w:top w:w="0" w:type="dxa"/>
                    <w:left w:w="28" w:type="dxa"/>
                    <w:bottom w:w="0" w:type="dxa"/>
                    <w:right w:w="28" w:type="dxa"/>
                  </w:tcMar>
                  <w:vAlign w:val="center"/>
                </w:tcPr>
                <w:p w14:paraId="4CEA4032">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除尘灰返回生产工序实现资源化回用；废布袋外售处置实现物资回收再利用</w:t>
                  </w:r>
                </w:p>
              </w:tc>
              <w:tc>
                <w:tcPr>
                  <w:tcW w:w="412" w:type="pct"/>
                  <w:noWrap w:val="0"/>
                  <w:tcMar>
                    <w:top w:w="0" w:type="dxa"/>
                    <w:left w:w="28" w:type="dxa"/>
                    <w:bottom w:w="0" w:type="dxa"/>
                    <w:right w:w="28" w:type="dxa"/>
                  </w:tcMar>
                  <w:vAlign w:val="center"/>
                </w:tcPr>
                <w:p w14:paraId="55F12CF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2013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3" w:type="pct"/>
                  <w:noWrap w:val="0"/>
                  <w:tcMar>
                    <w:top w:w="0" w:type="dxa"/>
                    <w:left w:w="28" w:type="dxa"/>
                    <w:bottom w:w="0" w:type="dxa"/>
                    <w:right w:w="28" w:type="dxa"/>
                  </w:tcMar>
                  <w:vAlign w:val="center"/>
                </w:tcPr>
                <w:p w14:paraId="1B8DF3C6">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4</w:t>
                  </w:r>
                </w:p>
              </w:tc>
              <w:tc>
                <w:tcPr>
                  <w:tcW w:w="2691" w:type="pct"/>
                  <w:noWrap w:val="0"/>
                  <w:tcMar>
                    <w:top w:w="0" w:type="dxa"/>
                    <w:left w:w="28" w:type="dxa"/>
                    <w:bottom w:w="0" w:type="dxa"/>
                    <w:right w:w="28" w:type="dxa"/>
                  </w:tcMar>
                  <w:vAlign w:val="center"/>
                </w:tcPr>
                <w:p w14:paraId="1BC30FD2">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无害化治理（第五条）：加强大宗工业固废无害化预处理，降低贮存填埋量和环境污染风险</w:t>
                  </w:r>
                </w:p>
              </w:tc>
              <w:tc>
                <w:tcPr>
                  <w:tcW w:w="1652" w:type="pct"/>
                  <w:noWrap w:val="0"/>
                  <w:tcMar>
                    <w:top w:w="0" w:type="dxa"/>
                    <w:left w:w="28" w:type="dxa"/>
                    <w:bottom w:w="0" w:type="dxa"/>
                    <w:right w:w="28" w:type="dxa"/>
                  </w:tcMar>
                  <w:vAlign w:val="center"/>
                </w:tcPr>
                <w:p w14:paraId="1F4A828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除尘灰回用、废布袋外售均不产生填埋处置；废机油/废油桶随产随清交资质单位，无长期堆存</w:t>
                  </w:r>
                </w:p>
              </w:tc>
              <w:tc>
                <w:tcPr>
                  <w:tcW w:w="412" w:type="pct"/>
                  <w:noWrap w:val="0"/>
                  <w:tcMar>
                    <w:top w:w="0" w:type="dxa"/>
                    <w:left w:w="28" w:type="dxa"/>
                    <w:bottom w:w="0" w:type="dxa"/>
                    <w:right w:w="28" w:type="dxa"/>
                  </w:tcMar>
                  <w:vAlign w:val="center"/>
                </w:tcPr>
                <w:p w14:paraId="5076B0C8">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6CE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3" w:type="pct"/>
                  <w:noWrap w:val="0"/>
                  <w:tcMar>
                    <w:top w:w="0" w:type="dxa"/>
                    <w:left w:w="28" w:type="dxa"/>
                    <w:bottom w:w="0" w:type="dxa"/>
                    <w:right w:w="28" w:type="dxa"/>
                  </w:tcMar>
                  <w:vAlign w:val="center"/>
                </w:tcPr>
                <w:p w14:paraId="03532334">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5</w:t>
                  </w:r>
                </w:p>
              </w:tc>
              <w:tc>
                <w:tcPr>
                  <w:tcW w:w="2691" w:type="pct"/>
                  <w:noWrap w:val="0"/>
                  <w:tcMar>
                    <w:top w:w="0" w:type="dxa"/>
                    <w:left w:w="28" w:type="dxa"/>
                    <w:bottom w:w="0" w:type="dxa"/>
                    <w:right w:w="28" w:type="dxa"/>
                  </w:tcMar>
                  <w:vAlign w:val="center"/>
                </w:tcPr>
                <w:p w14:paraId="3D63A339">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危险废物管理（第四条）：严格执行危险废物跨省转移审批制度，规范各类企业危险废物收集管理</w:t>
                  </w:r>
                </w:p>
              </w:tc>
              <w:tc>
                <w:tcPr>
                  <w:tcW w:w="1652" w:type="pct"/>
                  <w:noWrap w:val="0"/>
                  <w:tcMar>
                    <w:top w:w="0" w:type="dxa"/>
                    <w:left w:w="28" w:type="dxa"/>
                    <w:bottom w:w="0" w:type="dxa"/>
                    <w:right w:w="28" w:type="dxa"/>
                  </w:tcMar>
                  <w:vAlign w:val="center"/>
                </w:tcPr>
                <w:p w14:paraId="1BD53B6F">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废机油、废油桶属危险废物，随产随清交资质单位处置，符合危废规范化管理要求</w:t>
                  </w:r>
                </w:p>
              </w:tc>
              <w:tc>
                <w:tcPr>
                  <w:tcW w:w="412" w:type="pct"/>
                  <w:noWrap w:val="0"/>
                  <w:tcMar>
                    <w:top w:w="0" w:type="dxa"/>
                    <w:left w:w="28" w:type="dxa"/>
                    <w:bottom w:w="0" w:type="dxa"/>
                    <w:right w:w="28" w:type="dxa"/>
                  </w:tcMar>
                  <w:vAlign w:val="center"/>
                </w:tcPr>
                <w:p w14:paraId="4E7AB033">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bl>
          <w:p w14:paraId="44202787">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eastAsia" w:ascii="Times New Roman" w:hAnsi="Times New Roman" w:eastAsia="宋体" w:cs="Times New Roman"/>
                <w:color w:val="auto"/>
                <w:kern w:val="2"/>
                <w:sz w:val="24"/>
                <w:szCs w:val="20"/>
                <w:highlight w:val="none"/>
                <w:lang w:val="en-US" w:eastAsia="zh-CN"/>
              </w:rPr>
              <w:t>固体废物综合治理行动计划</w:t>
            </w:r>
            <w:r>
              <w:rPr>
                <w:rFonts w:hint="default" w:ascii="Times New Roman" w:hAnsi="Times New Roman" w:cs="Times New Roman"/>
                <w:color w:val="auto"/>
                <w:sz w:val="24"/>
              </w:rPr>
              <w:t>》中相关要求。</w:t>
            </w:r>
          </w:p>
          <w:p w14:paraId="08CAA55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color w:val="auto"/>
                <w:sz w:val="24"/>
                <w:lang w:val="en-US" w:eastAsia="zh-CN"/>
              </w:rPr>
            </w:pPr>
            <w:r>
              <w:rPr>
                <w:rFonts w:hint="eastAsia" w:cs="Times New Roman"/>
                <w:b/>
                <w:bCs/>
                <w:color w:val="auto"/>
                <w:sz w:val="24"/>
                <w:lang w:val="en-US" w:eastAsia="zh-CN"/>
              </w:rPr>
              <w:t>10、与《石家庄市大气环境质量限期达标规划》的符合性分析</w:t>
            </w:r>
          </w:p>
          <w:p w14:paraId="366B48D9">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石家庄市大气环境质量限期达标规划</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12</w:t>
            </w:r>
            <w:r>
              <w:rPr>
                <w:rFonts w:hint="default" w:ascii="Times New Roman" w:hAnsi="Times New Roman" w:cs="Times New Roman"/>
                <w:color w:val="auto"/>
                <w:kern w:val="0"/>
                <w:sz w:val="24"/>
                <w:highlight w:val="none"/>
              </w:rPr>
              <w:t>。</w:t>
            </w:r>
          </w:p>
          <w:p w14:paraId="4D228A1F">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0D3F789D">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64771FE5">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302107ED">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4A7B0740">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74062F2B">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2393F62E">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119C855C">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490CB1DA">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2ED4DD69">
            <w:pPr>
              <w:shd w:val="clear" w:color="auto" w:fill="auto"/>
              <w:spacing w:line="480" w:lineRule="exact"/>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 xml:space="preserve">表1-12 </w:t>
            </w:r>
            <w:r>
              <w:rPr>
                <w:rFonts w:hint="default" w:ascii="Times New Roman" w:hAnsi="Times New Roman" w:eastAsia="宋体" w:cs="Times New Roman"/>
                <w:b/>
                <w:bCs/>
                <w:color w:val="auto"/>
                <w:spacing w:val="-20"/>
                <w:sz w:val="24"/>
                <w:szCs w:val="24"/>
              </w:rPr>
              <w:t>项目与</w:t>
            </w:r>
            <w:r>
              <w:rPr>
                <w:rFonts w:hint="default" w:ascii="Times New Roman" w:hAnsi="Times New Roman" w:eastAsia="宋体" w:cs="Times New Roman"/>
                <w:b/>
                <w:bCs/>
                <w:color w:val="auto"/>
                <w:spacing w:val="-20"/>
                <w:sz w:val="24"/>
                <w:szCs w:val="24"/>
                <w:lang w:eastAsia="zh-CN"/>
              </w:rPr>
              <w:t>《</w:t>
            </w:r>
            <w:r>
              <w:rPr>
                <w:rFonts w:hint="eastAsia" w:ascii="Times New Roman" w:hAnsi="Times New Roman" w:eastAsia="宋体" w:cs="Times New Roman"/>
                <w:b/>
                <w:bCs/>
                <w:color w:val="auto"/>
                <w:spacing w:val="-20"/>
                <w:sz w:val="24"/>
                <w:szCs w:val="24"/>
                <w:lang w:val="en-US" w:eastAsia="zh-CN"/>
              </w:rPr>
              <w:t>石家庄市大气环境质量限期达标规划</w:t>
            </w:r>
            <w:r>
              <w:rPr>
                <w:rFonts w:hint="default" w:ascii="Times New Roman" w:hAnsi="Times New Roman" w:eastAsia="宋体" w:cs="Times New Roman"/>
                <w:b/>
                <w:bCs/>
                <w:color w:val="auto"/>
                <w:spacing w:val="-20"/>
                <w:sz w:val="24"/>
                <w:szCs w:val="24"/>
                <w:lang w:eastAsia="zh-CN"/>
              </w:rPr>
              <w:t>》</w:t>
            </w:r>
            <w:r>
              <w:rPr>
                <w:rFonts w:hint="default" w:ascii="Times New Roman" w:hAnsi="Times New Roman" w:eastAsia="宋体" w:cs="Times New Roman"/>
                <w:b/>
                <w:bCs/>
                <w:color w:val="auto"/>
                <w:spacing w:val="-20"/>
                <w:sz w:val="24"/>
                <w:szCs w:val="24"/>
              </w:rPr>
              <w:t>相符性对照表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8"/>
              <w:gridCol w:w="4455"/>
              <w:gridCol w:w="1425"/>
              <w:gridCol w:w="558"/>
            </w:tblGrid>
            <w:tr w14:paraId="20AE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242" w:type="pct"/>
                  <w:noWrap w:val="0"/>
                  <w:tcMar>
                    <w:top w:w="0" w:type="dxa"/>
                    <w:left w:w="28" w:type="dxa"/>
                    <w:bottom w:w="0" w:type="dxa"/>
                    <w:right w:w="28" w:type="dxa"/>
                  </w:tcMar>
                  <w:vAlign w:val="center"/>
                </w:tcPr>
                <w:p w14:paraId="7C31C149">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15C0AA9A">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3292" w:type="pct"/>
                  <w:noWrap w:val="0"/>
                  <w:tcMar>
                    <w:top w:w="0" w:type="dxa"/>
                    <w:left w:w="28" w:type="dxa"/>
                    <w:bottom w:w="0" w:type="dxa"/>
                    <w:right w:w="28" w:type="dxa"/>
                  </w:tcMar>
                  <w:vAlign w:val="center"/>
                </w:tcPr>
                <w:p w14:paraId="31F6DEEC">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053" w:type="pct"/>
                  <w:noWrap w:val="0"/>
                  <w:tcMar>
                    <w:top w:w="0" w:type="dxa"/>
                    <w:left w:w="28" w:type="dxa"/>
                    <w:bottom w:w="0" w:type="dxa"/>
                    <w:right w:w="28" w:type="dxa"/>
                  </w:tcMar>
                  <w:vAlign w:val="center"/>
                </w:tcPr>
                <w:p w14:paraId="2420014E">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12" w:type="pct"/>
                  <w:noWrap w:val="0"/>
                  <w:tcMar>
                    <w:top w:w="0" w:type="dxa"/>
                    <w:left w:w="28" w:type="dxa"/>
                    <w:bottom w:w="0" w:type="dxa"/>
                    <w:right w:w="28" w:type="dxa"/>
                  </w:tcMar>
                  <w:vAlign w:val="center"/>
                </w:tcPr>
                <w:p w14:paraId="275DD50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2355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242" w:type="pct"/>
                  <w:noWrap w:val="0"/>
                  <w:tcMar>
                    <w:top w:w="0" w:type="dxa"/>
                    <w:left w:w="28" w:type="dxa"/>
                    <w:bottom w:w="0" w:type="dxa"/>
                    <w:right w:w="28" w:type="dxa"/>
                  </w:tcMar>
                  <w:vAlign w:val="center"/>
                </w:tcPr>
                <w:p w14:paraId="21EC9F8D">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292" w:type="pct"/>
                  <w:noWrap w:val="0"/>
                  <w:tcMar>
                    <w:top w:w="0" w:type="dxa"/>
                    <w:left w:w="28" w:type="dxa"/>
                    <w:bottom w:w="0" w:type="dxa"/>
                    <w:right w:w="28" w:type="dxa"/>
                  </w:tcMar>
                  <w:vAlign w:val="center"/>
                </w:tcPr>
                <w:p w14:paraId="104099D8">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(一)深化产业结构优化调整</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促进产业绿色升级转型</w:t>
                  </w:r>
                </w:p>
                <w:p w14:paraId="462D7FA2">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严格环境准入严格落实生态环境分区管控。强化生态环境分区管控的刚性约束和政策引领作用，新、改、扩建项目的环境影响评价应满足区域、规划环评要求。按照《石家庄市生态环境准入清单》要求，严格控制生产和使用高VOCs含量涂料、油墨、胶粘剂、清洗剂等建设项目，提高低(无)VOCs含量产品比重。严控“两高”项目准入。全市不再新增钢铁(含铸造用生铁)、焦化、水泥熟料(超出产能进行产能置换除外)、平板玻璃、电解铝、氧化铝(含氢氧化铝)、煤化工产能。市严格执行重点行业产能减量或等量置换相质关规定。对本地新、改、扩建项目排放的颗粒物、SO</w:t>
                  </w:r>
                  <w:r>
                    <w:rPr>
                      <w:rFonts w:hint="default" w:ascii="Times New Roman" w:hAnsi="Times New Roman" w:eastAsia="宋体" w:cs="Times New Roman"/>
                      <w:color w:val="auto"/>
                      <w:kern w:val="2"/>
                      <w:sz w:val="21"/>
                      <w:szCs w:val="21"/>
                      <w:highlight w:val="none"/>
                      <w:vertAlign w:val="sub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、NOx、VOCs实行两倍削减替代。建设项目为高架源的污染物替代指标应来源于高架源。</w:t>
                  </w:r>
                </w:p>
              </w:tc>
              <w:tc>
                <w:tcPr>
                  <w:tcW w:w="1053" w:type="pct"/>
                  <w:noWrap w:val="0"/>
                  <w:tcMar>
                    <w:top w:w="0" w:type="dxa"/>
                    <w:left w:w="28" w:type="dxa"/>
                    <w:bottom w:w="0" w:type="dxa"/>
                    <w:right w:w="28" w:type="dxa"/>
                  </w:tcMar>
                  <w:vAlign w:val="center"/>
                </w:tcPr>
                <w:p w14:paraId="16FED18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本项目符合生态环境分区管控要求，项目符合区域、规划环评要求，不涉及高VOCs含量涂料、油墨胶粘剂、清洗剂等物料的生产和使用。2.项目不属于“两高”项目，不涉及钢铁、焦化、水泥熟料、平板玻璃、电解铝、氧化铝、煤化工产能</w:t>
                  </w:r>
                  <w:r>
                    <w:rPr>
                      <w:rFonts w:hint="eastAsia" w:ascii="Times New Roman" w:hAnsi="Times New Roman" w:eastAsia="宋体" w:cs="Times New Roman"/>
                      <w:color w:val="auto"/>
                      <w:kern w:val="2"/>
                      <w:sz w:val="21"/>
                      <w:szCs w:val="21"/>
                      <w:highlight w:val="none"/>
                      <w:lang w:val="en-US" w:eastAsia="zh-CN" w:bidi="ar-SA"/>
                    </w:rPr>
                    <w:t>；项目为技改项目，不新增</w:t>
                  </w:r>
                  <w:r>
                    <w:rPr>
                      <w:rFonts w:hint="default" w:ascii="Times New Roman" w:hAnsi="Times New Roman" w:eastAsia="宋体" w:cs="Times New Roman"/>
                      <w:color w:val="auto"/>
                      <w:kern w:val="2"/>
                      <w:sz w:val="21"/>
                      <w:szCs w:val="21"/>
                      <w:highlight w:val="none"/>
                      <w:lang w:val="en-US" w:eastAsia="zh-CN" w:bidi="ar-SA"/>
                    </w:rPr>
                    <w:t>颗粒物</w:t>
                  </w:r>
                  <w:r>
                    <w:rPr>
                      <w:rFonts w:hint="eastAsia" w:ascii="Times New Roman" w:hAnsi="Times New Roman" w:eastAsia="宋体" w:cs="Times New Roman"/>
                      <w:color w:val="auto"/>
                      <w:kern w:val="2"/>
                      <w:sz w:val="21"/>
                      <w:szCs w:val="21"/>
                      <w:highlight w:val="none"/>
                      <w:lang w:val="en-US" w:eastAsia="zh-CN" w:bidi="ar-SA"/>
                    </w:rPr>
                    <w:t>排放量</w:t>
                  </w:r>
                  <w:r>
                    <w:rPr>
                      <w:rFonts w:hint="default" w:ascii="Times New Roman" w:hAnsi="Times New Roman" w:eastAsia="宋体" w:cs="Times New Roman"/>
                      <w:color w:val="auto"/>
                      <w:kern w:val="2"/>
                      <w:sz w:val="21"/>
                      <w:szCs w:val="21"/>
                      <w:highlight w:val="none"/>
                      <w:lang w:val="en-US" w:eastAsia="zh-CN" w:bidi="ar-SA"/>
                    </w:rPr>
                    <w:t>。</w:t>
                  </w:r>
                </w:p>
              </w:tc>
              <w:tc>
                <w:tcPr>
                  <w:tcW w:w="412" w:type="pct"/>
                  <w:noWrap w:val="0"/>
                  <w:tcMar>
                    <w:top w:w="0" w:type="dxa"/>
                    <w:left w:w="28" w:type="dxa"/>
                    <w:bottom w:w="0" w:type="dxa"/>
                    <w:right w:w="28" w:type="dxa"/>
                  </w:tcMar>
                  <w:vAlign w:val="center"/>
                </w:tcPr>
                <w:p w14:paraId="1EB09485">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D6E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atLeast"/>
                <w:jc w:val="center"/>
              </w:trPr>
              <w:tc>
                <w:tcPr>
                  <w:tcW w:w="242" w:type="pct"/>
                  <w:noWrap w:val="0"/>
                  <w:tcMar>
                    <w:top w:w="0" w:type="dxa"/>
                    <w:left w:w="28" w:type="dxa"/>
                    <w:bottom w:w="0" w:type="dxa"/>
                    <w:right w:w="28" w:type="dxa"/>
                  </w:tcMar>
                  <w:vAlign w:val="center"/>
                </w:tcPr>
                <w:p w14:paraId="68F1C07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292" w:type="pct"/>
                  <w:noWrap w:val="0"/>
                  <w:tcMar>
                    <w:top w:w="0" w:type="dxa"/>
                    <w:left w:w="28" w:type="dxa"/>
                    <w:bottom w:w="0" w:type="dxa"/>
                    <w:right w:w="28" w:type="dxa"/>
                  </w:tcMar>
                  <w:vAlign w:val="center"/>
                </w:tcPr>
                <w:p w14:paraId="65E2A6A9">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调整优化产业结构加快培育有竞争力的绿色低碳企业，扶持批专精特优中小企业。以生物医药、新一代电子信息为引领，带动装备制造、现代食品、商贸物流产业全面升级。有序推进产业结构调整，推进水泥、炭素、铸造砖瓦、陶瓷、石灰等行业扶优汰劣、整合提升。2027年完成水泥、铸造、陶瓷、砖瓦、石灰等行业产业提质升级，2030年完成有色、炭素、钙镁等行业产业提质升级。强化产业退城入园。优化园区布局，提升园区规划环评效力，积极协调可以承接搬迁企业的产业集聚区和工业园区，到2030年，全市工业企业实现按主导功能入园。开展零碳园区试点建设，推动零碳园区应用场景落地。聚焦钢铁、建材、石化化工</w:t>
                  </w:r>
                  <w:r>
                    <w:rPr>
                      <w:rFonts w:hint="eastAsia" w:ascii="Times New Roman" w:hAnsi="Times New Roman" w:eastAsia="宋体" w:cs="Times New Roman"/>
                      <w:color w:val="auto"/>
                      <w:kern w:val="2"/>
                      <w:sz w:val="21"/>
                      <w:szCs w:val="21"/>
                      <w:highlight w:val="none"/>
                      <w:lang w:val="en-US" w:eastAsia="zh-CN" w:bidi="ar-SA"/>
                    </w:rPr>
                    <w:t>、食品医药、电子信息、轻工等重点行业，遴选绿色低碳发展水平相对较高、处于省内同行业前列的工业企业重点进行零碳工厂培育。</w:t>
                  </w:r>
                </w:p>
              </w:tc>
              <w:tc>
                <w:tcPr>
                  <w:tcW w:w="1053" w:type="pct"/>
                  <w:noWrap w:val="0"/>
                  <w:tcMar>
                    <w:top w:w="0" w:type="dxa"/>
                    <w:left w:w="28" w:type="dxa"/>
                    <w:bottom w:w="0" w:type="dxa"/>
                    <w:right w:w="28" w:type="dxa"/>
                  </w:tcMar>
                  <w:vAlign w:val="center"/>
                </w:tcPr>
                <w:p w14:paraId="68AB7A6D">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本项目为碳素企业现有厂区备用设备技改，不新增产能，位于工业园区内；依托现有企业实施提质提升，契合碳素行业扶优汰劣、入园发展及绿色低碳发展导向，符合相关要求。</w:t>
                  </w:r>
                </w:p>
              </w:tc>
              <w:tc>
                <w:tcPr>
                  <w:tcW w:w="412" w:type="pct"/>
                  <w:noWrap w:val="0"/>
                  <w:tcMar>
                    <w:top w:w="0" w:type="dxa"/>
                    <w:left w:w="28" w:type="dxa"/>
                    <w:bottom w:w="0" w:type="dxa"/>
                    <w:right w:w="28" w:type="dxa"/>
                  </w:tcMar>
                  <w:vAlign w:val="center"/>
                </w:tcPr>
                <w:p w14:paraId="3A495E2C">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4DF0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2" w:type="pct"/>
                  <w:noWrap w:val="0"/>
                  <w:tcMar>
                    <w:top w:w="0" w:type="dxa"/>
                    <w:left w:w="28" w:type="dxa"/>
                    <w:bottom w:w="0" w:type="dxa"/>
                    <w:right w:w="28" w:type="dxa"/>
                  </w:tcMar>
                  <w:vAlign w:val="center"/>
                </w:tcPr>
                <w:p w14:paraId="7AAA642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292" w:type="pct"/>
                  <w:noWrap w:val="0"/>
                  <w:tcMar>
                    <w:top w:w="0" w:type="dxa"/>
                    <w:left w:w="28" w:type="dxa"/>
                    <w:bottom w:w="0" w:type="dxa"/>
                    <w:right w:w="28" w:type="dxa"/>
                  </w:tcMar>
                  <w:vAlign w:val="center"/>
                </w:tcPr>
                <w:p w14:paraId="58261641">
                  <w:pPr>
                    <w:pStyle w:val="77"/>
                    <w:shd w:val="clear" w:color="auto" w:fill="auto"/>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加快退出落后和过剩产能持续推进落后产能淘汰工作。列入《产业结构调整指导目录(2024年本)》“淘汰类”落后生产工艺装备和产品，按照规定期限进行淘汰,鼓励引导重点行业“限制类”生项产工艺和装备逐步退出。到2027年，整合退出产能在1亿标砖/年以下的烧结砖生产本线，保留企业达到环保绩效A级，以煤为燃料的独立石灰窑企业完成淘汰或清洁能目源替换，保留企业环保绩效达到A级。规模以上涉气企业开展“升A晋B”行动，到2027年力争60%以上企业达到B级及以上水平，到2030年力争全部达到。</w:t>
                  </w:r>
                </w:p>
              </w:tc>
              <w:tc>
                <w:tcPr>
                  <w:tcW w:w="1053" w:type="pct"/>
                  <w:noWrap w:val="0"/>
                  <w:tcMar>
                    <w:top w:w="0" w:type="dxa"/>
                    <w:left w:w="28" w:type="dxa"/>
                    <w:bottom w:w="0" w:type="dxa"/>
                    <w:right w:w="28" w:type="dxa"/>
                  </w:tcMar>
                  <w:vAlign w:val="center"/>
                </w:tcPr>
                <w:p w14:paraId="1D0641CC">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项目不涉及《产业结构调整指导目录(2024年本)》“淘汰类”落后生产工艺装备和产品，本项目为厂区内技改，</w:t>
                  </w:r>
                  <w:r>
                    <w:rPr>
                      <w:rFonts w:hint="eastAsia" w:ascii="Times New Roman" w:hAnsi="Times New Roman" w:eastAsia="宋体" w:cs="Times New Roman"/>
                      <w:color w:val="auto"/>
                      <w:kern w:val="2"/>
                      <w:sz w:val="21"/>
                      <w:szCs w:val="21"/>
                      <w:highlight w:val="none"/>
                      <w:lang w:val="en-US" w:eastAsia="zh-CN" w:bidi="ar-SA"/>
                    </w:rPr>
                    <w:t>不涉及新增燃气，</w:t>
                  </w:r>
                  <w:r>
                    <w:rPr>
                      <w:rFonts w:hint="default" w:ascii="Times New Roman" w:hAnsi="Times New Roman" w:eastAsia="宋体" w:cs="Times New Roman"/>
                      <w:color w:val="auto"/>
                      <w:kern w:val="2"/>
                      <w:sz w:val="21"/>
                      <w:szCs w:val="21"/>
                      <w:highlight w:val="none"/>
                      <w:lang w:val="en-US" w:eastAsia="zh-CN" w:bidi="ar-SA"/>
                    </w:rPr>
                    <w:t>不新增产能。</w:t>
                  </w:r>
                </w:p>
              </w:tc>
              <w:tc>
                <w:tcPr>
                  <w:tcW w:w="412" w:type="pct"/>
                  <w:noWrap w:val="0"/>
                  <w:tcMar>
                    <w:top w:w="0" w:type="dxa"/>
                    <w:left w:w="28" w:type="dxa"/>
                    <w:bottom w:w="0" w:type="dxa"/>
                    <w:right w:w="28" w:type="dxa"/>
                  </w:tcMar>
                  <w:vAlign w:val="center"/>
                </w:tcPr>
                <w:p w14:paraId="5AC1075E">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4A7D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2" w:type="pct"/>
                  <w:noWrap w:val="0"/>
                  <w:tcMar>
                    <w:top w:w="0" w:type="dxa"/>
                    <w:left w:w="28" w:type="dxa"/>
                    <w:bottom w:w="0" w:type="dxa"/>
                    <w:right w:w="28" w:type="dxa"/>
                  </w:tcMar>
                  <w:vAlign w:val="center"/>
                </w:tcPr>
                <w:p w14:paraId="1DDE4B6B">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4</w:t>
                  </w:r>
                </w:p>
              </w:tc>
              <w:tc>
                <w:tcPr>
                  <w:tcW w:w="3292" w:type="pct"/>
                  <w:noWrap w:val="0"/>
                  <w:tcMar>
                    <w:top w:w="0" w:type="dxa"/>
                    <w:left w:w="28" w:type="dxa"/>
                    <w:bottom w:w="0" w:type="dxa"/>
                    <w:right w:w="28" w:type="dxa"/>
                  </w:tcMar>
                  <w:vAlign w:val="center"/>
                </w:tcPr>
                <w:p w14:paraId="60514304">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推动传统产业集群绿色升级对防水建材、铸造、纤维素醚等重点行业产业集群进行综合治理，按照疏堵结合、分类实施的原则，依法采取“关停取缔一批、扶持壮大一批、入园发展一批”的措施,着力解决集群产业的企业布局、治污设施规范运行问题。加大绿色制造培育示范力度,培育扶持树立标杆企业，引领集群绿色转型升级。</w:t>
                  </w:r>
                </w:p>
              </w:tc>
              <w:tc>
                <w:tcPr>
                  <w:tcW w:w="1053" w:type="pct"/>
                  <w:noWrap w:val="0"/>
                  <w:tcMar>
                    <w:top w:w="0" w:type="dxa"/>
                    <w:left w:w="28" w:type="dxa"/>
                    <w:bottom w:w="0" w:type="dxa"/>
                    <w:right w:w="28" w:type="dxa"/>
                  </w:tcMar>
                  <w:vAlign w:val="center"/>
                </w:tcPr>
                <w:p w14:paraId="4D792B7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本项目不涉及防水建材、铸造、纤维素醚等</w:t>
                  </w:r>
                </w:p>
                <w:p w14:paraId="63C2EFE8">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重点行业。</w:t>
                  </w:r>
                </w:p>
              </w:tc>
              <w:tc>
                <w:tcPr>
                  <w:tcW w:w="412" w:type="pct"/>
                  <w:noWrap w:val="0"/>
                  <w:tcMar>
                    <w:top w:w="0" w:type="dxa"/>
                    <w:left w:w="28" w:type="dxa"/>
                    <w:bottom w:w="0" w:type="dxa"/>
                    <w:right w:w="28" w:type="dxa"/>
                  </w:tcMar>
                  <w:vAlign w:val="center"/>
                </w:tcPr>
                <w:p w14:paraId="3C2C334D">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8BC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69B7793B">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5</w:t>
                  </w:r>
                </w:p>
              </w:tc>
              <w:tc>
                <w:tcPr>
                  <w:tcW w:w="3292" w:type="pct"/>
                  <w:noWrap w:val="0"/>
                  <w:tcMar>
                    <w:top w:w="0" w:type="dxa"/>
                    <w:left w:w="28" w:type="dxa"/>
                    <w:bottom w:w="0" w:type="dxa"/>
                    <w:right w:w="28" w:type="dxa"/>
                  </w:tcMar>
                  <w:vAlign w:val="center"/>
                </w:tcPr>
                <w:p w14:paraId="27EE60B9">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二)深化能源结构优化调整</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加速能源清洁低碳发展</w:t>
                  </w:r>
                </w:p>
                <w:p w14:paraId="5FA12B0D">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持续实施煤炭消费总量控制在保障能源安全供应的前提下，持续实施煤炭消费总量控制，重点压减非电用煤和分散低效用煤，全市煤炭消费量稳步下降。新、改、扩建用煤项目依法实行煤炭等量或减量替代，替代措施落实后方可投产,不得将石油焦、焦炭、兰炭等高污染燃料作为煤炭减量替代措施，煤矸石、原料用煤不纳入煤炭消费总量考核。严控新增燃煤机组规模，同时达到环保绩效A级水平，单位供电煤耗达到煤炭清洁高效利用重点领域标杆水平限值。原则上不再新增自备燃煤机组。力争关停整合已经落实接续热源且具备关停条件的30万千瓦及以下燃煤机组(背压除外)。加快推动实施定热入石长输供热项目，为新乐市、正定县及石家庄市主城区东北部区域供热。</w:t>
                  </w:r>
                </w:p>
              </w:tc>
              <w:tc>
                <w:tcPr>
                  <w:tcW w:w="1053" w:type="pct"/>
                  <w:noWrap w:val="0"/>
                  <w:tcMar>
                    <w:top w:w="0" w:type="dxa"/>
                    <w:left w:w="28" w:type="dxa"/>
                    <w:bottom w:w="0" w:type="dxa"/>
                    <w:right w:w="28" w:type="dxa"/>
                  </w:tcMar>
                  <w:vAlign w:val="center"/>
                </w:tcPr>
                <w:p w14:paraId="10872F56">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项目不涉及燃煤使用。</w:t>
                  </w:r>
                </w:p>
              </w:tc>
              <w:tc>
                <w:tcPr>
                  <w:tcW w:w="412" w:type="pct"/>
                  <w:noWrap w:val="0"/>
                  <w:tcMar>
                    <w:top w:w="0" w:type="dxa"/>
                    <w:left w:w="28" w:type="dxa"/>
                    <w:bottom w:w="0" w:type="dxa"/>
                    <w:right w:w="28" w:type="dxa"/>
                  </w:tcMar>
                  <w:vAlign w:val="center"/>
                </w:tcPr>
                <w:p w14:paraId="6B5893F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1138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1F5B0ABF">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6</w:t>
                  </w:r>
                </w:p>
              </w:tc>
              <w:tc>
                <w:tcPr>
                  <w:tcW w:w="3292" w:type="pct"/>
                  <w:noWrap w:val="0"/>
                  <w:tcMar>
                    <w:top w:w="0" w:type="dxa"/>
                    <w:left w:w="28" w:type="dxa"/>
                    <w:bottom w:w="0" w:type="dxa"/>
                    <w:right w:w="28" w:type="dxa"/>
                  </w:tcMar>
                  <w:vAlign w:val="center"/>
                </w:tcPr>
                <w:p w14:paraId="3903A0E5">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积极开展锅炉关停整合原则上不再新建除集中供暖外的燃煤锅炉。在保障民生供暖、供电基础上，充分发挥30万千瓦及以上热电联产电厂的供热能力，对其供热半径30公里范围内的燃煤锅炉和落后燃煤小热电机组(含自备电厂)进行关停或整合。到2027年，全面淘汰具备淘汰条件的65蒸吨/小时及以下工业燃煤锅炉和城市主城区供暖燃煤锅炉，同步做好供暖保障</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推进城市远距离输热，加快城区燃气锅炉替代</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淘汰燃油锅炉</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加大生物质锅炉排放监管力度，禁止掺烧煤炭、生活垃圾。</w:t>
                  </w:r>
                </w:p>
              </w:tc>
              <w:tc>
                <w:tcPr>
                  <w:tcW w:w="1053" w:type="pct"/>
                  <w:noWrap w:val="0"/>
                  <w:tcMar>
                    <w:top w:w="0" w:type="dxa"/>
                    <w:left w:w="28" w:type="dxa"/>
                    <w:bottom w:w="0" w:type="dxa"/>
                    <w:right w:w="28" w:type="dxa"/>
                  </w:tcMar>
                  <w:vAlign w:val="center"/>
                </w:tcPr>
                <w:p w14:paraId="3ECFF57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项目不涉及燃煤锅炉。</w:t>
                  </w:r>
                </w:p>
              </w:tc>
              <w:tc>
                <w:tcPr>
                  <w:tcW w:w="412" w:type="pct"/>
                  <w:noWrap w:val="0"/>
                  <w:tcMar>
                    <w:top w:w="0" w:type="dxa"/>
                    <w:left w:w="28" w:type="dxa"/>
                    <w:bottom w:w="0" w:type="dxa"/>
                    <w:right w:w="28" w:type="dxa"/>
                  </w:tcMar>
                  <w:vAlign w:val="center"/>
                </w:tcPr>
                <w:p w14:paraId="6E43EAE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DF0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1FD147A1">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7</w:t>
                  </w:r>
                </w:p>
              </w:tc>
              <w:tc>
                <w:tcPr>
                  <w:tcW w:w="3292" w:type="pct"/>
                  <w:noWrap w:val="0"/>
                  <w:tcMar>
                    <w:top w:w="0" w:type="dxa"/>
                    <w:left w:w="28" w:type="dxa"/>
                    <w:bottom w:w="0" w:type="dxa"/>
                    <w:right w:w="28" w:type="dxa"/>
                  </w:tcMar>
                  <w:vAlign w:val="center"/>
                </w:tcPr>
                <w:p w14:paraId="38452B77">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加快推动工业炉窑清洁能源替代原则上不再新建燃用高污染燃料的工业炉窑。以煤、重油等为燃料的工业窑炉改为使用电厂热力、工业余热或清洁能源。燃料类煤气发生炉实行清洁能源替代,或因地制宜采取园区(集群)集中供气、分散使用等</w:t>
                  </w:r>
                </w:p>
                <w:p w14:paraId="61CBF1E2">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方式，逐步淘汰固定床间歇式煤气发生炉</w:t>
                  </w:r>
                  <w:r>
                    <w:rPr>
                      <w:rFonts w:hint="eastAsia" w:ascii="Times New Roman" w:hAnsi="Times New Roman" w:eastAsia="宋体" w:cs="Times New Roman"/>
                      <w:color w:val="auto"/>
                      <w:kern w:val="2"/>
                      <w:sz w:val="21"/>
                      <w:szCs w:val="21"/>
                      <w:highlight w:val="none"/>
                      <w:lang w:val="en-US" w:eastAsia="zh-CN" w:bidi="ar-SA"/>
                    </w:rPr>
                    <w:t>。</w:t>
                  </w:r>
                </w:p>
              </w:tc>
              <w:tc>
                <w:tcPr>
                  <w:tcW w:w="1053" w:type="pct"/>
                  <w:noWrap w:val="0"/>
                  <w:tcMar>
                    <w:top w:w="0" w:type="dxa"/>
                    <w:left w:w="28" w:type="dxa"/>
                    <w:bottom w:w="0" w:type="dxa"/>
                    <w:right w:w="28" w:type="dxa"/>
                  </w:tcMar>
                  <w:vAlign w:val="center"/>
                </w:tcPr>
                <w:p w14:paraId="6C54A36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项目不涉及高污染燃料工业炉窑，</w:t>
                  </w:r>
                  <w:r>
                    <w:rPr>
                      <w:rFonts w:hint="eastAsia" w:ascii="Times New Roman" w:hAnsi="Times New Roman" w:eastAsia="宋体" w:cs="Times New Roman"/>
                      <w:color w:val="auto"/>
                      <w:kern w:val="2"/>
                      <w:sz w:val="21"/>
                      <w:szCs w:val="21"/>
                      <w:highlight w:val="none"/>
                      <w:lang w:val="en-US" w:eastAsia="zh-CN" w:bidi="ar-SA"/>
                    </w:rPr>
                    <w:t>技改项目不涉气</w:t>
                  </w:r>
                  <w:r>
                    <w:rPr>
                      <w:rFonts w:hint="default" w:ascii="Times New Roman" w:hAnsi="Times New Roman" w:eastAsia="宋体" w:cs="Times New Roman"/>
                      <w:color w:val="auto"/>
                      <w:kern w:val="2"/>
                      <w:sz w:val="21"/>
                      <w:szCs w:val="21"/>
                      <w:highlight w:val="none"/>
                      <w:lang w:val="en-US" w:eastAsia="zh-CN" w:bidi="ar-SA"/>
                    </w:rPr>
                    <w:t>。</w:t>
                  </w:r>
                </w:p>
              </w:tc>
              <w:tc>
                <w:tcPr>
                  <w:tcW w:w="412" w:type="pct"/>
                  <w:noWrap w:val="0"/>
                  <w:tcMar>
                    <w:top w:w="0" w:type="dxa"/>
                    <w:left w:w="28" w:type="dxa"/>
                    <w:bottom w:w="0" w:type="dxa"/>
                    <w:right w:w="28" w:type="dxa"/>
                  </w:tcMar>
                  <w:vAlign w:val="center"/>
                </w:tcPr>
                <w:p w14:paraId="1024FD4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79A7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32C829DC">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8</w:t>
                  </w:r>
                </w:p>
              </w:tc>
              <w:tc>
                <w:tcPr>
                  <w:tcW w:w="3292" w:type="pct"/>
                  <w:noWrap w:val="0"/>
                  <w:tcMar>
                    <w:top w:w="0" w:type="dxa"/>
                    <w:left w:w="28" w:type="dxa"/>
                    <w:bottom w:w="0" w:type="dxa"/>
                    <w:right w:w="28" w:type="dxa"/>
                  </w:tcMar>
                  <w:vAlign w:val="center"/>
                </w:tcPr>
                <w:p w14:paraId="3E7B4213">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推进非道路移动机械清洁发展重点行业企业、工业园区、产业集群、物流园区、施工工地、矿山等新增或更新的内部车辆和非道路移动机械原则上采用新能源，无对应新能源产品的，鼓励满足国四及以上排放标准。机场新增作业车辆和非道路移动机械应电尽电。到2027年，力争全市建成区使用国四或新能源非道路移动机械，煤炭(开采、洗选等)、钢铁、火电、水泥(含粉磨站)、有色等重点行业内部作业车辆和机械更新为新能源，无对应新能源产品的，鼓励满足国四及以上排放标准。到2030年，力争全市工矿企业内部作业车辆和机械更新为新能源，无对应新能源产品的，鼓励满足国四及以上排放标准。持续推进工程机械和农业机械清洁化替代。</w:t>
                  </w:r>
                </w:p>
              </w:tc>
              <w:tc>
                <w:tcPr>
                  <w:tcW w:w="1053" w:type="pct"/>
                  <w:noWrap w:val="0"/>
                  <w:tcMar>
                    <w:top w:w="0" w:type="dxa"/>
                    <w:left w:w="28" w:type="dxa"/>
                    <w:bottom w:w="0" w:type="dxa"/>
                    <w:right w:w="28" w:type="dxa"/>
                  </w:tcMar>
                  <w:vAlign w:val="center"/>
                </w:tcPr>
                <w:p w14:paraId="5EC97EA2">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项目建设完成后大宗物料、产品、原辅材料全部使用国五排放标准的车辆，厂内非道路移动机械使用纯电动机械。</w:t>
                  </w:r>
                </w:p>
              </w:tc>
              <w:tc>
                <w:tcPr>
                  <w:tcW w:w="412" w:type="pct"/>
                  <w:noWrap w:val="0"/>
                  <w:tcMar>
                    <w:top w:w="0" w:type="dxa"/>
                    <w:left w:w="28" w:type="dxa"/>
                    <w:bottom w:w="0" w:type="dxa"/>
                    <w:right w:w="28" w:type="dxa"/>
                  </w:tcMar>
                  <w:vAlign w:val="center"/>
                </w:tcPr>
                <w:p w14:paraId="4187CCFA">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1B80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6E7EE3A9">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9</w:t>
                  </w:r>
                </w:p>
              </w:tc>
              <w:tc>
                <w:tcPr>
                  <w:tcW w:w="3292" w:type="pct"/>
                  <w:noWrap w:val="0"/>
                  <w:tcMar>
                    <w:top w:w="0" w:type="dxa"/>
                    <w:left w:w="28" w:type="dxa"/>
                    <w:bottom w:w="0" w:type="dxa"/>
                    <w:right w:w="28" w:type="dxa"/>
                  </w:tcMar>
                  <w:vAlign w:val="center"/>
                </w:tcPr>
                <w:p w14:paraId="3CA4597B">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强化施工扬尘污染防治施工工地积极推广应用装配式道路，基坑气膜全密闭施工，脚手架外挂钢板安全立网等绿色施工技术，施工过程机械设备、运输车辆实现全电(新能源)作业，到2027年，长安区、桥西区、裕华区、新华区、高新区、栾城区、藁城区、井陉矿区、鹿泉区内80%施工工地实现绿色无尘全电作业，到2030年力争全部实现。</w:t>
                  </w:r>
                </w:p>
              </w:tc>
              <w:tc>
                <w:tcPr>
                  <w:tcW w:w="1053" w:type="pct"/>
                  <w:noWrap w:val="0"/>
                  <w:tcMar>
                    <w:top w:w="0" w:type="dxa"/>
                    <w:left w:w="28" w:type="dxa"/>
                    <w:bottom w:w="0" w:type="dxa"/>
                    <w:right w:w="28" w:type="dxa"/>
                  </w:tcMar>
                  <w:vAlign w:val="center"/>
                </w:tcPr>
                <w:p w14:paraId="6C2146C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项目在现有</w:t>
                  </w:r>
                  <w:r>
                    <w:rPr>
                      <w:rFonts w:hint="eastAsia" w:ascii="Times New Roman" w:hAnsi="Times New Roman" w:eastAsia="宋体" w:cs="Times New Roman"/>
                      <w:color w:val="auto"/>
                      <w:kern w:val="2"/>
                      <w:sz w:val="21"/>
                      <w:szCs w:val="21"/>
                      <w:highlight w:val="none"/>
                      <w:lang w:val="en-US" w:eastAsia="zh-CN" w:bidi="ar-SA"/>
                    </w:rPr>
                    <w:t>厂区内</w:t>
                  </w:r>
                  <w:r>
                    <w:rPr>
                      <w:rFonts w:hint="default" w:ascii="Times New Roman" w:hAnsi="Times New Roman" w:eastAsia="宋体" w:cs="Times New Roman"/>
                      <w:color w:val="auto"/>
                      <w:kern w:val="2"/>
                      <w:sz w:val="21"/>
                      <w:szCs w:val="21"/>
                      <w:highlight w:val="none"/>
                      <w:lang w:val="en-US" w:eastAsia="zh-CN" w:bidi="ar-SA"/>
                    </w:rPr>
                    <w:t>建设，仅涉及设备安装</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道路已全面硬化，施工机械设备全部采用电、运输车辆采用新能源。</w:t>
                  </w:r>
                </w:p>
              </w:tc>
              <w:tc>
                <w:tcPr>
                  <w:tcW w:w="412" w:type="pct"/>
                  <w:noWrap w:val="0"/>
                  <w:tcMar>
                    <w:top w:w="0" w:type="dxa"/>
                    <w:left w:w="28" w:type="dxa"/>
                    <w:bottom w:w="0" w:type="dxa"/>
                    <w:right w:w="28" w:type="dxa"/>
                  </w:tcMar>
                  <w:vAlign w:val="center"/>
                </w:tcPr>
                <w:p w14:paraId="52FB132D">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75EC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363601E8">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10</w:t>
                  </w:r>
                </w:p>
              </w:tc>
              <w:tc>
                <w:tcPr>
                  <w:tcW w:w="3292" w:type="pct"/>
                  <w:noWrap w:val="0"/>
                  <w:tcMar>
                    <w:top w:w="0" w:type="dxa"/>
                    <w:left w:w="28" w:type="dxa"/>
                    <w:bottom w:w="0" w:type="dxa"/>
                    <w:right w:w="28" w:type="dxa"/>
                  </w:tcMar>
                  <w:vAlign w:val="center"/>
                </w:tcPr>
                <w:p w14:paraId="29356924">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(五)深化重点行业深度治理，持续强化多污染物减排24.深化工业炉窑综合治理</w:t>
                  </w:r>
                </w:p>
                <w:p w14:paraId="312E251C">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炭素行业。持续开展“升A晋B”行动，采用SNCR法脱硝的企业应利用自动控制手段精确控制尿素/氨水喷入量，煅烧炉、焙烧炉烟气脱硝采用单级低氮燃烧、单级SNCR或单级臭氧氧化技术的企业完成氮氧化物治理设施升级改造。到2027年，4家企业达到A级水平。</w:t>
                  </w:r>
                </w:p>
              </w:tc>
              <w:tc>
                <w:tcPr>
                  <w:tcW w:w="1053" w:type="pct"/>
                  <w:noWrap w:val="0"/>
                  <w:tcMar>
                    <w:top w:w="0" w:type="dxa"/>
                    <w:left w:w="28" w:type="dxa"/>
                    <w:bottom w:w="0" w:type="dxa"/>
                    <w:right w:w="28" w:type="dxa"/>
                  </w:tcMar>
                  <w:vAlign w:val="center"/>
                </w:tcPr>
                <w:p w14:paraId="775C9B8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本项目仅新增备用磨粉制粉设备，不新增煅烧、焙烧炉窑，不涉及炭素炉窑脱硝设施改造</w:t>
                  </w:r>
                </w:p>
              </w:tc>
              <w:tc>
                <w:tcPr>
                  <w:tcW w:w="412" w:type="pct"/>
                  <w:noWrap w:val="0"/>
                  <w:tcMar>
                    <w:top w:w="0" w:type="dxa"/>
                    <w:left w:w="28" w:type="dxa"/>
                    <w:bottom w:w="0" w:type="dxa"/>
                    <w:right w:w="28" w:type="dxa"/>
                  </w:tcMar>
                  <w:vAlign w:val="center"/>
                </w:tcPr>
                <w:p w14:paraId="37D23C95">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bl>
          <w:p w14:paraId="457E4EF8">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石家庄市大气环境质量限期达标规划</w:t>
            </w:r>
            <w:r>
              <w:rPr>
                <w:rFonts w:hint="default" w:ascii="Times New Roman" w:hAnsi="Times New Roman" w:cs="Times New Roman"/>
                <w:color w:val="auto"/>
                <w:kern w:val="0"/>
                <w:sz w:val="24"/>
                <w:highlight w:val="none"/>
                <w:lang w:eastAsia="zh-CN"/>
              </w:rPr>
              <w:t>》</w:t>
            </w:r>
            <w:r>
              <w:rPr>
                <w:rFonts w:hint="eastAsia" w:ascii="Times New Roman" w:hAnsi="Times New Roman" w:cs="Times New Roman"/>
                <w:color w:val="auto"/>
                <w:kern w:val="0"/>
                <w:sz w:val="24"/>
                <w:highlight w:val="none"/>
                <w:lang w:eastAsia="zh-CN"/>
              </w:rPr>
              <w:t>（石政发[2025]11号）</w:t>
            </w:r>
            <w:r>
              <w:rPr>
                <w:rFonts w:hint="default" w:ascii="Times New Roman" w:hAnsi="Times New Roman" w:cs="Times New Roman"/>
                <w:color w:val="auto"/>
                <w:sz w:val="24"/>
              </w:rPr>
              <w:t>中相关要求。</w:t>
            </w:r>
          </w:p>
          <w:p w14:paraId="3A48C0B5">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27827445">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05367286">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3221C14D">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13DAA9F7">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4A8B2E0C">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3776DDFA">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tc>
      </w:tr>
    </w:tbl>
    <w:p w14:paraId="5692D994">
      <w:pPr>
        <w:shd w:val="clear" w:color="auto" w:fill="auto"/>
        <w:spacing w:line="360" w:lineRule="auto"/>
        <w:outlineLvl w:val="0"/>
        <w:rPr>
          <w:rFonts w:hint="default" w:ascii="Times New Roman" w:hAnsi="Times New Roman" w:eastAsia="黑体" w:cs="Times New Roman"/>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0870838C">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二、建设项目工程分析</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8608"/>
      </w:tblGrid>
      <w:tr w14:paraId="1BDBD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noWrap w:val="0"/>
            <w:vAlign w:val="center"/>
          </w:tcPr>
          <w:p w14:paraId="42D0EBAC">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Cs w:val="24"/>
              </w:rPr>
              <w:t>建设内容</w:t>
            </w:r>
          </w:p>
        </w:tc>
        <w:tc>
          <w:tcPr>
            <w:tcW w:w="8608" w:type="dxa"/>
            <w:noWrap w:val="0"/>
            <w:vAlign w:val="top"/>
          </w:tcPr>
          <w:p w14:paraId="4E14B0DB">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石家庄鸿科碳素有限公司成立于2014年，厂址位于石家庄市矿区工业园区石钢片区河北鸿科碳素有限公司，主要生产新型节能环保预焙阳极。现有工程劳动定员</w:t>
            </w:r>
            <w:r>
              <w:rPr>
                <w:rFonts w:hint="eastAsia" w:cs="Times New Roman"/>
                <w:bCs/>
                <w:color w:val="auto"/>
                <w:sz w:val="24"/>
                <w:szCs w:val="24"/>
                <w:lang w:val="en-US" w:eastAsia="zh-CN"/>
              </w:rPr>
              <w:t>47</w:t>
            </w:r>
            <w:r>
              <w:rPr>
                <w:rFonts w:hint="default" w:ascii="Times New Roman" w:hAnsi="Times New Roman" w:cs="Times New Roman"/>
                <w:bCs/>
                <w:color w:val="auto"/>
                <w:sz w:val="24"/>
                <w:szCs w:val="24"/>
              </w:rPr>
              <w:t>0人，采用</w:t>
            </w:r>
            <w:r>
              <w:rPr>
                <w:rFonts w:hint="eastAsia" w:cs="Times New Roman"/>
                <w:bCs/>
                <w:color w:val="auto"/>
                <w:sz w:val="24"/>
                <w:szCs w:val="24"/>
                <w:lang w:val="en-US" w:eastAsia="zh-CN"/>
              </w:rPr>
              <w:t>两</w:t>
            </w:r>
            <w:r>
              <w:rPr>
                <w:rFonts w:hint="default" w:ascii="Times New Roman" w:hAnsi="Times New Roman" w:cs="Times New Roman"/>
                <w:bCs/>
                <w:color w:val="auto"/>
                <w:sz w:val="24"/>
                <w:szCs w:val="24"/>
              </w:rPr>
              <w:t>班制生产，每班</w:t>
            </w:r>
            <w:r>
              <w:rPr>
                <w:rFonts w:hint="eastAsia" w:cs="Times New Roman"/>
                <w:bCs/>
                <w:color w:val="auto"/>
                <w:sz w:val="24"/>
                <w:szCs w:val="24"/>
                <w:lang w:val="en-US" w:eastAsia="zh-CN"/>
              </w:rPr>
              <w:t>12</w:t>
            </w:r>
            <w:r>
              <w:rPr>
                <w:rFonts w:hint="default" w:ascii="Times New Roman" w:hAnsi="Times New Roman" w:cs="Times New Roman"/>
                <w:bCs/>
                <w:color w:val="auto"/>
                <w:sz w:val="24"/>
                <w:szCs w:val="24"/>
              </w:rPr>
              <w:t>h，年工作300d，生产工序平均实际运行时间为7200h。</w:t>
            </w:r>
          </w:p>
          <w:p w14:paraId="67DD5017">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公司现</w:t>
            </w:r>
            <w:r>
              <w:rPr>
                <w:rFonts w:hint="eastAsia" w:ascii="Times New Roman" w:hAnsi="Times New Roman" w:eastAsia="宋体" w:cs="Times New Roman"/>
                <w:bCs/>
                <w:color w:val="auto"/>
                <w:sz w:val="24"/>
                <w:szCs w:val="24"/>
                <w:lang w:val="en-US" w:eastAsia="zh-CN"/>
              </w:rPr>
              <w:t>有碳素制品生产线已稳定运行多年，设计产能为年产16万吨新型节能环保型预焙阳极，</w:t>
            </w:r>
            <w:r>
              <w:rPr>
                <w:rFonts w:hint="eastAsia" w:ascii="Times New Roman" w:hAnsi="Times New Roman" w:cs="Times New Roman"/>
                <w:bCs/>
                <w:color w:val="auto"/>
                <w:sz w:val="24"/>
                <w:szCs w:val="24"/>
                <w:lang w:val="en-US" w:eastAsia="zh-CN"/>
              </w:rPr>
              <w:t>目前制粉工序中采用传统磨粉设备进行物料处理。随着国家对工业绿色低碳发展要求的不断提高，以及《“十四五”工业绿色发展规划》《河北省重点行业环保绩效分级指南》等相关政策文件的深入实施，企业亟需通过技术升级提升能效水平、增强生产稳定性。</w:t>
            </w:r>
          </w:p>
          <w:p w14:paraId="7F0D8EC4">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本项目为制粉工序技术优化项目，通过对现有2台旧磨粉机进行改造升级</w:t>
            </w:r>
            <w:r>
              <w:rPr>
                <w:rFonts w:hint="eastAsia" w:cs="Times New Roman"/>
                <w:bCs/>
                <w:color w:val="auto"/>
                <w:sz w:val="24"/>
                <w:szCs w:val="24"/>
                <w:lang w:val="en-US" w:eastAsia="zh-CN"/>
              </w:rPr>
              <w:t>，</w:t>
            </w:r>
            <w:r>
              <w:rPr>
                <w:rFonts w:hint="eastAsia" w:ascii="Times New Roman" w:hAnsi="Times New Roman" w:cs="Times New Roman"/>
                <w:bCs/>
                <w:color w:val="auto"/>
                <w:sz w:val="24"/>
                <w:szCs w:val="24"/>
                <w:lang w:val="en-US" w:eastAsia="zh-CN"/>
              </w:rPr>
              <w:t>在磨机仓到磨机之间加装物料智能计量螺旋</w:t>
            </w:r>
            <w:r>
              <w:rPr>
                <w:rFonts w:hint="eastAsia" w:cs="Times New Roman"/>
                <w:bCs/>
                <w:color w:val="auto"/>
                <w:sz w:val="24"/>
                <w:szCs w:val="24"/>
                <w:lang w:val="en-US" w:eastAsia="zh-CN"/>
              </w:rPr>
              <w:t>秤（密闭设备）</w:t>
            </w:r>
            <w:r>
              <w:rPr>
                <w:rFonts w:hint="eastAsia" w:ascii="Times New Roman" w:hAnsi="Times New Roman" w:cs="Times New Roman"/>
                <w:bCs/>
                <w:color w:val="auto"/>
                <w:sz w:val="24"/>
                <w:szCs w:val="24"/>
                <w:lang w:val="en-US" w:eastAsia="zh-CN"/>
              </w:rPr>
              <w:t>，精确控制</w:t>
            </w:r>
            <w:r>
              <w:rPr>
                <w:rFonts w:hint="eastAsia" w:cs="Times New Roman"/>
                <w:bCs/>
                <w:color w:val="auto"/>
                <w:sz w:val="24"/>
                <w:szCs w:val="24"/>
                <w:lang w:val="en-US" w:eastAsia="zh-CN"/>
              </w:rPr>
              <w:t>物料</w:t>
            </w:r>
            <w:r>
              <w:rPr>
                <w:rFonts w:hint="eastAsia" w:ascii="Times New Roman" w:hAnsi="Times New Roman" w:cs="Times New Roman"/>
                <w:bCs/>
                <w:color w:val="auto"/>
                <w:sz w:val="24"/>
                <w:szCs w:val="24"/>
                <w:lang w:val="en-US" w:eastAsia="zh-CN"/>
              </w:rPr>
              <w:t>，</w:t>
            </w:r>
            <w:r>
              <w:rPr>
                <w:rFonts w:hint="eastAsia"/>
                <w:color w:val="auto"/>
                <w:sz w:val="24"/>
              </w:rPr>
              <w:t>经过计量后</w:t>
            </w:r>
            <w:r>
              <w:rPr>
                <w:rFonts w:hint="eastAsia"/>
                <w:color w:val="auto"/>
                <w:sz w:val="24"/>
                <w:lang w:eastAsia="zh-CN"/>
              </w:rPr>
              <w:t>，</w:t>
            </w:r>
            <w:r>
              <w:rPr>
                <w:rFonts w:hint="eastAsia"/>
                <w:color w:val="auto"/>
                <w:sz w:val="24"/>
                <w:lang w:val="en-US" w:eastAsia="zh-CN"/>
              </w:rPr>
              <w:t>进入磨粉机，并对现有</w:t>
            </w:r>
            <w:r>
              <w:rPr>
                <w:rFonts w:hint="eastAsia"/>
                <w:color w:val="auto"/>
                <w:sz w:val="24"/>
              </w:rPr>
              <w:t>磨损</w:t>
            </w:r>
            <w:r>
              <w:rPr>
                <w:rFonts w:hint="eastAsia"/>
                <w:color w:val="auto"/>
                <w:sz w:val="24"/>
                <w:lang w:val="en-US" w:eastAsia="zh-CN"/>
              </w:rPr>
              <w:t>严重的旧蜗壳进行更换，减少无组织废气排放；</w:t>
            </w:r>
            <w:r>
              <w:rPr>
                <w:rFonts w:hint="eastAsia" w:ascii="Times New Roman" w:hAnsi="Times New Roman" w:cs="Times New Roman"/>
                <w:bCs/>
                <w:color w:val="auto"/>
                <w:sz w:val="24"/>
                <w:szCs w:val="24"/>
                <w:lang w:val="en-US" w:eastAsia="zh-CN"/>
              </w:rPr>
              <w:t>实现</w:t>
            </w:r>
            <w:r>
              <w:rPr>
                <w:rFonts w:hint="eastAsia" w:cs="Times New Roman"/>
                <w:bCs/>
                <w:color w:val="auto"/>
                <w:sz w:val="24"/>
                <w:szCs w:val="24"/>
                <w:lang w:val="en-US" w:eastAsia="zh-CN"/>
              </w:rPr>
              <w:t>成品品质提升</w:t>
            </w:r>
            <w:r>
              <w:rPr>
                <w:rFonts w:hint="eastAsia" w:ascii="Times New Roman" w:hAnsi="Times New Roman" w:cs="Times New Roman"/>
                <w:bCs/>
                <w:color w:val="auto"/>
                <w:sz w:val="24"/>
                <w:szCs w:val="24"/>
                <w:lang w:val="en-US" w:eastAsia="zh-CN"/>
              </w:rPr>
              <w:t>及有效遏制粉尘泄漏；同时，为增强生产连续性，项目新增2台高效节能型备用磨粉机及配套密闭式气力输送、螺旋输送等辅助设施</w:t>
            </w:r>
            <w:r>
              <w:rPr>
                <w:rFonts w:hint="eastAsia" w:cs="Times New Roman"/>
                <w:bCs/>
                <w:color w:val="auto"/>
                <w:sz w:val="24"/>
                <w:szCs w:val="24"/>
                <w:lang w:val="en-US" w:eastAsia="zh-CN"/>
              </w:rPr>
              <w:t>，</w:t>
            </w:r>
            <w:r>
              <w:rPr>
                <w:rFonts w:hint="eastAsia" w:ascii="Times New Roman" w:hAnsi="Times New Roman" w:cs="Times New Roman"/>
                <w:bCs/>
                <w:color w:val="FF0000"/>
                <w:sz w:val="24"/>
                <w:szCs w:val="24"/>
                <w:lang w:val="en-US" w:eastAsia="zh-CN"/>
              </w:rPr>
              <w:t>仅作为现有旧磨粉机检修、故障时应急备用</w:t>
            </w:r>
            <w:r>
              <w:rPr>
                <w:rFonts w:hint="eastAsia" w:ascii="Times New Roman" w:hAnsi="Times New Roman" w:cs="Times New Roman"/>
                <w:bCs/>
                <w:color w:val="auto"/>
                <w:sz w:val="24"/>
                <w:szCs w:val="24"/>
                <w:lang w:val="en-US" w:eastAsia="zh-CN"/>
              </w:rPr>
              <w:t>。</w:t>
            </w:r>
          </w:p>
          <w:p w14:paraId="548D8A24">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为严格落实</w:t>
            </w:r>
            <w:r>
              <w:rPr>
                <w:rFonts w:hint="eastAsia" w:ascii="Times New Roman" w:hAnsi="Times New Roman" w:cs="Times New Roman"/>
                <w:b/>
                <w:bCs w:val="0"/>
                <w:color w:val="auto"/>
                <w:sz w:val="24"/>
                <w:szCs w:val="24"/>
                <w:lang w:val="en-US" w:eastAsia="zh-CN"/>
              </w:rPr>
              <w:t>不新增生产产能</w:t>
            </w:r>
            <w:r>
              <w:rPr>
                <w:rFonts w:hint="eastAsia" w:ascii="Times New Roman" w:hAnsi="Times New Roman" w:cs="Times New Roman"/>
                <w:bCs/>
                <w:color w:val="auto"/>
                <w:sz w:val="24"/>
                <w:szCs w:val="24"/>
                <w:lang w:val="en-US" w:eastAsia="zh-CN"/>
              </w:rPr>
              <w:t>要求，确保新增设备仅作为检修、故障应急备用，杜绝产能扩容，企业配套多重刚性管控措施：一是现有生产主机与备用设备分别装设独立智能计量电表，设置电气互锁联动控制系统，正常生产工况下自动锁死备用设备供电回路，新旧设备无法同步运行，从硬件层面杜绝产能叠加；二是制定《备用磨粉机启用审批及运行台账管理制度》，备用设备仅可凭设备检修工单、故障报修记录申请启用，完整留存启用时段、运行时长、加工量全流程台账备查；三是全线能耗实时上传地方能耗在线监测平台，接受主管部门全过程动态监管。通过上述管控</w:t>
            </w:r>
            <w:r>
              <w:rPr>
                <w:rFonts w:hint="eastAsia" w:cs="Times New Roman"/>
                <w:bCs/>
                <w:color w:val="auto"/>
                <w:sz w:val="24"/>
                <w:szCs w:val="24"/>
                <w:lang w:val="en-US" w:eastAsia="zh-CN"/>
              </w:rPr>
              <w:t>措施</w:t>
            </w:r>
            <w:r>
              <w:rPr>
                <w:rFonts w:hint="eastAsia" w:ascii="Times New Roman" w:hAnsi="Times New Roman" w:cs="Times New Roman"/>
                <w:bCs/>
                <w:color w:val="auto"/>
                <w:sz w:val="24"/>
                <w:szCs w:val="24"/>
                <w:lang w:val="en-US" w:eastAsia="zh-CN"/>
              </w:rPr>
              <w:t>，项目实施后全厂设计</w:t>
            </w:r>
            <w:r>
              <w:rPr>
                <w:rFonts w:hint="eastAsia" w:cs="Times New Roman"/>
                <w:bCs/>
                <w:color w:val="auto"/>
                <w:sz w:val="24"/>
                <w:szCs w:val="24"/>
                <w:lang w:val="en-US" w:eastAsia="zh-CN"/>
              </w:rPr>
              <w:t>生产规模</w:t>
            </w:r>
            <w:r>
              <w:rPr>
                <w:rFonts w:hint="eastAsia" w:ascii="Times New Roman" w:hAnsi="Times New Roman" w:cs="Times New Roman"/>
                <w:bCs/>
                <w:color w:val="auto"/>
                <w:sz w:val="24"/>
                <w:szCs w:val="24"/>
                <w:lang w:val="en-US" w:eastAsia="zh-CN"/>
              </w:rPr>
              <w:t>、年度物料加工总规模及产品种类、产量方案均与技改前保持一致，新增备用设备仅用于分摊原设备检修、故障期间生产任务，属于原有产能内部均衡调配，不存在扩产。</w:t>
            </w:r>
          </w:p>
          <w:p w14:paraId="4E27EEA0">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bCs/>
                <w:color w:val="auto"/>
                <w:sz w:val="24"/>
                <w:szCs w:val="24"/>
                <w:lang w:val="en-US" w:eastAsia="zh-CN"/>
              </w:rPr>
              <w:t>根据</w:t>
            </w:r>
            <w:r>
              <w:rPr>
                <w:rFonts w:hint="default" w:ascii="Times New Roman" w:hAnsi="Times New Roman" w:eastAsia="宋体" w:cs="Times New Roman"/>
                <w:bCs/>
                <w:color w:val="FF0000"/>
                <w:sz w:val="24"/>
                <w:szCs w:val="24"/>
                <w:lang w:val="en-US" w:eastAsia="zh-CN"/>
              </w:rPr>
              <w:t>《中华人民共和国生态环境法典》</w:t>
            </w:r>
            <w:r>
              <w:rPr>
                <w:rFonts w:hint="eastAsia" w:cs="Times New Roman"/>
                <w:bCs/>
                <w:color w:val="FF0000"/>
                <w:sz w:val="24"/>
                <w:szCs w:val="24"/>
                <w:lang w:val="en-US" w:eastAsia="zh-CN"/>
              </w:rPr>
              <w:t>（</w:t>
            </w:r>
            <w:r>
              <w:rPr>
                <w:rFonts w:hint="default" w:ascii="Times New Roman" w:hAnsi="Times New Roman" w:eastAsia="宋体" w:cs="Times New Roman"/>
                <w:bCs/>
                <w:color w:val="FF0000"/>
                <w:sz w:val="24"/>
                <w:szCs w:val="24"/>
                <w:lang w:val="en-US" w:eastAsia="zh-CN"/>
              </w:rPr>
              <w:t>2026年8月15日起施行</w:t>
            </w:r>
            <w:r>
              <w:rPr>
                <w:rFonts w:hint="eastAsia" w:cs="Times New Roman"/>
                <w:bCs/>
                <w:color w:val="FF0000"/>
                <w:sz w:val="24"/>
                <w:szCs w:val="24"/>
                <w:lang w:val="en-US" w:eastAsia="zh-CN"/>
              </w:rPr>
              <w:t>）</w:t>
            </w:r>
            <w:r>
              <w:rPr>
                <w:rFonts w:hint="default" w:ascii="Times New Roman" w:hAnsi="Times New Roman" w:eastAsia="宋体" w:cs="Times New Roman"/>
                <w:bCs/>
                <w:color w:val="auto"/>
                <w:sz w:val="24"/>
                <w:szCs w:val="24"/>
                <w:lang w:val="en-US" w:eastAsia="zh-CN"/>
              </w:rPr>
              <w:t>等有关环保法律法规、政策的要求</w:t>
            </w:r>
            <w:r>
              <w:rPr>
                <w:rFonts w:hint="eastAsia" w:ascii="Times New Roman" w:hAnsi="Times New Roman" w:cs="Times New Roman"/>
                <w:bCs/>
                <w:color w:val="auto"/>
                <w:sz w:val="24"/>
                <w:szCs w:val="24"/>
                <w:lang w:val="en-US" w:eastAsia="zh-CN"/>
              </w:rPr>
              <w:t>，本项目需履行环境影响评价手续。</w:t>
            </w:r>
            <w:r>
              <w:rPr>
                <w:rFonts w:hint="eastAsia" w:cs="Times New Roman"/>
                <w:bCs/>
                <w:color w:val="auto"/>
                <w:sz w:val="24"/>
                <w:szCs w:val="24"/>
                <w:lang w:val="en-US" w:eastAsia="zh-CN"/>
              </w:rPr>
              <w:t>本项目属于“</w:t>
            </w:r>
            <w:r>
              <w:rPr>
                <w:rFonts w:hint="eastAsia" w:ascii="Times New Roman" w:hAnsi="Times New Roman" w:cs="Times New Roman"/>
                <w:color w:val="auto"/>
                <w:sz w:val="24"/>
                <w:lang w:val="en-US" w:eastAsia="zh-CN"/>
              </w:rPr>
              <w:t>二十七</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非金属矿物制品业</w:t>
            </w:r>
            <w:r>
              <w:rPr>
                <w:rFonts w:hint="default" w:ascii="Times New Roman" w:hAnsi="Times New Roman" w:cs="Times New Roman"/>
                <w:color w:val="auto"/>
                <w:sz w:val="24"/>
              </w:rPr>
              <w:t xml:space="preserve"> </w:t>
            </w:r>
            <w:r>
              <w:rPr>
                <w:rFonts w:hint="eastAsia" w:ascii="Times New Roman" w:hAnsi="Times New Roman" w:cs="Times New Roman"/>
                <w:color w:val="auto"/>
                <w:sz w:val="24"/>
                <w:lang w:val="en-US" w:eastAsia="zh-CN"/>
              </w:rPr>
              <w:t>309石墨及其他非金属矿物制品制造</w:t>
            </w:r>
            <w:r>
              <w:rPr>
                <w:rFonts w:hint="eastAsia" w:cs="Times New Roman"/>
                <w:color w:val="auto"/>
                <w:sz w:val="24"/>
                <w:lang w:val="en-US" w:eastAsia="zh-CN"/>
              </w:rPr>
              <w:t>”，仅</w:t>
            </w:r>
            <w:r>
              <w:rPr>
                <w:rFonts w:hint="default" w:ascii="Times New Roman" w:hAnsi="Times New Roman" w:eastAsia="宋体" w:cs="Times New Roman"/>
                <w:color w:val="auto"/>
                <w:sz w:val="24"/>
                <w:szCs w:val="24"/>
              </w:rPr>
              <w:t>对制粉工序现有的2台旧磨粉机进行改造升级</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同时新增2台备用磨粉机及配套的气力输送、螺旋输送机等设备</w:t>
            </w:r>
            <w:r>
              <w:rPr>
                <w:rFonts w:hint="eastAsia" w:cs="Times New Roman"/>
                <w:bCs/>
                <w:color w:val="auto"/>
                <w:sz w:val="24"/>
                <w:szCs w:val="24"/>
                <w:lang w:val="en-US" w:eastAsia="zh-CN"/>
              </w:rPr>
              <w:t>，不</w:t>
            </w:r>
            <w:r>
              <w:rPr>
                <w:rFonts w:hint="eastAsia" w:cs="Times New Roman"/>
                <w:color w:val="auto"/>
                <w:sz w:val="24"/>
                <w:lang w:val="en-US" w:eastAsia="zh-CN"/>
              </w:rPr>
              <w:t>涉及焙烧工艺，</w:t>
            </w:r>
            <w:r>
              <w:rPr>
                <w:rFonts w:hint="default" w:ascii="Times New Roman" w:hAnsi="Times New Roman" w:eastAsia="宋体" w:cs="Times New Roman"/>
                <w:color w:val="auto"/>
                <w:sz w:val="24"/>
                <w:lang w:eastAsia="zh-CN"/>
              </w:rPr>
              <w:t>根据《建设项目环境影响评价分类管理名录》</w:t>
            </w:r>
            <w:r>
              <w:rPr>
                <w:rFonts w:hint="eastAsia" w:cs="Times New Roman"/>
                <w:color w:val="auto"/>
                <w:sz w:val="24"/>
                <w:lang w:eastAsia="zh-CN"/>
              </w:rPr>
              <w:t>（</w:t>
            </w:r>
            <w:r>
              <w:rPr>
                <w:rFonts w:hint="eastAsia" w:cs="Times New Roman"/>
                <w:color w:val="auto"/>
                <w:sz w:val="24"/>
                <w:lang w:val="en-US" w:eastAsia="zh-CN"/>
              </w:rPr>
              <w:t>2021年版）</w:t>
            </w:r>
            <w:r>
              <w:rPr>
                <w:rFonts w:hint="eastAsia"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lang w:eastAsia="zh-CN"/>
              </w:rPr>
              <w:t>相关规定，本项目需编制环境影响报告表。</w:t>
            </w:r>
          </w:p>
          <w:p w14:paraId="4E0411A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1、项目概况</w:t>
            </w:r>
          </w:p>
          <w:p w14:paraId="053DB53C">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（1）项目名称：</w:t>
            </w:r>
            <w:r>
              <w:rPr>
                <w:rFonts w:hint="eastAsia" w:ascii="Times New Roman" w:hAnsi="Times New Roman" w:eastAsia="宋体" w:cs="Times New Roman"/>
                <w:color w:val="auto"/>
                <w:sz w:val="24"/>
                <w:lang w:eastAsia="zh-CN"/>
              </w:rPr>
              <w:t>河北鸿科碳素有限公司新增备用磨粉机设备项目</w:t>
            </w:r>
          </w:p>
          <w:p w14:paraId="21B48553">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（2）建设单位：</w:t>
            </w:r>
            <w:r>
              <w:rPr>
                <w:rFonts w:hint="eastAsia" w:ascii="Times New Roman" w:hAnsi="Times New Roman" w:cs="Times New Roman"/>
                <w:color w:val="auto"/>
                <w:sz w:val="24"/>
                <w:lang w:eastAsia="zh-CN"/>
              </w:rPr>
              <w:t>河北鸿科碳素有限公司</w:t>
            </w:r>
          </w:p>
          <w:p w14:paraId="085B72C3">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（3）建设性质：</w:t>
            </w:r>
            <w:r>
              <w:rPr>
                <w:rFonts w:hint="eastAsia" w:ascii="Times New Roman" w:hAnsi="Times New Roman" w:cs="Times New Roman"/>
                <w:color w:val="auto"/>
                <w:sz w:val="24"/>
                <w:highlight w:val="none"/>
                <w:lang w:val="en-US" w:eastAsia="zh-CN"/>
              </w:rPr>
              <w:t>技改</w:t>
            </w:r>
          </w:p>
          <w:p w14:paraId="6CDA6196">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（4）建设地点及周边关系：</w:t>
            </w:r>
            <w:r>
              <w:rPr>
                <w:rFonts w:hint="eastAsia" w:ascii="Times New Roman" w:hAnsi="Times New Roman" w:cs="Times New Roman"/>
                <w:color w:val="auto"/>
                <w:sz w:val="24"/>
                <w:lang w:eastAsia="zh-CN"/>
              </w:rPr>
              <w:t>项目位于石家庄市井陉矿区河北鸿科碳素有限公司内</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rPr>
              <w:t>厂区中心地理坐标为北纬38°05'14.01</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"，东经114°00'56.7</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"。厂区东侧为</w:t>
            </w:r>
            <w:r>
              <w:rPr>
                <w:rFonts w:hint="default" w:ascii="Times New Roman" w:hAnsi="Times New Roman" w:cs="Times New Roman"/>
                <w:color w:val="auto"/>
                <w:sz w:val="24"/>
                <w:szCs w:val="24"/>
                <w:highlight w:val="none"/>
              </w:rPr>
              <w:t>河北民海化工有限公司</w:t>
            </w:r>
            <w:r>
              <w:rPr>
                <w:rFonts w:hint="eastAsia" w:ascii="Times New Roman" w:hAnsi="Times New Roman" w:cs="Times New Roman"/>
                <w:color w:val="auto"/>
                <w:sz w:val="24"/>
                <w:szCs w:val="24"/>
                <w:highlight w:val="none"/>
                <w:lang w:val="en-US" w:eastAsia="zh-CN"/>
              </w:rPr>
              <w:t>二期</w:t>
            </w:r>
            <w:r>
              <w:rPr>
                <w:rFonts w:hint="default" w:ascii="Times New Roman" w:hAnsi="Times New Roman" w:cs="Times New Roman"/>
                <w:color w:val="auto"/>
                <w:sz w:val="24"/>
                <w:szCs w:val="24"/>
              </w:rPr>
              <w:t>，南侧</w:t>
            </w:r>
            <w:r>
              <w:rPr>
                <w:rFonts w:hint="eastAsia" w:ascii="Times New Roman" w:hAnsi="Times New Roman" w:cs="Times New Roman"/>
                <w:color w:val="auto"/>
                <w:sz w:val="24"/>
                <w:szCs w:val="24"/>
                <w:lang w:val="en-US" w:eastAsia="zh-CN"/>
              </w:rPr>
              <w:t>临矿区</w:t>
            </w:r>
            <w:r>
              <w:rPr>
                <w:rFonts w:hint="default" w:ascii="Times New Roman" w:hAnsi="Times New Roman" w:cs="Times New Roman"/>
                <w:color w:val="auto"/>
                <w:sz w:val="24"/>
                <w:szCs w:val="24"/>
              </w:rPr>
              <w:t>工业大道，隔路为河北民海化工有限公司，</w:t>
            </w:r>
            <w:r>
              <w:rPr>
                <w:rFonts w:hint="eastAsia" w:ascii="Times New Roman" w:hAnsi="Times New Roman" w:cs="Times New Roman"/>
                <w:color w:val="auto"/>
                <w:sz w:val="24"/>
                <w:szCs w:val="24"/>
                <w:lang w:val="en-US" w:eastAsia="zh-CN"/>
              </w:rPr>
              <w:t>西侧隔丘陵山地为龙岗路，北侧</w:t>
            </w:r>
            <w:r>
              <w:rPr>
                <w:rFonts w:hint="default" w:ascii="Times New Roman" w:hAnsi="Times New Roman" w:cs="Times New Roman"/>
                <w:color w:val="auto"/>
                <w:sz w:val="24"/>
                <w:szCs w:val="24"/>
              </w:rPr>
              <w:t>为丘陵山地。</w:t>
            </w:r>
            <w:r>
              <w:rPr>
                <w:rFonts w:hint="eastAsia" w:ascii="Times New Roman" w:hAnsi="Times New Roman" w:cs="Times New Roman"/>
                <w:color w:val="auto"/>
                <w:sz w:val="24"/>
                <w:szCs w:val="24"/>
                <w:lang w:val="en-US" w:eastAsia="zh-CN"/>
              </w:rPr>
              <w:t>根据现场调查，</w:t>
            </w:r>
            <w:r>
              <w:rPr>
                <w:rFonts w:hint="default" w:ascii="Times New Roman" w:hAnsi="Times New Roman" w:cs="Times New Roman"/>
                <w:color w:val="auto"/>
                <w:sz w:val="24"/>
                <w:szCs w:val="24"/>
              </w:rPr>
              <w:t>距项目</w:t>
            </w:r>
            <w:r>
              <w:rPr>
                <w:rFonts w:hint="eastAsia" w:ascii="Times New Roman" w:hAnsi="Times New Roman" w:cs="Times New Roman"/>
                <w:color w:val="auto"/>
                <w:sz w:val="24"/>
                <w:szCs w:val="24"/>
                <w:lang w:val="en-US" w:eastAsia="zh-CN"/>
              </w:rPr>
              <w:t>厂界</w:t>
            </w:r>
            <w:r>
              <w:rPr>
                <w:rFonts w:hint="default" w:ascii="Times New Roman" w:hAnsi="Times New Roman" w:cs="Times New Roman"/>
                <w:color w:val="auto"/>
                <w:sz w:val="24"/>
                <w:szCs w:val="24"/>
              </w:rPr>
              <w:t>最近的</w:t>
            </w:r>
            <w:r>
              <w:rPr>
                <w:rFonts w:hint="eastAsia" w:cs="Times New Roman"/>
                <w:color w:val="auto"/>
                <w:sz w:val="24"/>
                <w:szCs w:val="24"/>
                <w:lang w:eastAsia="zh-CN"/>
              </w:rPr>
              <w:t>敏感点为西北侧450m处的清凉山风景名胜区及西北侧505m处的天户峪村</w:t>
            </w:r>
            <w:r>
              <w:rPr>
                <w:rFonts w:hint="default" w:ascii="Times New Roman" w:hAnsi="Times New Roman" w:cs="Times New Roman"/>
                <w:color w:val="auto"/>
                <w:sz w:val="24"/>
                <w:szCs w:val="24"/>
              </w:rPr>
              <w:t>。</w:t>
            </w:r>
          </w:p>
          <w:p w14:paraId="3BD70F31">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项目地理位置见附图1，</w:t>
            </w:r>
            <w:r>
              <w:rPr>
                <w:rFonts w:hint="default" w:ascii="Times New Roman" w:hAnsi="Times New Roman" w:cs="Times New Roman"/>
                <w:color w:val="auto"/>
                <w:sz w:val="24"/>
                <w:lang w:val="en-US" w:eastAsia="zh-CN"/>
              </w:rPr>
              <w:t>周边关系图见</w:t>
            </w:r>
            <w:r>
              <w:rPr>
                <w:rFonts w:hint="default" w:ascii="Times New Roman" w:hAnsi="Times New Roman" w:cs="Times New Roman"/>
                <w:color w:val="auto"/>
                <w:sz w:val="24"/>
              </w:rPr>
              <w:t>附图2。</w:t>
            </w:r>
          </w:p>
          <w:p w14:paraId="22B05A7A">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rPr>
              <w:t>）项</w:t>
            </w:r>
            <w:r>
              <w:rPr>
                <w:rFonts w:hint="default" w:ascii="Times New Roman" w:hAnsi="Times New Roman" w:cs="Times New Roman"/>
                <w:color w:val="auto"/>
                <w:sz w:val="24"/>
                <w:highlight w:val="none"/>
              </w:rPr>
              <w:t>目投资：项目投资</w:t>
            </w:r>
            <w:r>
              <w:rPr>
                <w:rFonts w:hint="eastAsia" w:ascii="Times New Roman" w:hAnsi="Times New Roman" w:cs="Times New Roman"/>
                <w:color w:val="auto"/>
                <w:sz w:val="24"/>
                <w:highlight w:val="none"/>
                <w:lang w:val="en-US" w:eastAsia="zh-CN"/>
              </w:rPr>
              <w:t>180万</w:t>
            </w:r>
            <w:r>
              <w:rPr>
                <w:rFonts w:hint="default" w:ascii="Times New Roman" w:hAnsi="Times New Roman" w:cs="Times New Roman"/>
                <w:color w:val="auto"/>
                <w:sz w:val="24"/>
                <w:highlight w:val="none"/>
              </w:rPr>
              <w:t>元，其中环保投资</w:t>
            </w:r>
            <w:r>
              <w:rPr>
                <w:rFonts w:hint="eastAsia"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万元，占比</w:t>
            </w:r>
            <w:r>
              <w:rPr>
                <w:rFonts w:hint="eastAsia" w:ascii="Times New Roman" w:hAnsi="Times New Roman" w:cs="Times New Roman"/>
                <w:color w:val="auto"/>
                <w:sz w:val="24"/>
                <w:highlight w:val="none"/>
                <w:lang w:val="en-US" w:eastAsia="zh-CN"/>
              </w:rPr>
              <w:t>11.</w:t>
            </w:r>
            <w:r>
              <w:rPr>
                <w:rFonts w:hint="eastAsia" w:cs="Times New Roman"/>
                <w:color w:val="auto"/>
                <w:sz w:val="24"/>
                <w:highlight w:val="none"/>
                <w:lang w:val="en-US" w:eastAsia="zh-CN"/>
              </w:rPr>
              <w:t>1</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w:t>
            </w:r>
          </w:p>
          <w:p w14:paraId="6C8E2E0C">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highlight w:val="yellow"/>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6</w:t>
            </w:r>
            <w:r>
              <w:rPr>
                <w:rFonts w:hint="default" w:ascii="Times New Roman" w:hAnsi="Times New Roman" w:cs="Times New Roman"/>
                <w:color w:val="auto"/>
                <w:sz w:val="24"/>
              </w:rPr>
              <w:t>）项目定员及工作制度：</w:t>
            </w:r>
            <w:r>
              <w:rPr>
                <w:rFonts w:hint="eastAsia" w:ascii="Times New Roman" w:hAnsi="Times New Roman" w:cs="Times New Roman"/>
                <w:color w:val="auto"/>
                <w:sz w:val="24"/>
                <w:highlight w:val="none"/>
                <w:lang w:val="en-US" w:eastAsia="zh-CN"/>
              </w:rPr>
              <w:t>项目不新增劳动定员，劳动定员由厂内调剂，工作制度不变</w:t>
            </w:r>
            <w:r>
              <w:rPr>
                <w:rFonts w:hint="default" w:ascii="Times New Roman" w:hAnsi="Times New Roman" w:cs="Times New Roman"/>
                <w:color w:val="auto"/>
                <w:sz w:val="24"/>
                <w:highlight w:val="none"/>
              </w:rPr>
              <w:t>。</w:t>
            </w:r>
          </w:p>
          <w:p w14:paraId="5DA7393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2、主要建设内容</w:t>
            </w:r>
          </w:p>
          <w:p w14:paraId="784BF956">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本次技改</w:t>
            </w:r>
            <w:r>
              <w:rPr>
                <w:rFonts w:hint="default" w:ascii="Times New Roman" w:hAnsi="Times New Roman" w:eastAsia="宋体" w:cs="Times New Roman"/>
                <w:color w:val="auto"/>
                <w:sz w:val="24"/>
                <w:szCs w:val="24"/>
              </w:rPr>
              <w:t>对制粉工序现有的2台旧磨粉机进行改造升级</w:t>
            </w:r>
            <w:r>
              <w:rPr>
                <w:rFonts w:hint="eastAsia" w:ascii="Times New Roman" w:hAnsi="Times New Roman" w:eastAsia="宋体" w:cs="Times New Roman"/>
                <w:color w:val="auto"/>
                <w:sz w:val="24"/>
                <w:szCs w:val="24"/>
                <w:lang w:eastAsia="zh-CN"/>
              </w:rPr>
              <w:t>（</w:t>
            </w:r>
            <w:r>
              <w:rPr>
                <w:rFonts w:hint="eastAsia" w:ascii="Times New Roman" w:hAnsi="Times New Roman" w:cs="Times New Roman"/>
                <w:bCs/>
                <w:color w:val="auto"/>
                <w:sz w:val="24"/>
                <w:szCs w:val="24"/>
                <w:lang w:val="en-US" w:eastAsia="zh-CN"/>
              </w:rPr>
              <w:t>引入物料智能计量参配系统并更换新蜗壳</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同时新增2台备用磨粉机及配套的气力输送、螺旋输送机等设备，确保生产的连续性</w:t>
            </w:r>
            <w:r>
              <w:rPr>
                <w:rFonts w:hint="eastAsia" w:ascii="Times New Roman" w:hAnsi="Times New Roman" w:eastAsia="宋体" w:cs="Times New Roman"/>
                <w:bCs/>
                <w:color w:val="auto"/>
                <w:sz w:val="24"/>
                <w:szCs w:val="24"/>
                <w:lang w:val="en-US" w:eastAsia="zh-CN"/>
              </w:rPr>
              <w:t>。</w:t>
            </w:r>
          </w:p>
          <w:p w14:paraId="42F7542B">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bCs/>
                <w:color w:val="auto"/>
                <w:sz w:val="24"/>
                <w:szCs w:val="24"/>
                <w:lang w:val="en-US" w:eastAsia="zh-CN"/>
              </w:rPr>
              <w:t>备用设备仅在</w:t>
            </w:r>
            <w:r>
              <w:rPr>
                <w:rFonts w:hint="default" w:ascii="Times New Roman" w:hAnsi="Times New Roman" w:eastAsia="宋体" w:cs="Times New Roman"/>
                <w:color w:val="auto"/>
                <w:sz w:val="24"/>
                <w:szCs w:val="24"/>
              </w:rPr>
              <w:t>现有的2台旧磨粉机</w:t>
            </w:r>
            <w:r>
              <w:rPr>
                <w:rFonts w:hint="eastAsia" w:ascii="Times New Roman" w:hAnsi="Times New Roman" w:cs="Times New Roman"/>
                <w:bCs/>
                <w:color w:val="auto"/>
                <w:sz w:val="24"/>
                <w:szCs w:val="24"/>
                <w:lang w:val="en-US" w:eastAsia="zh-CN"/>
              </w:rPr>
              <w:t>检修或故障时启用，不同时运行，其运行工况、产污环节及污染物种类均与</w:t>
            </w:r>
            <w:r>
              <w:rPr>
                <w:rFonts w:hint="default" w:ascii="Times New Roman" w:hAnsi="Times New Roman" w:eastAsia="宋体" w:cs="Times New Roman"/>
                <w:color w:val="auto"/>
                <w:sz w:val="24"/>
                <w:szCs w:val="24"/>
              </w:rPr>
              <w:t>现有的2台旧磨粉机</w:t>
            </w:r>
            <w:r>
              <w:rPr>
                <w:rFonts w:hint="eastAsia" w:ascii="Times New Roman" w:hAnsi="Times New Roman" w:cs="Times New Roman"/>
                <w:bCs/>
                <w:color w:val="auto"/>
                <w:sz w:val="24"/>
                <w:szCs w:val="24"/>
                <w:lang w:val="en-US" w:eastAsia="zh-CN"/>
              </w:rPr>
              <w:t>一致。新增备用设备依托现有制粉工序配套的布袋除尘系统进行粉尘收集与处理，不新增废气排放口，亦不新增独立的废气治理设施，全厂大气污染物防治措施保持不变。技改完成后，不新增产能，不改变产品方案及工艺路线</w:t>
            </w:r>
            <w:r>
              <w:rPr>
                <w:rFonts w:hint="default" w:ascii="Times New Roman" w:hAnsi="Times New Roman" w:cs="Times New Roman"/>
                <w:color w:val="auto"/>
                <w:kern w:val="0"/>
                <w:sz w:val="24"/>
                <w:lang w:val="en-US" w:eastAsia="zh-CN"/>
              </w:rPr>
              <w:t>。</w:t>
            </w:r>
            <w:r>
              <w:rPr>
                <w:rFonts w:hint="default" w:ascii="Times New Roman" w:hAnsi="Times New Roman" w:cs="Times New Roman"/>
                <w:color w:val="auto"/>
                <w:sz w:val="24"/>
                <w:highlight w:val="none"/>
              </w:rPr>
              <w:t>建设内容见下表</w:t>
            </w:r>
            <w:r>
              <w:rPr>
                <w:rFonts w:hint="eastAsia" w:ascii="Times New Roman" w:hAnsi="Times New Roman" w:cs="Times New Roman"/>
                <w:color w:val="auto"/>
                <w:sz w:val="24"/>
                <w:highlight w:val="none"/>
                <w:lang w:eastAsia="zh-CN"/>
              </w:rPr>
              <w:t>。</w:t>
            </w:r>
          </w:p>
          <w:p w14:paraId="27D7B1C7">
            <w:pPr>
              <w:pStyle w:val="10"/>
              <w:keepNext w:val="0"/>
              <w:keepLines w:val="0"/>
              <w:pageBreakBefore w:val="0"/>
              <w:widowControl w:val="0"/>
              <w:shd w:val="clear" w:color="auto" w:fill="auto"/>
              <w:kinsoku/>
              <w:wordWrap/>
              <w:overflowPunct/>
              <w:topLinePunct w:val="0"/>
              <w:autoSpaceDE/>
              <w:autoSpaceDN/>
              <w:bidi w:val="0"/>
              <w:adjustRightInd/>
              <w:snapToGrid/>
              <w:spacing w:line="430" w:lineRule="exact"/>
              <w:ind w:firstLine="0" w:firstLineChars="0"/>
              <w:jc w:val="center"/>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表</w:t>
            </w:r>
            <w:r>
              <w:rPr>
                <w:rFonts w:hint="default" w:ascii="Times New Roman" w:hAnsi="Times New Roman" w:cs="Times New Roman"/>
                <w:b/>
                <w:color w:val="auto"/>
                <w:sz w:val="24"/>
                <w:lang w:val="en-US" w:eastAsia="zh-CN"/>
              </w:rPr>
              <w:t xml:space="preserve">2-1  </w:t>
            </w:r>
            <w:r>
              <w:rPr>
                <w:rFonts w:hint="default" w:ascii="Times New Roman" w:hAnsi="Times New Roman" w:cs="Times New Roman"/>
                <w:b/>
                <w:color w:val="auto"/>
                <w:sz w:val="24"/>
              </w:rPr>
              <w:t xml:space="preserve">  项目建设内容及规模一览表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944"/>
              <w:gridCol w:w="493"/>
              <w:gridCol w:w="5778"/>
              <w:gridCol w:w="600"/>
            </w:tblGrid>
            <w:tr w14:paraId="0E66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37" w:type="pct"/>
                  <w:noWrap w:val="0"/>
                  <w:tcMar>
                    <w:top w:w="0" w:type="dxa"/>
                    <w:left w:w="28" w:type="dxa"/>
                    <w:bottom w:w="0" w:type="dxa"/>
                    <w:right w:w="28" w:type="dxa"/>
                  </w:tcMar>
                  <w:vAlign w:val="center"/>
                </w:tcPr>
                <w:p w14:paraId="6BE9B43D">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类别</w:t>
                  </w:r>
                </w:p>
              </w:tc>
              <w:tc>
                <w:tcPr>
                  <w:tcW w:w="563" w:type="pct"/>
                  <w:noWrap w:val="0"/>
                  <w:tcMar>
                    <w:top w:w="0" w:type="dxa"/>
                    <w:left w:w="28" w:type="dxa"/>
                    <w:bottom w:w="0" w:type="dxa"/>
                    <w:right w:w="28" w:type="dxa"/>
                  </w:tcMar>
                  <w:vAlign w:val="center"/>
                </w:tcPr>
                <w:p w14:paraId="384B9A95">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工程名称</w:t>
                  </w:r>
                </w:p>
              </w:tc>
              <w:tc>
                <w:tcPr>
                  <w:tcW w:w="3741" w:type="pct"/>
                  <w:gridSpan w:val="2"/>
                  <w:noWrap w:val="0"/>
                  <w:tcMar>
                    <w:top w:w="0" w:type="dxa"/>
                    <w:left w:w="28" w:type="dxa"/>
                    <w:bottom w:w="0" w:type="dxa"/>
                    <w:right w:w="28" w:type="dxa"/>
                  </w:tcMar>
                  <w:vAlign w:val="center"/>
                </w:tcPr>
                <w:p w14:paraId="5118C04A">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建设工程</w:t>
                  </w:r>
                </w:p>
              </w:tc>
              <w:tc>
                <w:tcPr>
                  <w:tcW w:w="358" w:type="pct"/>
                  <w:noWrap w:val="0"/>
                  <w:tcMar>
                    <w:top w:w="0" w:type="dxa"/>
                    <w:left w:w="28" w:type="dxa"/>
                    <w:bottom w:w="0" w:type="dxa"/>
                    <w:right w:w="28" w:type="dxa"/>
                  </w:tcMar>
                  <w:vAlign w:val="center"/>
                </w:tcPr>
                <w:p w14:paraId="2ED68C90">
                  <w:pPr>
                    <w:shd w:val="clear" w:color="auto" w:fill="auto"/>
                    <w:tabs>
                      <w:tab w:val="left" w:pos="7400"/>
                    </w:tabs>
                    <w:adjustRightInd w:val="0"/>
                    <w:snapToGrid w:val="0"/>
                    <w:spacing w:line="240" w:lineRule="exact"/>
                    <w:jc w:val="center"/>
                    <w:rPr>
                      <w:rFonts w:hint="eastAsia" w:ascii="Times New Roman" w:hAnsi="Times New Roman" w:eastAsia="宋体" w:cs="Times New Roman"/>
                      <w:b/>
                      <w:color w:val="auto"/>
                      <w:kern w:val="0"/>
                      <w:szCs w:val="21"/>
                      <w:lang w:val="en-US" w:eastAsia="zh-CN"/>
                    </w:rPr>
                  </w:pPr>
                  <w:r>
                    <w:rPr>
                      <w:rFonts w:hint="eastAsia" w:ascii="Times New Roman" w:hAnsi="Times New Roman" w:cs="Times New Roman"/>
                      <w:b/>
                      <w:color w:val="auto"/>
                      <w:kern w:val="0"/>
                      <w:szCs w:val="21"/>
                      <w:lang w:val="en-US" w:eastAsia="zh-CN"/>
                    </w:rPr>
                    <w:t>备注</w:t>
                  </w:r>
                </w:p>
              </w:tc>
            </w:tr>
            <w:tr w14:paraId="1498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noWrap w:val="0"/>
                  <w:tcMar>
                    <w:top w:w="0" w:type="dxa"/>
                    <w:left w:w="28" w:type="dxa"/>
                    <w:bottom w:w="0" w:type="dxa"/>
                    <w:right w:w="28" w:type="dxa"/>
                  </w:tcMar>
                  <w:vAlign w:val="center"/>
                </w:tcPr>
                <w:p w14:paraId="7CD90C94">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主体工程</w:t>
                  </w:r>
                </w:p>
              </w:tc>
              <w:tc>
                <w:tcPr>
                  <w:tcW w:w="563" w:type="pct"/>
                  <w:noWrap w:val="0"/>
                  <w:tcMar>
                    <w:top w:w="0" w:type="dxa"/>
                    <w:left w:w="28" w:type="dxa"/>
                    <w:bottom w:w="0" w:type="dxa"/>
                    <w:right w:w="28" w:type="dxa"/>
                  </w:tcMar>
                  <w:vAlign w:val="center"/>
                </w:tcPr>
                <w:p w14:paraId="666E5094">
                  <w:pPr>
                    <w:shd w:val="clear" w:color="auto" w:fill="auto"/>
                    <w:adjustRightInd w:val="0"/>
                    <w:snapToGrid w:val="0"/>
                    <w:spacing w:line="240" w:lineRule="exact"/>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成型车间</w:t>
                  </w:r>
                </w:p>
              </w:tc>
              <w:tc>
                <w:tcPr>
                  <w:tcW w:w="3741" w:type="pct"/>
                  <w:gridSpan w:val="2"/>
                  <w:noWrap w:val="0"/>
                  <w:tcMar>
                    <w:top w:w="0" w:type="dxa"/>
                    <w:left w:w="28" w:type="dxa"/>
                    <w:bottom w:w="0" w:type="dxa"/>
                    <w:right w:w="28" w:type="dxa"/>
                  </w:tcMar>
                  <w:vAlign w:val="center"/>
                </w:tcPr>
                <w:p w14:paraId="1D200E76">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textAlignment w:val="auto"/>
                    <w:rPr>
                      <w:rFonts w:hint="default" w:ascii="Times New Roman" w:hAnsi="Times New Roman" w:cs="Times New Roman"/>
                      <w:color w:val="auto"/>
                      <w:kern w:val="0"/>
                      <w:sz w:val="21"/>
                      <w:szCs w:val="21"/>
                      <w:highlight w:val="none"/>
                      <w:lang w:val="en-US" w:eastAsia="zh-CN" w:bidi="ar-SA"/>
                    </w:rPr>
                  </w:pPr>
                  <w:r>
                    <w:rPr>
                      <w:rFonts w:hint="eastAsia" w:eastAsia="宋体" w:cs="Times New Roman"/>
                      <w:color w:val="auto"/>
                      <w:kern w:val="2"/>
                      <w:sz w:val="21"/>
                      <w:szCs w:val="21"/>
                      <w:lang w:val="en-US" w:eastAsia="zh-CN" w:bidi="ar-SA"/>
                    </w:rPr>
                    <w:t>对现有</w:t>
                  </w:r>
                  <w:r>
                    <w:rPr>
                      <w:rFonts w:hint="eastAsia" w:ascii="Times New Roman" w:hAnsi="Times New Roman" w:eastAsia="宋体" w:cs="Times New Roman"/>
                      <w:color w:val="auto"/>
                      <w:kern w:val="2"/>
                      <w:sz w:val="21"/>
                      <w:szCs w:val="21"/>
                      <w:lang w:val="en-US" w:eastAsia="zh-CN" w:bidi="ar-SA"/>
                    </w:rPr>
                    <w:t>2台磨粉机</w:t>
                  </w:r>
                  <w:r>
                    <w:rPr>
                      <w:rFonts w:hint="eastAsia" w:cs="Times New Roman"/>
                      <w:color w:val="auto"/>
                      <w:kern w:val="2"/>
                      <w:sz w:val="21"/>
                      <w:szCs w:val="21"/>
                      <w:lang w:val="en-US" w:eastAsia="zh-CN" w:bidi="ar-SA"/>
                    </w:rPr>
                    <w:t>进行改造升级（</w:t>
                  </w:r>
                  <w:r>
                    <w:rPr>
                      <w:rFonts w:hint="eastAsia" w:ascii="Times New Roman" w:hAnsi="Times New Roman" w:eastAsia="宋体" w:cs="Times New Roman"/>
                      <w:color w:val="auto"/>
                      <w:kern w:val="2"/>
                      <w:sz w:val="21"/>
                      <w:szCs w:val="21"/>
                      <w:lang w:val="en-US" w:eastAsia="zh-CN" w:bidi="ar-SA"/>
                    </w:rPr>
                    <w:t>引入物料智能计量参配系统并更换新蜗壳</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；新增2台备用磨粉机</w:t>
                  </w:r>
                  <w:r>
                    <w:rPr>
                      <w:rFonts w:hint="default" w:ascii="Times New Roman" w:hAnsi="Times New Roman" w:eastAsia="宋体" w:cs="Times New Roman"/>
                      <w:color w:val="auto"/>
                      <w:kern w:val="2"/>
                      <w:sz w:val="21"/>
                      <w:szCs w:val="21"/>
                      <w:lang w:val="en-US" w:eastAsia="zh-CN" w:bidi="ar-SA"/>
                    </w:rPr>
                    <w:t>及配套的气力输送、螺旋输送机等设备</w:t>
                  </w:r>
                  <w:r>
                    <w:rPr>
                      <w:rFonts w:hint="eastAsia" w:ascii="Times New Roman" w:hAnsi="Times New Roman" w:eastAsia="宋体" w:cs="Times New Roman"/>
                      <w:color w:val="auto"/>
                      <w:kern w:val="2"/>
                      <w:sz w:val="21"/>
                      <w:szCs w:val="21"/>
                      <w:lang w:val="en-US" w:eastAsia="zh-CN" w:bidi="ar-SA"/>
                    </w:rPr>
                    <w:t>（仅在设备检修或故障时启用）</w:t>
                  </w:r>
                  <w:r>
                    <w:rPr>
                      <w:rFonts w:hint="eastAsia" w:cs="Times New Roman"/>
                      <w:color w:val="auto"/>
                      <w:kern w:val="2"/>
                      <w:sz w:val="21"/>
                      <w:szCs w:val="21"/>
                      <w:lang w:val="en-US" w:eastAsia="zh-CN" w:bidi="ar-SA"/>
                    </w:rPr>
                    <w:t>，确保生产的连续性。</w:t>
                  </w:r>
                </w:p>
              </w:tc>
              <w:tc>
                <w:tcPr>
                  <w:tcW w:w="358" w:type="pct"/>
                  <w:noWrap w:val="0"/>
                  <w:tcMar>
                    <w:top w:w="0" w:type="dxa"/>
                    <w:left w:w="28" w:type="dxa"/>
                    <w:bottom w:w="0" w:type="dxa"/>
                    <w:right w:w="28" w:type="dxa"/>
                  </w:tcMar>
                  <w:vAlign w:val="center"/>
                </w:tcPr>
                <w:p w14:paraId="2F6F495F">
                  <w:pPr>
                    <w:pStyle w:val="56"/>
                    <w:shd w:val="clear" w:color="auto" w:fill="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技改</w:t>
                  </w:r>
                </w:p>
              </w:tc>
            </w:tr>
            <w:tr w14:paraId="059E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337" w:type="pct"/>
                  <w:noWrap w:val="0"/>
                  <w:tcMar>
                    <w:top w:w="0" w:type="dxa"/>
                    <w:left w:w="28" w:type="dxa"/>
                    <w:bottom w:w="0" w:type="dxa"/>
                    <w:right w:w="28" w:type="dxa"/>
                  </w:tcMar>
                  <w:vAlign w:val="center"/>
                </w:tcPr>
                <w:p w14:paraId="64AF436E">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储运工程</w:t>
                  </w:r>
                </w:p>
              </w:tc>
              <w:tc>
                <w:tcPr>
                  <w:tcW w:w="563" w:type="pct"/>
                  <w:noWrap w:val="0"/>
                  <w:tcMar>
                    <w:top w:w="0" w:type="dxa"/>
                    <w:left w:w="28" w:type="dxa"/>
                    <w:bottom w:w="0" w:type="dxa"/>
                    <w:right w:w="28" w:type="dxa"/>
                  </w:tcMar>
                  <w:vAlign w:val="center"/>
                </w:tcPr>
                <w:p w14:paraId="55243806">
                  <w:pPr>
                    <w:shd w:val="clear" w:color="auto" w:fill="auto"/>
                    <w:adjustRightInd w:val="0"/>
                    <w:snapToGrid w:val="0"/>
                    <w:spacing w:line="24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料仓</w:t>
                  </w:r>
                </w:p>
              </w:tc>
              <w:tc>
                <w:tcPr>
                  <w:tcW w:w="3741" w:type="pct"/>
                  <w:gridSpan w:val="2"/>
                  <w:noWrap w:val="0"/>
                  <w:tcMar>
                    <w:top w:w="0" w:type="dxa"/>
                    <w:left w:w="28" w:type="dxa"/>
                    <w:bottom w:w="0" w:type="dxa"/>
                    <w:right w:w="28" w:type="dxa"/>
                  </w:tcMar>
                  <w:vAlign w:val="center"/>
                </w:tcPr>
                <w:p w14:paraId="30439340">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textAlignment w:val="auto"/>
                    <w:rPr>
                      <w:rFonts w:hint="default"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东线生料仓1个22m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、东线熟料仓1个10m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；西线生料仓1个10m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、西线熟料仓1个10m</w:t>
                  </w:r>
                  <w:r>
                    <w:rPr>
                      <w:rFonts w:hint="default" w:ascii="Times New Roman" w:hAnsi="Times New Roman" w:cs="Times New Roman"/>
                      <w:color w:val="auto"/>
                      <w:kern w:val="2"/>
                      <w:sz w:val="21"/>
                      <w:szCs w:val="21"/>
                      <w:vertAlign w:val="superscript"/>
                      <w:lang w:val="en-US" w:eastAsia="zh-CN" w:bidi="ar-SA"/>
                    </w:rPr>
                    <w:t>3</w:t>
                  </w:r>
                </w:p>
              </w:tc>
              <w:tc>
                <w:tcPr>
                  <w:tcW w:w="358" w:type="pct"/>
                  <w:noWrap w:val="0"/>
                  <w:tcMar>
                    <w:top w:w="0" w:type="dxa"/>
                    <w:left w:w="28" w:type="dxa"/>
                    <w:bottom w:w="0" w:type="dxa"/>
                    <w:right w:w="28" w:type="dxa"/>
                  </w:tcMar>
                  <w:vAlign w:val="center"/>
                </w:tcPr>
                <w:p w14:paraId="154D5E74">
                  <w:pPr>
                    <w:pStyle w:val="56"/>
                    <w:shd w:val="clear" w:color="auto" w:fill="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利旧</w:t>
                  </w:r>
                </w:p>
              </w:tc>
            </w:tr>
            <w:tr w14:paraId="601F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restart"/>
                  <w:noWrap w:val="0"/>
                  <w:tcMar>
                    <w:top w:w="0" w:type="dxa"/>
                    <w:left w:w="28" w:type="dxa"/>
                    <w:bottom w:w="0" w:type="dxa"/>
                    <w:right w:w="28" w:type="dxa"/>
                  </w:tcMar>
                  <w:vAlign w:val="center"/>
                </w:tcPr>
                <w:p w14:paraId="5DBD7C0C">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公用工程</w:t>
                  </w:r>
                </w:p>
              </w:tc>
              <w:tc>
                <w:tcPr>
                  <w:tcW w:w="563" w:type="pct"/>
                  <w:noWrap w:val="0"/>
                  <w:tcMar>
                    <w:top w:w="0" w:type="dxa"/>
                    <w:left w:w="28" w:type="dxa"/>
                    <w:bottom w:w="0" w:type="dxa"/>
                    <w:right w:w="28" w:type="dxa"/>
                  </w:tcMar>
                  <w:vAlign w:val="center"/>
                </w:tcPr>
                <w:p w14:paraId="37F309C5">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供电系统</w:t>
                  </w:r>
                </w:p>
              </w:tc>
              <w:tc>
                <w:tcPr>
                  <w:tcW w:w="3741" w:type="pct"/>
                  <w:gridSpan w:val="2"/>
                  <w:noWrap w:val="0"/>
                  <w:tcMar>
                    <w:top w:w="0" w:type="dxa"/>
                    <w:left w:w="28" w:type="dxa"/>
                    <w:bottom w:w="0" w:type="dxa"/>
                    <w:right w:w="28" w:type="dxa"/>
                  </w:tcMar>
                  <w:vAlign w:val="center"/>
                </w:tcPr>
                <w:p w14:paraId="409008DC">
                  <w:pPr>
                    <w:shd w:val="clear" w:color="auto" w:fill="auto"/>
                    <w:adjustRightInd w:val="0"/>
                    <w:snapToGrid w:val="0"/>
                    <w:spacing w:line="240" w:lineRule="exact"/>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项目用电由园区供电系统供给</w:t>
                  </w:r>
                </w:p>
              </w:tc>
              <w:tc>
                <w:tcPr>
                  <w:tcW w:w="358" w:type="pct"/>
                  <w:noWrap w:val="0"/>
                  <w:tcMar>
                    <w:top w:w="0" w:type="dxa"/>
                    <w:left w:w="28" w:type="dxa"/>
                    <w:bottom w:w="0" w:type="dxa"/>
                    <w:right w:w="28" w:type="dxa"/>
                  </w:tcMar>
                  <w:vAlign w:val="center"/>
                </w:tcPr>
                <w:p w14:paraId="3F7E647C">
                  <w:pPr>
                    <w:shd w:val="clear" w:color="auto" w:fill="auto"/>
                    <w:adjustRightInd w:val="0"/>
                    <w:snapToGrid w:val="0"/>
                    <w:spacing w:line="240" w:lineRule="exact"/>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w:t>
                  </w:r>
                </w:p>
              </w:tc>
            </w:tr>
            <w:tr w14:paraId="311B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62888C7D">
                  <w:pPr>
                    <w:shd w:val="clear" w:color="auto" w:fill="auto"/>
                    <w:adjustRightInd w:val="0"/>
                    <w:snapToGrid w:val="0"/>
                    <w:spacing w:line="240" w:lineRule="exact"/>
                    <w:jc w:val="center"/>
                    <w:rPr>
                      <w:rFonts w:hint="default" w:ascii="Times New Roman" w:hAnsi="Times New Roman" w:cs="Times New Roman"/>
                      <w:color w:val="auto"/>
                      <w:szCs w:val="21"/>
                    </w:rPr>
                  </w:pPr>
                </w:p>
              </w:tc>
              <w:tc>
                <w:tcPr>
                  <w:tcW w:w="563" w:type="pct"/>
                  <w:noWrap w:val="0"/>
                  <w:tcMar>
                    <w:top w:w="0" w:type="dxa"/>
                    <w:left w:w="28" w:type="dxa"/>
                    <w:bottom w:w="0" w:type="dxa"/>
                    <w:right w:w="28" w:type="dxa"/>
                  </w:tcMar>
                  <w:vAlign w:val="center"/>
                </w:tcPr>
                <w:p w14:paraId="5A9000C0">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给水系统</w:t>
                  </w:r>
                </w:p>
              </w:tc>
              <w:tc>
                <w:tcPr>
                  <w:tcW w:w="3741" w:type="pct"/>
                  <w:gridSpan w:val="2"/>
                  <w:noWrap w:val="0"/>
                  <w:tcMar>
                    <w:top w:w="0" w:type="dxa"/>
                    <w:left w:w="28" w:type="dxa"/>
                    <w:bottom w:w="0" w:type="dxa"/>
                    <w:right w:w="28" w:type="dxa"/>
                  </w:tcMar>
                  <w:vAlign w:val="center"/>
                </w:tcPr>
                <w:p w14:paraId="47C0CEC4">
                  <w:pPr>
                    <w:widowControl/>
                    <w:shd w:val="clear" w:color="auto" w:fill="auto"/>
                    <w:jc w:val="left"/>
                    <w:rPr>
                      <w:rFonts w:hint="default" w:ascii="Times New Roman" w:hAnsi="Times New Roman" w:cs="Times New Roman"/>
                      <w:color w:val="auto"/>
                      <w:szCs w:val="21"/>
                      <w:lang w:val="en-US"/>
                    </w:rPr>
                  </w:pPr>
                  <w:r>
                    <w:rPr>
                      <w:rFonts w:hint="default" w:ascii="Times New Roman" w:hAnsi="Times New Roman" w:cs="Times New Roman"/>
                      <w:color w:val="auto"/>
                      <w:szCs w:val="21"/>
                      <w:lang w:val="en-US" w:eastAsia="zh-CN"/>
                    </w:rPr>
                    <w:t>项目</w:t>
                  </w:r>
                  <w:r>
                    <w:rPr>
                      <w:rFonts w:hint="eastAsia" w:ascii="Times New Roman" w:hAnsi="Times New Roman" w:cs="Times New Roman"/>
                      <w:color w:val="auto"/>
                      <w:szCs w:val="21"/>
                      <w:lang w:val="en-US" w:eastAsia="zh-CN"/>
                    </w:rPr>
                    <w:t>生产不用水</w:t>
                  </w:r>
                </w:p>
              </w:tc>
              <w:tc>
                <w:tcPr>
                  <w:tcW w:w="358" w:type="pct"/>
                  <w:noWrap w:val="0"/>
                  <w:tcMar>
                    <w:top w:w="0" w:type="dxa"/>
                    <w:left w:w="28" w:type="dxa"/>
                    <w:bottom w:w="0" w:type="dxa"/>
                    <w:right w:w="28" w:type="dxa"/>
                  </w:tcMar>
                  <w:vAlign w:val="center"/>
                </w:tcPr>
                <w:p w14:paraId="3287AA23">
                  <w:pPr>
                    <w:widowControl/>
                    <w:shd w:val="clear" w:color="auto" w:fill="auto"/>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w:t>
                  </w:r>
                </w:p>
              </w:tc>
            </w:tr>
            <w:tr w14:paraId="5910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06CDD94F">
                  <w:pPr>
                    <w:shd w:val="clear" w:color="auto" w:fill="auto"/>
                    <w:adjustRightInd w:val="0"/>
                    <w:snapToGrid w:val="0"/>
                    <w:spacing w:line="240" w:lineRule="exact"/>
                    <w:jc w:val="center"/>
                    <w:rPr>
                      <w:rFonts w:hint="default" w:ascii="Times New Roman" w:hAnsi="Times New Roman" w:cs="Times New Roman"/>
                      <w:color w:val="auto"/>
                      <w:szCs w:val="21"/>
                    </w:rPr>
                  </w:pPr>
                </w:p>
              </w:tc>
              <w:tc>
                <w:tcPr>
                  <w:tcW w:w="563" w:type="pct"/>
                  <w:noWrap w:val="0"/>
                  <w:tcMar>
                    <w:top w:w="0" w:type="dxa"/>
                    <w:left w:w="28" w:type="dxa"/>
                    <w:bottom w:w="0" w:type="dxa"/>
                    <w:right w:w="28" w:type="dxa"/>
                  </w:tcMar>
                  <w:vAlign w:val="center"/>
                </w:tcPr>
                <w:p w14:paraId="6A6CF15B">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供热系统</w:t>
                  </w:r>
                </w:p>
              </w:tc>
              <w:tc>
                <w:tcPr>
                  <w:tcW w:w="3741" w:type="pct"/>
                  <w:gridSpan w:val="2"/>
                  <w:noWrap w:val="0"/>
                  <w:tcMar>
                    <w:top w:w="0" w:type="dxa"/>
                    <w:left w:w="28" w:type="dxa"/>
                    <w:bottom w:w="0" w:type="dxa"/>
                    <w:right w:w="28" w:type="dxa"/>
                  </w:tcMar>
                  <w:vAlign w:val="center"/>
                </w:tcPr>
                <w:p w14:paraId="1FF0E0F4">
                  <w:pPr>
                    <w:widowControl/>
                    <w:shd w:val="clear" w:color="auto" w:fill="auto"/>
                    <w:jc w:val="left"/>
                    <w:rPr>
                      <w:rFonts w:hint="default" w:ascii="Times New Roman" w:hAnsi="Times New Roman" w:cs="Times New Roman"/>
                      <w:color w:val="auto"/>
                    </w:rPr>
                  </w:pPr>
                  <w:r>
                    <w:rPr>
                      <w:rFonts w:hint="default" w:ascii="Times New Roman" w:hAnsi="Times New Roman" w:cs="Times New Roman"/>
                      <w:color w:val="auto"/>
                    </w:rPr>
                    <w:t>项目生产无需用热，不新增燃煤设施</w:t>
                  </w:r>
                </w:p>
              </w:tc>
              <w:tc>
                <w:tcPr>
                  <w:tcW w:w="358" w:type="pct"/>
                  <w:noWrap w:val="0"/>
                  <w:tcMar>
                    <w:top w:w="0" w:type="dxa"/>
                    <w:left w:w="28" w:type="dxa"/>
                    <w:bottom w:w="0" w:type="dxa"/>
                    <w:right w:w="28" w:type="dxa"/>
                  </w:tcMar>
                  <w:vAlign w:val="center"/>
                </w:tcPr>
                <w:p w14:paraId="72C5A40C">
                  <w:pPr>
                    <w:widowControl/>
                    <w:shd w:val="clear" w:color="auto" w:fill="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w:t>
                  </w:r>
                </w:p>
              </w:tc>
            </w:tr>
            <w:tr w14:paraId="12FD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337" w:type="pct"/>
                  <w:vMerge w:val="restart"/>
                  <w:noWrap w:val="0"/>
                  <w:tcMar>
                    <w:top w:w="0" w:type="dxa"/>
                    <w:left w:w="28" w:type="dxa"/>
                    <w:bottom w:w="0" w:type="dxa"/>
                    <w:right w:w="28" w:type="dxa"/>
                  </w:tcMar>
                  <w:vAlign w:val="center"/>
                </w:tcPr>
                <w:p w14:paraId="016C68B8">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r>
                    <w:rPr>
                      <w:rFonts w:hint="default" w:ascii="Times New Roman" w:hAnsi="Times New Roman" w:cs="Times New Roman"/>
                      <w:color w:val="auto"/>
                      <w:szCs w:val="21"/>
                      <w:highlight w:val="none"/>
                    </w:rPr>
                    <w:t>环保工程</w:t>
                  </w:r>
                </w:p>
              </w:tc>
              <w:tc>
                <w:tcPr>
                  <w:tcW w:w="563" w:type="pct"/>
                  <w:vMerge w:val="restart"/>
                  <w:noWrap w:val="0"/>
                  <w:tcMar>
                    <w:top w:w="0" w:type="dxa"/>
                    <w:left w:w="28" w:type="dxa"/>
                    <w:bottom w:w="0" w:type="dxa"/>
                    <w:right w:w="28" w:type="dxa"/>
                  </w:tcMar>
                  <w:vAlign w:val="center"/>
                </w:tcPr>
                <w:p w14:paraId="78122912">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294" w:type="pct"/>
                  <w:vMerge w:val="restart"/>
                  <w:noWrap w:val="0"/>
                  <w:tcMar>
                    <w:top w:w="0" w:type="dxa"/>
                    <w:left w:w="28" w:type="dxa"/>
                    <w:bottom w:w="0" w:type="dxa"/>
                    <w:right w:w="28" w:type="dxa"/>
                  </w:tcMar>
                  <w:vAlign w:val="center"/>
                </w:tcPr>
                <w:p w14:paraId="6D7764D0">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有组织</w:t>
                  </w:r>
                </w:p>
              </w:tc>
              <w:tc>
                <w:tcPr>
                  <w:tcW w:w="3447" w:type="pct"/>
                  <w:noWrap w:val="0"/>
                  <w:tcMar>
                    <w:top w:w="0" w:type="dxa"/>
                    <w:left w:w="28" w:type="dxa"/>
                    <w:bottom w:w="0" w:type="dxa"/>
                    <w:right w:w="28" w:type="dxa"/>
                  </w:tcMar>
                  <w:vAlign w:val="center"/>
                </w:tcPr>
                <w:p w14:paraId="50225BF3">
                  <w:pPr>
                    <w:shd w:val="clear" w:color="auto" w:fill="auto"/>
                    <w:adjustRightInd w:val="0"/>
                    <w:snapToGrid w:val="0"/>
                    <w:spacing w:line="240" w:lineRule="exact"/>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东线磨粉机将合格细粉经旋风收料器收集后送入配料仓，循环风经通风机进入磨粉机用于循环生产。磨粉过程中产生的多余风经覆膜滤料布袋除尘器（利旧）治理，治理后废气经30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48</w:t>
                  </w:r>
                  <w:r>
                    <w:rPr>
                      <w:rFonts w:hint="eastAsia" w:ascii="Times New Roman" w:hAnsi="Times New Roman" w:eastAsia="宋体" w:cs="Times New Roman"/>
                      <w:color w:val="auto"/>
                      <w:szCs w:val="21"/>
                      <w:highlight w:val="none"/>
                      <w:lang w:val="en-US" w:eastAsia="zh-CN"/>
                    </w:rPr>
                    <w:t>（利旧）</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4E830006">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7E25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337" w:type="pct"/>
                  <w:vMerge w:val="continue"/>
                  <w:noWrap w:val="0"/>
                  <w:tcMar>
                    <w:top w:w="0" w:type="dxa"/>
                    <w:left w:w="28" w:type="dxa"/>
                    <w:bottom w:w="0" w:type="dxa"/>
                    <w:right w:w="28" w:type="dxa"/>
                  </w:tcMar>
                  <w:vAlign w:val="center"/>
                </w:tcPr>
                <w:p w14:paraId="124FFDDA">
                  <w:pPr>
                    <w:shd w:val="clear" w:color="auto" w:fill="auto"/>
                    <w:adjustRightInd w:val="0"/>
                    <w:snapToGrid w:val="0"/>
                    <w:spacing w:line="240" w:lineRule="exact"/>
                    <w:rPr>
                      <w:color w:val="auto"/>
                      <w:highlight w:val="yellow"/>
                    </w:rPr>
                  </w:pPr>
                </w:p>
              </w:tc>
              <w:tc>
                <w:tcPr>
                  <w:tcW w:w="563" w:type="pct"/>
                  <w:vMerge w:val="continue"/>
                  <w:noWrap w:val="0"/>
                  <w:tcMar>
                    <w:top w:w="0" w:type="dxa"/>
                    <w:left w:w="28" w:type="dxa"/>
                    <w:bottom w:w="0" w:type="dxa"/>
                    <w:right w:w="28" w:type="dxa"/>
                  </w:tcMar>
                  <w:vAlign w:val="center"/>
                </w:tcPr>
                <w:p w14:paraId="2B286D8B">
                  <w:pPr>
                    <w:shd w:val="clear" w:color="auto" w:fill="auto"/>
                    <w:adjustRightInd w:val="0"/>
                    <w:snapToGrid w:val="0"/>
                    <w:spacing w:line="240" w:lineRule="exact"/>
                    <w:rPr>
                      <w:color w:val="auto"/>
                      <w:highlight w:val="none"/>
                    </w:rPr>
                  </w:pPr>
                </w:p>
              </w:tc>
              <w:tc>
                <w:tcPr>
                  <w:tcW w:w="294" w:type="pct"/>
                  <w:vMerge w:val="continue"/>
                  <w:noWrap w:val="0"/>
                  <w:tcMar>
                    <w:top w:w="0" w:type="dxa"/>
                    <w:left w:w="28" w:type="dxa"/>
                    <w:bottom w:w="0" w:type="dxa"/>
                    <w:right w:w="28" w:type="dxa"/>
                  </w:tcMar>
                  <w:vAlign w:val="center"/>
                </w:tcPr>
                <w:p w14:paraId="0BD6D2ED">
                  <w:pPr>
                    <w:shd w:val="clear" w:color="auto" w:fill="auto"/>
                    <w:adjustRightInd w:val="0"/>
                    <w:snapToGrid w:val="0"/>
                    <w:spacing w:line="240" w:lineRule="exact"/>
                    <w:rPr>
                      <w:color w:val="auto"/>
                      <w:highlight w:val="none"/>
                    </w:rPr>
                  </w:pPr>
                </w:p>
              </w:tc>
              <w:tc>
                <w:tcPr>
                  <w:tcW w:w="3447" w:type="pct"/>
                  <w:noWrap w:val="0"/>
                  <w:tcMar>
                    <w:top w:w="0" w:type="dxa"/>
                    <w:left w:w="28" w:type="dxa"/>
                    <w:bottom w:w="0" w:type="dxa"/>
                    <w:right w:w="28" w:type="dxa"/>
                  </w:tcMar>
                  <w:vAlign w:val="center"/>
                </w:tcPr>
                <w:p w14:paraId="59A73992">
                  <w:pPr>
                    <w:shd w:val="clear" w:color="auto" w:fill="auto"/>
                    <w:adjustRightInd w:val="0"/>
                    <w:snapToGrid w:val="0"/>
                    <w:spacing w:line="240" w:lineRule="exact"/>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西线磨粉机将合格细粉经旋风收料器收集后送入配料仓，循环风经通风机进入磨粉机用于循环生产。磨粉过程中产生的多余风经覆膜滤料布袋除尘器（利旧）治理，治理后废气经30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54</w:t>
                  </w:r>
                  <w:r>
                    <w:rPr>
                      <w:rFonts w:hint="eastAsia" w:ascii="Times New Roman" w:hAnsi="Times New Roman" w:eastAsia="宋体" w:cs="Times New Roman"/>
                      <w:color w:val="auto"/>
                      <w:szCs w:val="21"/>
                      <w:highlight w:val="none"/>
                      <w:lang w:val="en-US" w:eastAsia="zh-CN"/>
                    </w:rPr>
                    <w:t>（利旧）</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3ED1C2EB">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4F92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37" w:type="pct"/>
                  <w:vMerge w:val="continue"/>
                  <w:noWrap w:val="0"/>
                  <w:tcMar>
                    <w:top w:w="0" w:type="dxa"/>
                    <w:left w:w="28" w:type="dxa"/>
                    <w:bottom w:w="0" w:type="dxa"/>
                    <w:right w:w="28" w:type="dxa"/>
                  </w:tcMar>
                  <w:vAlign w:val="center"/>
                </w:tcPr>
                <w:p w14:paraId="5DA49B85">
                  <w:pPr>
                    <w:shd w:val="clear" w:color="auto" w:fill="auto"/>
                    <w:adjustRightInd w:val="0"/>
                    <w:snapToGrid w:val="0"/>
                    <w:spacing w:line="240" w:lineRule="exact"/>
                    <w:rPr>
                      <w:color w:val="auto"/>
                      <w:highlight w:val="yellow"/>
                    </w:rPr>
                  </w:pPr>
                </w:p>
              </w:tc>
              <w:tc>
                <w:tcPr>
                  <w:tcW w:w="563" w:type="pct"/>
                  <w:vMerge w:val="continue"/>
                  <w:noWrap w:val="0"/>
                  <w:tcMar>
                    <w:top w:w="0" w:type="dxa"/>
                    <w:left w:w="28" w:type="dxa"/>
                    <w:bottom w:w="0" w:type="dxa"/>
                    <w:right w:w="28" w:type="dxa"/>
                  </w:tcMar>
                  <w:vAlign w:val="center"/>
                </w:tcPr>
                <w:p w14:paraId="6DFB423D">
                  <w:pPr>
                    <w:shd w:val="clear" w:color="auto" w:fill="auto"/>
                    <w:adjustRightInd w:val="0"/>
                    <w:snapToGrid w:val="0"/>
                    <w:spacing w:line="240" w:lineRule="exact"/>
                    <w:rPr>
                      <w:color w:val="auto"/>
                      <w:highlight w:val="yellow"/>
                    </w:rPr>
                  </w:pPr>
                </w:p>
              </w:tc>
              <w:tc>
                <w:tcPr>
                  <w:tcW w:w="294" w:type="pct"/>
                  <w:noWrap w:val="0"/>
                  <w:tcMar>
                    <w:top w:w="0" w:type="dxa"/>
                    <w:left w:w="28" w:type="dxa"/>
                    <w:bottom w:w="0" w:type="dxa"/>
                    <w:right w:w="28" w:type="dxa"/>
                  </w:tcMar>
                  <w:vAlign w:val="center"/>
                </w:tcPr>
                <w:p w14:paraId="7B103133">
                  <w:pPr>
                    <w:shd w:val="clear" w:color="auto" w:fill="auto"/>
                    <w:adjustRightInd w:val="0"/>
                    <w:snapToGrid w:val="0"/>
                    <w:spacing w:line="240" w:lineRule="exact"/>
                    <w:jc w:val="center"/>
                    <w:rPr>
                      <w:rFonts w:hint="eastAsia" w:eastAsia="宋体"/>
                      <w:color w:val="auto"/>
                      <w:highlight w:val="none"/>
                      <w:lang w:val="en-US" w:eastAsia="zh-CN"/>
                    </w:rPr>
                  </w:pPr>
                  <w:r>
                    <w:rPr>
                      <w:rFonts w:hint="eastAsia"/>
                      <w:color w:val="auto"/>
                      <w:highlight w:val="none"/>
                      <w:lang w:val="en-US" w:eastAsia="zh-CN"/>
                    </w:rPr>
                    <w:t>无组织</w:t>
                  </w:r>
                </w:p>
              </w:tc>
              <w:tc>
                <w:tcPr>
                  <w:tcW w:w="3447" w:type="pct"/>
                  <w:noWrap w:val="0"/>
                  <w:tcMar>
                    <w:top w:w="0" w:type="dxa"/>
                    <w:left w:w="28" w:type="dxa"/>
                    <w:bottom w:w="0" w:type="dxa"/>
                    <w:right w:w="28" w:type="dxa"/>
                  </w:tcMar>
                  <w:vAlign w:val="center"/>
                </w:tcPr>
                <w:p w14:paraId="06B26622">
                  <w:pPr>
                    <w:shd w:val="clear" w:color="auto" w:fill="auto"/>
                    <w:adjustRightInd w:val="0"/>
                    <w:snapToGrid w:val="0"/>
                    <w:spacing w:line="240" w:lineRule="exact"/>
                    <w:rPr>
                      <w:color w:val="auto"/>
                      <w:highlight w:val="none"/>
                    </w:rPr>
                  </w:pPr>
                  <w:r>
                    <w:rPr>
                      <w:rFonts w:hint="eastAsia" w:ascii="Times New Roman" w:hAnsi="Times New Roman" w:cs="Times New Roman"/>
                      <w:color w:val="auto"/>
                      <w:szCs w:val="21"/>
                      <w:highlight w:val="none"/>
                      <w:lang w:val="en-US" w:eastAsia="zh-CN"/>
                    </w:rPr>
                    <w:t>车间密闭、皮带密闭等措施减少无组织排放，同时成型车间及时清扫扬尘</w:t>
                  </w:r>
                  <w:r>
                    <w:rPr>
                      <w:rFonts w:hint="default" w:ascii="Times New Roman" w:hAnsi="Times New Roman" w:cs="Times New Roman"/>
                      <w:color w:val="auto"/>
                      <w:szCs w:val="21"/>
                      <w:highlight w:val="none"/>
                      <w:lang w:eastAsia="zh-CN"/>
                    </w:rPr>
                    <w:t>。</w:t>
                  </w:r>
                </w:p>
              </w:tc>
              <w:tc>
                <w:tcPr>
                  <w:tcW w:w="358" w:type="pct"/>
                  <w:noWrap w:val="0"/>
                  <w:tcMar>
                    <w:top w:w="0" w:type="dxa"/>
                    <w:left w:w="28" w:type="dxa"/>
                    <w:bottom w:w="0" w:type="dxa"/>
                    <w:right w:w="28" w:type="dxa"/>
                  </w:tcMar>
                  <w:vAlign w:val="center"/>
                </w:tcPr>
                <w:p w14:paraId="1C5001AC">
                  <w:pPr>
                    <w:shd w:val="clear" w:color="auto" w:fill="auto"/>
                    <w:adjustRightInd w:val="0"/>
                    <w:snapToGrid w:val="0"/>
                    <w:spacing w:line="240" w:lineRule="exact"/>
                    <w:jc w:val="center"/>
                    <w:rPr>
                      <w:rFonts w:hint="default" w:eastAsia="宋体"/>
                      <w:color w:val="auto"/>
                      <w:highlight w:val="none"/>
                      <w:lang w:val="en-US" w:eastAsia="zh-CN"/>
                    </w:rPr>
                  </w:pPr>
                  <w:r>
                    <w:rPr>
                      <w:rFonts w:hint="eastAsia" w:ascii="Times New Roman" w:hAnsi="Times New Roman" w:cs="Times New Roman"/>
                      <w:color w:val="auto"/>
                      <w:szCs w:val="21"/>
                      <w:highlight w:val="none"/>
                      <w:lang w:val="en-US" w:eastAsia="zh-CN"/>
                    </w:rPr>
                    <w:t>不变</w:t>
                  </w:r>
                </w:p>
              </w:tc>
            </w:tr>
            <w:tr w14:paraId="4742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37" w:type="pct"/>
                  <w:vMerge w:val="continue"/>
                  <w:noWrap w:val="0"/>
                  <w:tcMar>
                    <w:top w:w="0" w:type="dxa"/>
                    <w:left w:w="28" w:type="dxa"/>
                    <w:bottom w:w="0" w:type="dxa"/>
                    <w:right w:w="28" w:type="dxa"/>
                  </w:tcMar>
                  <w:vAlign w:val="center"/>
                </w:tcPr>
                <w:p w14:paraId="2A486B4D">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2E6BF81D">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3741" w:type="pct"/>
                  <w:gridSpan w:val="2"/>
                  <w:noWrap w:val="0"/>
                  <w:tcMar>
                    <w:top w:w="0" w:type="dxa"/>
                    <w:left w:w="28" w:type="dxa"/>
                    <w:bottom w:w="0" w:type="dxa"/>
                    <w:right w:w="28" w:type="dxa"/>
                  </w:tcMar>
                  <w:vAlign w:val="center"/>
                </w:tcPr>
                <w:p w14:paraId="1D98F985">
                  <w:pPr>
                    <w:shd w:val="clear" w:color="auto" w:fill="auto"/>
                    <w:adjustRightInd w:val="0"/>
                    <w:snapToGrid w:val="0"/>
                    <w:spacing w:line="240" w:lineRule="exact"/>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本项目生产不用水，劳动定员由厂内调剂，无新增生活用水，因此无新增废水产生。</w:t>
                  </w:r>
                </w:p>
              </w:tc>
              <w:tc>
                <w:tcPr>
                  <w:tcW w:w="358" w:type="pct"/>
                  <w:noWrap w:val="0"/>
                  <w:tcMar>
                    <w:top w:w="0" w:type="dxa"/>
                    <w:left w:w="28" w:type="dxa"/>
                    <w:bottom w:w="0" w:type="dxa"/>
                    <w:right w:w="28" w:type="dxa"/>
                  </w:tcMar>
                  <w:vAlign w:val="center"/>
                </w:tcPr>
                <w:p w14:paraId="4505B816">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3040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37C52EC4">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093E9B6C">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741" w:type="pct"/>
                  <w:gridSpan w:val="2"/>
                  <w:noWrap w:val="0"/>
                  <w:tcMar>
                    <w:top w:w="0" w:type="dxa"/>
                    <w:left w:w="28" w:type="dxa"/>
                    <w:bottom w:w="0" w:type="dxa"/>
                    <w:right w:w="28" w:type="dxa"/>
                  </w:tcMar>
                  <w:vAlign w:val="center"/>
                </w:tcPr>
                <w:p w14:paraId="694BA9B0">
                  <w:pPr>
                    <w:shd w:val="clear" w:color="auto" w:fill="auto"/>
                    <w:adjustRightInd w:val="0"/>
                    <w:snapToGrid w:val="0"/>
                    <w:spacing w:line="24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主要为设备噪声，采取厂房隔声、基础减振、安装消声</w:t>
                  </w:r>
                  <w:r>
                    <w:rPr>
                      <w:rFonts w:hint="eastAsia" w:ascii="Times New Roman" w:hAnsi="Times New Roman" w:cs="Times New Roman"/>
                      <w:color w:val="auto"/>
                      <w:szCs w:val="21"/>
                      <w:highlight w:val="none"/>
                      <w:lang w:val="en-US" w:eastAsia="zh-CN"/>
                    </w:rPr>
                    <w:t>设施</w:t>
                  </w:r>
                  <w:r>
                    <w:rPr>
                      <w:rFonts w:hint="default" w:ascii="Times New Roman" w:hAnsi="Times New Roman" w:cs="Times New Roman"/>
                      <w:color w:val="auto"/>
                      <w:szCs w:val="21"/>
                      <w:highlight w:val="none"/>
                    </w:rPr>
                    <w:t>等措施</w:t>
                  </w:r>
                </w:p>
              </w:tc>
              <w:tc>
                <w:tcPr>
                  <w:tcW w:w="358" w:type="pct"/>
                  <w:noWrap w:val="0"/>
                  <w:tcMar>
                    <w:top w:w="0" w:type="dxa"/>
                    <w:left w:w="28" w:type="dxa"/>
                    <w:bottom w:w="0" w:type="dxa"/>
                    <w:right w:w="28" w:type="dxa"/>
                  </w:tcMar>
                  <w:vAlign w:val="center"/>
                </w:tcPr>
                <w:p w14:paraId="748D7B63">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不变</w:t>
                  </w:r>
                </w:p>
              </w:tc>
            </w:tr>
            <w:tr w14:paraId="29F3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37" w:type="pct"/>
                  <w:vMerge w:val="continue"/>
                  <w:noWrap w:val="0"/>
                  <w:tcMar>
                    <w:top w:w="0" w:type="dxa"/>
                    <w:left w:w="28" w:type="dxa"/>
                    <w:bottom w:w="0" w:type="dxa"/>
                    <w:right w:w="28" w:type="dxa"/>
                  </w:tcMar>
                  <w:vAlign w:val="center"/>
                </w:tcPr>
                <w:p w14:paraId="255458C6">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16653C43">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741" w:type="pct"/>
                  <w:gridSpan w:val="2"/>
                  <w:noWrap w:val="0"/>
                  <w:tcMar>
                    <w:top w:w="0" w:type="dxa"/>
                    <w:left w:w="28" w:type="dxa"/>
                    <w:bottom w:w="0" w:type="dxa"/>
                    <w:right w:w="28" w:type="dxa"/>
                  </w:tcMar>
                  <w:vAlign w:val="center"/>
                </w:tcPr>
                <w:p w14:paraId="2CDACA2A">
                  <w:pPr>
                    <w:shd w:val="clear" w:color="auto" w:fill="auto"/>
                    <w:adjustRightInd w:val="0"/>
                    <w:snapToGrid w:val="0"/>
                    <w:spacing w:line="240" w:lineRule="exact"/>
                    <w:jc w:val="left"/>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主要是</w:t>
                  </w:r>
                  <w:r>
                    <w:rPr>
                      <w:rFonts w:hint="eastAsia" w:ascii="Times New Roman" w:hAnsi="Times New Roman" w:cs="Times New Roman"/>
                      <w:color w:val="auto"/>
                      <w:szCs w:val="21"/>
                      <w:highlight w:val="none"/>
                      <w:lang w:val="en-US" w:eastAsia="zh-CN"/>
                    </w:rPr>
                    <w:t>废气治理设施</w:t>
                  </w:r>
                  <w:r>
                    <w:rPr>
                      <w:rFonts w:hint="default" w:ascii="Times New Roman" w:hAnsi="Times New Roman" w:cs="Times New Roman"/>
                      <w:color w:val="auto"/>
                      <w:szCs w:val="21"/>
                      <w:highlight w:val="none"/>
                    </w:rPr>
                    <w:t>产生的</w:t>
                  </w:r>
                  <w:r>
                    <w:rPr>
                      <w:rFonts w:hint="eastAsia" w:ascii="Times New Roman" w:hAnsi="Times New Roman" w:cs="Times New Roman"/>
                      <w:color w:val="auto"/>
                      <w:szCs w:val="21"/>
                      <w:highlight w:val="none"/>
                      <w:lang w:val="en-US" w:eastAsia="zh-CN"/>
                    </w:rPr>
                    <w:t>除尘灰</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收集后回用于生产；</w:t>
                  </w:r>
                  <w:r>
                    <w:rPr>
                      <w:rFonts w:hint="eastAsia" w:cs="Times New Roman"/>
                      <w:color w:val="auto"/>
                      <w:szCs w:val="21"/>
                      <w:highlight w:val="none"/>
                      <w:lang w:val="en-US" w:eastAsia="zh-CN"/>
                    </w:rPr>
                    <w:t>除尘器产生的废布袋，收集后外售；</w:t>
                  </w:r>
                  <w:r>
                    <w:rPr>
                      <w:rFonts w:hint="eastAsia" w:ascii="Times New Roman" w:hAnsi="Times New Roman" w:cs="Times New Roman"/>
                      <w:color w:val="auto"/>
                      <w:szCs w:val="21"/>
                      <w:highlight w:val="none"/>
                      <w:lang w:val="en-US" w:eastAsia="zh-CN"/>
                    </w:rPr>
                    <w:t>设备检修过程产生的废机油、废油桶，随产随清，交由资质单位进行处置。</w:t>
                  </w:r>
                </w:p>
              </w:tc>
              <w:tc>
                <w:tcPr>
                  <w:tcW w:w="358" w:type="pct"/>
                  <w:noWrap w:val="0"/>
                  <w:tcMar>
                    <w:top w:w="0" w:type="dxa"/>
                    <w:left w:w="28" w:type="dxa"/>
                    <w:bottom w:w="0" w:type="dxa"/>
                    <w:right w:w="28" w:type="dxa"/>
                  </w:tcMar>
                  <w:vAlign w:val="center"/>
                </w:tcPr>
                <w:p w14:paraId="0633B78D">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0DBC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337" w:type="pct"/>
                  <w:noWrap w:val="0"/>
                  <w:tcMar>
                    <w:top w:w="0" w:type="dxa"/>
                    <w:left w:w="28" w:type="dxa"/>
                    <w:bottom w:w="0" w:type="dxa"/>
                    <w:right w:w="28" w:type="dxa"/>
                  </w:tcMar>
                  <w:vAlign w:val="center"/>
                </w:tcPr>
                <w:p w14:paraId="0C2112E6">
                  <w:pPr>
                    <w:shd w:val="clear" w:color="auto" w:fill="auto"/>
                    <w:adjustRightInd w:val="0"/>
                    <w:snapToGrid w:val="0"/>
                    <w:spacing w:line="240" w:lineRule="exact"/>
                    <w:jc w:val="center"/>
                    <w:rPr>
                      <w:rFonts w:hint="default" w:ascii="Times New Roman" w:hAnsi="Times New Roman" w:eastAsia="宋体" w:cs="Times New Roman"/>
                      <w:color w:val="auto"/>
                      <w:szCs w:val="21"/>
                      <w:highlight w:val="yellow"/>
                      <w:lang w:val="en-US" w:eastAsia="zh-CN"/>
                    </w:rPr>
                  </w:pPr>
                  <w:r>
                    <w:rPr>
                      <w:rFonts w:hint="eastAsia" w:cs="Times New Roman"/>
                      <w:color w:val="auto"/>
                      <w:szCs w:val="21"/>
                      <w:highlight w:val="none"/>
                      <w:lang w:val="en-US" w:eastAsia="zh-CN"/>
                    </w:rPr>
                    <w:t>依托工程</w:t>
                  </w:r>
                </w:p>
              </w:tc>
              <w:tc>
                <w:tcPr>
                  <w:tcW w:w="563" w:type="pct"/>
                  <w:noWrap w:val="0"/>
                  <w:tcMar>
                    <w:top w:w="0" w:type="dxa"/>
                    <w:left w:w="28" w:type="dxa"/>
                    <w:bottom w:w="0" w:type="dxa"/>
                    <w:right w:w="28" w:type="dxa"/>
                  </w:tcMar>
                  <w:vAlign w:val="center"/>
                </w:tcPr>
                <w:p w14:paraId="13D0895D">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环保治理设施</w:t>
                  </w:r>
                </w:p>
              </w:tc>
              <w:tc>
                <w:tcPr>
                  <w:tcW w:w="3741" w:type="pct"/>
                  <w:gridSpan w:val="2"/>
                  <w:noWrap w:val="0"/>
                  <w:tcMar>
                    <w:top w:w="0" w:type="dxa"/>
                    <w:left w:w="28" w:type="dxa"/>
                    <w:bottom w:w="0" w:type="dxa"/>
                    <w:right w:w="28" w:type="dxa"/>
                  </w:tcMar>
                  <w:vAlign w:val="center"/>
                </w:tcPr>
                <w:p w14:paraId="28D883BC">
                  <w:pPr>
                    <w:shd w:val="clear" w:color="auto" w:fill="auto"/>
                    <w:adjustRightInd w:val="0"/>
                    <w:snapToGrid w:val="0"/>
                    <w:spacing w:line="240" w:lineRule="exact"/>
                    <w:jc w:val="left"/>
                    <w:rPr>
                      <w:rFonts w:hint="eastAsia" w:cs="Times New Roman"/>
                      <w:color w:val="auto"/>
                      <w:szCs w:val="21"/>
                      <w:highlight w:val="none"/>
                      <w:lang w:val="en-US" w:eastAsia="zh-CN"/>
                    </w:rPr>
                  </w:pPr>
                  <w:r>
                    <w:rPr>
                      <w:rFonts w:hint="eastAsia" w:cs="Times New Roman"/>
                      <w:color w:val="auto"/>
                      <w:szCs w:val="21"/>
                      <w:highlight w:val="none"/>
                      <w:lang w:val="en-US" w:eastAsia="zh-CN"/>
                    </w:rPr>
                    <w:t>东线备用磨粉机废气治理设施利用现有东线主用磨粉机废气治理设施，废气</w:t>
                  </w:r>
                  <w:r>
                    <w:rPr>
                      <w:rFonts w:hint="eastAsia" w:ascii="Times New Roman" w:hAnsi="Times New Roman" w:eastAsia="宋体" w:cs="Times New Roman"/>
                      <w:color w:val="auto"/>
                      <w:szCs w:val="21"/>
                      <w:highlight w:val="none"/>
                      <w:lang w:val="en-US" w:eastAsia="zh-CN"/>
                    </w:rPr>
                    <w:t>经覆膜滤料布袋除尘器</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48</w:t>
                  </w:r>
                  <w:r>
                    <w:rPr>
                      <w:rFonts w:hint="default" w:ascii="Times New Roman" w:hAnsi="Times New Roman" w:eastAsia="宋体" w:cs="Times New Roman"/>
                      <w:color w:val="auto"/>
                      <w:szCs w:val="21"/>
                      <w:highlight w:val="none"/>
                      <w:lang w:val="en-US" w:eastAsia="zh-CN"/>
                    </w:rPr>
                    <w:t>排放</w:t>
                  </w:r>
                  <w:r>
                    <w:rPr>
                      <w:rFonts w:hint="eastAsia" w:cs="Times New Roman"/>
                      <w:color w:val="auto"/>
                      <w:szCs w:val="21"/>
                      <w:highlight w:val="none"/>
                      <w:lang w:val="en-US" w:eastAsia="zh-CN"/>
                    </w:rPr>
                    <w:t>；</w:t>
                  </w:r>
                </w:p>
                <w:p w14:paraId="3AB6E960">
                  <w:pPr>
                    <w:shd w:val="clear" w:color="auto" w:fill="auto"/>
                    <w:adjustRightInd w:val="0"/>
                    <w:snapToGrid w:val="0"/>
                    <w:spacing w:line="240" w:lineRule="exact"/>
                    <w:jc w:val="left"/>
                    <w:rPr>
                      <w:rFonts w:hint="default" w:cs="Times New Roman"/>
                      <w:color w:val="auto"/>
                      <w:szCs w:val="21"/>
                      <w:highlight w:val="none"/>
                      <w:lang w:val="en-US" w:eastAsia="zh-CN"/>
                    </w:rPr>
                  </w:pPr>
                  <w:r>
                    <w:rPr>
                      <w:rFonts w:hint="eastAsia" w:cs="Times New Roman"/>
                      <w:color w:val="auto"/>
                      <w:szCs w:val="21"/>
                      <w:highlight w:val="none"/>
                      <w:lang w:val="en-US" w:eastAsia="zh-CN"/>
                    </w:rPr>
                    <w:t>西线备用磨粉机废气治理设施利用现有西线主用磨粉机废气治理设施，废气</w:t>
                  </w:r>
                  <w:r>
                    <w:rPr>
                      <w:rFonts w:hint="eastAsia" w:ascii="Times New Roman" w:hAnsi="Times New Roman" w:eastAsia="宋体" w:cs="Times New Roman"/>
                      <w:color w:val="auto"/>
                      <w:szCs w:val="21"/>
                      <w:highlight w:val="none"/>
                      <w:lang w:val="en-US" w:eastAsia="zh-CN"/>
                    </w:rPr>
                    <w:t>经覆膜滤料布袋除尘器</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54</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4A419C6E">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利旧</w:t>
                  </w:r>
                </w:p>
              </w:tc>
            </w:tr>
          </w:tbl>
          <w:p w14:paraId="67FEF70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3、产品方案</w:t>
            </w:r>
          </w:p>
          <w:p w14:paraId="027EFA7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eastAsia" w:cs="Times New Roman"/>
                <w:bCs/>
                <w:color w:val="auto"/>
                <w:sz w:val="24"/>
                <w:szCs w:val="24"/>
                <w:lang w:val="en-US" w:eastAsia="zh-CN"/>
              </w:rPr>
              <w:t>本次技改项目</w:t>
            </w:r>
            <w:r>
              <w:rPr>
                <w:rFonts w:hint="eastAsia" w:ascii="Times New Roman" w:hAnsi="Times New Roman" w:cs="Times New Roman"/>
                <w:bCs/>
                <w:color w:val="auto"/>
                <w:sz w:val="24"/>
                <w:szCs w:val="24"/>
                <w:lang w:val="en-US" w:eastAsia="zh-CN"/>
              </w:rPr>
              <w:t>备用</w:t>
            </w:r>
            <w:r>
              <w:rPr>
                <w:rFonts w:hint="eastAsia" w:cs="Times New Roman"/>
                <w:bCs/>
                <w:color w:val="auto"/>
                <w:sz w:val="24"/>
                <w:szCs w:val="24"/>
                <w:lang w:val="en-US" w:eastAsia="zh-CN"/>
              </w:rPr>
              <w:t>磨粉机</w:t>
            </w:r>
            <w:r>
              <w:rPr>
                <w:rFonts w:hint="eastAsia" w:ascii="Times New Roman" w:hAnsi="Times New Roman" w:cs="Times New Roman"/>
                <w:bCs/>
                <w:color w:val="auto"/>
                <w:sz w:val="24"/>
                <w:szCs w:val="24"/>
                <w:lang w:val="en-US" w:eastAsia="zh-CN"/>
              </w:rPr>
              <w:t>设备仅用于分摊原设备检修、故障期间生产任务，</w:t>
            </w:r>
            <w:r>
              <w:rPr>
                <w:rFonts w:hint="eastAsia" w:cs="Times New Roman"/>
                <w:bCs/>
                <w:color w:val="auto"/>
                <w:sz w:val="24"/>
                <w:szCs w:val="24"/>
                <w:lang w:val="en-US" w:eastAsia="zh-CN"/>
              </w:rPr>
              <w:t>生产工况、生产效率与原设备保持一致，</w:t>
            </w:r>
            <w:r>
              <w:rPr>
                <w:rFonts w:hint="eastAsia" w:ascii="Times New Roman" w:hAnsi="Times New Roman" w:cs="Times New Roman"/>
                <w:bCs/>
                <w:color w:val="auto"/>
                <w:sz w:val="24"/>
                <w:szCs w:val="24"/>
                <w:lang w:val="en-US" w:eastAsia="zh-CN"/>
              </w:rPr>
              <w:t>属于原有产能内部均衡调配，不存在扩产</w:t>
            </w:r>
            <w:r>
              <w:rPr>
                <w:rFonts w:hint="eastAsia" w:cs="Times New Roman"/>
                <w:color w:val="auto"/>
                <w:sz w:val="24"/>
                <w:lang w:eastAsia="zh-CN"/>
              </w:rPr>
              <w:t>。</w:t>
            </w:r>
            <w:r>
              <w:rPr>
                <w:rFonts w:hint="eastAsia" w:ascii="Times New Roman" w:hAnsi="Times New Roman" w:cs="Times New Roman"/>
                <w:bCs/>
                <w:color w:val="auto"/>
                <w:sz w:val="24"/>
                <w:szCs w:val="24"/>
                <w:lang w:val="en-US" w:eastAsia="zh-CN"/>
              </w:rPr>
              <w:t>项目实施后全厂设计</w:t>
            </w:r>
            <w:r>
              <w:rPr>
                <w:rFonts w:hint="eastAsia" w:cs="Times New Roman"/>
                <w:bCs/>
                <w:color w:val="auto"/>
                <w:sz w:val="24"/>
                <w:szCs w:val="24"/>
                <w:lang w:val="en-US" w:eastAsia="zh-CN"/>
              </w:rPr>
              <w:t>生产规模</w:t>
            </w:r>
            <w:r>
              <w:rPr>
                <w:rFonts w:hint="eastAsia" w:ascii="Times New Roman" w:hAnsi="Times New Roman" w:cs="Times New Roman"/>
                <w:bCs/>
                <w:color w:val="auto"/>
                <w:sz w:val="24"/>
                <w:szCs w:val="24"/>
                <w:lang w:val="en-US" w:eastAsia="zh-CN"/>
              </w:rPr>
              <w:t>、年度物料加工总规模及产品种类、产量方案均与技改前保持一致</w:t>
            </w:r>
            <w:r>
              <w:rPr>
                <w:rFonts w:hint="eastAsia" w:cs="Times New Roman"/>
                <w:bCs/>
                <w:color w:val="auto"/>
                <w:sz w:val="24"/>
                <w:szCs w:val="24"/>
                <w:lang w:val="en-US" w:eastAsia="zh-CN"/>
              </w:rPr>
              <w:t>。</w:t>
            </w:r>
            <w:r>
              <w:rPr>
                <w:rFonts w:hint="eastAsia" w:cs="Times New Roman"/>
                <w:color w:val="auto"/>
                <w:sz w:val="24"/>
                <w:lang w:val="en-US" w:eastAsia="zh-CN"/>
              </w:rPr>
              <w:t>具体</w:t>
            </w:r>
            <w:r>
              <w:rPr>
                <w:rFonts w:hint="eastAsia" w:ascii="Times New Roman" w:hAnsi="Times New Roman" w:cs="Times New Roman"/>
                <w:color w:val="auto"/>
                <w:sz w:val="24"/>
                <w:lang w:val="en-US" w:eastAsia="zh-CN"/>
              </w:rPr>
              <w:t>如下：</w:t>
            </w:r>
          </w:p>
          <w:p w14:paraId="6FA20C8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p>
          <w:p w14:paraId="7459AB83">
            <w:pPr>
              <w:pStyle w:val="10"/>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表2-2  </w:t>
            </w:r>
            <w:r>
              <w:rPr>
                <w:rFonts w:hint="eastAsia" w:ascii="Times New Roman" w:hAnsi="Times New Roman" w:cs="Times New Roman"/>
                <w:b/>
                <w:color w:val="auto"/>
                <w:sz w:val="24"/>
                <w:highlight w:val="none"/>
                <w:lang w:val="en-US" w:eastAsia="zh-CN"/>
              </w:rPr>
              <w:t xml:space="preserve">  </w:t>
            </w:r>
            <w:r>
              <w:rPr>
                <w:rFonts w:hint="default" w:ascii="Times New Roman" w:hAnsi="Times New Roman" w:cs="Times New Roman"/>
                <w:b/>
                <w:color w:val="auto"/>
                <w:sz w:val="24"/>
                <w:highlight w:val="none"/>
              </w:rPr>
              <w:t>产品</w:t>
            </w:r>
            <w:r>
              <w:rPr>
                <w:rFonts w:hint="eastAsia" w:ascii="Times New Roman" w:hAnsi="Times New Roman" w:cs="Times New Roman"/>
                <w:b/>
                <w:color w:val="auto"/>
                <w:sz w:val="24"/>
                <w:highlight w:val="none"/>
                <w:lang w:val="en-US" w:eastAsia="zh-CN"/>
              </w:rPr>
              <w:t>方案</w:t>
            </w:r>
            <w:r>
              <w:rPr>
                <w:rFonts w:hint="default" w:ascii="Times New Roman" w:hAnsi="Times New Roman" w:cs="Times New Roman"/>
                <w:b/>
                <w:color w:val="auto"/>
                <w:sz w:val="24"/>
                <w:highlight w:val="none"/>
              </w:rPr>
              <w:t>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2559"/>
              <w:gridCol w:w="1068"/>
              <w:gridCol w:w="1625"/>
              <w:gridCol w:w="1611"/>
              <w:gridCol w:w="1516"/>
            </w:tblGrid>
            <w:tr w14:paraId="3EDD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526" w:type="pct"/>
                  <w:noWrap w:val="0"/>
                  <w:vAlign w:val="center"/>
                </w:tcPr>
                <w:p w14:paraId="3A869E6F">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产品</w:t>
                  </w:r>
                  <w:r>
                    <w:rPr>
                      <w:rFonts w:hint="eastAsia" w:ascii="Times New Roman" w:cs="Times New Roman"/>
                      <w:bCs/>
                      <w:color w:val="auto"/>
                      <w:sz w:val="21"/>
                      <w:szCs w:val="21"/>
                      <w:highlight w:val="none"/>
                      <w:lang w:val="en-US" w:eastAsia="zh-CN"/>
                    </w:rPr>
                    <w:t>名称</w:t>
                  </w:r>
                </w:p>
              </w:tc>
              <w:tc>
                <w:tcPr>
                  <w:tcW w:w="637" w:type="pct"/>
                  <w:noWrap w:val="0"/>
                  <w:vAlign w:val="center"/>
                </w:tcPr>
                <w:p w14:paraId="69CAD5BA">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单位</w:t>
                  </w:r>
                </w:p>
              </w:tc>
              <w:tc>
                <w:tcPr>
                  <w:tcW w:w="969" w:type="pct"/>
                  <w:noWrap w:val="0"/>
                  <w:vAlign w:val="center"/>
                </w:tcPr>
                <w:p w14:paraId="5A584E98">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现有工程</w:t>
                  </w:r>
                </w:p>
              </w:tc>
              <w:tc>
                <w:tcPr>
                  <w:tcW w:w="961" w:type="pct"/>
                  <w:noWrap w:val="0"/>
                  <w:vAlign w:val="center"/>
                </w:tcPr>
                <w:p w14:paraId="6632E91E">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本项目</w:t>
                  </w:r>
                </w:p>
              </w:tc>
              <w:tc>
                <w:tcPr>
                  <w:tcW w:w="904" w:type="pct"/>
                  <w:noWrap w:val="0"/>
                  <w:vAlign w:val="center"/>
                </w:tcPr>
                <w:p w14:paraId="18A8BB3A">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技改后</w:t>
                  </w:r>
                  <w:r>
                    <w:rPr>
                      <w:rFonts w:hint="eastAsia" w:ascii="Times New Roman" w:hAnsi="Times New Roman" w:cs="Times New Roman"/>
                      <w:bCs/>
                      <w:color w:val="auto"/>
                      <w:sz w:val="21"/>
                      <w:szCs w:val="21"/>
                      <w:highlight w:val="none"/>
                      <w:lang w:val="en-US" w:eastAsia="zh-CN"/>
                    </w:rPr>
                    <w:t>全厂</w:t>
                  </w:r>
                </w:p>
              </w:tc>
            </w:tr>
            <w:tr w14:paraId="77F6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526" w:type="pct"/>
                  <w:noWrap w:val="0"/>
                  <w:vAlign w:val="center"/>
                </w:tcPr>
                <w:p w14:paraId="75496376">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铝电解用阳极</w:t>
                  </w:r>
                </w:p>
              </w:tc>
              <w:tc>
                <w:tcPr>
                  <w:tcW w:w="637" w:type="pct"/>
                  <w:noWrap w:val="0"/>
                  <w:vAlign w:val="center"/>
                </w:tcPr>
                <w:p w14:paraId="570D971C">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万t/a</w:t>
                  </w:r>
                </w:p>
              </w:tc>
              <w:tc>
                <w:tcPr>
                  <w:tcW w:w="969" w:type="pct"/>
                  <w:noWrap w:val="0"/>
                  <w:vAlign w:val="center"/>
                </w:tcPr>
                <w:p w14:paraId="7A6CAA3B">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w:t>
                  </w:r>
                </w:p>
              </w:tc>
              <w:tc>
                <w:tcPr>
                  <w:tcW w:w="961" w:type="pct"/>
                  <w:noWrap w:val="0"/>
                  <w:vAlign w:val="center"/>
                </w:tcPr>
                <w:p w14:paraId="61A3D437">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904" w:type="pct"/>
                  <w:noWrap w:val="0"/>
                  <w:vAlign w:val="center"/>
                </w:tcPr>
                <w:p w14:paraId="6D650DD0">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w:t>
                  </w:r>
                </w:p>
              </w:tc>
            </w:tr>
          </w:tbl>
          <w:p w14:paraId="119F74B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4、主要生产设备</w:t>
            </w:r>
          </w:p>
          <w:p w14:paraId="368BF0E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本次技改</w:t>
            </w:r>
            <w:r>
              <w:rPr>
                <w:rFonts w:hint="eastAsia" w:cs="Times New Roman"/>
                <w:color w:val="auto"/>
                <w:sz w:val="24"/>
                <w:lang w:val="en-US" w:eastAsia="zh-CN"/>
              </w:rPr>
              <w:t>东线新增</w:t>
            </w:r>
            <w:r>
              <w:rPr>
                <w:rFonts w:hint="default" w:ascii="Times New Roman" w:hAnsi="Times New Roman" w:eastAsia="宋体" w:cs="Times New Roman"/>
                <w:color w:val="auto"/>
                <w:sz w:val="24"/>
              </w:rPr>
              <w:t>1台LYH998-75型</w:t>
            </w:r>
            <w:r>
              <w:rPr>
                <w:rFonts w:hint="eastAsia" w:cs="Times New Roman"/>
                <w:color w:val="auto"/>
                <w:sz w:val="24"/>
                <w:lang w:val="en-US" w:eastAsia="zh-CN"/>
              </w:rPr>
              <w:t>雷蒙磨</w:t>
            </w:r>
            <w:r>
              <w:rPr>
                <w:rFonts w:hint="default" w:ascii="Times New Roman" w:hAnsi="Times New Roman" w:eastAsia="宋体" w:cs="Times New Roman"/>
                <w:color w:val="auto"/>
                <w:sz w:val="24"/>
              </w:rPr>
              <w:t>作为备用设备</w:t>
            </w:r>
            <w:r>
              <w:rPr>
                <w:rFonts w:hint="eastAsia" w:cs="Times New Roman"/>
                <w:color w:val="auto"/>
                <w:sz w:val="24"/>
                <w:lang w:eastAsia="zh-CN"/>
              </w:rPr>
              <w:t>，</w:t>
            </w:r>
            <w:r>
              <w:rPr>
                <w:rFonts w:hint="eastAsia" w:cs="Times New Roman"/>
                <w:color w:val="auto"/>
                <w:sz w:val="24"/>
                <w:lang w:val="en-US" w:eastAsia="zh-CN"/>
              </w:rPr>
              <w:t>配套气力输送系统1套，</w:t>
            </w:r>
            <w:r>
              <w:rPr>
                <w:rFonts w:ascii="宋体" w:hAnsi="宋体" w:eastAsia="宋体" w:cs="宋体"/>
                <w:color w:val="auto"/>
                <w:sz w:val="24"/>
                <w:szCs w:val="24"/>
              </w:rPr>
              <w:t>受场地空间限制，东线备用磨机处不具备建设厂房条件，设备布置于室外，</w:t>
            </w:r>
            <w:r>
              <w:rPr>
                <w:rFonts w:hint="eastAsia" w:cs="Times New Roman"/>
                <w:color w:val="auto"/>
                <w:sz w:val="24"/>
                <w:lang w:val="en-US" w:eastAsia="zh-CN"/>
              </w:rPr>
              <w:t>东线备用磨机输送距离较远，</w:t>
            </w:r>
            <w:r>
              <w:rPr>
                <w:rFonts w:hint="eastAsia"/>
                <w:color w:val="auto"/>
                <w:sz w:val="24"/>
                <w:lang w:val="en-US" w:eastAsia="zh-CN"/>
              </w:rPr>
              <w:t>设5</w:t>
            </w:r>
            <w:r>
              <w:rPr>
                <w:rFonts w:hint="eastAsia"/>
                <w:color w:val="auto"/>
                <w:sz w:val="24"/>
              </w:rPr>
              <w:t>台螺旋输送机输送</w:t>
            </w:r>
            <w:r>
              <w:rPr>
                <w:rFonts w:hint="eastAsia"/>
                <w:color w:val="auto"/>
                <w:sz w:val="24"/>
                <w:lang w:eastAsia="zh-CN"/>
              </w:rPr>
              <w:t>；</w:t>
            </w:r>
            <w:r>
              <w:rPr>
                <w:rFonts w:hint="eastAsia"/>
                <w:color w:val="auto"/>
                <w:sz w:val="24"/>
                <w:lang w:val="en-US" w:eastAsia="zh-CN"/>
              </w:rPr>
              <w:t>西线</w:t>
            </w:r>
            <w:r>
              <w:rPr>
                <w:rFonts w:hint="default" w:ascii="Times New Roman" w:hAnsi="Times New Roman" w:eastAsia="宋体" w:cs="Times New Roman"/>
                <w:color w:val="auto"/>
                <w:sz w:val="24"/>
              </w:rPr>
              <w:t>新增1台YGM4528型</w:t>
            </w:r>
            <w:r>
              <w:rPr>
                <w:rFonts w:hint="eastAsia" w:cs="Times New Roman"/>
                <w:color w:val="auto"/>
                <w:sz w:val="24"/>
                <w:lang w:val="en-US" w:eastAsia="zh-CN"/>
              </w:rPr>
              <w:t>雷蒙磨</w:t>
            </w:r>
            <w:r>
              <w:rPr>
                <w:rFonts w:hint="default" w:ascii="Times New Roman" w:hAnsi="Times New Roman" w:eastAsia="宋体" w:cs="Times New Roman"/>
                <w:color w:val="auto"/>
                <w:sz w:val="24"/>
              </w:rPr>
              <w:t>作为备用设备</w:t>
            </w:r>
            <w:r>
              <w:rPr>
                <w:rFonts w:hint="eastAsia" w:cs="Times New Roman"/>
                <w:color w:val="auto"/>
                <w:sz w:val="24"/>
                <w:lang w:eastAsia="zh-CN"/>
              </w:rPr>
              <w:t>，</w:t>
            </w:r>
            <w:r>
              <w:rPr>
                <w:rFonts w:hint="eastAsia" w:cs="Times New Roman"/>
                <w:color w:val="auto"/>
                <w:sz w:val="24"/>
                <w:lang w:val="en-US" w:eastAsia="zh-CN"/>
              </w:rPr>
              <w:t>配套气力输送系统1套，西线备用磨机位于厂房内，输送距离较近，设2台</w:t>
            </w:r>
            <w:r>
              <w:rPr>
                <w:rFonts w:hint="eastAsia"/>
                <w:color w:val="auto"/>
                <w:sz w:val="24"/>
              </w:rPr>
              <w:t>螺旋</w:t>
            </w:r>
            <w:r>
              <w:rPr>
                <w:rFonts w:hint="eastAsia"/>
                <w:color w:val="auto"/>
                <w:sz w:val="24"/>
                <w:lang w:val="en-US" w:eastAsia="zh-CN"/>
              </w:rPr>
              <w:t>输送机</w:t>
            </w:r>
            <w:r>
              <w:rPr>
                <w:rFonts w:hint="eastAsia"/>
                <w:color w:val="auto"/>
                <w:sz w:val="24"/>
              </w:rPr>
              <w:t>输送</w:t>
            </w:r>
            <w:r>
              <w:rPr>
                <w:rFonts w:hint="eastAsia"/>
                <w:color w:val="auto"/>
                <w:sz w:val="24"/>
                <w:lang w:eastAsia="zh-CN"/>
              </w:rPr>
              <w:t>。</w:t>
            </w:r>
          </w:p>
          <w:p w14:paraId="56C0446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rPr>
              <w:t>技改后全厂磨粉设备</w:t>
            </w:r>
            <w:r>
              <w:rPr>
                <w:rFonts w:hint="eastAsia" w:cs="Times New Roman"/>
                <w:color w:val="auto"/>
                <w:sz w:val="24"/>
                <w:lang w:val="en-US" w:eastAsia="zh-CN"/>
              </w:rPr>
              <w:t>东西线各2台，一用一备。</w:t>
            </w:r>
            <w:r>
              <w:rPr>
                <w:rFonts w:hint="default" w:ascii="Times New Roman" w:hAnsi="Times New Roman" w:cs="Times New Roman"/>
                <w:color w:val="auto"/>
                <w:sz w:val="24"/>
              </w:rPr>
              <w:t>主要生产设备</w:t>
            </w:r>
            <w:r>
              <w:rPr>
                <w:rFonts w:hint="eastAsia" w:ascii="Times New Roman" w:hAnsi="Times New Roman" w:cs="Times New Roman"/>
                <w:color w:val="auto"/>
                <w:sz w:val="24"/>
                <w:lang w:val="en-US" w:eastAsia="zh-CN"/>
              </w:rPr>
              <w:t>变化情况</w:t>
            </w:r>
            <w:r>
              <w:rPr>
                <w:rFonts w:hint="default" w:ascii="Times New Roman" w:hAnsi="Times New Roman" w:cs="Times New Roman"/>
                <w:color w:val="auto"/>
                <w:sz w:val="24"/>
              </w:rPr>
              <w:t>见表2-3。</w:t>
            </w:r>
          </w:p>
          <w:p w14:paraId="2E239492">
            <w:pPr>
              <w:pStyle w:val="10"/>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表2-3  </w:t>
            </w:r>
            <w:r>
              <w:rPr>
                <w:rFonts w:hint="eastAsia" w:ascii="Times New Roman" w:hAnsi="Times New Roman" w:cs="Times New Roman"/>
                <w:b/>
                <w:color w:val="auto"/>
                <w:sz w:val="24"/>
                <w:highlight w:val="none"/>
                <w:lang w:val="en-US" w:eastAsia="zh-CN"/>
              </w:rPr>
              <w:t xml:space="preserve">  本项目</w:t>
            </w:r>
            <w:r>
              <w:rPr>
                <w:rFonts w:hint="default" w:ascii="Times New Roman" w:hAnsi="Times New Roman" w:cs="Times New Roman"/>
                <w:b/>
                <w:color w:val="auto"/>
                <w:sz w:val="24"/>
                <w:highlight w:val="none"/>
              </w:rPr>
              <w:t>主要生产设备</w:t>
            </w:r>
            <w:r>
              <w:rPr>
                <w:rFonts w:hint="eastAsia" w:ascii="Times New Roman" w:hAnsi="Times New Roman" w:cs="Times New Roman"/>
                <w:b/>
                <w:color w:val="auto"/>
                <w:sz w:val="24"/>
                <w:highlight w:val="none"/>
                <w:lang w:val="en-US" w:eastAsia="zh-CN"/>
              </w:rPr>
              <w:t>变化情况</w:t>
            </w:r>
            <w:r>
              <w:rPr>
                <w:rFonts w:hint="default" w:ascii="Times New Roman" w:hAnsi="Times New Roman" w:cs="Times New Roman"/>
                <w:b/>
                <w:color w:val="auto"/>
                <w:sz w:val="24"/>
                <w:highlight w:val="none"/>
              </w:rPr>
              <w:t>一览表</w:t>
            </w:r>
          </w:p>
          <w:tbl>
            <w:tblPr>
              <w:tblStyle w:val="3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67"/>
              <w:gridCol w:w="716"/>
              <w:gridCol w:w="1791"/>
              <w:gridCol w:w="1095"/>
              <w:gridCol w:w="1959"/>
              <w:gridCol w:w="1246"/>
              <w:gridCol w:w="805"/>
            </w:tblGrid>
            <w:tr w14:paraId="4638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4F1DEB2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生产线</w:t>
                  </w:r>
                </w:p>
              </w:tc>
              <w:tc>
                <w:tcPr>
                  <w:tcW w:w="427" w:type="pct"/>
                  <w:vMerge w:val="restart"/>
                  <w:noWrap w:val="0"/>
                  <w:tcMar>
                    <w:top w:w="0" w:type="dxa"/>
                    <w:left w:w="28" w:type="dxa"/>
                    <w:bottom w:w="0" w:type="dxa"/>
                    <w:right w:w="28" w:type="dxa"/>
                  </w:tcMar>
                  <w:vAlign w:val="center"/>
                </w:tcPr>
                <w:p w14:paraId="398C958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r>
                    <w:rPr>
                      <w:rFonts w:hint="eastAsia" w:ascii="Times New Roman" w:cs="Times New Roman"/>
                      <w:bCs/>
                      <w:color w:val="auto"/>
                      <w:sz w:val="21"/>
                      <w:szCs w:val="21"/>
                      <w:highlight w:val="none"/>
                      <w:lang w:val="en-US" w:eastAsia="zh-CN"/>
                    </w:rPr>
                    <w:t>设备</w:t>
                  </w:r>
                  <w:r>
                    <w:rPr>
                      <w:rFonts w:hint="default" w:ascii="Times New Roman" w:hAnsi="Times New Roman" w:eastAsia="宋体" w:cs="Times New Roman"/>
                      <w:bCs/>
                      <w:color w:val="auto"/>
                      <w:sz w:val="21"/>
                      <w:szCs w:val="21"/>
                      <w:highlight w:val="none"/>
                    </w:rPr>
                    <w:t>名称</w:t>
                  </w:r>
                </w:p>
              </w:tc>
              <w:tc>
                <w:tcPr>
                  <w:tcW w:w="1721" w:type="pct"/>
                  <w:gridSpan w:val="2"/>
                  <w:noWrap w:val="0"/>
                  <w:tcMar>
                    <w:top w:w="0" w:type="dxa"/>
                    <w:left w:w="28" w:type="dxa"/>
                    <w:bottom w:w="0" w:type="dxa"/>
                    <w:right w:w="28" w:type="dxa"/>
                  </w:tcMar>
                  <w:vAlign w:val="center"/>
                </w:tcPr>
                <w:p w14:paraId="1C0C414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现有工程</w:t>
                  </w:r>
                </w:p>
              </w:tc>
              <w:tc>
                <w:tcPr>
                  <w:tcW w:w="1911" w:type="pct"/>
                  <w:gridSpan w:val="2"/>
                  <w:noWrap w:val="0"/>
                  <w:tcMar>
                    <w:top w:w="0" w:type="dxa"/>
                    <w:left w:w="28" w:type="dxa"/>
                    <w:bottom w:w="0" w:type="dxa"/>
                    <w:right w:w="28" w:type="dxa"/>
                  </w:tcMar>
                  <w:vAlign w:val="center"/>
                </w:tcPr>
                <w:p w14:paraId="7AB72B8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cs="Times New Roman"/>
                      <w:bCs/>
                      <w:color w:val="auto"/>
                      <w:kern w:val="0"/>
                      <w:sz w:val="21"/>
                      <w:szCs w:val="21"/>
                      <w:highlight w:val="none"/>
                      <w:lang w:val="en-US" w:eastAsia="zh-CN" w:bidi="ar-SA"/>
                    </w:rPr>
                    <w:t>技改项目</w:t>
                  </w:r>
                </w:p>
              </w:tc>
              <w:tc>
                <w:tcPr>
                  <w:tcW w:w="480" w:type="pct"/>
                  <w:vMerge w:val="restart"/>
                  <w:noWrap w:val="0"/>
                  <w:tcMar>
                    <w:top w:w="0" w:type="dxa"/>
                    <w:left w:w="28" w:type="dxa"/>
                    <w:bottom w:w="0" w:type="dxa"/>
                    <w:right w:w="28" w:type="dxa"/>
                  </w:tcMar>
                  <w:vAlign w:val="center"/>
                </w:tcPr>
                <w:p w14:paraId="73F967B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备注</w:t>
                  </w:r>
                </w:p>
              </w:tc>
            </w:tr>
            <w:tr w14:paraId="6AF2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5E295DF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vMerge w:val="continue"/>
                  <w:noWrap w:val="0"/>
                  <w:tcMar>
                    <w:top w:w="0" w:type="dxa"/>
                    <w:left w:w="28" w:type="dxa"/>
                    <w:bottom w:w="0" w:type="dxa"/>
                    <w:right w:w="28" w:type="dxa"/>
                  </w:tcMar>
                  <w:vAlign w:val="center"/>
                </w:tcPr>
                <w:p w14:paraId="05953CB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1068" w:type="pct"/>
                  <w:noWrap w:val="0"/>
                  <w:tcMar>
                    <w:top w:w="0" w:type="dxa"/>
                    <w:left w:w="28" w:type="dxa"/>
                    <w:bottom w:w="0" w:type="dxa"/>
                    <w:right w:w="28" w:type="dxa"/>
                  </w:tcMar>
                  <w:vAlign w:val="center"/>
                </w:tcPr>
                <w:p w14:paraId="0B5AD194">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型号</w:t>
                  </w:r>
                  <w:r>
                    <w:rPr>
                      <w:rFonts w:hint="eastAsia" w:ascii="Times New Roman" w:cs="Times New Roman"/>
                      <w:bCs/>
                      <w:color w:val="auto"/>
                      <w:sz w:val="21"/>
                      <w:szCs w:val="21"/>
                      <w:highlight w:val="none"/>
                      <w:lang w:val="en-US" w:eastAsia="zh-CN"/>
                    </w:rPr>
                    <w:t>/参数</w:t>
                  </w:r>
                </w:p>
              </w:tc>
              <w:tc>
                <w:tcPr>
                  <w:tcW w:w="653" w:type="pct"/>
                  <w:noWrap w:val="0"/>
                  <w:tcMar>
                    <w:top w:w="0" w:type="dxa"/>
                    <w:left w:w="28" w:type="dxa"/>
                    <w:bottom w:w="0" w:type="dxa"/>
                    <w:right w:w="28" w:type="dxa"/>
                  </w:tcMar>
                  <w:vAlign w:val="center"/>
                </w:tcPr>
                <w:p w14:paraId="336E2A1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数量</w:t>
                  </w:r>
                </w:p>
              </w:tc>
              <w:tc>
                <w:tcPr>
                  <w:tcW w:w="1168" w:type="pct"/>
                  <w:noWrap w:val="0"/>
                  <w:tcMar>
                    <w:top w:w="0" w:type="dxa"/>
                    <w:left w:w="28" w:type="dxa"/>
                    <w:bottom w:w="0" w:type="dxa"/>
                    <w:right w:w="28" w:type="dxa"/>
                  </w:tcMar>
                  <w:vAlign w:val="center"/>
                </w:tcPr>
                <w:p w14:paraId="588B2AB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型号</w:t>
                  </w:r>
                  <w:r>
                    <w:rPr>
                      <w:rFonts w:hint="eastAsia" w:ascii="Times New Roman" w:cs="Times New Roman"/>
                      <w:bCs/>
                      <w:color w:val="auto"/>
                      <w:sz w:val="21"/>
                      <w:szCs w:val="21"/>
                      <w:highlight w:val="none"/>
                      <w:lang w:val="en-US" w:eastAsia="zh-CN"/>
                    </w:rPr>
                    <w:t>/参数</w:t>
                  </w:r>
                </w:p>
              </w:tc>
              <w:tc>
                <w:tcPr>
                  <w:tcW w:w="743" w:type="pct"/>
                  <w:noWrap w:val="0"/>
                  <w:tcMar>
                    <w:top w:w="0" w:type="dxa"/>
                    <w:left w:w="28" w:type="dxa"/>
                    <w:bottom w:w="0" w:type="dxa"/>
                    <w:right w:w="28" w:type="dxa"/>
                  </w:tcMar>
                  <w:vAlign w:val="center"/>
                </w:tcPr>
                <w:p w14:paraId="14E238B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数量</w:t>
                  </w:r>
                </w:p>
              </w:tc>
              <w:tc>
                <w:tcPr>
                  <w:tcW w:w="480" w:type="pct"/>
                  <w:vMerge w:val="continue"/>
                  <w:noWrap w:val="0"/>
                  <w:tcMar>
                    <w:top w:w="0" w:type="dxa"/>
                    <w:left w:w="28" w:type="dxa"/>
                    <w:bottom w:w="0" w:type="dxa"/>
                    <w:right w:w="28" w:type="dxa"/>
                  </w:tcMar>
                  <w:vAlign w:val="center"/>
                </w:tcPr>
                <w:p w14:paraId="280D191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p>
              </w:tc>
            </w:tr>
            <w:tr w14:paraId="2887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7B65D43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东线</w:t>
                  </w:r>
                </w:p>
              </w:tc>
              <w:tc>
                <w:tcPr>
                  <w:tcW w:w="427" w:type="pct"/>
                  <w:vMerge w:val="restart"/>
                  <w:noWrap w:val="0"/>
                  <w:tcMar>
                    <w:top w:w="0" w:type="dxa"/>
                    <w:left w:w="28" w:type="dxa"/>
                    <w:bottom w:w="0" w:type="dxa"/>
                    <w:right w:w="28" w:type="dxa"/>
                  </w:tcMar>
                  <w:vAlign w:val="center"/>
                </w:tcPr>
                <w:p w14:paraId="3030D55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雷蒙磨</w:t>
                  </w:r>
                </w:p>
              </w:tc>
              <w:tc>
                <w:tcPr>
                  <w:tcW w:w="1068" w:type="pct"/>
                  <w:vMerge w:val="restart"/>
                  <w:noWrap w:val="0"/>
                  <w:tcMar>
                    <w:top w:w="0" w:type="dxa"/>
                    <w:left w:w="28" w:type="dxa"/>
                    <w:bottom w:w="0" w:type="dxa"/>
                    <w:right w:w="28" w:type="dxa"/>
                  </w:tcMar>
                  <w:vAlign w:val="center"/>
                </w:tcPr>
                <w:p w14:paraId="3A84390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653" w:type="pct"/>
                  <w:vMerge w:val="restart"/>
                  <w:noWrap w:val="0"/>
                  <w:tcMar>
                    <w:top w:w="0" w:type="dxa"/>
                    <w:left w:w="28" w:type="dxa"/>
                    <w:bottom w:w="0" w:type="dxa"/>
                    <w:right w:w="28" w:type="dxa"/>
                  </w:tcMar>
                  <w:vAlign w:val="center"/>
                </w:tcPr>
                <w:p w14:paraId="16F8207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1168" w:type="pct"/>
                  <w:noWrap w:val="0"/>
                  <w:tcMar>
                    <w:top w:w="0" w:type="dxa"/>
                    <w:left w:w="28" w:type="dxa"/>
                    <w:bottom w:w="0" w:type="dxa"/>
                    <w:right w:w="28" w:type="dxa"/>
                  </w:tcMar>
                  <w:vAlign w:val="center"/>
                </w:tcPr>
                <w:p w14:paraId="7B3AC0D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743" w:type="pct"/>
                  <w:noWrap w:val="0"/>
                  <w:tcMar>
                    <w:top w:w="0" w:type="dxa"/>
                    <w:left w:w="28" w:type="dxa"/>
                    <w:bottom w:w="0" w:type="dxa"/>
                    <w:right w:w="28" w:type="dxa"/>
                  </w:tcMar>
                  <w:vAlign w:val="center"/>
                </w:tcPr>
                <w:p w14:paraId="1E2409F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693D0A2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技改，主用</w:t>
                  </w:r>
                </w:p>
              </w:tc>
            </w:tr>
            <w:tr w14:paraId="777C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16DF1EE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427" w:type="pct"/>
                  <w:vMerge w:val="continue"/>
                  <w:noWrap w:val="0"/>
                  <w:tcMar>
                    <w:top w:w="0" w:type="dxa"/>
                    <w:left w:w="28" w:type="dxa"/>
                    <w:bottom w:w="0" w:type="dxa"/>
                    <w:right w:w="28" w:type="dxa"/>
                  </w:tcMar>
                  <w:vAlign w:val="center"/>
                </w:tcPr>
                <w:p w14:paraId="71DFE619">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068" w:type="pct"/>
                  <w:vMerge w:val="continue"/>
                  <w:noWrap w:val="0"/>
                  <w:tcMar>
                    <w:top w:w="0" w:type="dxa"/>
                    <w:left w:w="28" w:type="dxa"/>
                    <w:bottom w:w="0" w:type="dxa"/>
                    <w:right w:w="28" w:type="dxa"/>
                  </w:tcMar>
                  <w:vAlign w:val="center"/>
                </w:tcPr>
                <w:p w14:paraId="05A197E5">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p>
              </w:tc>
              <w:tc>
                <w:tcPr>
                  <w:tcW w:w="653" w:type="pct"/>
                  <w:vMerge w:val="continue"/>
                  <w:noWrap w:val="0"/>
                  <w:tcMar>
                    <w:top w:w="0" w:type="dxa"/>
                    <w:left w:w="28" w:type="dxa"/>
                    <w:bottom w:w="0" w:type="dxa"/>
                    <w:right w:w="28" w:type="dxa"/>
                  </w:tcMar>
                  <w:vAlign w:val="center"/>
                </w:tcPr>
                <w:p w14:paraId="2F606F9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168" w:type="pct"/>
                  <w:noWrap w:val="0"/>
                  <w:tcMar>
                    <w:top w:w="0" w:type="dxa"/>
                    <w:left w:w="28" w:type="dxa"/>
                    <w:bottom w:w="0" w:type="dxa"/>
                    <w:right w:w="28" w:type="dxa"/>
                  </w:tcMar>
                  <w:vAlign w:val="center"/>
                </w:tcPr>
                <w:p w14:paraId="789A682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LYH998-75，4-</w:t>
                  </w:r>
                  <w:r>
                    <w:rPr>
                      <w:rFonts w:hint="eastAsia" w:ascii="Times New Roman"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t/h，200KW</w:t>
                  </w:r>
                </w:p>
              </w:tc>
              <w:tc>
                <w:tcPr>
                  <w:tcW w:w="743" w:type="pct"/>
                  <w:noWrap w:val="0"/>
                  <w:tcMar>
                    <w:top w:w="0" w:type="dxa"/>
                    <w:left w:w="28" w:type="dxa"/>
                    <w:bottom w:w="0" w:type="dxa"/>
                    <w:right w:w="28" w:type="dxa"/>
                  </w:tcMar>
                  <w:vAlign w:val="center"/>
                </w:tcPr>
                <w:p w14:paraId="2DBCD4D5">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33699364">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新增备用</w:t>
                  </w:r>
                </w:p>
              </w:tc>
            </w:tr>
            <w:tr w14:paraId="0CF9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64869E3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66C916C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气力输送系统</w:t>
                  </w:r>
                </w:p>
              </w:tc>
              <w:tc>
                <w:tcPr>
                  <w:tcW w:w="1068" w:type="pct"/>
                  <w:noWrap w:val="0"/>
                  <w:tcMar>
                    <w:top w:w="0" w:type="dxa"/>
                    <w:left w:w="28" w:type="dxa"/>
                    <w:bottom w:w="0" w:type="dxa"/>
                    <w:right w:w="28" w:type="dxa"/>
                  </w:tcMar>
                  <w:vAlign w:val="center"/>
                </w:tcPr>
                <w:p w14:paraId="656B26E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653" w:type="pct"/>
                  <w:noWrap w:val="0"/>
                  <w:tcMar>
                    <w:top w:w="0" w:type="dxa"/>
                    <w:left w:w="28" w:type="dxa"/>
                    <w:bottom w:w="0" w:type="dxa"/>
                    <w:right w:w="28" w:type="dxa"/>
                  </w:tcMar>
                  <w:vAlign w:val="center"/>
                </w:tcPr>
                <w:p w14:paraId="67BC3F1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1套</w:t>
                  </w:r>
                </w:p>
              </w:tc>
              <w:tc>
                <w:tcPr>
                  <w:tcW w:w="1168" w:type="pct"/>
                  <w:noWrap w:val="0"/>
                  <w:tcMar>
                    <w:top w:w="0" w:type="dxa"/>
                    <w:left w:w="28" w:type="dxa"/>
                    <w:bottom w:w="0" w:type="dxa"/>
                    <w:right w:w="28" w:type="dxa"/>
                  </w:tcMar>
                  <w:vAlign w:val="center"/>
                </w:tcPr>
                <w:p w14:paraId="30AC9BA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743" w:type="pct"/>
                  <w:noWrap w:val="0"/>
                  <w:tcMar>
                    <w:top w:w="0" w:type="dxa"/>
                    <w:left w:w="28" w:type="dxa"/>
                    <w:bottom w:w="0" w:type="dxa"/>
                    <w:right w:w="28" w:type="dxa"/>
                  </w:tcMar>
                  <w:vAlign w:val="center"/>
                </w:tcPr>
                <w:p w14:paraId="0126915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2套</w:t>
                  </w:r>
                </w:p>
              </w:tc>
              <w:tc>
                <w:tcPr>
                  <w:tcW w:w="480" w:type="pct"/>
                  <w:noWrap w:val="0"/>
                  <w:tcMar>
                    <w:top w:w="0" w:type="dxa"/>
                    <w:left w:w="28" w:type="dxa"/>
                    <w:bottom w:w="0" w:type="dxa"/>
                    <w:right w:w="28" w:type="dxa"/>
                  </w:tcMar>
                  <w:vAlign w:val="center"/>
                </w:tcPr>
                <w:p w14:paraId="31DC720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新增1套</w:t>
                  </w:r>
                </w:p>
              </w:tc>
            </w:tr>
            <w:tr w14:paraId="7DBD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2D5CB82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B56C29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螺旋输送机</w:t>
                  </w:r>
                </w:p>
              </w:tc>
              <w:tc>
                <w:tcPr>
                  <w:tcW w:w="1068" w:type="pct"/>
                  <w:noWrap w:val="0"/>
                  <w:tcMar>
                    <w:top w:w="0" w:type="dxa"/>
                    <w:left w:w="28" w:type="dxa"/>
                    <w:bottom w:w="0" w:type="dxa"/>
                    <w:right w:w="28" w:type="dxa"/>
                  </w:tcMar>
                  <w:vAlign w:val="center"/>
                </w:tcPr>
                <w:p w14:paraId="0381E70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653" w:type="pct"/>
                  <w:noWrap w:val="0"/>
                  <w:tcMar>
                    <w:top w:w="0" w:type="dxa"/>
                    <w:left w:w="28" w:type="dxa"/>
                    <w:bottom w:w="0" w:type="dxa"/>
                    <w:right w:w="28" w:type="dxa"/>
                  </w:tcMar>
                  <w:vAlign w:val="center"/>
                </w:tcPr>
                <w:p w14:paraId="3F29830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2台</w:t>
                  </w:r>
                </w:p>
              </w:tc>
              <w:tc>
                <w:tcPr>
                  <w:tcW w:w="1168" w:type="pct"/>
                  <w:noWrap w:val="0"/>
                  <w:tcMar>
                    <w:top w:w="0" w:type="dxa"/>
                    <w:left w:w="28" w:type="dxa"/>
                    <w:bottom w:w="0" w:type="dxa"/>
                    <w:right w:w="28" w:type="dxa"/>
                  </w:tcMar>
                  <w:vAlign w:val="center"/>
                </w:tcPr>
                <w:p w14:paraId="16E3981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743" w:type="pct"/>
                  <w:noWrap w:val="0"/>
                  <w:tcMar>
                    <w:top w:w="0" w:type="dxa"/>
                    <w:left w:w="28" w:type="dxa"/>
                    <w:bottom w:w="0" w:type="dxa"/>
                    <w:right w:w="28" w:type="dxa"/>
                  </w:tcMar>
                  <w:vAlign w:val="center"/>
                </w:tcPr>
                <w:p w14:paraId="3D07BF3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7台</w:t>
                  </w:r>
                </w:p>
              </w:tc>
              <w:tc>
                <w:tcPr>
                  <w:tcW w:w="480" w:type="pct"/>
                  <w:noWrap w:val="0"/>
                  <w:tcMar>
                    <w:top w:w="0" w:type="dxa"/>
                    <w:left w:w="28" w:type="dxa"/>
                    <w:bottom w:w="0" w:type="dxa"/>
                    <w:right w:w="28" w:type="dxa"/>
                  </w:tcMar>
                  <w:vAlign w:val="center"/>
                </w:tcPr>
                <w:p w14:paraId="3A6D510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新增5台</w:t>
                  </w:r>
                </w:p>
              </w:tc>
            </w:tr>
            <w:tr w14:paraId="7982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4976D1A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西线</w:t>
                  </w:r>
                </w:p>
              </w:tc>
              <w:tc>
                <w:tcPr>
                  <w:tcW w:w="427" w:type="pct"/>
                  <w:vMerge w:val="restart"/>
                  <w:noWrap w:val="0"/>
                  <w:tcMar>
                    <w:top w:w="0" w:type="dxa"/>
                    <w:left w:w="28" w:type="dxa"/>
                    <w:bottom w:w="0" w:type="dxa"/>
                    <w:right w:w="28" w:type="dxa"/>
                  </w:tcMar>
                  <w:vAlign w:val="center"/>
                </w:tcPr>
                <w:p w14:paraId="3207655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雷蒙磨</w:t>
                  </w:r>
                </w:p>
              </w:tc>
              <w:tc>
                <w:tcPr>
                  <w:tcW w:w="1068" w:type="pct"/>
                  <w:vMerge w:val="restart"/>
                  <w:noWrap w:val="0"/>
                  <w:tcMar>
                    <w:top w:w="0" w:type="dxa"/>
                    <w:left w:w="28" w:type="dxa"/>
                    <w:bottom w:w="0" w:type="dxa"/>
                    <w:right w:w="28" w:type="dxa"/>
                  </w:tcMar>
                  <w:vAlign w:val="center"/>
                </w:tcPr>
                <w:p w14:paraId="1F86A2F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653" w:type="pct"/>
                  <w:vMerge w:val="restart"/>
                  <w:noWrap w:val="0"/>
                  <w:tcMar>
                    <w:top w:w="0" w:type="dxa"/>
                    <w:left w:w="28" w:type="dxa"/>
                    <w:bottom w:w="0" w:type="dxa"/>
                    <w:right w:w="28" w:type="dxa"/>
                  </w:tcMar>
                  <w:vAlign w:val="center"/>
                </w:tcPr>
                <w:p w14:paraId="7CAC22B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1168" w:type="pct"/>
                  <w:noWrap w:val="0"/>
                  <w:tcMar>
                    <w:top w:w="0" w:type="dxa"/>
                    <w:left w:w="28" w:type="dxa"/>
                    <w:bottom w:w="0" w:type="dxa"/>
                    <w:right w:w="28" w:type="dxa"/>
                  </w:tcMar>
                  <w:vAlign w:val="center"/>
                </w:tcPr>
                <w:p w14:paraId="60B4FC7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743" w:type="pct"/>
                  <w:noWrap w:val="0"/>
                  <w:tcMar>
                    <w:top w:w="0" w:type="dxa"/>
                    <w:left w:w="28" w:type="dxa"/>
                    <w:bottom w:w="0" w:type="dxa"/>
                    <w:right w:w="28" w:type="dxa"/>
                  </w:tcMar>
                  <w:vAlign w:val="center"/>
                </w:tcPr>
                <w:p w14:paraId="2A1B3C7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7988771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技改，主用</w:t>
                  </w:r>
                </w:p>
              </w:tc>
            </w:tr>
            <w:tr w14:paraId="34AE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6672C98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vMerge w:val="continue"/>
                  <w:noWrap w:val="0"/>
                  <w:tcMar>
                    <w:top w:w="0" w:type="dxa"/>
                    <w:left w:w="28" w:type="dxa"/>
                    <w:bottom w:w="0" w:type="dxa"/>
                    <w:right w:w="28" w:type="dxa"/>
                  </w:tcMar>
                  <w:vAlign w:val="center"/>
                </w:tcPr>
                <w:p w14:paraId="226C866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068" w:type="pct"/>
                  <w:vMerge w:val="continue"/>
                  <w:noWrap w:val="0"/>
                  <w:tcMar>
                    <w:top w:w="0" w:type="dxa"/>
                    <w:left w:w="28" w:type="dxa"/>
                    <w:bottom w:w="0" w:type="dxa"/>
                    <w:right w:w="28" w:type="dxa"/>
                  </w:tcMar>
                  <w:vAlign w:val="center"/>
                </w:tcPr>
                <w:p w14:paraId="742D80A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653" w:type="pct"/>
                  <w:vMerge w:val="continue"/>
                  <w:noWrap w:val="0"/>
                  <w:tcMar>
                    <w:top w:w="0" w:type="dxa"/>
                    <w:left w:w="28" w:type="dxa"/>
                    <w:bottom w:w="0" w:type="dxa"/>
                    <w:right w:w="28" w:type="dxa"/>
                  </w:tcMar>
                  <w:vAlign w:val="center"/>
                </w:tcPr>
                <w:p w14:paraId="77E4333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168" w:type="pct"/>
                  <w:noWrap w:val="0"/>
                  <w:tcMar>
                    <w:top w:w="0" w:type="dxa"/>
                    <w:left w:w="28" w:type="dxa"/>
                    <w:bottom w:w="0" w:type="dxa"/>
                    <w:right w:w="28" w:type="dxa"/>
                  </w:tcMar>
                  <w:vAlign w:val="center"/>
                </w:tcPr>
                <w:p w14:paraId="15AA9609">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YGM4528，</w:t>
                  </w:r>
                  <w:r>
                    <w:rPr>
                      <w:rFonts w:hint="eastAsia" w:ascii="Times New Roman" w:cs="Times New Roman"/>
                      <w:color w:val="auto"/>
                      <w:sz w:val="21"/>
                      <w:szCs w:val="21"/>
                      <w:highlight w:val="none"/>
                      <w:lang w:val="en-US" w:eastAsia="zh-CN"/>
                    </w:rPr>
                    <w:t>2.5</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t/h，</w:t>
                  </w:r>
                  <w:r>
                    <w:rPr>
                      <w:rFonts w:hint="eastAsia" w:ascii="Times New Roman" w:cs="Times New Roman"/>
                      <w:color w:val="auto"/>
                      <w:sz w:val="21"/>
                      <w:szCs w:val="21"/>
                      <w:highlight w:val="none"/>
                      <w:lang w:val="en-US" w:eastAsia="zh-CN"/>
                    </w:rPr>
                    <w:t>132</w:t>
                  </w:r>
                  <w:r>
                    <w:rPr>
                      <w:rFonts w:hint="eastAsia" w:ascii="Times New Roman" w:hAnsi="Times New Roman" w:eastAsia="宋体" w:cs="Times New Roman"/>
                      <w:color w:val="auto"/>
                      <w:sz w:val="21"/>
                      <w:szCs w:val="21"/>
                      <w:highlight w:val="none"/>
                      <w:lang w:val="en-US" w:eastAsia="zh-CN"/>
                    </w:rPr>
                    <w:t>KW</w:t>
                  </w:r>
                </w:p>
              </w:tc>
              <w:tc>
                <w:tcPr>
                  <w:tcW w:w="743" w:type="pct"/>
                  <w:noWrap w:val="0"/>
                  <w:tcMar>
                    <w:top w:w="0" w:type="dxa"/>
                    <w:left w:w="28" w:type="dxa"/>
                    <w:bottom w:w="0" w:type="dxa"/>
                    <w:right w:w="28" w:type="dxa"/>
                  </w:tcMar>
                  <w:vAlign w:val="center"/>
                </w:tcPr>
                <w:p w14:paraId="47281AD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59461D8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新增备用，位于车间内</w:t>
                  </w:r>
                </w:p>
              </w:tc>
            </w:tr>
            <w:tr w14:paraId="0575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315B5E6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6101F2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气力输送系统</w:t>
                  </w:r>
                </w:p>
              </w:tc>
              <w:tc>
                <w:tcPr>
                  <w:tcW w:w="1068" w:type="pct"/>
                  <w:noWrap w:val="0"/>
                  <w:tcMar>
                    <w:top w:w="0" w:type="dxa"/>
                    <w:left w:w="28" w:type="dxa"/>
                    <w:bottom w:w="0" w:type="dxa"/>
                    <w:right w:w="28" w:type="dxa"/>
                  </w:tcMar>
                  <w:vAlign w:val="center"/>
                </w:tcPr>
                <w:p w14:paraId="3E4324B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653" w:type="pct"/>
                  <w:noWrap w:val="0"/>
                  <w:tcMar>
                    <w:top w:w="0" w:type="dxa"/>
                    <w:left w:w="28" w:type="dxa"/>
                    <w:bottom w:w="0" w:type="dxa"/>
                    <w:right w:w="28" w:type="dxa"/>
                  </w:tcMar>
                  <w:vAlign w:val="center"/>
                </w:tcPr>
                <w:p w14:paraId="5ACC666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1套</w:t>
                  </w:r>
                </w:p>
              </w:tc>
              <w:tc>
                <w:tcPr>
                  <w:tcW w:w="1168" w:type="pct"/>
                  <w:noWrap w:val="0"/>
                  <w:tcMar>
                    <w:top w:w="0" w:type="dxa"/>
                    <w:left w:w="28" w:type="dxa"/>
                    <w:bottom w:w="0" w:type="dxa"/>
                    <w:right w:w="28" w:type="dxa"/>
                  </w:tcMar>
                  <w:vAlign w:val="center"/>
                </w:tcPr>
                <w:p w14:paraId="663C7DD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743" w:type="pct"/>
                  <w:noWrap w:val="0"/>
                  <w:tcMar>
                    <w:top w:w="0" w:type="dxa"/>
                    <w:left w:w="28" w:type="dxa"/>
                    <w:bottom w:w="0" w:type="dxa"/>
                    <w:right w:w="28" w:type="dxa"/>
                  </w:tcMar>
                  <w:vAlign w:val="center"/>
                </w:tcPr>
                <w:p w14:paraId="70B2B63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2套</w:t>
                  </w:r>
                </w:p>
              </w:tc>
              <w:tc>
                <w:tcPr>
                  <w:tcW w:w="480" w:type="pct"/>
                  <w:noWrap w:val="0"/>
                  <w:tcMar>
                    <w:top w:w="0" w:type="dxa"/>
                    <w:left w:w="28" w:type="dxa"/>
                    <w:bottom w:w="0" w:type="dxa"/>
                    <w:right w:w="28" w:type="dxa"/>
                  </w:tcMar>
                  <w:vAlign w:val="center"/>
                </w:tcPr>
                <w:p w14:paraId="51DE934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新增1套</w:t>
                  </w:r>
                </w:p>
              </w:tc>
            </w:tr>
            <w:tr w14:paraId="25D0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3BF22F6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261E54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螺旋输送机</w:t>
                  </w:r>
                </w:p>
              </w:tc>
              <w:tc>
                <w:tcPr>
                  <w:tcW w:w="1068" w:type="pct"/>
                  <w:noWrap w:val="0"/>
                  <w:tcMar>
                    <w:top w:w="0" w:type="dxa"/>
                    <w:left w:w="28" w:type="dxa"/>
                    <w:bottom w:w="0" w:type="dxa"/>
                    <w:right w:w="28" w:type="dxa"/>
                  </w:tcMar>
                  <w:vAlign w:val="center"/>
                </w:tcPr>
                <w:p w14:paraId="5D22633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653" w:type="pct"/>
                  <w:noWrap w:val="0"/>
                  <w:tcMar>
                    <w:top w:w="0" w:type="dxa"/>
                    <w:left w:w="28" w:type="dxa"/>
                    <w:bottom w:w="0" w:type="dxa"/>
                    <w:right w:w="28" w:type="dxa"/>
                  </w:tcMar>
                  <w:vAlign w:val="center"/>
                </w:tcPr>
                <w:p w14:paraId="2FFE6D0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2台</w:t>
                  </w:r>
                </w:p>
              </w:tc>
              <w:tc>
                <w:tcPr>
                  <w:tcW w:w="1168" w:type="pct"/>
                  <w:noWrap w:val="0"/>
                  <w:tcMar>
                    <w:top w:w="0" w:type="dxa"/>
                    <w:left w:w="28" w:type="dxa"/>
                    <w:bottom w:w="0" w:type="dxa"/>
                    <w:right w:w="28" w:type="dxa"/>
                  </w:tcMar>
                  <w:vAlign w:val="center"/>
                </w:tcPr>
                <w:p w14:paraId="7463005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743" w:type="pct"/>
                  <w:noWrap w:val="0"/>
                  <w:tcMar>
                    <w:top w:w="0" w:type="dxa"/>
                    <w:left w:w="28" w:type="dxa"/>
                    <w:bottom w:w="0" w:type="dxa"/>
                    <w:right w:w="28" w:type="dxa"/>
                  </w:tcMar>
                  <w:vAlign w:val="center"/>
                </w:tcPr>
                <w:p w14:paraId="0B29E24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4台</w:t>
                  </w:r>
                </w:p>
              </w:tc>
              <w:tc>
                <w:tcPr>
                  <w:tcW w:w="480" w:type="pct"/>
                  <w:noWrap w:val="0"/>
                  <w:tcMar>
                    <w:top w:w="0" w:type="dxa"/>
                    <w:left w:w="28" w:type="dxa"/>
                    <w:bottom w:w="0" w:type="dxa"/>
                    <w:right w:w="28" w:type="dxa"/>
                  </w:tcMar>
                  <w:vAlign w:val="center"/>
                </w:tcPr>
                <w:p w14:paraId="5AA605C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新增2台</w:t>
                  </w:r>
                </w:p>
              </w:tc>
            </w:tr>
          </w:tbl>
          <w:p w14:paraId="12BB9CE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5、主要原辅材料及能源消耗</w:t>
            </w:r>
          </w:p>
          <w:p w14:paraId="4F922BE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default" w:ascii="Times New Roman" w:hAnsi="Times New Roman" w:cs="Times New Roman"/>
                <w:color w:val="auto"/>
                <w:sz w:val="24"/>
              </w:rPr>
              <w:t>本次技改仅涉及</w:t>
            </w:r>
            <w:r>
              <w:rPr>
                <w:rFonts w:hint="eastAsia" w:ascii="Times New Roman" w:hAnsi="Times New Roman" w:cs="Times New Roman"/>
                <w:color w:val="auto"/>
                <w:sz w:val="24"/>
                <w:lang w:val="en-US" w:eastAsia="zh-CN"/>
              </w:rPr>
              <w:t>制粉</w:t>
            </w:r>
            <w:r>
              <w:rPr>
                <w:rFonts w:hint="default" w:ascii="Times New Roman" w:hAnsi="Times New Roman" w:cs="Times New Roman"/>
                <w:color w:val="auto"/>
                <w:sz w:val="24"/>
              </w:rPr>
              <w:t>工序磨粉设备</w:t>
            </w:r>
            <w:r>
              <w:rPr>
                <w:rFonts w:hint="eastAsia" w:cs="Times New Roman"/>
                <w:color w:val="auto"/>
                <w:sz w:val="24"/>
                <w:lang w:val="en-US" w:eastAsia="zh-CN"/>
              </w:rPr>
              <w:t>升级及增加</w:t>
            </w:r>
            <w:r>
              <w:rPr>
                <w:rFonts w:hint="default" w:ascii="Times New Roman" w:hAnsi="Times New Roman" w:cs="Times New Roman"/>
                <w:color w:val="auto"/>
                <w:sz w:val="24"/>
              </w:rPr>
              <w:t>备用</w:t>
            </w:r>
            <w:r>
              <w:rPr>
                <w:rFonts w:hint="eastAsia" w:cs="Times New Roman"/>
                <w:color w:val="auto"/>
                <w:sz w:val="24"/>
                <w:lang w:val="en-US" w:eastAsia="zh-CN"/>
              </w:rPr>
              <w:t>设备</w:t>
            </w:r>
            <w:r>
              <w:rPr>
                <w:rFonts w:hint="default" w:ascii="Times New Roman" w:hAnsi="Times New Roman" w:cs="Times New Roman"/>
                <w:color w:val="auto"/>
                <w:sz w:val="24"/>
              </w:rPr>
              <w:t>，不新增产品种类，不扩大生产规模，主要原辅材料种类、用量及能源消耗结构与技改前保持一致，无新增资源消耗。</w:t>
            </w:r>
            <w:r>
              <w:rPr>
                <w:rFonts w:hint="eastAsia" w:ascii="Times New Roman" w:hAnsi="Times New Roman" w:cs="Times New Roman"/>
                <w:color w:val="auto"/>
                <w:sz w:val="24"/>
                <w:lang w:val="en-US" w:eastAsia="zh-CN"/>
              </w:rPr>
              <w:t>全厂</w:t>
            </w:r>
            <w:r>
              <w:rPr>
                <w:rFonts w:hint="default" w:ascii="Times New Roman" w:hAnsi="Times New Roman" w:cs="Times New Roman"/>
                <w:color w:val="auto"/>
                <w:sz w:val="24"/>
              </w:rPr>
              <w:t>原辅材料及能源消耗情况见</w:t>
            </w:r>
            <w:r>
              <w:rPr>
                <w:rFonts w:hint="eastAsia" w:ascii="Times New Roman" w:hAnsi="Times New Roman" w:cs="Times New Roman"/>
                <w:color w:val="auto"/>
                <w:sz w:val="24"/>
                <w:lang w:val="en-US" w:eastAsia="zh-CN"/>
              </w:rPr>
              <w:t>下表。</w:t>
            </w:r>
          </w:p>
          <w:p w14:paraId="5E5098F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p>
          <w:p w14:paraId="4D394EF0">
            <w:pPr>
              <w:spacing w:line="440" w:lineRule="exact"/>
              <w:jc w:val="center"/>
              <w:rPr>
                <w:rFonts w:hint="eastAsia" w:ascii="Times New Roman" w:hAnsi="Times New Roman" w:eastAsia="宋体" w:cs="Times New Roman"/>
                <w:b/>
                <w:color w:val="auto"/>
                <w:sz w:val="24"/>
                <w:lang w:val="en-US" w:eastAsia="zh-CN"/>
              </w:rPr>
            </w:pPr>
            <w:r>
              <w:rPr>
                <w:rFonts w:hint="default" w:ascii="Times New Roman" w:hAnsi="Times New Roman" w:cs="Times New Roman"/>
                <w:b/>
                <w:color w:val="auto"/>
                <w:sz w:val="24"/>
              </w:rPr>
              <w:t>表</w:t>
            </w:r>
            <w:r>
              <w:rPr>
                <w:rFonts w:hint="eastAsia" w:ascii="Times New Roman" w:hAnsi="Times New Roman" w:cs="Times New Roman"/>
                <w:b/>
                <w:color w:val="auto"/>
                <w:sz w:val="24"/>
                <w:lang w:val="en-US" w:eastAsia="zh-CN"/>
              </w:rPr>
              <w:t>2-4</w:t>
            </w:r>
            <w:r>
              <w:rPr>
                <w:rFonts w:hint="default" w:ascii="Times New Roman" w:hAnsi="Times New Roman" w:cs="Times New Roman"/>
                <w:b/>
                <w:color w:val="auto"/>
                <w:sz w:val="24"/>
              </w:rPr>
              <w:t xml:space="preserve">   </w:t>
            </w:r>
            <w:r>
              <w:rPr>
                <w:rFonts w:hint="eastAsia" w:ascii="Times New Roman" w:hAnsi="Times New Roman" w:cs="Times New Roman"/>
                <w:b/>
                <w:color w:val="auto"/>
                <w:sz w:val="24"/>
                <w:lang w:val="en-US" w:eastAsia="zh-CN"/>
              </w:rPr>
              <w:t>本项目实施后全厂原辅材料及能源</w:t>
            </w:r>
            <w:r>
              <w:rPr>
                <w:rFonts w:hint="default" w:ascii="Times New Roman" w:hAnsi="Times New Roman" w:cs="Times New Roman"/>
                <w:b/>
                <w:color w:val="auto"/>
                <w:sz w:val="24"/>
              </w:rPr>
              <w:t>消耗</w:t>
            </w:r>
            <w:r>
              <w:rPr>
                <w:rFonts w:hint="eastAsia" w:ascii="Times New Roman" w:hAnsi="Times New Roman" w:cs="Times New Roman"/>
                <w:b/>
                <w:color w:val="auto"/>
                <w:sz w:val="24"/>
                <w:lang w:val="en-US" w:eastAsia="zh-CN"/>
              </w:rPr>
              <w:t>情况</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788"/>
              <w:gridCol w:w="1140"/>
              <w:gridCol w:w="1560"/>
              <w:gridCol w:w="1583"/>
              <w:gridCol w:w="1798"/>
            </w:tblGrid>
            <w:tr w14:paraId="1DE5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04" w:type="pct"/>
                  <w:noWrap w:val="0"/>
                  <w:tcMar>
                    <w:left w:w="28" w:type="dxa"/>
                    <w:right w:w="28" w:type="dxa"/>
                  </w:tcMar>
                  <w:vAlign w:val="center"/>
                </w:tcPr>
                <w:p w14:paraId="254AA588">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序号</w:t>
                  </w:r>
                </w:p>
              </w:tc>
              <w:tc>
                <w:tcPr>
                  <w:tcW w:w="1066" w:type="pct"/>
                  <w:noWrap w:val="0"/>
                  <w:tcMar>
                    <w:left w:w="28" w:type="dxa"/>
                    <w:right w:w="28" w:type="dxa"/>
                  </w:tcMar>
                  <w:vAlign w:val="center"/>
                </w:tcPr>
                <w:p w14:paraId="3612C13D">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名称</w:t>
                  </w:r>
                </w:p>
              </w:tc>
              <w:tc>
                <w:tcPr>
                  <w:tcW w:w="680" w:type="pct"/>
                  <w:noWrap w:val="0"/>
                  <w:tcMar>
                    <w:left w:w="28" w:type="dxa"/>
                    <w:right w:w="28" w:type="dxa"/>
                  </w:tcMar>
                  <w:vAlign w:val="center"/>
                </w:tcPr>
                <w:p w14:paraId="732F0DB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单位</w:t>
                  </w:r>
                </w:p>
              </w:tc>
              <w:tc>
                <w:tcPr>
                  <w:tcW w:w="930" w:type="pct"/>
                  <w:noWrap w:val="0"/>
                  <w:tcMar>
                    <w:left w:w="28" w:type="dxa"/>
                    <w:right w:w="28" w:type="dxa"/>
                  </w:tcMar>
                  <w:vAlign w:val="center"/>
                </w:tcPr>
                <w:p w14:paraId="72D0E1FD">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现有工程</w:t>
                  </w:r>
                </w:p>
              </w:tc>
              <w:tc>
                <w:tcPr>
                  <w:tcW w:w="944" w:type="pct"/>
                  <w:noWrap w:val="0"/>
                  <w:tcMar>
                    <w:left w:w="28" w:type="dxa"/>
                    <w:right w:w="28" w:type="dxa"/>
                  </w:tcMar>
                  <w:vAlign w:val="center"/>
                </w:tcPr>
                <w:p w14:paraId="08F0759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本次技改工程</w:t>
                  </w:r>
                </w:p>
              </w:tc>
              <w:tc>
                <w:tcPr>
                  <w:tcW w:w="1072" w:type="pct"/>
                  <w:noWrap w:val="0"/>
                  <w:tcMar>
                    <w:left w:w="28" w:type="dxa"/>
                    <w:right w:w="28" w:type="dxa"/>
                  </w:tcMar>
                  <w:vAlign w:val="center"/>
                </w:tcPr>
                <w:p w14:paraId="7DA56BD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技改后全厂</w:t>
                  </w:r>
                </w:p>
              </w:tc>
            </w:tr>
            <w:tr w14:paraId="3580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1CCB2ED9">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066" w:type="pct"/>
                  <w:noWrap w:val="0"/>
                  <w:tcMar>
                    <w:left w:w="28" w:type="dxa"/>
                    <w:right w:w="28" w:type="dxa"/>
                  </w:tcMar>
                  <w:vAlign w:val="center"/>
                </w:tcPr>
                <w:p w14:paraId="464D845D">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氨水</w:t>
                  </w:r>
                </w:p>
              </w:tc>
              <w:tc>
                <w:tcPr>
                  <w:tcW w:w="680" w:type="pct"/>
                  <w:noWrap w:val="0"/>
                  <w:tcMar>
                    <w:left w:w="28" w:type="dxa"/>
                    <w:right w:w="28" w:type="dxa"/>
                  </w:tcMar>
                  <w:vAlign w:val="center"/>
                </w:tcPr>
                <w:p w14:paraId="651965D2">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2C83CCD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w:t>
                  </w:r>
                </w:p>
              </w:tc>
              <w:tc>
                <w:tcPr>
                  <w:tcW w:w="944" w:type="pct"/>
                  <w:noWrap w:val="0"/>
                  <w:tcMar>
                    <w:left w:w="28" w:type="dxa"/>
                    <w:right w:w="28" w:type="dxa"/>
                  </w:tcMar>
                  <w:vAlign w:val="center"/>
                </w:tcPr>
                <w:p w14:paraId="6E378E3B">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6F4404A">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w:t>
                  </w:r>
                </w:p>
              </w:tc>
            </w:tr>
            <w:tr w14:paraId="312A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6F8766A5">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66" w:type="pct"/>
                  <w:noWrap w:val="0"/>
                  <w:tcMar>
                    <w:left w:w="28" w:type="dxa"/>
                    <w:right w:w="28" w:type="dxa"/>
                  </w:tcMar>
                  <w:vAlign w:val="center"/>
                </w:tcPr>
                <w:p w14:paraId="749C01B3">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次氯酸钠</w:t>
                  </w:r>
                </w:p>
              </w:tc>
              <w:tc>
                <w:tcPr>
                  <w:tcW w:w="680" w:type="pct"/>
                  <w:noWrap w:val="0"/>
                  <w:tcMar>
                    <w:left w:w="28" w:type="dxa"/>
                    <w:right w:w="28" w:type="dxa"/>
                  </w:tcMar>
                  <w:vAlign w:val="center"/>
                </w:tcPr>
                <w:p w14:paraId="1A4E4A4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5C0F1A24">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c>
                <w:tcPr>
                  <w:tcW w:w="944" w:type="pct"/>
                  <w:noWrap w:val="0"/>
                  <w:tcMar>
                    <w:left w:w="28" w:type="dxa"/>
                    <w:right w:w="28" w:type="dxa"/>
                  </w:tcMar>
                  <w:vAlign w:val="center"/>
                </w:tcPr>
                <w:p w14:paraId="013999A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4739AD6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r>
            <w:tr w14:paraId="7962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CA69D01">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p>
              </w:tc>
              <w:tc>
                <w:tcPr>
                  <w:tcW w:w="1066" w:type="pct"/>
                  <w:noWrap w:val="0"/>
                  <w:tcMar>
                    <w:left w:w="28" w:type="dxa"/>
                    <w:right w:w="28" w:type="dxa"/>
                  </w:tcMar>
                  <w:vAlign w:val="center"/>
                </w:tcPr>
                <w:p w14:paraId="55ED7582">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尿素</w:t>
                  </w:r>
                </w:p>
              </w:tc>
              <w:tc>
                <w:tcPr>
                  <w:tcW w:w="680" w:type="pct"/>
                  <w:noWrap w:val="0"/>
                  <w:tcMar>
                    <w:left w:w="28" w:type="dxa"/>
                    <w:right w:w="28" w:type="dxa"/>
                  </w:tcMar>
                  <w:vAlign w:val="center"/>
                </w:tcPr>
                <w:p w14:paraId="6DB1D6FF">
                  <w:pPr>
                    <w:shd w:val="clear" w:color="auto" w:fill="auto"/>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395A450D">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600</w:t>
                  </w:r>
                </w:p>
              </w:tc>
              <w:tc>
                <w:tcPr>
                  <w:tcW w:w="944" w:type="pct"/>
                  <w:noWrap w:val="0"/>
                  <w:tcMar>
                    <w:left w:w="28" w:type="dxa"/>
                    <w:right w:w="28" w:type="dxa"/>
                  </w:tcMar>
                  <w:vAlign w:val="center"/>
                </w:tcPr>
                <w:p w14:paraId="00D87011">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A35D0F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600</w:t>
                  </w:r>
                </w:p>
              </w:tc>
            </w:tr>
            <w:tr w14:paraId="640C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725ABFD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1066" w:type="pct"/>
                  <w:noWrap w:val="0"/>
                  <w:tcMar>
                    <w:left w:w="28" w:type="dxa"/>
                    <w:right w:w="28" w:type="dxa"/>
                  </w:tcMar>
                  <w:vAlign w:val="center"/>
                </w:tcPr>
                <w:p w14:paraId="0DE5F1C1">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生石灰</w:t>
                  </w:r>
                </w:p>
              </w:tc>
              <w:tc>
                <w:tcPr>
                  <w:tcW w:w="680" w:type="pct"/>
                  <w:noWrap w:val="0"/>
                  <w:tcMar>
                    <w:left w:w="28" w:type="dxa"/>
                    <w:right w:w="28" w:type="dxa"/>
                  </w:tcMar>
                  <w:vAlign w:val="center"/>
                </w:tcPr>
                <w:p w14:paraId="00C1CE7C">
                  <w:pPr>
                    <w:shd w:val="clear" w:color="auto" w:fill="auto"/>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1BB37A50">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2400</w:t>
                  </w:r>
                </w:p>
              </w:tc>
              <w:tc>
                <w:tcPr>
                  <w:tcW w:w="944" w:type="pct"/>
                  <w:noWrap w:val="0"/>
                  <w:tcMar>
                    <w:left w:w="28" w:type="dxa"/>
                    <w:right w:w="28" w:type="dxa"/>
                  </w:tcMar>
                  <w:vAlign w:val="center"/>
                </w:tcPr>
                <w:p w14:paraId="3466FD8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5A86580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2400</w:t>
                  </w:r>
                </w:p>
              </w:tc>
            </w:tr>
            <w:tr w14:paraId="613A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18BD1E4C">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c>
                <w:tcPr>
                  <w:tcW w:w="1066" w:type="pct"/>
                  <w:noWrap w:val="0"/>
                  <w:tcMar>
                    <w:left w:w="28" w:type="dxa"/>
                    <w:right w:w="28" w:type="dxa"/>
                  </w:tcMar>
                  <w:vAlign w:val="center"/>
                </w:tcPr>
                <w:p w14:paraId="227C851F">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冶金焦</w:t>
                  </w:r>
                </w:p>
              </w:tc>
              <w:tc>
                <w:tcPr>
                  <w:tcW w:w="680" w:type="pct"/>
                  <w:noWrap w:val="0"/>
                  <w:tcMar>
                    <w:left w:w="28" w:type="dxa"/>
                    <w:right w:w="28" w:type="dxa"/>
                  </w:tcMar>
                  <w:vAlign w:val="center"/>
                </w:tcPr>
                <w:p w14:paraId="4177C44D">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01371E40">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4800</w:t>
                  </w:r>
                </w:p>
              </w:tc>
              <w:tc>
                <w:tcPr>
                  <w:tcW w:w="944" w:type="pct"/>
                  <w:noWrap w:val="0"/>
                  <w:tcMar>
                    <w:left w:w="28" w:type="dxa"/>
                    <w:right w:w="28" w:type="dxa"/>
                  </w:tcMar>
                  <w:vAlign w:val="center"/>
                </w:tcPr>
                <w:p w14:paraId="21BDFDB5">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3A08FD3">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4800</w:t>
                  </w:r>
                </w:p>
              </w:tc>
            </w:tr>
            <w:tr w14:paraId="70B8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B04800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c>
                <w:tcPr>
                  <w:tcW w:w="1066" w:type="pct"/>
                  <w:noWrap w:val="0"/>
                  <w:tcMar>
                    <w:left w:w="28" w:type="dxa"/>
                    <w:right w:w="28" w:type="dxa"/>
                  </w:tcMar>
                  <w:vAlign w:val="center"/>
                </w:tcPr>
                <w:p w14:paraId="78AB61BC">
                  <w:pPr>
                    <w:spacing w:line="360" w:lineRule="exact"/>
                    <w:jc w:val="center"/>
                    <w:rPr>
                      <w:rStyle w:val="38"/>
                      <w:rFonts w:ascii="宋体" w:hAnsi="宋体"/>
                      <w:color w:val="auto"/>
                      <w:kern w:val="2"/>
                      <w:sz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石油焦</w:t>
                  </w:r>
                </w:p>
              </w:tc>
              <w:tc>
                <w:tcPr>
                  <w:tcW w:w="680" w:type="pct"/>
                  <w:noWrap w:val="0"/>
                  <w:tcMar>
                    <w:left w:w="28" w:type="dxa"/>
                    <w:right w:w="28" w:type="dxa"/>
                  </w:tcMar>
                  <w:vAlign w:val="center"/>
                </w:tcPr>
                <w:p w14:paraId="224377E9">
                  <w:pPr>
                    <w:adjustRightInd w:val="0"/>
                    <w:snapToGrid w:val="0"/>
                    <w:spacing w:line="360" w:lineRule="exact"/>
                    <w:jc w:val="center"/>
                    <w:textAlignment w:val="baseline"/>
                    <w:rPr>
                      <w:rFonts w:hint="default" w:ascii="Times New Roman" w:hAnsi="Times New Roman" w:cs="Times New Roman"/>
                      <w:color w:val="auto"/>
                      <w:spacing w:val="-11"/>
                      <w:szCs w:val="21"/>
                      <w:highlight w:val="none"/>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721752D4">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180750</w:t>
                  </w:r>
                </w:p>
              </w:tc>
              <w:tc>
                <w:tcPr>
                  <w:tcW w:w="944" w:type="pct"/>
                  <w:noWrap w:val="0"/>
                  <w:tcMar>
                    <w:left w:w="28" w:type="dxa"/>
                    <w:right w:w="28" w:type="dxa"/>
                  </w:tcMar>
                  <w:vAlign w:val="center"/>
                </w:tcPr>
                <w:p w14:paraId="7D465607">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114C386">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180750</w:t>
                  </w:r>
                </w:p>
              </w:tc>
            </w:tr>
            <w:tr w14:paraId="51EE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F3F8FEF">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w:t>
                  </w:r>
                </w:p>
              </w:tc>
              <w:tc>
                <w:tcPr>
                  <w:tcW w:w="1066" w:type="pct"/>
                  <w:noWrap w:val="0"/>
                  <w:tcMar>
                    <w:left w:w="28" w:type="dxa"/>
                    <w:right w:w="28" w:type="dxa"/>
                  </w:tcMar>
                  <w:vAlign w:val="center"/>
                </w:tcPr>
                <w:p w14:paraId="1378E673">
                  <w:pPr>
                    <w:spacing w:line="360" w:lineRule="exact"/>
                    <w:jc w:val="center"/>
                    <w:rPr>
                      <w:rStyle w:val="38"/>
                      <w:rFonts w:ascii="宋体" w:hAnsi="宋体"/>
                      <w:color w:val="auto"/>
                      <w:kern w:val="2"/>
                      <w:sz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改质液体沥青</w:t>
                  </w:r>
                </w:p>
              </w:tc>
              <w:tc>
                <w:tcPr>
                  <w:tcW w:w="680" w:type="pct"/>
                  <w:noWrap w:val="0"/>
                  <w:tcMar>
                    <w:left w:w="28" w:type="dxa"/>
                    <w:right w:w="28" w:type="dxa"/>
                  </w:tcMar>
                  <w:vAlign w:val="center"/>
                </w:tcPr>
                <w:p w14:paraId="4D16F633">
                  <w:pPr>
                    <w:adjustRightInd w:val="0"/>
                    <w:snapToGrid w:val="0"/>
                    <w:spacing w:line="360" w:lineRule="exact"/>
                    <w:jc w:val="center"/>
                    <w:textAlignment w:val="baseline"/>
                    <w:rPr>
                      <w:rFonts w:hint="default" w:ascii="Times New Roman" w:hAnsi="Times New Roman" w:cs="Times New Roman"/>
                      <w:color w:val="auto"/>
                      <w:spacing w:val="-11"/>
                      <w:szCs w:val="21"/>
                      <w:highlight w:val="none"/>
                    </w:rPr>
                  </w:pPr>
                  <w:r>
                    <w:rPr>
                      <w:rFonts w:hint="eastAsia" w:cs="Times New Roman"/>
                      <w:color w:val="auto"/>
                      <w:kern w:val="2"/>
                      <w:sz w:val="21"/>
                      <w:szCs w:val="21"/>
                      <w:highlight w:val="none"/>
                      <w:lang w:val="en-US" w:eastAsia="zh-CN" w:bidi="ar-SA"/>
                    </w:rPr>
                    <w:t>t</w:t>
                  </w:r>
                  <w:r>
                    <w:rPr>
                      <w:rFonts w:hint="default" w:ascii="Times New Roman" w:hAnsi="Times New Roman" w:eastAsia="宋体" w:cs="Times New Roman"/>
                      <w:color w:val="auto"/>
                      <w:kern w:val="2"/>
                      <w:sz w:val="21"/>
                      <w:szCs w:val="21"/>
                      <w:highlight w:val="none"/>
                      <w:lang w:val="en-US" w:eastAsia="zh-CN" w:bidi="ar-SA"/>
                    </w:rPr>
                    <w:t>/a</w:t>
                  </w:r>
                </w:p>
              </w:tc>
              <w:tc>
                <w:tcPr>
                  <w:tcW w:w="930" w:type="pct"/>
                  <w:noWrap w:val="0"/>
                  <w:tcMar>
                    <w:left w:w="28" w:type="dxa"/>
                    <w:right w:w="28" w:type="dxa"/>
                  </w:tcMar>
                  <w:vAlign w:val="center"/>
                </w:tcPr>
                <w:p w14:paraId="3E07C9C2">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27470</w:t>
                  </w:r>
                </w:p>
              </w:tc>
              <w:tc>
                <w:tcPr>
                  <w:tcW w:w="944" w:type="pct"/>
                  <w:noWrap w:val="0"/>
                  <w:tcMar>
                    <w:left w:w="28" w:type="dxa"/>
                    <w:right w:w="28" w:type="dxa"/>
                  </w:tcMar>
                  <w:vAlign w:val="center"/>
                </w:tcPr>
                <w:p w14:paraId="173B5E0C">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28C10F42">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27470</w:t>
                  </w:r>
                </w:p>
              </w:tc>
            </w:tr>
            <w:tr w14:paraId="47E1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265A0C5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1066" w:type="pct"/>
                  <w:noWrap w:val="0"/>
                  <w:tcMar>
                    <w:left w:w="28" w:type="dxa"/>
                    <w:right w:w="28" w:type="dxa"/>
                  </w:tcMar>
                  <w:vAlign w:val="center"/>
                </w:tcPr>
                <w:p w14:paraId="1016ABC5">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废阳极破碎生料</w:t>
                  </w:r>
                </w:p>
              </w:tc>
              <w:tc>
                <w:tcPr>
                  <w:tcW w:w="680" w:type="pct"/>
                  <w:noWrap w:val="0"/>
                  <w:tcMar>
                    <w:left w:w="28" w:type="dxa"/>
                    <w:right w:w="28" w:type="dxa"/>
                  </w:tcMar>
                  <w:vAlign w:val="center"/>
                </w:tcPr>
                <w:p w14:paraId="5E8C4128">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5618314C">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Cs/>
                      <w:color w:val="auto"/>
                      <w:spacing w:val="-11"/>
                      <w:sz w:val="21"/>
                      <w:szCs w:val="21"/>
                      <w:highlight w:val="none"/>
                      <w:lang w:val="en-US" w:eastAsia="zh-CN"/>
                    </w:rPr>
                    <w:t>1600</w:t>
                  </w:r>
                </w:p>
              </w:tc>
              <w:tc>
                <w:tcPr>
                  <w:tcW w:w="944" w:type="pct"/>
                  <w:noWrap w:val="0"/>
                  <w:tcMar>
                    <w:left w:w="28" w:type="dxa"/>
                    <w:right w:w="28" w:type="dxa"/>
                  </w:tcMar>
                  <w:vAlign w:val="center"/>
                </w:tcPr>
                <w:p w14:paraId="547BECA4">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2915F636">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Cs/>
                      <w:color w:val="auto"/>
                      <w:spacing w:val="-11"/>
                      <w:sz w:val="21"/>
                      <w:szCs w:val="21"/>
                      <w:highlight w:val="none"/>
                      <w:lang w:val="en-US" w:eastAsia="zh-CN"/>
                    </w:rPr>
                    <w:t>1600</w:t>
                  </w:r>
                </w:p>
              </w:tc>
            </w:tr>
            <w:tr w14:paraId="14B0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2C57BC02">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w:t>
                  </w:r>
                </w:p>
              </w:tc>
              <w:tc>
                <w:tcPr>
                  <w:tcW w:w="1066" w:type="pct"/>
                  <w:noWrap w:val="0"/>
                  <w:tcMar>
                    <w:left w:w="28" w:type="dxa"/>
                    <w:right w:w="28" w:type="dxa"/>
                  </w:tcMar>
                  <w:vAlign w:val="center"/>
                </w:tcPr>
                <w:p w14:paraId="6435F51A">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废阳极破碎熟料</w:t>
                  </w:r>
                </w:p>
              </w:tc>
              <w:tc>
                <w:tcPr>
                  <w:tcW w:w="680" w:type="pct"/>
                  <w:noWrap w:val="0"/>
                  <w:tcMar>
                    <w:left w:w="28" w:type="dxa"/>
                    <w:right w:w="28" w:type="dxa"/>
                  </w:tcMar>
                  <w:vAlign w:val="center"/>
                </w:tcPr>
                <w:p w14:paraId="264EC90A">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2BF37B0E">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 w:val="0"/>
                      <w:bCs w:val="0"/>
                      <w:color w:val="auto"/>
                      <w:spacing w:val="-11"/>
                      <w:szCs w:val="21"/>
                      <w:lang w:val="en-US" w:eastAsia="zh-CN"/>
                    </w:rPr>
                    <w:t>4800</w:t>
                  </w:r>
                </w:p>
              </w:tc>
              <w:tc>
                <w:tcPr>
                  <w:tcW w:w="944" w:type="pct"/>
                  <w:noWrap w:val="0"/>
                  <w:tcMar>
                    <w:left w:w="28" w:type="dxa"/>
                    <w:right w:w="28" w:type="dxa"/>
                  </w:tcMar>
                  <w:vAlign w:val="center"/>
                </w:tcPr>
                <w:p w14:paraId="377D5783">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70AF16E5">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 w:val="0"/>
                      <w:bCs w:val="0"/>
                      <w:color w:val="auto"/>
                      <w:spacing w:val="-11"/>
                      <w:szCs w:val="21"/>
                      <w:lang w:val="en-US" w:eastAsia="zh-CN"/>
                    </w:rPr>
                    <w:t>4800</w:t>
                  </w:r>
                </w:p>
              </w:tc>
            </w:tr>
            <w:tr w14:paraId="1A9F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563DB34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1066" w:type="pct"/>
                  <w:noWrap w:val="0"/>
                  <w:tcMar>
                    <w:left w:w="28" w:type="dxa"/>
                    <w:right w:w="28" w:type="dxa"/>
                  </w:tcMar>
                  <w:vAlign w:val="center"/>
                </w:tcPr>
                <w:p w14:paraId="4D36B35B">
                  <w:pPr>
                    <w:pStyle w:val="112"/>
                    <w:widowControl w:val="0"/>
                    <w:jc w:val="center"/>
                    <w:rPr>
                      <w:rStyle w:val="38"/>
                      <w:rFonts w:hint="default" w:ascii="宋体" w:hAnsi="宋体"/>
                      <w:color w:val="auto"/>
                      <w:kern w:val="2"/>
                      <w:sz w:val="21"/>
                      <w:lang w:val="en-US" w:eastAsia="zh-CN" w:bidi="ar-SA"/>
                    </w:rPr>
                  </w:pPr>
                  <w:r>
                    <w:rPr>
                      <w:rStyle w:val="38"/>
                      <w:rFonts w:hint="eastAsia" w:ascii="宋体" w:hAnsi="宋体"/>
                      <w:color w:val="auto"/>
                      <w:kern w:val="2"/>
                      <w:sz w:val="21"/>
                      <w:lang w:val="en-US" w:eastAsia="zh-CN" w:bidi="ar-SA"/>
                    </w:rPr>
                    <w:t>天然气</w:t>
                  </w:r>
                </w:p>
              </w:tc>
              <w:tc>
                <w:tcPr>
                  <w:tcW w:w="680" w:type="pct"/>
                  <w:noWrap w:val="0"/>
                  <w:tcMar>
                    <w:left w:w="28" w:type="dxa"/>
                    <w:right w:w="28" w:type="dxa"/>
                  </w:tcMar>
                  <w:vAlign w:val="center"/>
                </w:tcPr>
                <w:p w14:paraId="3F9D6C43">
                  <w:pPr>
                    <w:shd w:val="clear" w:color="auto" w:fill="auto"/>
                    <w:spacing w:line="240" w:lineRule="exact"/>
                    <w:jc w:val="center"/>
                    <w:rPr>
                      <w:rFonts w:hint="default" w:ascii="Times New Roman" w:hAnsi="Times New Roman" w:cs="Times New Roman"/>
                      <w:color w:val="auto"/>
                      <w:spacing w:val="-11"/>
                      <w:szCs w:val="21"/>
                      <w:highlight w:val="none"/>
                    </w:rPr>
                  </w:pPr>
                  <w:r>
                    <w:rPr>
                      <w:rStyle w:val="38"/>
                      <w:rFonts w:hint="eastAsia" w:ascii="宋体" w:hAnsi="宋体"/>
                      <w:color w:val="auto"/>
                      <w:kern w:val="2"/>
                      <w:sz w:val="21"/>
                      <w:lang w:val="en-US" w:eastAsia="zh-CN" w:bidi="ar-SA"/>
                    </w:rPr>
                    <w:t>万</w:t>
                  </w:r>
                  <w:r>
                    <w:rPr>
                      <w:rStyle w:val="38"/>
                      <w:rFonts w:hint="default" w:ascii="Times New Roman" w:hAnsi="Times New Roman" w:cs="Times New Roman"/>
                      <w:color w:val="auto"/>
                      <w:kern w:val="2"/>
                      <w:sz w:val="21"/>
                      <w:lang w:val="en-US" w:eastAsia="zh-CN" w:bidi="ar-SA"/>
                    </w:rPr>
                    <w:t>m</w:t>
                  </w:r>
                  <w:r>
                    <w:rPr>
                      <w:rStyle w:val="38"/>
                      <w:rFonts w:hint="default" w:ascii="Times New Roman" w:hAnsi="Times New Roman" w:cs="Times New Roman"/>
                      <w:color w:val="auto"/>
                      <w:kern w:val="2"/>
                      <w:sz w:val="21"/>
                      <w:vertAlign w:val="superscript"/>
                      <w:lang w:val="en-US" w:eastAsia="zh-CN" w:bidi="ar-SA"/>
                    </w:rPr>
                    <w:t>3</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6382BCA1">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1500</w:t>
                  </w:r>
                </w:p>
              </w:tc>
              <w:tc>
                <w:tcPr>
                  <w:tcW w:w="944" w:type="pct"/>
                  <w:noWrap w:val="0"/>
                  <w:tcMar>
                    <w:left w:w="28" w:type="dxa"/>
                    <w:right w:w="28" w:type="dxa"/>
                  </w:tcMar>
                  <w:vAlign w:val="center"/>
                </w:tcPr>
                <w:p w14:paraId="62439965">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571E3EA1">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1500</w:t>
                  </w:r>
                </w:p>
              </w:tc>
            </w:tr>
            <w:tr w14:paraId="3C73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078A86D2">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p>
              </w:tc>
              <w:tc>
                <w:tcPr>
                  <w:tcW w:w="1066" w:type="pct"/>
                  <w:noWrap w:val="0"/>
                  <w:tcMar>
                    <w:left w:w="28" w:type="dxa"/>
                    <w:right w:w="28" w:type="dxa"/>
                  </w:tcMar>
                  <w:vAlign w:val="center"/>
                </w:tcPr>
                <w:p w14:paraId="62448AAA">
                  <w:pPr>
                    <w:pStyle w:val="112"/>
                    <w:widowControl w:val="0"/>
                    <w:jc w:val="center"/>
                    <w:rPr>
                      <w:rStyle w:val="38"/>
                      <w:rFonts w:hint="default" w:ascii="宋体" w:hAnsi="宋体"/>
                      <w:color w:val="auto"/>
                      <w:kern w:val="2"/>
                      <w:sz w:val="21"/>
                      <w:lang w:val="en-US" w:eastAsia="zh-CN" w:bidi="ar-SA"/>
                    </w:rPr>
                  </w:pPr>
                  <w:r>
                    <w:rPr>
                      <w:rStyle w:val="38"/>
                      <w:rFonts w:hint="eastAsia" w:ascii="宋体" w:hAnsi="宋体"/>
                      <w:color w:val="auto"/>
                      <w:kern w:val="2"/>
                      <w:sz w:val="21"/>
                      <w:lang w:val="en-US" w:eastAsia="zh-CN" w:bidi="ar-SA"/>
                    </w:rPr>
                    <w:t>柴油</w:t>
                  </w:r>
                </w:p>
              </w:tc>
              <w:tc>
                <w:tcPr>
                  <w:tcW w:w="680" w:type="pct"/>
                  <w:noWrap w:val="0"/>
                  <w:tcMar>
                    <w:left w:w="28" w:type="dxa"/>
                    <w:right w:w="28" w:type="dxa"/>
                  </w:tcMar>
                  <w:vAlign w:val="center"/>
                </w:tcPr>
                <w:p w14:paraId="2F476DD4">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2C1F5669">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25</w:t>
                  </w:r>
                </w:p>
              </w:tc>
              <w:tc>
                <w:tcPr>
                  <w:tcW w:w="944" w:type="pct"/>
                  <w:noWrap w:val="0"/>
                  <w:tcMar>
                    <w:left w:w="28" w:type="dxa"/>
                    <w:right w:w="28" w:type="dxa"/>
                  </w:tcMar>
                  <w:vAlign w:val="center"/>
                </w:tcPr>
                <w:p w14:paraId="599926F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E8B612B">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25</w:t>
                  </w:r>
                </w:p>
              </w:tc>
            </w:tr>
            <w:tr w14:paraId="6801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5A572399">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12</w:t>
                  </w:r>
                </w:p>
              </w:tc>
              <w:tc>
                <w:tcPr>
                  <w:tcW w:w="1066" w:type="pct"/>
                  <w:noWrap w:val="0"/>
                  <w:tcMar>
                    <w:left w:w="28" w:type="dxa"/>
                    <w:right w:w="28" w:type="dxa"/>
                  </w:tcMar>
                  <w:vAlign w:val="center"/>
                </w:tcPr>
                <w:p w14:paraId="77BAC85A">
                  <w:pPr>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电</w:t>
                  </w:r>
                </w:p>
              </w:tc>
              <w:tc>
                <w:tcPr>
                  <w:tcW w:w="680" w:type="pct"/>
                  <w:noWrap w:val="0"/>
                  <w:tcMar>
                    <w:left w:w="28" w:type="dxa"/>
                    <w:right w:w="28" w:type="dxa"/>
                  </w:tcMar>
                  <w:vAlign w:val="center"/>
                </w:tcPr>
                <w:p w14:paraId="6EB71A7C">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万kW·h</w:t>
                  </w:r>
                </w:p>
              </w:tc>
              <w:tc>
                <w:tcPr>
                  <w:tcW w:w="930" w:type="pct"/>
                  <w:noWrap w:val="0"/>
                  <w:tcMar>
                    <w:left w:w="28" w:type="dxa"/>
                    <w:right w:w="28" w:type="dxa"/>
                  </w:tcMar>
                  <w:vAlign w:val="center"/>
                </w:tcPr>
                <w:p w14:paraId="7831CF0D">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930</w:t>
                  </w:r>
                </w:p>
              </w:tc>
              <w:tc>
                <w:tcPr>
                  <w:tcW w:w="944" w:type="pct"/>
                  <w:noWrap w:val="0"/>
                  <w:tcMar>
                    <w:left w:w="28" w:type="dxa"/>
                    <w:right w:w="28" w:type="dxa"/>
                  </w:tcMar>
                  <w:vAlign w:val="center"/>
                </w:tcPr>
                <w:p w14:paraId="63A88F33">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88B4188">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930</w:t>
                  </w:r>
                </w:p>
              </w:tc>
            </w:tr>
          </w:tbl>
          <w:p w14:paraId="28DC75D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val="0"/>
                <w:bCs w:val="0"/>
                <w:color w:val="auto"/>
                <w:sz w:val="24"/>
                <w:szCs w:val="24"/>
              </w:rPr>
            </w:pPr>
            <w:r>
              <w:rPr>
                <w:rFonts w:hint="eastAsia" w:cs="Times New Roman"/>
                <w:b w:val="0"/>
                <w:bCs w:val="0"/>
                <w:color w:val="auto"/>
                <w:sz w:val="24"/>
                <w:lang w:val="en-US" w:eastAsia="zh-CN"/>
              </w:rPr>
              <w:t>其中，本次技改项目进入磨粉机的物料为</w:t>
            </w:r>
            <w:r>
              <w:rPr>
                <w:rFonts w:hint="default" w:ascii="Times New Roman" w:hAnsi="Times New Roman" w:eastAsia="宋体" w:cs="Times New Roman"/>
                <w:b w:val="0"/>
                <w:bCs w:val="0"/>
                <w:color w:val="auto"/>
                <w:sz w:val="24"/>
                <w:szCs w:val="24"/>
              </w:rPr>
              <w:t>上道工序筛分机对物料进行分级处理</w:t>
            </w:r>
            <w:r>
              <w:rPr>
                <w:rFonts w:hint="eastAsia" w:cs="Times New Roman"/>
                <w:b w:val="0"/>
                <w:bCs w:val="0"/>
                <w:color w:val="auto"/>
                <w:sz w:val="24"/>
                <w:szCs w:val="24"/>
                <w:lang w:val="en-US" w:eastAsia="zh-CN"/>
              </w:rPr>
              <w:t>后的物料；</w:t>
            </w:r>
            <w:r>
              <w:rPr>
                <w:rFonts w:hint="default" w:ascii="Times New Roman" w:hAnsi="Times New Roman" w:eastAsia="宋体" w:cs="Times New Roman"/>
                <w:b w:val="0"/>
                <w:bCs w:val="0"/>
                <w:color w:val="auto"/>
                <w:sz w:val="24"/>
                <w:szCs w:val="24"/>
              </w:rPr>
              <w:t>筛分出</w:t>
            </w:r>
            <w:r>
              <w:rPr>
                <w:rStyle w:val="39"/>
                <w:rFonts w:hint="default" w:ascii="Times New Roman" w:hAnsi="Times New Roman" w:eastAsia="宋体" w:cs="Times New Roman"/>
                <w:b w:val="0"/>
                <w:bCs w:val="0"/>
                <w:color w:val="auto"/>
                <w:sz w:val="24"/>
                <w:szCs w:val="24"/>
              </w:rPr>
              <w:t>粒径＞6mm 的中粗颗粒物料（水分≤0.1%）</w:t>
            </w:r>
            <w:r>
              <w:rPr>
                <w:rFonts w:hint="default" w:ascii="Times New Roman" w:hAnsi="Times New Roman" w:eastAsia="宋体" w:cs="Times New Roman"/>
                <w:b w:val="0"/>
                <w:bCs w:val="0"/>
                <w:color w:val="auto"/>
                <w:sz w:val="24"/>
                <w:szCs w:val="24"/>
              </w:rPr>
              <w:t>直接送入料仓暂存；筛下</w:t>
            </w:r>
            <w:r>
              <w:rPr>
                <w:rStyle w:val="39"/>
                <w:rFonts w:hint="default" w:ascii="Times New Roman" w:hAnsi="Times New Roman" w:eastAsia="宋体" w:cs="Times New Roman"/>
                <w:b w:val="0"/>
                <w:bCs w:val="0"/>
                <w:color w:val="auto"/>
                <w:sz w:val="24"/>
                <w:szCs w:val="24"/>
              </w:rPr>
              <w:t>1</w:t>
            </w:r>
            <w:r>
              <w:rPr>
                <w:rStyle w:val="39"/>
                <w:rFonts w:hint="default" w:ascii="Times New Roman" w:hAnsi="Times New Roman" w:eastAsia="宋体" w:cs="Times New Roman"/>
                <w:b w:val="0"/>
                <w:bCs w:val="0"/>
                <w:color w:val="auto"/>
                <w:sz w:val="24"/>
                <w:szCs w:val="24"/>
              </w:rPr>
              <w:noBreakHyphen/>
            </w:r>
            <w:r>
              <w:rPr>
                <w:rStyle w:val="39"/>
                <w:rFonts w:hint="default" w:ascii="Times New Roman" w:hAnsi="Times New Roman" w:eastAsia="宋体" w:cs="Times New Roman"/>
                <w:b w:val="0"/>
                <w:bCs w:val="0"/>
                <w:color w:val="auto"/>
                <w:sz w:val="24"/>
                <w:szCs w:val="24"/>
              </w:rPr>
              <w:t>6mm 中细颗粒物料（水分≤0.1%）</w:t>
            </w:r>
            <w:r>
              <w:rPr>
                <w:rFonts w:hint="default" w:ascii="Times New Roman" w:hAnsi="Times New Roman" w:eastAsia="宋体" w:cs="Times New Roman"/>
                <w:b w:val="0"/>
                <w:bCs w:val="0"/>
                <w:color w:val="auto"/>
                <w:sz w:val="24"/>
                <w:szCs w:val="24"/>
              </w:rPr>
              <w:t>送入雷蒙磨进行粉磨。</w:t>
            </w:r>
          </w:p>
          <w:p w14:paraId="040174F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szCs w:val="24"/>
              </w:rPr>
              <w:t>设置预筛分工序，一方面筛除大颗粒物料，减少雷蒙磨破碎大块物料的工作负荷，减轻磨辊、磨环磨损，避免设备冲击振动；另一方面避免物料过粉碎，保留生产所需的中粗颗粒组分，保障后续与沥青混捏工序的物料级配及配方要求，降低粉磨工序能耗。中粗颗粒物料作为中间物料储存于料仓，后续与雷蒙磨产出粉料按配比混合，进入混捏工序。</w:t>
            </w:r>
          </w:p>
          <w:p w14:paraId="74FEF90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6、平面布置</w:t>
            </w:r>
          </w:p>
          <w:p w14:paraId="13CCE8D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24"/>
              </w:rPr>
              <w:t>本项目在厂区现有</w:t>
            </w:r>
            <w:r>
              <w:rPr>
                <w:rFonts w:hint="eastAsia" w:ascii="Times New Roman" w:hAnsi="Times New Roman" w:eastAsia="宋体" w:cs="Times New Roman"/>
                <w:color w:val="auto"/>
                <w:sz w:val="24"/>
                <w:szCs w:val="24"/>
                <w:lang w:val="en-US" w:eastAsia="zh-CN"/>
              </w:rPr>
              <w:t>成型</w:t>
            </w:r>
            <w:r>
              <w:rPr>
                <w:rFonts w:hint="default" w:ascii="Times New Roman" w:hAnsi="Times New Roman" w:eastAsia="宋体" w:cs="Times New Roman"/>
                <w:color w:val="auto"/>
                <w:sz w:val="24"/>
                <w:szCs w:val="24"/>
              </w:rPr>
              <w:t>生产车间内实施技改，不新增建构筑物。本次技改新增2#、4#备用磨粉机，其中2#备用磨粉机</w:t>
            </w:r>
            <w:r>
              <w:rPr>
                <w:rFonts w:hint="eastAsia" w:cs="Times New Roman"/>
                <w:color w:val="auto"/>
                <w:sz w:val="24"/>
                <w:szCs w:val="24"/>
                <w:lang w:eastAsia="zh-CN"/>
              </w:rPr>
              <w:t>（</w:t>
            </w:r>
            <w:r>
              <w:rPr>
                <w:rFonts w:hint="eastAsia" w:cs="Times New Roman"/>
                <w:color w:val="auto"/>
                <w:sz w:val="24"/>
                <w:szCs w:val="24"/>
                <w:lang w:val="en-US" w:eastAsia="zh-CN"/>
              </w:rPr>
              <w:t>西线）</w:t>
            </w:r>
            <w:r>
              <w:rPr>
                <w:rFonts w:hint="default" w:ascii="Times New Roman" w:hAnsi="Times New Roman" w:eastAsia="宋体" w:cs="Times New Roman"/>
                <w:color w:val="auto"/>
                <w:sz w:val="24"/>
                <w:szCs w:val="24"/>
              </w:rPr>
              <w:t>布置于车间内部空余场地；受车间内部空间制约，4#备用磨粉机</w:t>
            </w:r>
            <w:r>
              <w:rPr>
                <w:rFonts w:hint="eastAsia" w:cs="Times New Roman"/>
                <w:color w:val="auto"/>
                <w:sz w:val="24"/>
                <w:szCs w:val="24"/>
                <w:lang w:eastAsia="zh-CN"/>
              </w:rPr>
              <w:t>（</w:t>
            </w:r>
            <w:r>
              <w:rPr>
                <w:rFonts w:hint="eastAsia" w:cs="Times New Roman"/>
                <w:color w:val="auto"/>
                <w:sz w:val="24"/>
                <w:szCs w:val="24"/>
                <w:lang w:val="en-US" w:eastAsia="zh-CN"/>
              </w:rPr>
              <w:t>东线）</w:t>
            </w:r>
            <w:r>
              <w:rPr>
                <w:rFonts w:ascii="宋体" w:hAnsi="宋体" w:eastAsia="宋体" w:cs="宋体"/>
                <w:color w:val="auto"/>
                <w:sz w:val="24"/>
                <w:szCs w:val="24"/>
              </w:rPr>
              <w:t>受场地空间限制，不具备建设厂房条件，</w:t>
            </w:r>
            <w:r>
              <w:rPr>
                <w:rFonts w:hint="default" w:ascii="Times New Roman" w:hAnsi="Times New Roman" w:eastAsia="宋体" w:cs="Times New Roman"/>
                <w:color w:val="auto"/>
                <w:sz w:val="24"/>
                <w:szCs w:val="24"/>
              </w:rPr>
              <w:t>同时考虑设备后期维护保养作业便利，将4#备用磨粉机布置于该车间外的厂区现有场地，不改变厂区总平面布局、建构筑物功能及厂区现有道路、管网等公用工程布置，项目用地属于厂区现有用地范围，平面布置符合厂区总体规划要求。</w:t>
            </w:r>
            <w:r>
              <w:rPr>
                <w:rFonts w:hint="eastAsia" w:ascii="Times New Roman" w:hAnsi="Times New Roman" w:cs="Times New Roman"/>
                <w:color w:val="auto"/>
                <w:sz w:val="24"/>
                <w:highlight w:val="none"/>
                <w:lang w:val="en-US" w:eastAsia="zh-CN"/>
              </w:rPr>
              <w:t>本次技改</w:t>
            </w:r>
            <w:r>
              <w:rPr>
                <w:rFonts w:hint="default" w:ascii="Times New Roman" w:hAnsi="Times New Roman" w:cs="Times New Roman"/>
                <w:color w:val="auto"/>
                <w:sz w:val="24"/>
                <w:highlight w:val="none"/>
              </w:rPr>
              <w:t>项目布局图见附图</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w:t>
            </w:r>
          </w:p>
          <w:p w14:paraId="607FF3D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7、公用工程</w:t>
            </w:r>
          </w:p>
          <w:p w14:paraId="619C127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（1）给排水：</w:t>
            </w:r>
          </w:p>
          <w:p w14:paraId="2BBC79A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eastAsia" w:ascii="Times New Roman" w:hAnsi="Times New Roman" w:cs="Times New Roman"/>
                <w:color w:val="auto"/>
                <w:sz w:val="24"/>
                <w:highlight w:val="none"/>
                <w:lang w:val="en-US" w:eastAsia="zh-CN"/>
              </w:rPr>
              <w:t>本</w:t>
            </w: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rPr>
              <w:t>生产不用水，劳动定员由厂内调剂，无新增生活用水，因此无新增废水产生。</w:t>
            </w:r>
          </w:p>
          <w:p w14:paraId="5C32259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（2）供电</w:t>
            </w:r>
          </w:p>
          <w:p w14:paraId="513868A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sz w:val="24"/>
                <w:lang w:val="en-US" w:eastAsia="zh-CN"/>
              </w:rPr>
              <w:t>本项目用电由园区供电系统供给</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全厂</w:t>
            </w:r>
            <w:r>
              <w:rPr>
                <w:rFonts w:hint="default" w:ascii="Times New Roman" w:hAnsi="Times New Roman" w:cs="Times New Roman"/>
                <w:color w:val="auto"/>
                <w:sz w:val="24"/>
              </w:rPr>
              <w:t>用电</w:t>
            </w:r>
            <w:r>
              <w:rPr>
                <w:rFonts w:hint="eastAsia" w:ascii="Times New Roman" w:hAnsi="Times New Roman" w:cs="Times New Roman"/>
                <w:color w:val="auto"/>
                <w:sz w:val="24"/>
                <w:lang w:val="en-US" w:eastAsia="zh-CN"/>
              </w:rPr>
              <w:t>保持不变</w:t>
            </w:r>
            <w:r>
              <w:rPr>
                <w:rFonts w:hint="default" w:ascii="Times New Roman" w:hAnsi="Times New Roman" w:cs="Times New Roman"/>
                <w:color w:val="auto"/>
                <w:sz w:val="24"/>
                <w:highlight w:val="none"/>
              </w:rPr>
              <w:t>。</w:t>
            </w:r>
          </w:p>
          <w:p w14:paraId="4C98366A">
            <w:pPr>
              <w:keepNext w:val="0"/>
              <w:keepLines w:val="0"/>
              <w:pageBreakBefore w:val="0"/>
              <w:widowControl w:val="0"/>
              <w:tabs>
                <w:tab w:val="left" w:pos="18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4"/>
              </w:rPr>
            </w:pPr>
            <w:bookmarkStart w:id="4" w:name="OLE_LINK1"/>
            <w:bookmarkStart w:id="5" w:name="OLE_LINK2"/>
            <w:r>
              <w:rPr>
                <w:rFonts w:hint="default" w:ascii="Times New Roman" w:hAnsi="Times New Roman" w:cs="Times New Roman"/>
                <w:color w:val="auto"/>
                <w:sz w:val="24"/>
                <w:szCs w:val="24"/>
              </w:rPr>
              <w:t>（3）供热</w:t>
            </w:r>
          </w:p>
          <w:p w14:paraId="166B1A3E">
            <w:pPr>
              <w:keepNext w:val="0"/>
              <w:keepLines w:val="0"/>
              <w:pageBreakBefore w:val="0"/>
              <w:widowControl w:val="0"/>
              <w:tabs>
                <w:tab w:val="left" w:pos="18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项目运行过程中无需供热。</w:t>
            </w:r>
            <w:bookmarkEnd w:id="4"/>
            <w:bookmarkEnd w:id="5"/>
          </w:p>
        </w:tc>
      </w:tr>
      <w:tr w14:paraId="68504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noWrap w:val="0"/>
            <w:vAlign w:val="center"/>
          </w:tcPr>
          <w:p w14:paraId="7F4709C0">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Cs w:val="24"/>
              </w:rPr>
              <w:t>工艺流程和产排污环节</w:t>
            </w:r>
          </w:p>
        </w:tc>
        <w:tc>
          <w:tcPr>
            <w:tcW w:w="8608" w:type="dxa"/>
            <w:noWrap w:val="0"/>
            <w:vAlign w:val="top"/>
          </w:tcPr>
          <w:p w14:paraId="19522147">
            <w:pPr>
              <w:keepNext w:val="0"/>
              <w:keepLines w:val="0"/>
              <w:pageBreakBefore w:val="0"/>
              <w:widowControl w:val="0"/>
              <w:shd w:val="clear" w:color="auto" w:fill="auto"/>
              <w:kinsoku/>
              <w:wordWrap/>
              <w:overflowPunct/>
              <w:topLinePunct w:val="0"/>
              <w:autoSpaceDE/>
              <w:autoSpaceDN/>
              <w:bidi w:val="0"/>
              <w:spacing w:line="480" w:lineRule="exact"/>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工艺流程及排污节点</w:t>
            </w:r>
          </w:p>
          <w:p w14:paraId="14467394">
            <w:pPr>
              <w:keepNext w:val="0"/>
              <w:keepLines w:val="0"/>
              <w:pageBreakBefore w:val="0"/>
              <w:widowControl w:val="0"/>
              <w:shd w:val="clear" w:color="auto" w:fill="auto"/>
              <w:kinsoku/>
              <w:wordWrap/>
              <w:overflowPunct/>
              <w:topLinePunct w:val="0"/>
              <w:autoSpaceDE/>
              <w:autoSpaceDN/>
              <w:bidi w:val="0"/>
              <w:spacing w:line="480" w:lineRule="exact"/>
              <w:ind w:firstLine="482" w:firstLineChars="200"/>
              <w:textAlignment w:val="auto"/>
              <w:rPr>
                <w:rFonts w:hint="default" w:ascii="Times New Roman" w:hAnsi="Times New Roman" w:cs="Times New Roman"/>
                <w:b/>
                <w:color w:val="auto"/>
                <w:sz w:val="24"/>
                <w:highlight w:val="none"/>
              </w:rPr>
            </w:pPr>
            <w:r>
              <w:rPr>
                <w:rFonts w:hint="eastAsia" w:ascii="Times New Roman" w:hAnsi="Times New Roman" w:cs="Times New Roman"/>
                <w:b/>
                <w:color w:val="auto"/>
                <w:sz w:val="24"/>
                <w:lang w:val="en-US" w:eastAsia="zh-CN"/>
              </w:rPr>
              <w:t>1、施工期</w:t>
            </w:r>
            <w:r>
              <w:rPr>
                <w:rFonts w:hint="default" w:ascii="Times New Roman" w:hAnsi="Times New Roman" w:cs="Times New Roman"/>
                <w:b/>
                <w:color w:val="auto"/>
                <w:sz w:val="24"/>
                <w:highlight w:val="none"/>
              </w:rPr>
              <w:t>工艺流程简述：</w:t>
            </w:r>
          </w:p>
          <w:p w14:paraId="1FBDC8BD">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color w:val="auto"/>
                <w:sz w:val="24"/>
              </w:rPr>
              <mc:AlternateContent>
                <mc:Choice Requires="wpg">
                  <w:drawing>
                    <wp:anchor distT="0" distB="0" distL="114300" distR="114300" simplePos="0" relativeHeight="251711488" behindDoc="0" locked="0" layoutInCell="1" allowOverlap="1">
                      <wp:simplePos x="0" y="0"/>
                      <wp:positionH relativeFrom="column">
                        <wp:posOffset>1643380</wp:posOffset>
                      </wp:positionH>
                      <wp:positionV relativeFrom="paragraph">
                        <wp:posOffset>285750</wp:posOffset>
                      </wp:positionV>
                      <wp:extent cx="2073910" cy="615950"/>
                      <wp:effectExtent l="4445" t="0" r="0" b="10160"/>
                      <wp:wrapNone/>
                      <wp:docPr id="70" name="组合 148"/>
                      <wp:cNvGraphicFramePr/>
                      <a:graphic xmlns:a="http://schemas.openxmlformats.org/drawingml/2006/main">
                        <a:graphicData uri="http://schemas.microsoft.com/office/word/2010/wordprocessingGroup">
                          <wpg:wgp>
                            <wpg:cNvGrpSpPr/>
                            <wpg:grpSpPr>
                              <a:xfrm>
                                <a:off x="0" y="0"/>
                                <a:ext cx="2073910" cy="615950"/>
                                <a:chOff x="4084" y="593961"/>
                                <a:chExt cx="3266" cy="970"/>
                              </a:xfrm>
                            </wpg:grpSpPr>
                            <wps:wsp>
                              <wps:cNvPr id="65" name="文本框 149"/>
                              <wps:cNvSpPr txBox="1"/>
                              <wps:spPr>
                                <a:xfrm>
                                  <a:off x="4084" y="594481"/>
                                  <a:ext cx="1236" cy="450"/>
                                </a:xfrm>
                                <a:prstGeom prst="rect">
                                  <a:avLst/>
                                </a:prstGeom>
                                <a:noFill/>
                                <a:ln w="9525" cap="flat" cmpd="sng">
                                  <a:solidFill>
                                    <a:srgbClr val="000000"/>
                                  </a:solidFill>
                                  <a:prstDash val="solid"/>
                                  <a:miter/>
                                  <a:headEnd type="none" w="med" len="med"/>
                                  <a:tailEnd type="none" w="med" len="med"/>
                                </a:ln>
                              </wps:spPr>
                              <wps:txbx>
                                <w:txbxContent>
                                  <w:p w14:paraId="5C98E2BF">
                                    <w:pPr>
                                      <w:jc w:val="center"/>
                                      <w:rPr>
                                        <w:rFonts w:hint="default" w:eastAsia="宋体"/>
                                        <w:lang w:val="en-US" w:eastAsia="zh-CN"/>
                                      </w:rPr>
                                    </w:pPr>
                                    <w:r>
                                      <w:rPr>
                                        <w:rFonts w:hint="eastAsia"/>
                                        <w:lang w:val="en-US" w:eastAsia="zh-CN"/>
                                      </w:rPr>
                                      <w:t>设施安装</w:t>
                                    </w:r>
                                  </w:p>
                                </w:txbxContent>
                              </wps:txbx>
                              <wps:bodyPr wrap="square" upright="1"/>
                            </wps:wsp>
                            <wps:wsp>
                              <wps:cNvPr id="66" name="直线 150"/>
                              <wps:cNvCnPr/>
                              <wps:spPr>
                                <a:xfrm>
                                  <a:off x="5336" y="594709"/>
                                  <a:ext cx="680" cy="1"/>
                                </a:xfrm>
                                <a:prstGeom prst="line">
                                  <a:avLst/>
                                </a:prstGeom>
                                <a:ln w="9525" cap="flat" cmpd="sng">
                                  <a:solidFill>
                                    <a:srgbClr val="000000"/>
                                  </a:solidFill>
                                  <a:prstDash val="solid"/>
                                  <a:headEnd type="none" w="med" len="med"/>
                                  <a:tailEnd type="triangle" w="med" len="lg"/>
                                </a:ln>
                              </wps:spPr>
                              <wps:bodyPr upright="1"/>
                            </wps:wsp>
                            <wps:wsp>
                              <wps:cNvPr id="67" name="直线 151"/>
                              <wps:cNvCnPr/>
                              <wps:spPr>
                                <a:xfrm flipV="1">
                                  <a:off x="4927" y="594264"/>
                                  <a:ext cx="402" cy="223"/>
                                </a:xfrm>
                                <a:prstGeom prst="line">
                                  <a:avLst/>
                                </a:prstGeom>
                                <a:ln w="9525" cap="flat" cmpd="sng">
                                  <a:solidFill>
                                    <a:srgbClr val="000000"/>
                                  </a:solidFill>
                                  <a:prstDash val="solid"/>
                                  <a:headEnd type="none" w="med" len="sm"/>
                                  <a:tailEnd type="triangle" w="sm" len="lg"/>
                                </a:ln>
                              </wps:spPr>
                              <wps:bodyPr upright="1"/>
                            </wps:wsp>
                            <wps:wsp>
                              <wps:cNvPr id="68" name="文本框 152"/>
                              <wps:cNvSpPr txBox="1"/>
                              <wps:spPr>
                                <a:xfrm>
                                  <a:off x="5103" y="593961"/>
                                  <a:ext cx="1337" cy="400"/>
                                </a:xfrm>
                                <a:prstGeom prst="rect">
                                  <a:avLst/>
                                </a:prstGeom>
                                <a:noFill/>
                                <a:ln>
                                  <a:noFill/>
                                </a:ln>
                              </wps:spPr>
                              <wps:txbx>
                                <w:txbxContent>
                                  <w:p w14:paraId="54EAAA87">
                                    <w:pPr>
                                      <w:rPr>
                                        <w:rFonts w:hint="default" w:eastAsia="宋体"/>
                                        <w:lang w:val="en-US" w:eastAsia="zh-CN"/>
                                      </w:rPr>
                                    </w:pPr>
                                    <w:r>
                                      <w:rPr>
                                        <w:rFonts w:hint="eastAsia"/>
                                        <w:lang w:val="en-US" w:eastAsia="zh-CN"/>
                                      </w:rPr>
                                      <w:t>N、S、W</w:t>
                                    </w:r>
                                  </w:p>
                                </w:txbxContent>
                              </wps:txbx>
                              <wps:bodyPr wrap="square" upright="1"/>
                            </wps:wsp>
                            <wps:wsp>
                              <wps:cNvPr id="69" name="文本框 153"/>
                              <wps:cNvSpPr txBox="1"/>
                              <wps:spPr>
                                <a:xfrm>
                                  <a:off x="6026" y="594504"/>
                                  <a:ext cx="1325" cy="400"/>
                                </a:xfrm>
                                <a:prstGeom prst="rect">
                                  <a:avLst/>
                                </a:prstGeom>
                                <a:noFill/>
                                <a:ln>
                                  <a:noFill/>
                                </a:ln>
                              </wps:spPr>
                              <wps:txbx>
                                <w:txbxContent>
                                  <w:p w14:paraId="421F6578">
                                    <w:pPr>
                                      <w:rPr>
                                        <w:rFonts w:hint="default" w:eastAsia="宋体"/>
                                        <w:lang w:val="en-US" w:eastAsia="zh-CN"/>
                                      </w:rPr>
                                    </w:pPr>
                                    <w:r>
                                      <w:rPr>
                                        <w:rFonts w:hint="eastAsia"/>
                                        <w:lang w:val="en-US" w:eastAsia="zh-CN"/>
                                      </w:rPr>
                                      <w:t>交付使用</w:t>
                                    </w:r>
                                  </w:p>
                                </w:txbxContent>
                              </wps:txbx>
                              <wps:bodyPr wrap="square" upright="1"/>
                            </wps:wsp>
                          </wpg:wgp>
                        </a:graphicData>
                      </a:graphic>
                    </wp:anchor>
                  </w:drawing>
                </mc:Choice>
                <mc:Fallback>
                  <w:pict>
                    <v:group id="组合 148" o:spid="_x0000_s1026" o:spt="203" style="position:absolute;left:0pt;margin-left:129.4pt;margin-top:22.5pt;height:48.5pt;width:163.3pt;z-index:251711488;mso-width-relative:page;mso-height-relative:page;" coordorigin="4084,593961" coordsize="3266,970" o:gfxdata="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XEF20doAAAAKAQAADwAAAAAAAAABACAAAAAiAAAAZHJzL2Rvd25yZXYueG1sUEsBAhQAFAAA&#10;AAgAh07iQCjOK2h8AwAAcgwAAA4AAAAAAAAAAQAgAAAAKQEAAGRycy9lMm9Eb2MueG1sUEsFBgAA&#10;AAAGAAYAWQEAABcHAAAAAA==&#10;">
                      <o:lock v:ext="edit" aspectratio="f"/>
                      <v:shape id="文本框 149" o:spid="_x0000_s1026" o:spt="202" type="#_x0000_t202" style="position:absolute;left:4084;top:594481;height:450;width:1236;" filled="f" stroked="t" coordsize="21600,21600" o:gfxdata="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J90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C98E2BF">
                              <w:pPr>
                                <w:jc w:val="center"/>
                                <w:rPr>
                                  <w:rFonts w:hint="default" w:eastAsia="宋体"/>
                                  <w:lang w:val="en-US" w:eastAsia="zh-CN"/>
                                </w:rPr>
                              </w:pPr>
                              <w:r>
                                <w:rPr>
                                  <w:rFonts w:hint="eastAsia"/>
                                  <w:lang w:val="en-US" w:eastAsia="zh-CN"/>
                                </w:rPr>
                                <w:t>设施安装</w:t>
                              </w:r>
                            </w:p>
                          </w:txbxContent>
                        </v:textbox>
                      </v:shape>
                      <v:line id="直线 150" o:spid="_x0000_s1026" o:spt="20" style="position:absolute;left:5336;top:594709;height:1;width:680;" filled="f" stroked="t" coordsize="21600,21600" o:gfxdata="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CSnIvQAA&#10;ANsAAAAPAAAAAAAAAAEAIAAAACIAAABkcnMvZG93bnJldi54bWxQSwECFAAUAAAACACHTuJAMy8F&#10;njsAAAA5AAAAEAAAAAAAAAABACAAAAAMAQAAZHJzL3NoYXBleG1sLnhtbFBLBQYAAAAABgAGAFsB&#10;AAC2AwAAAAA=&#10;">
                        <v:fill on="f" focussize="0,0"/>
                        <v:stroke color="#000000" joinstyle="round" endarrow="block" endarrowlength="long"/>
                        <v:imagedata o:title=""/>
                        <o:lock v:ext="edit" aspectratio="f"/>
                      </v:line>
                      <v:line id="直线 151" o:spid="_x0000_s1026" o:spt="20" style="position:absolute;left:4927;top:594264;flip:y;height:223;width:402;" filled="f" stroked="t" coordsize="21600,21600" o:gfxdata="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WOn+b4A&#10;AADbAAAADwAAAAAAAAABACAAAAAiAAAAZHJzL2Rvd25yZXYueG1sUEsBAhQAFAAAAAgAh07iQDMv&#10;BZ47AAAAOQAAABAAAAAAAAAAAQAgAAAADQEAAGRycy9zaGFwZXhtbC54bWxQSwUGAAAAAAYABgBb&#10;AQAAtwMAAAAA&#10;">
                        <v:fill on="f" focussize="0,0"/>
                        <v:stroke color="#000000" joinstyle="round" startarrowlength="short" endarrow="block" endarrowwidth="narrow" endarrowlength="long"/>
                        <v:imagedata o:title=""/>
                        <o:lock v:ext="edit" aspectratio="f"/>
                      </v:line>
                      <v:shape id="文本框 152" o:spid="_x0000_s1026" o:spt="202" type="#_x0000_t202" style="position:absolute;left:5103;top:593961;height:400;width:1337;" filled="f" stroked="f" coordsize="21600,21600" o:gfxdata="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XD+Y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4EAAA87">
                              <w:pPr>
                                <w:rPr>
                                  <w:rFonts w:hint="default" w:eastAsia="宋体"/>
                                  <w:lang w:val="en-US" w:eastAsia="zh-CN"/>
                                </w:rPr>
                              </w:pPr>
                              <w:r>
                                <w:rPr>
                                  <w:rFonts w:hint="eastAsia"/>
                                  <w:lang w:val="en-US" w:eastAsia="zh-CN"/>
                                </w:rPr>
                                <w:t>N、S、W</w:t>
                              </w:r>
                            </w:p>
                          </w:txbxContent>
                        </v:textbox>
                      </v:shape>
                      <v:shape id="文本框 153" o:spid="_x0000_s1026" o:spt="202" type="#_x0000_t202" style="position:absolute;left:6026;top:594504;height:400;width:1325;" filled="f" stroked="f" coordsize="21600,21600" o:gfxdata="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j1w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21F6578">
                              <w:pPr>
                                <w:rPr>
                                  <w:rFonts w:hint="default" w:eastAsia="宋体"/>
                                  <w:lang w:val="en-US" w:eastAsia="zh-CN"/>
                                </w:rPr>
                              </w:pPr>
                              <w:r>
                                <w:rPr>
                                  <w:rFonts w:hint="eastAsia"/>
                                  <w:lang w:val="en-US" w:eastAsia="zh-CN"/>
                                </w:rPr>
                                <w:t>交付使用</w:t>
                              </w:r>
                            </w:p>
                          </w:txbxContent>
                        </v:textbox>
                      </v:shape>
                    </v:group>
                  </w:pict>
                </mc:Fallback>
              </mc:AlternateContent>
            </w:r>
            <w:r>
              <w:rPr>
                <w:rFonts w:hint="eastAsia" w:ascii="Times New Roman" w:hAnsi="Times New Roman" w:eastAsia="宋体" w:cs="Times New Roman"/>
                <w:color w:val="auto"/>
                <w:sz w:val="24"/>
                <w:highlight w:val="none"/>
                <w:lang w:val="en-US" w:eastAsia="zh-CN"/>
              </w:rPr>
              <w:t>本</w:t>
            </w:r>
            <w:r>
              <w:rPr>
                <w:rFonts w:hint="eastAsia" w:ascii="Times New Roman" w:hAnsi="Times New Roman" w:cs="Times New Roman"/>
                <w:color w:val="auto"/>
                <w:sz w:val="24"/>
                <w:highlight w:val="none"/>
                <w:lang w:val="en-US" w:eastAsia="zh-CN"/>
              </w:rPr>
              <w:t>项目施工期工艺流程图及排污节点图2-1</w:t>
            </w:r>
            <w:r>
              <w:rPr>
                <w:rFonts w:hint="default" w:ascii="Times New Roman" w:hAnsi="Times New Roman" w:cs="Times New Roman"/>
                <w:bCs/>
                <w:color w:val="auto"/>
                <w:sz w:val="24"/>
                <w:highlight w:val="none"/>
              </w:rPr>
              <w:t>。</w:t>
            </w:r>
          </w:p>
          <w:p w14:paraId="7AEB7818">
            <w:pPr>
              <w:shd w:val="clear" w:color="auto" w:fill="auto"/>
              <w:spacing w:line="480" w:lineRule="exact"/>
              <w:rPr>
                <w:rFonts w:hint="default" w:ascii="Times New Roman" w:hAnsi="Times New Roman" w:eastAsia="宋体" w:cs="Times New Roman"/>
                <w:b/>
                <w:color w:val="auto"/>
                <w:sz w:val="24"/>
                <w:lang w:val="en-US" w:eastAsia="zh-CN"/>
              </w:rPr>
            </w:pPr>
          </w:p>
          <w:p w14:paraId="1B35D8AB">
            <w:pPr>
              <w:shd w:val="clear" w:color="auto" w:fill="auto"/>
              <w:spacing w:line="480" w:lineRule="exact"/>
              <w:rPr>
                <w:rFonts w:hint="default" w:ascii="Times New Roman" w:hAnsi="Times New Roman" w:cs="Times New Roman"/>
                <w:b/>
                <w:color w:val="auto"/>
                <w:sz w:val="24"/>
              </w:rPr>
            </w:pPr>
          </w:p>
          <w:p w14:paraId="745B68C2">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val="0"/>
                <w:bCs/>
                <w:color w:val="FF0000"/>
                <w:sz w:val="21"/>
                <w:szCs w:val="21"/>
                <w:highlight w:val="none"/>
                <w:lang w:val="en-US" w:eastAsia="zh-CN"/>
              </w:rPr>
            </w:pPr>
            <w:r>
              <w:rPr>
                <w:rFonts w:hint="eastAsia" w:ascii="Times New Roman" w:hAnsi="Times New Roman" w:cs="Times New Roman"/>
                <w:b w:val="0"/>
                <w:bCs/>
                <w:color w:val="FF0000"/>
                <w:sz w:val="21"/>
                <w:szCs w:val="21"/>
                <w:highlight w:val="none"/>
                <w:lang w:val="en-US" w:eastAsia="zh-CN"/>
              </w:rPr>
              <w:t>注：  W：废水  N：噪声  S：固废</w:t>
            </w:r>
          </w:p>
          <w:p w14:paraId="103CE643">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rPr>
              <w:t>图2-</w:t>
            </w:r>
            <w:r>
              <w:rPr>
                <w:rFonts w:hint="eastAsia" w:ascii="Times New Roman" w:hAnsi="Times New Roman" w:cs="Times New Roman"/>
                <w:b/>
                <w:bCs w:val="0"/>
                <w:color w:val="auto"/>
                <w:sz w:val="24"/>
                <w:highlight w:val="none"/>
                <w:lang w:val="en-US" w:eastAsia="zh-CN"/>
              </w:rPr>
              <w:t>1</w:t>
            </w:r>
            <w:r>
              <w:rPr>
                <w:rFonts w:hint="default" w:ascii="Times New Roman" w:hAnsi="Times New Roman" w:cs="Times New Roman"/>
                <w:b/>
                <w:bCs w:val="0"/>
                <w:color w:val="auto"/>
                <w:sz w:val="24"/>
                <w:highlight w:val="none"/>
              </w:rPr>
              <w:t xml:space="preserve">  施工期工艺流程图及排污节点</w:t>
            </w:r>
          </w:p>
          <w:p w14:paraId="45C6FCE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color w:val="auto"/>
                <w:sz w:val="24"/>
                <w:highlight w:val="none"/>
              </w:rPr>
            </w:pPr>
            <w:r>
              <w:rPr>
                <w:rFonts w:hint="default" w:ascii="Times New Roman" w:hAnsi="Times New Roman" w:eastAsia="宋体" w:cs="Times New Roman"/>
                <w:b w:val="0"/>
                <w:bCs w:val="0"/>
                <w:color w:val="auto"/>
                <w:sz w:val="24"/>
                <w:szCs w:val="24"/>
                <w:highlight w:val="none"/>
                <w:lang w:val="en-US" w:eastAsia="zh-CN"/>
              </w:rPr>
              <w:t>项目</w:t>
            </w:r>
            <w:r>
              <w:rPr>
                <w:rFonts w:hint="eastAsia" w:ascii="Times New Roman" w:hAnsi="Times New Roman" w:eastAsia="宋体" w:cs="Times New Roman"/>
                <w:b w:val="0"/>
                <w:bCs w:val="0"/>
                <w:color w:val="auto"/>
                <w:sz w:val="24"/>
                <w:szCs w:val="24"/>
                <w:highlight w:val="none"/>
                <w:lang w:val="en-US" w:eastAsia="zh-CN"/>
              </w:rPr>
              <w:t>利用现有生产车间</w:t>
            </w:r>
            <w:r>
              <w:rPr>
                <w:rFonts w:hint="default" w:ascii="Times New Roman" w:hAnsi="Times New Roman" w:eastAsia="宋体" w:cs="Times New Roman"/>
                <w:b w:val="0"/>
                <w:bCs w:val="0"/>
                <w:color w:val="auto"/>
                <w:sz w:val="24"/>
                <w:szCs w:val="24"/>
                <w:highlight w:val="none"/>
                <w:lang w:val="en-US" w:eastAsia="zh-CN"/>
              </w:rPr>
              <w:t>进行建设，无土建施工，仅为设备的安装与调试，期间会产生噪声、废设备包装、施工人员生活污水。设备安装时轻拿轻放，设备调试安排在白天进行；</w:t>
            </w:r>
            <w:r>
              <w:rPr>
                <w:rFonts w:hint="eastAsia" w:ascii="Times New Roman" w:hAnsi="Times New Roman" w:eastAsia="宋体" w:cs="Times New Roman"/>
                <w:b w:val="0"/>
                <w:bCs w:val="0"/>
                <w:color w:val="auto"/>
                <w:sz w:val="24"/>
                <w:szCs w:val="24"/>
                <w:highlight w:val="none"/>
                <w:lang w:val="en-US" w:eastAsia="zh-CN"/>
              </w:rPr>
              <w:t>施工期较短，</w:t>
            </w:r>
            <w:r>
              <w:rPr>
                <w:rFonts w:hint="default" w:ascii="Times New Roman" w:hAnsi="Times New Roman" w:eastAsia="宋体" w:cs="Times New Roman"/>
                <w:b w:val="0"/>
                <w:bCs w:val="0"/>
                <w:color w:val="auto"/>
                <w:sz w:val="24"/>
                <w:szCs w:val="24"/>
                <w:highlight w:val="none"/>
                <w:lang w:val="en-US" w:eastAsia="zh-CN"/>
              </w:rPr>
              <w:t>施工人员</w:t>
            </w:r>
            <w:r>
              <w:rPr>
                <w:rFonts w:hint="eastAsia" w:ascii="Times New Roman" w:hAnsi="Times New Roman" w:eastAsia="宋体" w:cs="Times New Roman"/>
                <w:b w:val="0"/>
                <w:bCs w:val="0"/>
                <w:color w:val="auto"/>
                <w:sz w:val="24"/>
                <w:szCs w:val="24"/>
                <w:highlight w:val="none"/>
                <w:lang w:val="en-US" w:eastAsia="zh-CN"/>
              </w:rPr>
              <w:t>为周围村民，</w:t>
            </w:r>
            <w:r>
              <w:rPr>
                <w:rFonts w:hint="default" w:ascii="Times New Roman" w:hAnsi="Times New Roman" w:eastAsia="宋体" w:cs="Times New Roman"/>
                <w:b w:val="0"/>
                <w:bCs w:val="0"/>
                <w:color w:val="auto"/>
                <w:sz w:val="24"/>
                <w:szCs w:val="24"/>
                <w:highlight w:val="none"/>
                <w:lang w:val="en-US" w:eastAsia="zh-CN"/>
              </w:rPr>
              <w:t>生活污水</w:t>
            </w:r>
            <w:r>
              <w:rPr>
                <w:rFonts w:hint="eastAsia" w:ascii="Times New Roman" w:hAnsi="Times New Roman" w:eastAsia="宋体" w:cs="Times New Roman"/>
                <w:b w:val="0"/>
                <w:bCs w:val="0"/>
                <w:color w:val="auto"/>
                <w:sz w:val="24"/>
                <w:szCs w:val="24"/>
                <w:highlight w:val="none"/>
                <w:lang w:val="en-US" w:eastAsia="zh-CN"/>
              </w:rPr>
              <w:t>较少，直接泼洒抑尘；</w:t>
            </w:r>
            <w:r>
              <w:rPr>
                <w:rFonts w:hint="default" w:ascii="Times New Roman" w:hAnsi="Times New Roman" w:eastAsia="宋体" w:cs="Times New Roman"/>
                <w:b w:val="0"/>
                <w:bCs w:val="0"/>
                <w:color w:val="auto"/>
                <w:sz w:val="24"/>
                <w:szCs w:val="24"/>
                <w:highlight w:val="none"/>
                <w:lang w:val="en-US" w:eastAsia="zh-CN"/>
              </w:rPr>
              <w:t>废弃设备包装材料集中收集后外售。</w:t>
            </w:r>
          </w:p>
          <w:p w14:paraId="3450083C">
            <w:pPr>
              <w:keepNext w:val="0"/>
              <w:keepLines w:val="0"/>
              <w:pageBreakBefore w:val="0"/>
              <w:shd w:val="clear" w:color="auto" w:fill="auto"/>
              <w:kinsoku/>
              <w:wordWrap/>
              <w:overflowPunct/>
              <w:topLinePunct w:val="0"/>
              <w:autoSpaceDE/>
              <w:autoSpaceDN/>
              <w:bidi w:val="0"/>
              <w:spacing w:line="480" w:lineRule="exact"/>
              <w:ind w:firstLine="482" w:firstLineChars="200"/>
              <w:textAlignment w:val="auto"/>
              <w:rPr>
                <w:rFonts w:hint="default" w:ascii="Times New Roman" w:hAnsi="Times New Roman" w:cs="Times New Roman"/>
                <w:b/>
                <w:color w:val="auto"/>
                <w:sz w:val="24"/>
                <w:highlight w:val="none"/>
              </w:rPr>
            </w:pPr>
            <w:r>
              <w:rPr>
                <w:rFonts w:hint="eastAsia" w:ascii="Times New Roman" w:hAnsi="Times New Roman" w:cs="Times New Roman"/>
                <w:b/>
                <w:color w:val="auto"/>
                <w:sz w:val="24"/>
                <w:highlight w:val="none"/>
                <w:lang w:val="en-US" w:eastAsia="zh-CN"/>
              </w:rPr>
              <w:t>2、运营期</w:t>
            </w:r>
            <w:r>
              <w:rPr>
                <w:rFonts w:hint="default" w:ascii="Times New Roman" w:hAnsi="Times New Roman" w:cs="Times New Roman"/>
                <w:b/>
                <w:color w:val="auto"/>
                <w:sz w:val="24"/>
                <w:highlight w:val="none"/>
              </w:rPr>
              <w:t>工艺流程简述：</w:t>
            </w:r>
          </w:p>
          <w:p w14:paraId="386297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b w:val="0"/>
                <w:bCs/>
                <w:color w:val="auto"/>
                <w:sz w:val="24"/>
                <w:szCs w:val="24"/>
              </w:rPr>
            </w:pPr>
            <w:r>
              <w:rPr>
                <w:rFonts w:hint="default" w:ascii="Times New Roman" w:hAnsi="Times New Roman" w:eastAsia="宋体" w:cs="Times New Roman"/>
                <w:color w:val="auto"/>
                <w:kern w:val="0"/>
                <w:sz w:val="24"/>
                <w:szCs w:val="24"/>
                <w:lang w:val="en-US" w:eastAsia="zh-CN" w:bidi="ar"/>
              </w:rPr>
              <w:t>本次技改新增2台备用磨粉机，设备仅作为现有东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线主用雷蒙磨故障检修、定期保养时的应急备用设备，</w:t>
            </w:r>
            <w:r>
              <w:rPr>
                <w:rStyle w:val="39"/>
                <w:rFonts w:hint="default" w:ascii="Times New Roman" w:hAnsi="Times New Roman" w:eastAsia="宋体" w:cs="Times New Roman"/>
                <w:b w:val="0"/>
                <w:bCs/>
                <w:color w:val="auto"/>
                <w:kern w:val="0"/>
                <w:sz w:val="24"/>
                <w:szCs w:val="24"/>
                <w:lang w:val="en-US" w:eastAsia="zh-CN" w:bidi="ar"/>
              </w:rPr>
              <w:t>不与主用磨粉机同时运行，正常生产工况下处于停机备用状态</w:t>
            </w:r>
            <w:r>
              <w:rPr>
                <w:rFonts w:hint="default" w:ascii="Times New Roman" w:hAnsi="Times New Roman" w:eastAsia="宋体" w:cs="Times New Roman"/>
                <w:b w:val="0"/>
                <w:bCs/>
                <w:color w:val="auto"/>
                <w:kern w:val="0"/>
                <w:sz w:val="24"/>
                <w:szCs w:val="24"/>
                <w:lang w:val="en-US" w:eastAsia="zh-CN" w:bidi="ar"/>
              </w:rPr>
              <w:t>。</w:t>
            </w:r>
          </w:p>
          <w:p w14:paraId="0995D9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运行工况</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仅当现有东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线主用雷蒙磨出现故障停机，或设备定期检修、保养期间才启动备用磨粉机，替代主磨承担磨粉工序生产任务；设备运行工况、入料条件、处理物料粒径（1</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6mm）、配套环保设施与现有主用雷蒙磨保持一致，磨粉系统密闭负压运行，废气依托现有布袋除尘系统处理后排放。</w:t>
            </w:r>
          </w:p>
          <w:p w14:paraId="73399D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启用发生频率</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结合同类磨粉设备运维经验，主用雷蒙磨年度故障+保养停机合计频次约</w:t>
            </w:r>
            <w:r>
              <w:rPr>
                <w:rStyle w:val="39"/>
                <w:rFonts w:hint="default" w:ascii="Times New Roman" w:hAnsi="Times New Roman" w:eastAsia="宋体" w:cs="Times New Roman"/>
                <w:b w:val="0"/>
                <w:bCs/>
                <w:color w:val="auto"/>
                <w:kern w:val="0"/>
                <w:sz w:val="24"/>
                <w:szCs w:val="24"/>
                <w:lang w:val="en-US" w:eastAsia="zh-CN" w:bidi="ar"/>
              </w:rPr>
              <w:t>4</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6次/年</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其中故障突发停机约2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3次/年，计划性定期保养停机约2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3次/年。</w:t>
            </w:r>
          </w:p>
          <w:p w14:paraId="4D5DBD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单次及年使用时长</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故障情况下单次启用运行时长根据故障维修时间确定，一般为8</w:t>
            </w:r>
            <w:r>
              <w:rPr>
                <w:rFonts w:hint="eastAsia" w:ascii="Times New Roman" w:hAnsi="Times New Roman" w:eastAsia="宋体"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h /次；计划性保养时单次启用时长与保养工期匹配，一般为12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48h /次。经</w:t>
            </w:r>
            <w:r>
              <w:rPr>
                <w:rFonts w:hint="eastAsia" w:ascii="Times New Roman" w:hAnsi="Times New Roman" w:eastAsia="宋体" w:cs="Times New Roman"/>
                <w:color w:val="auto"/>
                <w:kern w:val="0"/>
                <w:sz w:val="24"/>
                <w:szCs w:val="24"/>
                <w:lang w:val="en-US" w:eastAsia="zh-CN" w:bidi="ar"/>
              </w:rPr>
              <w:t>粗略估算</w:t>
            </w:r>
            <w:r>
              <w:rPr>
                <w:rFonts w:hint="default" w:ascii="Times New Roman" w:hAnsi="Times New Roman" w:eastAsia="宋体" w:cs="Times New Roman"/>
                <w:color w:val="auto"/>
                <w:kern w:val="0"/>
                <w:sz w:val="24"/>
                <w:szCs w:val="24"/>
                <w:lang w:val="en-US" w:eastAsia="zh-CN" w:bidi="ar"/>
              </w:rPr>
              <w:t>，备用磨粉机</w:t>
            </w:r>
            <w:r>
              <w:rPr>
                <w:rStyle w:val="39"/>
                <w:rFonts w:hint="default" w:ascii="Times New Roman" w:hAnsi="Times New Roman" w:eastAsia="宋体" w:cs="Times New Roman"/>
                <w:b w:val="0"/>
                <w:bCs/>
                <w:color w:val="auto"/>
                <w:kern w:val="0"/>
                <w:sz w:val="24"/>
                <w:szCs w:val="24"/>
                <w:lang w:val="en-US" w:eastAsia="zh-CN" w:bidi="ar"/>
              </w:rPr>
              <w:t xml:space="preserve">全年累计运行时间约 </w:t>
            </w:r>
            <w:r>
              <w:rPr>
                <w:rStyle w:val="39"/>
                <w:rFonts w:hint="eastAsia" w:ascii="Times New Roman" w:hAnsi="Times New Roman" w:eastAsia="宋体" w:cs="Times New Roman"/>
                <w:b w:val="0"/>
                <w:bCs/>
                <w:color w:val="auto"/>
                <w:kern w:val="0"/>
                <w:sz w:val="24"/>
                <w:szCs w:val="24"/>
                <w:lang w:val="en-US" w:eastAsia="zh-CN" w:bidi="ar"/>
              </w:rPr>
              <w:t>24</w:t>
            </w:r>
            <w:r>
              <w:rPr>
                <w:rStyle w:val="39"/>
                <w:rFonts w:hint="default" w:ascii="Times New Roman" w:hAnsi="Times New Roman" w:eastAsia="宋体" w:cs="Times New Roman"/>
                <w:b w:val="0"/>
                <w:bCs/>
                <w:color w:val="auto"/>
                <w:kern w:val="0"/>
                <w:sz w:val="24"/>
                <w:szCs w:val="24"/>
                <w:lang w:val="en-US" w:eastAsia="zh-CN" w:bidi="ar"/>
              </w:rPr>
              <w:t>0h 以内</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远低于主用磨粉机年运行小时数；主用设备恢复正常后，备用磨粉机立即停机，回归备用状态。</w:t>
            </w:r>
          </w:p>
          <w:p w14:paraId="44EAA7CB">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rFonts w:hint="eastAsia" w:ascii="Times New Roman" w:hAnsi="Times New Roman" w:eastAsia="宋体" w:cs="Times New Roman"/>
                <w:color w:val="auto"/>
                <w:sz w:val="24"/>
                <w:highlight w:val="none"/>
                <w:lang w:val="en-US" w:eastAsia="zh-CN"/>
              </w:rPr>
              <w:t>本</w:t>
            </w:r>
            <w:r>
              <w:rPr>
                <w:rFonts w:hint="eastAsia" w:ascii="Times New Roman" w:hAnsi="Times New Roman" w:cs="Times New Roman"/>
                <w:color w:val="auto"/>
                <w:sz w:val="24"/>
                <w:highlight w:val="none"/>
                <w:lang w:val="en-US" w:eastAsia="zh-CN"/>
              </w:rPr>
              <w:t>项目工艺流程图及排污节点图2-2</w:t>
            </w:r>
            <w:r>
              <w:rPr>
                <w:rFonts w:hint="default" w:ascii="Times New Roman" w:hAnsi="Times New Roman" w:cs="Times New Roman"/>
                <w:bCs/>
                <w:color w:val="auto"/>
                <w:sz w:val="24"/>
                <w:highlight w:val="none"/>
              </w:rPr>
              <w:t>。</w:t>
            </w:r>
          </w:p>
          <w:p w14:paraId="1DE7F7C6">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r>
              <w:rPr>
                <w:color w:val="auto"/>
                <w:sz w:val="24"/>
              </w:rPr>
              <mc:AlternateContent>
                <mc:Choice Requires="wpg">
                  <w:drawing>
                    <wp:anchor distT="0" distB="0" distL="114300" distR="114300" simplePos="0" relativeHeight="251712512" behindDoc="0" locked="0" layoutInCell="1" allowOverlap="1">
                      <wp:simplePos x="0" y="0"/>
                      <wp:positionH relativeFrom="column">
                        <wp:posOffset>721360</wp:posOffset>
                      </wp:positionH>
                      <wp:positionV relativeFrom="paragraph">
                        <wp:posOffset>38735</wp:posOffset>
                      </wp:positionV>
                      <wp:extent cx="4097655" cy="1223645"/>
                      <wp:effectExtent l="4445" t="0" r="0" b="15875"/>
                      <wp:wrapNone/>
                      <wp:docPr id="89" name="组合 89"/>
                      <wp:cNvGraphicFramePr/>
                      <a:graphic xmlns:a="http://schemas.openxmlformats.org/drawingml/2006/main">
                        <a:graphicData uri="http://schemas.microsoft.com/office/word/2010/wordprocessingGroup">
                          <wpg:wgp>
                            <wpg:cNvGrpSpPr/>
                            <wpg:grpSpPr>
                              <a:xfrm>
                                <a:off x="0" y="0"/>
                                <a:ext cx="4097655" cy="1223645"/>
                                <a:chOff x="2937" y="779015"/>
                                <a:chExt cx="6453" cy="1927"/>
                              </a:xfrm>
                            </wpg:grpSpPr>
                            <wps:wsp>
                              <wps:cNvPr id="55" name="直线 108"/>
                              <wps:cNvCnPr/>
                              <wps:spPr>
                                <a:xfrm>
                                  <a:off x="4183" y="779813"/>
                                  <a:ext cx="680" cy="1"/>
                                </a:xfrm>
                                <a:prstGeom prst="line">
                                  <a:avLst/>
                                </a:prstGeom>
                                <a:ln w="9525" cap="flat" cmpd="sng">
                                  <a:solidFill>
                                    <a:srgbClr val="000000"/>
                                  </a:solidFill>
                                  <a:prstDash val="solid"/>
                                  <a:headEnd type="none" w="med" len="med"/>
                                  <a:tailEnd type="triangle" w="med" len="lg"/>
                                </a:ln>
                              </wps:spPr>
                              <wps:bodyPr upright="1"/>
                            </wps:wsp>
                            <wps:wsp>
                              <wps:cNvPr id="56" name="文本框 109"/>
                              <wps:cNvSpPr txBox="1"/>
                              <wps:spPr>
                                <a:xfrm>
                                  <a:off x="4857" y="779584"/>
                                  <a:ext cx="1035" cy="450"/>
                                </a:xfrm>
                                <a:prstGeom prst="rect">
                                  <a:avLst/>
                                </a:prstGeom>
                                <a:noFill/>
                                <a:ln w="9525" cap="flat" cmpd="sng">
                                  <a:solidFill>
                                    <a:srgbClr val="000000"/>
                                  </a:solidFill>
                                  <a:prstDash val="solid"/>
                                  <a:miter/>
                                  <a:headEnd type="none" w="med" len="med"/>
                                  <a:tailEnd type="none" w="med" len="med"/>
                                </a:ln>
                              </wps:spPr>
                              <wps:txbx>
                                <w:txbxContent>
                                  <w:p w14:paraId="747020FB">
                                    <w:pPr>
                                      <w:jc w:val="center"/>
                                      <w:rPr>
                                        <w:rFonts w:hint="default" w:eastAsia="宋体"/>
                                        <w:lang w:val="en-US" w:eastAsia="zh-CN"/>
                                      </w:rPr>
                                    </w:pPr>
                                    <w:r>
                                      <w:rPr>
                                        <w:rFonts w:hint="eastAsia" w:eastAsia="宋体"/>
                                        <w:lang w:val="en-US" w:eastAsia="zh-CN"/>
                                      </w:rPr>
                                      <w:t>磨粉机</w:t>
                                    </w:r>
                                  </w:p>
                                </w:txbxContent>
                              </wps:txbx>
                              <wps:bodyPr vert="horz" wrap="square" anchor="t" anchorCtr="0" upright="1"/>
                            </wps:wsp>
                            <wps:wsp>
                              <wps:cNvPr id="57" name="文本框 112"/>
                              <wps:cNvSpPr txBox="1"/>
                              <wps:spPr>
                                <a:xfrm>
                                  <a:off x="8502" y="779562"/>
                                  <a:ext cx="739" cy="450"/>
                                </a:xfrm>
                                <a:prstGeom prst="rect">
                                  <a:avLst/>
                                </a:prstGeom>
                                <a:noFill/>
                                <a:ln w="9525" cap="flat" cmpd="sng">
                                  <a:solidFill>
                                    <a:srgbClr val="000000"/>
                                  </a:solidFill>
                                  <a:prstDash val="solid"/>
                                  <a:miter/>
                                  <a:headEnd type="none" w="med" len="med"/>
                                  <a:tailEnd type="none" w="med" len="med"/>
                                </a:ln>
                              </wps:spPr>
                              <wps:txbx>
                                <w:txbxContent>
                                  <w:p w14:paraId="0ADFE77B">
                                    <w:pPr>
                                      <w:jc w:val="center"/>
                                      <w:rPr>
                                        <w:rFonts w:hint="default" w:eastAsia="宋体"/>
                                        <w:lang w:val="en-US" w:eastAsia="zh-CN"/>
                                      </w:rPr>
                                    </w:pPr>
                                    <w:r>
                                      <w:rPr>
                                        <w:rFonts w:hint="eastAsia" w:eastAsia="宋体"/>
                                        <w:lang w:val="en-US" w:eastAsia="zh-CN"/>
                                      </w:rPr>
                                      <w:t>料仓</w:t>
                                    </w:r>
                                  </w:p>
                                </w:txbxContent>
                              </wps:txbx>
                              <wps:bodyPr vert="horz" wrap="square" anchor="t" anchorCtr="0" upright="1"/>
                            </wps:wsp>
                            <wps:wsp>
                              <wps:cNvPr id="58" name="直线 114"/>
                              <wps:cNvCnPr/>
                              <wps:spPr>
                                <a:xfrm>
                                  <a:off x="5896" y="779822"/>
                                  <a:ext cx="706" cy="1"/>
                                </a:xfrm>
                                <a:prstGeom prst="line">
                                  <a:avLst/>
                                </a:prstGeom>
                                <a:ln w="9525" cap="flat" cmpd="sng">
                                  <a:solidFill>
                                    <a:srgbClr val="000000"/>
                                  </a:solidFill>
                                  <a:prstDash val="solid"/>
                                  <a:headEnd type="none" w="med" len="med"/>
                                  <a:tailEnd type="triangle" w="med" len="lg"/>
                                </a:ln>
                              </wps:spPr>
                              <wps:bodyPr upright="1"/>
                            </wps:wsp>
                            <wps:wsp>
                              <wps:cNvPr id="59" name="文本框 115"/>
                              <wps:cNvSpPr txBox="1"/>
                              <wps:spPr>
                                <a:xfrm>
                                  <a:off x="6619" y="779589"/>
                                  <a:ext cx="1223" cy="450"/>
                                </a:xfrm>
                                <a:prstGeom prst="rect">
                                  <a:avLst/>
                                </a:prstGeom>
                                <a:noFill/>
                                <a:ln w="9525" cap="flat" cmpd="sng">
                                  <a:solidFill>
                                    <a:srgbClr val="000000"/>
                                  </a:solidFill>
                                  <a:prstDash val="solid"/>
                                  <a:miter/>
                                  <a:headEnd type="none" w="med" len="med"/>
                                  <a:tailEnd type="none" w="med" len="med"/>
                                </a:ln>
                              </wps:spPr>
                              <wps:txbx>
                                <w:txbxContent>
                                  <w:p w14:paraId="69F2B286">
                                    <w:pPr>
                                      <w:jc w:val="center"/>
                                      <w:rPr>
                                        <w:rFonts w:hint="default" w:eastAsia="宋体"/>
                                        <w:lang w:val="en-US" w:eastAsia="zh-CN"/>
                                      </w:rPr>
                                    </w:pPr>
                                    <w:r>
                                      <w:rPr>
                                        <w:rFonts w:hint="eastAsia" w:eastAsia="宋体"/>
                                        <w:lang w:val="en-US" w:eastAsia="zh-CN"/>
                                      </w:rPr>
                                      <w:t>旋风收料</w:t>
                                    </w:r>
                                  </w:p>
                                </w:txbxContent>
                              </wps:txbx>
                              <wps:bodyPr vert="horz" wrap="square" anchor="t" anchorCtr="0" upright="1"/>
                            </wps:wsp>
                            <wps:wsp>
                              <wps:cNvPr id="60" name="直线 118"/>
                              <wps:cNvCnPr/>
                              <wps:spPr>
                                <a:xfrm flipV="1">
                                  <a:off x="7856" y="779796"/>
                                  <a:ext cx="637" cy="8"/>
                                </a:xfrm>
                                <a:prstGeom prst="line">
                                  <a:avLst/>
                                </a:prstGeom>
                                <a:ln w="9525" cap="flat" cmpd="sng">
                                  <a:solidFill>
                                    <a:srgbClr val="000000"/>
                                  </a:solidFill>
                                  <a:prstDash val="solid"/>
                                  <a:headEnd type="none" w="med" len="med"/>
                                  <a:tailEnd type="triangle" w="med" len="lg"/>
                                </a:ln>
                              </wps:spPr>
                              <wps:bodyPr upright="1"/>
                            </wps:wsp>
                            <wps:wsp>
                              <wps:cNvPr id="61" name="直线 58"/>
                              <wps:cNvCnPr/>
                              <wps:spPr>
                                <a:xfrm flipV="1">
                                  <a:off x="5274" y="779378"/>
                                  <a:ext cx="402" cy="223"/>
                                </a:xfrm>
                                <a:prstGeom prst="line">
                                  <a:avLst/>
                                </a:prstGeom>
                                <a:ln w="9525" cap="flat" cmpd="sng">
                                  <a:solidFill>
                                    <a:srgbClr val="000000"/>
                                  </a:solidFill>
                                  <a:prstDash val="solid"/>
                                  <a:headEnd type="none" w="med" len="sm"/>
                                  <a:tailEnd type="triangle" w="sm" len="lg"/>
                                </a:ln>
                              </wps:spPr>
                              <wps:bodyPr upright="1"/>
                            </wps:wsp>
                            <wps:wsp>
                              <wps:cNvPr id="62" name="文本框 57"/>
                              <wps:cNvSpPr txBox="1"/>
                              <wps:spPr>
                                <a:xfrm>
                                  <a:off x="5450" y="779075"/>
                                  <a:ext cx="1120" cy="400"/>
                                </a:xfrm>
                                <a:prstGeom prst="rect">
                                  <a:avLst/>
                                </a:prstGeom>
                                <a:noFill/>
                                <a:ln>
                                  <a:noFill/>
                                </a:ln>
                              </wps:spPr>
                              <wps:txbx>
                                <w:txbxContent>
                                  <w:p w14:paraId="63AB497A">
                                    <w:pPr>
                                      <w:rPr>
                                        <w:rFonts w:hint="default" w:eastAsia="宋体"/>
                                        <w:lang w:val="en-US" w:eastAsia="zh-CN"/>
                                      </w:rPr>
                                    </w:pPr>
                                    <w:r>
                                      <w:rPr>
                                        <w:rFonts w:hint="eastAsia"/>
                                        <w:lang w:val="en-US" w:eastAsia="zh-CN"/>
                                      </w:rPr>
                                      <w:t>G、N</w:t>
                                    </w:r>
                                  </w:p>
                                </w:txbxContent>
                              </wps:txbx>
                              <wps:bodyPr vert="horz" wrap="square" anchor="t" anchorCtr="0" upright="1"/>
                            </wps:wsp>
                            <wps:wsp>
                              <wps:cNvPr id="63" name="文本框 70"/>
                              <wps:cNvSpPr txBox="1"/>
                              <wps:spPr>
                                <a:xfrm>
                                  <a:off x="3745" y="779325"/>
                                  <a:ext cx="1370" cy="640"/>
                                </a:xfrm>
                                <a:prstGeom prst="rect">
                                  <a:avLst/>
                                </a:prstGeom>
                                <a:noFill/>
                                <a:ln>
                                  <a:noFill/>
                                </a:ln>
                              </wps:spPr>
                              <wps:txbx>
                                <w:txbxContent>
                                  <w:p w14:paraId="44F26D66">
                                    <w:pPr>
                                      <w:jc w:val="center"/>
                                      <w:rPr>
                                        <w:rFonts w:hint="default" w:eastAsia="宋体"/>
                                        <w:lang w:val="en-US" w:eastAsia="zh-CN"/>
                                      </w:rPr>
                                    </w:pPr>
                                    <w:r>
                                      <w:rPr>
                                        <w:rFonts w:hint="eastAsia" w:eastAsia="宋体"/>
                                        <w:lang w:val="en-US" w:eastAsia="zh-CN"/>
                                      </w:rPr>
                                      <w:t>中细颗粒</w:t>
                                    </w:r>
                                  </w:p>
                                </w:txbxContent>
                              </wps:txbx>
                              <wps:bodyPr vert="horz" wrap="square" anchor="t" anchorCtr="0" upright="1"/>
                            </wps:wsp>
                            <wps:wsp>
                              <wps:cNvPr id="1" name="文本框 109"/>
                              <wps:cNvSpPr txBox="1"/>
                              <wps:spPr>
                                <a:xfrm>
                                  <a:off x="2937" y="779539"/>
                                  <a:ext cx="1035" cy="450"/>
                                </a:xfrm>
                                <a:prstGeom prst="rect">
                                  <a:avLst/>
                                </a:prstGeom>
                                <a:noFill/>
                                <a:ln w="9525" cap="flat" cmpd="sng">
                                  <a:solidFill>
                                    <a:srgbClr val="000000"/>
                                  </a:solidFill>
                                  <a:prstDash val="solid"/>
                                  <a:miter/>
                                  <a:headEnd type="none" w="med" len="med"/>
                                  <a:tailEnd type="none" w="med" len="med"/>
                                </a:ln>
                              </wps:spPr>
                              <wps:txbx>
                                <w:txbxContent>
                                  <w:p w14:paraId="28008A19">
                                    <w:pPr>
                                      <w:jc w:val="center"/>
                                      <w:rPr>
                                        <w:rFonts w:hint="default" w:eastAsia="宋体"/>
                                        <w:lang w:val="en-US" w:eastAsia="zh-CN"/>
                                      </w:rPr>
                                    </w:pPr>
                                    <w:r>
                                      <w:rPr>
                                        <w:rFonts w:hint="eastAsia"/>
                                        <w:lang w:val="en-US" w:eastAsia="zh-CN"/>
                                      </w:rPr>
                                      <w:t>筛分</w:t>
                                    </w:r>
                                    <w:r>
                                      <w:rPr>
                                        <w:rFonts w:hint="eastAsia" w:eastAsia="宋体"/>
                                        <w:lang w:val="en-US" w:eastAsia="zh-CN"/>
                                      </w:rPr>
                                      <w:t>机</w:t>
                                    </w:r>
                                  </w:p>
                                </w:txbxContent>
                              </wps:txbx>
                              <wps:bodyPr vert="horz" wrap="square" anchor="t" anchorCtr="0" upright="1"/>
                            </wps:wsp>
                            <wps:wsp>
                              <wps:cNvPr id="82" name="直线 108"/>
                              <wps:cNvCnPr>
                                <a:stCxn id="1" idx="2"/>
                              </wps:cNvCnPr>
                              <wps:spPr>
                                <a:xfrm flipH="1">
                                  <a:off x="3450" y="779989"/>
                                  <a:ext cx="5" cy="483"/>
                                </a:xfrm>
                                <a:prstGeom prst="line">
                                  <a:avLst/>
                                </a:prstGeom>
                                <a:ln w="9525" cap="flat" cmpd="sng">
                                  <a:solidFill>
                                    <a:srgbClr val="000000"/>
                                  </a:solidFill>
                                  <a:prstDash val="solid"/>
                                  <a:headEnd type="none" w="med" len="med"/>
                                  <a:tailEnd type="triangle" w="med" len="lg"/>
                                </a:ln>
                              </wps:spPr>
                              <wps:bodyPr upright="1"/>
                            </wps:wsp>
                            <wps:wsp>
                              <wps:cNvPr id="83" name="文本框 112"/>
                              <wps:cNvSpPr txBox="1"/>
                              <wps:spPr>
                                <a:xfrm>
                                  <a:off x="3057" y="780492"/>
                                  <a:ext cx="739" cy="450"/>
                                </a:xfrm>
                                <a:prstGeom prst="rect">
                                  <a:avLst/>
                                </a:prstGeom>
                                <a:noFill/>
                                <a:ln w="9525" cap="flat" cmpd="sng">
                                  <a:solidFill>
                                    <a:srgbClr val="000000"/>
                                  </a:solidFill>
                                  <a:prstDash val="solid"/>
                                  <a:miter/>
                                  <a:headEnd type="none" w="med" len="med"/>
                                  <a:tailEnd type="none" w="med" len="med"/>
                                </a:ln>
                              </wps:spPr>
                              <wps:txbx>
                                <w:txbxContent>
                                  <w:p w14:paraId="63A33D53">
                                    <w:pPr>
                                      <w:jc w:val="center"/>
                                      <w:rPr>
                                        <w:rFonts w:hint="default" w:eastAsia="宋体"/>
                                        <w:lang w:val="en-US" w:eastAsia="zh-CN"/>
                                      </w:rPr>
                                    </w:pPr>
                                    <w:r>
                                      <w:rPr>
                                        <w:rFonts w:hint="eastAsia" w:eastAsia="宋体"/>
                                        <w:lang w:val="en-US" w:eastAsia="zh-CN"/>
                                      </w:rPr>
                                      <w:t>料仓</w:t>
                                    </w:r>
                                  </w:p>
                                </w:txbxContent>
                              </wps:txbx>
                              <wps:bodyPr vert="horz" wrap="square" anchor="t" anchorCtr="0" upright="1"/>
                            </wps:wsp>
                            <wps:wsp>
                              <wps:cNvPr id="84" name="文本框 70"/>
                              <wps:cNvSpPr txBox="1"/>
                              <wps:spPr>
                                <a:xfrm>
                                  <a:off x="3250" y="780030"/>
                                  <a:ext cx="1370" cy="640"/>
                                </a:xfrm>
                                <a:prstGeom prst="rect">
                                  <a:avLst/>
                                </a:prstGeom>
                                <a:noFill/>
                                <a:ln>
                                  <a:noFill/>
                                </a:ln>
                              </wps:spPr>
                              <wps:txbx>
                                <w:txbxContent>
                                  <w:p w14:paraId="58E5489C">
                                    <w:pPr>
                                      <w:jc w:val="center"/>
                                      <w:rPr>
                                        <w:rFonts w:hint="default" w:eastAsia="宋体"/>
                                        <w:lang w:val="en-US" w:eastAsia="zh-CN"/>
                                      </w:rPr>
                                    </w:pPr>
                                    <w:r>
                                      <w:rPr>
                                        <w:rFonts w:hint="eastAsia" w:eastAsia="宋体"/>
                                        <w:lang w:val="en-US" w:eastAsia="zh-CN"/>
                                      </w:rPr>
                                      <w:t>中</w:t>
                                    </w:r>
                                    <w:r>
                                      <w:rPr>
                                        <w:rFonts w:hint="eastAsia"/>
                                        <w:lang w:val="en-US" w:eastAsia="zh-CN"/>
                                      </w:rPr>
                                      <w:t>粗</w:t>
                                    </w:r>
                                    <w:r>
                                      <w:rPr>
                                        <w:rFonts w:hint="eastAsia" w:eastAsia="宋体"/>
                                        <w:lang w:val="en-US" w:eastAsia="zh-CN"/>
                                      </w:rPr>
                                      <w:t>颗粒</w:t>
                                    </w:r>
                                  </w:p>
                                </w:txbxContent>
                              </wps:txbx>
                              <wps:bodyPr vert="horz" wrap="square" anchor="t" anchorCtr="0" upright="1"/>
                            </wps:wsp>
                            <wps:wsp>
                              <wps:cNvPr id="54" name="直线 58"/>
                              <wps:cNvCnPr/>
                              <wps:spPr>
                                <a:xfrm flipV="1">
                                  <a:off x="8709" y="779333"/>
                                  <a:ext cx="402" cy="223"/>
                                </a:xfrm>
                                <a:prstGeom prst="line">
                                  <a:avLst/>
                                </a:prstGeom>
                                <a:ln w="9525" cap="flat" cmpd="sng">
                                  <a:solidFill>
                                    <a:srgbClr val="000000"/>
                                  </a:solidFill>
                                  <a:prstDash val="solid"/>
                                  <a:headEnd type="none" w="med" len="sm"/>
                                  <a:tailEnd type="triangle" w="sm" len="lg"/>
                                </a:ln>
                              </wps:spPr>
                              <wps:bodyPr upright="1"/>
                            </wps:wsp>
                            <wps:wsp>
                              <wps:cNvPr id="98" name="文本框 57"/>
                              <wps:cNvSpPr txBox="1"/>
                              <wps:spPr>
                                <a:xfrm>
                                  <a:off x="8270" y="779015"/>
                                  <a:ext cx="1120" cy="400"/>
                                </a:xfrm>
                                <a:prstGeom prst="rect">
                                  <a:avLst/>
                                </a:prstGeom>
                                <a:noFill/>
                                <a:ln>
                                  <a:noFill/>
                                </a:ln>
                              </wps:spPr>
                              <wps:txbx>
                                <w:txbxContent>
                                  <w:p w14:paraId="265CD32E">
                                    <w:pPr>
                                      <w:rPr>
                                        <w:rFonts w:hint="default" w:eastAsia="宋体"/>
                                        <w:lang w:val="en-US" w:eastAsia="zh-CN"/>
                                      </w:rPr>
                                    </w:pPr>
                                    <w:r>
                                      <w:rPr>
                                        <w:rFonts w:hint="eastAsia"/>
                                        <w:lang w:val="en-US" w:eastAsia="zh-CN"/>
                                      </w:rPr>
                                      <w:t>G、N、S</w:t>
                                    </w:r>
                                  </w:p>
                                </w:txbxContent>
                              </wps:txbx>
                              <wps:bodyPr vert="horz" wrap="square" anchor="t" anchorCtr="0" upright="1"/>
                            </wps:wsp>
                          </wpg:wgp>
                        </a:graphicData>
                      </a:graphic>
                    </wp:anchor>
                  </w:drawing>
                </mc:Choice>
                <mc:Fallback>
                  <w:pict>
                    <v:group id="_x0000_s1026" o:spid="_x0000_s1026" o:spt="203" style="position:absolute;left:0pt;margin-left:56.8pt;margin-top:3.05pt;height:96.35pt;width:322.65pt;z-index:251712512;mso-width-relative:page;mso-height-relative:page;" coordorigin="2937,779015" coordsize="6453,1927" o:gfxdata="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LjyVTtgAAAAJAQAADwAAAAAAAAAB&#10;ACAAAAAiAAAAZHJzL2Rvd25yZXYueG1sUEsBAhQAFAAAAAgAh07iQI42o2H1BAAAJSIAAA4AAAAA&#10;AAAAAQAgAAAAJwEAAGRycy9lMm9Eb2MueG1sUEsFBgAAAAAGAAYAWQEAAI4IAAAAAA==&#10;">
                      <o:lock v:ext="edit" aspectratio="f"/>
                      <v:line id="直线 108" o:spid="_x0000_s1026" o:spt="20" style="position:absolute;left:4183;top:779813;height:1;width:680;" filled="f" stroked="t" coordsize="21600,21600" o:gfxdata="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t30CvQAA&#10;ANsAAAAPAAAAAAAAAAEAIAAAACIAAABkcnMvZG93bnJldi54bWxQSwECFAAUAAAACACHTuJAMy8F&#10;njsAAAA5AAAAEAAAAAAAAAABACAAAAAMAQAAZHJzL3NoYXBleG1sLnhtbFBLBQYAAAAABgAGAFsB&#10;AAC2AwAAAAA=&#10;">
                        <v:fill on="f" focussize="0,0"/>
                        <v:stroke color="#000000" joinstyle="round" endarrow="block" endarrowlength="long"/>
                        <v:imagedata o:title=""/>
                        <o:lock v:ext="edit" aspectratio="f"/>
                      </v:line>
                      <v:shape id="文本框 109" o:spid="_x0000_s1026" o:spt="202" type="#_x0000_t202" style="position:absolute;left:4857;top:779584;height:450;width:1035;" filled="f" stroked="t" coordsize="21600,21600" o:gfxdata="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wpG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47020FB">
                              <w:pPr>
                                <w:jc w:val="center"/>
                                <w:rPr>
                                  <w:rFonts w:hint="default" w:eastAsia="宋体"/>
                                  <w:lang w:val="en-US" w:eastAsia="zh-CN"/>
                                </w:rPr>
                              </w:pPr>
                              <w:r>
                                <w:rPr>
                                  <w:rFonts w:hint="eastAsia" w:eastAsia="宋体"/>
                                  <w:lang w:val="en-US" w:eastAsia="zh-CN"/>
                                </w:rPr>
                                <w:t>磨粉机</w:t>
                              </w:r>
                            </w:p>
                          </w:txbxContent>
                        </v:textbox>
                      </v:shape>
                      <v:shape id="文本框 112" o:spid="_x0000_s1026" o:spt="202" type="#_x0000_t202" style="position:absolute;left:8502;top:779562;height:450;width:739;" filled="f" stroked="t" coordsize="21600,21600" o:gfxdata="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AIyB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0ADFE77B">
                              <w:pPr>
                                <w:jc w:val="center"/>
                                <w:rPr>
                                  <w:rFonts w:hint="default" w:eastAsia="宋体"/>
                                  <w:lang w:val="en-US" w:eastAsia="zh-CN"/>
                                </w:rPr>
                              </w:pPr>
                              <w:r>
                                <w:rPr>
                                  <w:rFonts w:hint="eastAsia" w:eastAsia="宋体"/>
                                  <w:lang w:val="en-US" w:eastAsia="zh-CN"/>
                                </w:rPr>
                                <w:t>料仓</w:t>
                              </w:r>
                            </w:p>
                          </w:txbxContent>
                        </v:textbox>
                      </v:shape>
                      <v:line id="直线 114" o:spid="_x0000_s1026" o:spt="20" style="position:absolute;left:5896;top:779822;height:1;width:706;" filled="f" stroked="t" coordsize="21600,21600" o:gfxdata="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ttKcugAAANsA&#10;AAAPAAAAAAAAAAEAIAAAACIAAABkcnMvZG93bnJldi54bWxQSwECFAAUAAAACACHTuJAMy8FnjsA&#10;AAA5AAAAEAAAAAAAAAABACAAAAAJAQAAZHJzL3NoYXBleG1sLnhtbFBLBQYAAAAABgAGAFsBAACz&#10;AwAAAAA=&#10;">
                        <v:fill on="f" focussize="0,0"/>
                        <v:stroke color="#000000" joinstyle="round" endarrow="block" endarrowlength="long"/>
                        <v:imagedata o:title=""/>
                        <o:lock v:ext="edit" aspectratio="f"/>
                      </v:line>
                      <v:shape id="文本框 115" o:spid="_x0000_s1026" o:spt="202" type="#_x0000_t202" style="position:absolute;left:6619;top:779589;height:450;width:1223;" filled="f" stroked="t" coordsize="21600,21600" o:gfxdata="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9a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9F2B286">
                              <w:pPr>
                                <w:jc w:val="center"/>
                                <w:rPr>
                                  <w:rFonts w:hint="default" w:eastAsia="宋体"/>
                                  <w:lang w:val="en-US" w:eastAsia="zh-CN"/>
                                </w:rPr>
                              </w:pPr>
                              <w:r>
                                <w:rPr>
                                  <w:rFonts w:hint="eastAsia" w:eastAsia="宋体"/>
                                  <w:lang w:val="en-US" w:eastAsia="zh-CN"/>
                                </w:rPr>
                                <w:t>旋风收料</w:t>
                              </w:r>
                            </w:p>
                          </w:txbxContent>
                        </v:textbox>
                      </v:shape>
                      <v:line id="直线 118" o:spid="_x0000_s1026" o:spt="20" style="position:absolute;left:7856;top:779796;flip:y;height:8;width:637;" filled="f" stroked="t" coordsize="21600,21600" o:gfxdata="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9e3y8AAAA&#10;2wAAAA8AAAAAAAAAAQAgAAAAIgAAAGRycy9kb3ducmV2LnhtbFBLAQIUABQAAAAIAIdO4kAzLwWe&#10;OwAAADkAAAAQAAAAAAAAAAEAIAAAAAsBAABkcnMvc2hhcGV4bWwueG1sUEsFBgAAAAAGAAYAWwEA&#10;ALUDAAAAAA==&#10;">
                        <v:fill on="f" focussize="0,0"/>
                        <v:stroke color="#000000" joinstyle="round" endarrow="block" endarrowlength="long"/>
                        <v:imagedata o:title=""/>
                        <o:lock v:ext="edit" aspectratio="f"/>
                      </v:line>
                      <v:line id="直线 58" o:spid="_x0000_s1026" o:spt="20" style="position:absolute;left:5274;top:779378;flip:y;height:223;width:402;" filled="f" stroked="t" coordsize="21600,21600" o:gfxdata="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xpoWvQAA&#10;ANsAAAAPAAAAAAAAAAEAIAAAACIAAABkcnMvZG93bnJldi54bWxQSwECFAAUAAAACACHTuJAMy8F&#10;njsAAAA5AAAAEAAAAAAAAAABACAAAAAMAQAAZHJzL3NoYXBleG1sLnhtbFBLBQYAAAAABgAGAFsB&#10;AAC2AwAAAAA=&#10;">
                        <v:fill on="f" focussize="0,0"/>
                        <v:stroke color="#000000" joinstyle="round" startarrowlength="short" endarrow="block" endarrowwidth="narrow" endarrowlength="long"/>
                        <v:imagedata o:title=""/>
                        <o:lock v:ext="edit" aspectratio="f"/>
                      </v:line>
                      <v:shape id="文本框 57" o:spid="_x0000_s1026" o:spt="202" type="#_x0000_t202" style="position:absolute;left:5450;top:779075;height:400;width:1120;"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3AB497A">
                              <w:pPr>
                                <w:rPr>
                                  <w:rFonts w:hint="default" w:eastAsia="宋体"/>
                                  <w:lang w:val="en-US" w:eastAsia="zh-CN"/>
                                </w:rPr>
                              </w:pPr>
                              <w:r>
                                <w:rPr>
                                  <w:rFonts w:hint="eastAsia"/>
                                  <w:lang w:val="en-US" w:eastAsia="zh-CN"/>
                                </w:rPr>
                                <w:t>G、N</w:t>
                              </w:r>
                            </w:p>
                          </w:txbxContent>
                        </v:textbox>
                      </v:shape>
                      <v:shape id="文本框 70" o:spid="_x0000_s1026" o:spt="202" type="#_x0000_t202" style="position:absolute;left:3745;top:779325;height:640;width:1370;" filled="f" stroked="f" coordsize="21600,21600" o:gfxdata="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na/y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4F26D66">
                              <w:pPr>
                                <w:jc w:val="center"/>
                                <w:rPr>
                                  <w:rFonts w:hint="default" w:eastAsia="宋体"/>
                                  <w:lang w:val="en-US" w:eastAsia="zh-CN"/>
                                </w:rPr>
                              </w:pPr>
                              <w:r>
                                <w:rPr>
                                  <w:rFonts w:hint="eastAsia" w:eastAsia="宋体"/>
                                  <w:lang w:val="en-US" w:eastAsia="zh-CN"/>
                                </w:rPr>
                                <w:t>中细颗粒</w:t>
                              </w:r>
                            </w:p>
                          </w:txbxContent>
                        </v:textbox>
                      </v:shape>
                      <v:shape id="文本框 109" o:spid="_x0000_s1026" o:spt="202" type="#_x0000_t202" style="position:absolute;left:2937;top:779539;height:450;width:1035;" filled="f" stroked="t" coordsize="21600,21600" o:gfxdata="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NHK7sAAADa&#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28008A19">
                              <w:pPr>
                                <w:jc w:val="center"/>
                                <w:rPr>
                                  <w:rFonts w:hint="default" w:eastAsia="宋体"/>
                                  <w:lang w:val="en-US" w:eastAsia="zh-CN"/>
                                </w:rPr>
                              </w:pPr>
                              <w:r>
                                <w:rPr>
                                  <w:rFonts w:hint="eastAsia"/>
                                  <w:lang w:val="en-US" w:eastAsia="zh-CN"/>
                                </w:rPr>
                                <w:t>筛分</w:t>
                              </w:r>
                              <w:r>
                                <w:rPr>
                                  <w:rFonts w:hint="eastAsia" w:eastAsia="宋体"/>
                                  <w:lang w:val="en-US" w:eastAsia="zh-CN"/>
                                </w:rPr>
                                <w:t>机</w:t>
                              </w:r>
                            </w:p>
                          </w:txbxContent>
                        </v:textbox>
                      </v:shape>
                      <v:line id="直线 108" o:spid="_x0000_s1026" o:spt="20" style="position:absolute;left:3450;top:779989;flip:x;height:483;width:5;" filled="f" stroked="t" coordsize="21600,21600" o:gfxdata="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6+mar4A&#10;AADbAAAADwAAAAAAAAABACAAAAAiAAAAZHJzL2Rvd25yZXYueG1sUEsBAhQAFAAAAAgAh07iQDMv&#10;BZ47AAAAOQAAABAAAAAAAAAAAQAgAAAADQEAAGRycy9zaGFwZXhtbC54bWxQSwUGAAAAAAYABgBb&#10;AQAAtwMAAAAA&#10;">
                        <v:fill on="f" focussize="0,0"/>
                        <v:stroke color="#000000" joinstyle="round" endarrow="block" endarrowlength="long"/>
                        <v:imagedata o:title=""/>
                        <o:lock v:ext="edit" aspectratio="f"/>
                      </v:line>
                      <v:shape id="文本框 112" o:spid="_x0000_s1026" o:spt="202" type="#_x0000_t202" style="position:absolute;left:3057;top:780492;height:450;width:739;" filled="f" stroked="t" coordsize="21600,21600" o:gfxdata="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umx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3A33D53">
                              <w:pPr>
                                <w:jc w:val="center"/>
                                <w:rPr>
                                  <w:rFonts w:hint="default" w:eastAsia="宋体"/>
                                  <w:lang w:val="en-US" w:eastAsia="zh-CN"/>
                                </w:rPr>
                              </w:pPr>
                              <w:r>
                                <w:rPr>
                                  <w:rFonts w:hint="eastAsia" w:eastAsia="宋体"/>
                                  <w:lang w:val="en-US" w:eastAsia="zh-CN"/>
                                </w:rPr>
                                <w:t>料仓</w:t>
                              </w:r>
                            </w:p>
                          </w:txbxContent>
                        </v:textbox>
                      </v:shape>
                      <v:shape id="文本框 70" o:spid="_x0000_s1026" o:spt="202" type="#_x0000_t202" style="position:absolute;left:3250;top:780030;height:640;width:1370;"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8E5489C">
                              <w:pPr>
                                <w:jc w:val="center"/>
                                <w:rPr>
                                  <w:rFonts w:hint="default" w:eastAsia="宋体"/>
                                  <w:lang w:val="en-US" w:eastAsia="zh-CN"/>
                                </w:rPr>
                              </w:pPr>
                              <w:r>
                                <w:rPr>
                                  <w:rFonts w:hint="eastAsia" w:eastAsia="宋体"/>
                                  <w:lang w:val="en-US" w:eastAsia="zh-CN"/>
                                </w:rPr>
                                <w:t>中</w:t>
                              </w:r>
                              <w:r>
                                <w:rPr>
                                  <w:rFonts w:hint="eastAsia"/>
                                  <w:lang w:val="en-US" w:eastAsia="zh-CN"/>
                                </w:rPr>
                                <w:t>粗</w:t>
                              </w:r>
                              <w:r>
                                <w:rPr>
                                  <w:rFonts w:hint="eastAsia" w:eastAsia="宋体"/>
                                  <w:lang w:val="en-US" w:eastAsia="zh-CN"/>
                                </w:rPr>
                                <w:t>颗粒</w:t>
                              </w:r>
                            </w:p>
                          </w:txbxContent>
                        </v:textbox>
                      </v:shape>
                      <v:line id="直线 58" o:spid="_x0000_s1026" o:spt="20" style="position:absolute;left:8709;top:779333;flip:y;height:223;width:402;" filled="f" stroked="t" coordsize="21600,21600" o:gfxdata="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Pd8zO/&#10;AAAA2wAAAA8AAAAAAAAAAQAgAAAAIgAAAGRycy9kb3ducmV2LnhtbFBLAQIUABQAAAAIAIdO4kAz&#10;LwWeOwAAADkAAAAQAAAAAAAAAAEAIAAAAA4BAABkcnMvc2hhcGV4bWwueG1sUEsFBgAAAAAGAAYA&#10;WwEAALgDAAAAAA==&#10;">
                        <v:fill on="f" focussize="0,0"/>
                        <v:stroke color="#000000" joinstyle="round" startarrowlength="short" endarrow="block" endarrowwidth="narrow" endarrowlength="long"/>
                        <v:imagedata o:title=""/>
                        <o:lock v:ext="edit" aspectratio="f"/>
                      </v:line>
                      <v:shape id="文本框 57" o:spid="_x0000_s1026" o:spt="202" type="#_x0000_t202" style="position:absolute;left:8270;top:779015;height:400;width:1120;" filled="f" stroked="f" coordsize="21600,21600" o:gfxdata="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BaJq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265CD32E">
                              <w:pPr>
                                <w:rPr>
                                  <w:rFonts w:hint="default" w:eastAsia="宋体"/>
                                  <w:lang w:val="en-US" w:eastAsia="zh-CN"/>
                                </w:rPr>
                              </w:pPr>
                              <w:r>
                                <w:rPr>
                                  <w:rFonts w:hint="eastAsia"/>
                                  <w:lang w:val="en-US" w:eastAsia="zh-CN"/>
                                </w:rPr>
                                <w:t>G、N、S</w:t>
                              </w:r>
                            </w:p>
                          </w:txbxContent>
                        </v:textbox>
                      </v:shape>
                    </v:group>
                  </w:pict>
                </mc:Fallback>
              </mc:AlternateContent>
            </w:r>
          </w:p>
          <w:p w14:paraId="7F13C763">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05BA90BA">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523911E8">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eastAsia" w:ascii="Times New Roman" w:hAnsi="Times New Roman" w:cs="Times New Roman"/>
                <w:b w:val="0"/>
                <w:bCs/>
                <w:color w:val="auto"/>
                <w:sz w:val="21"/>
                <w:szCs w:val="21"/>
                <w:highlight w:val="none"/>
                <w:lang w:val="en-US" w:eastAsia="zh-CN"/>
              </w:rPr>
            </w:pPr>
          </w:p>
          <w:p w14:paraId="1FA7429B">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eastAsia" w:ascii="Times New Roman" w:hAnsi="Times New Roman" w:cs="Times New Roman"/>
                <w:b w:val="0"/>
                <w:bCs/>
                <w:color w:val="auto"/>
                <w:sz w:val="21"/>
                <w:szCs w:val="21"/>
                <w:highlight w:val="none"/>
                <w:lang w:val="en-US" w:eastAsia="zh-CN"/>
              </w:rPr>
            </w:pPr>
          </w:p>
          <w:p w14:paraId="11CFCEA1">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注：G：废气    N：噪声  S：固废</w:t>
            </w:r>
          </w:p>
          <w:p w14:paraId="043893E7">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rPr>
              <w:t>图2-</w:t>
            </w:r>
            <w:r>
              <w:rPr>
                <w:rFonts w:hint="eastAsia" w:ascii="Times New Roman" w:hAnsi="Times New Roman" w:cs="Times New Roman"/>
                <w:b/>
                <w:bCs w:val="0"/>
                <w:color w:val="auto"/>
                <w:sz w:val="24"/>
                <w:highlight w:val="none"/>
                <w:lang w:val="en-US" w:eastAsia="zh-CN"/>
              </w:rPr>
              <w:t>2</w:t>
            </w:r>
            <w:r>
              <w:rPr>
                <w:rFonts w:hint="default" w:ascii="Times New Roman" w:hAnsi="Times New Roman" w:cs="Times New Roman"/>
                <w:b/>
                <w:bCs w:val="0"/>
                <w:color w:val="auto"/>
                <w:sz w:val="24"/>
                <w:highlight w:val="none"/>
              </w:rPr>
              <w:t xml:space="preserve">  </w:t>
            </w:r>
            <w:r>
              <w:rPr>
                <w:rFonts w:hint="eastAsia" w:ascii="Times New Roman" w:hAnsi="Times New Roman" w:cs="Times New Roman"/>
                <w:b/>
                <w:bCs w:val="0"/>
                <w:color w:val="auto"/>
                <w:sz w:val="24"/>
                <w:highlight w:val="none"/>
                <w:lang w:val="en-US" w:eastAsia="zh-CN"/>
              </w:rPr>
              <w:t>磨粉</w:t>
            </w:r>
            <w:r>
              <w:rPr>
                <w:rFonts w:hint="default" w:ascii="Times New Roman" w:hAnsi="Times New Roman" w:cs="Times New Roman"/>
                <w:b/>
                <w:bCs w:val="0"/>
                <w:color w:val="auto"/>
                <w:sz w:val="24"/>
                <w:highlight w:val="none"/>
              </w:rPr>
              <w:t>工艺流程图</w:t>
            </w:r>
            <w:r>
              <w:rPr>
                <w:rFonts w:hint="default" w:ascii="Times New Roman" w:hAnsi="Times New Roman" w:cs="Times New Roman"/>
                <w:b/>
                <w:bCs w:val="0"/>
                <w:color w:val="auto"/>
                <w:sz w:val="24"/>
                <w:highlight w:val="none"/>
                <w:lang w:val="en-US" w:eastAsia="zh-CN"/>
              </w:rPr>
              <w:t>及排污节点</w:t>
            </w:r>
          </w:p>
          <w:p w14:paraId="56BC59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本项目磨粉机采用雷蒙磨，其工作原理如下：</w:t>
            </w:r>
          </w:p>
          <w:p w14:paraId="10F9D4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本项目雷蒙磨采用内部闭路循环粉磨工艺。</w:t>
            </w:r>
            <w:r>
              <w:rPr>
                <w:rFonts w:hint="default" w:ascii="Times New Roman" w:hAnsi="Times New Roman" w:eastAsia="宋体" w:cs="Times New Roman"/>
                <w:b w:val="0"/>
                <w:bCs w:val="0"/>
                <w:color w:val="auto"/>
                <w:sz w:val="24"/>
                <w:szCs w:val="24"/>
              </w:rPr>
              <w:t>上道筛分设备对来料进行粒度分级，筛上</w:t>
            </w:r>
            <w:r>
              <w:rPr>
                <w:rStyle w:val="39"/>
                <w:rFonts w:hint="default" w:ascii="Times New Roman" w:hAnsi="Times New Roman" w:eastAsia="宋体" w:cs="Times New Roman"/>
                <w:b w:val="0"/>
                <w:bCs w:val="0"/>
                <w:color w:val="auto"/>
                <w:sz w:val="24"/>
                <w:szCs w:val="24"/>
              </w:rPr>
              <w:t>粒径＞6mm 的中粗颗粒物料（水分≤0.1%）</w:t>
            </w:r>
            <w:r>
              <w:rPr>
                <w:rFonts w:hint="default" w:ascii="Times New Roman" w:hAnsi="Times New Roman" w:eastAsia="宋体" w:cs="Times New Roman"/>
                <w:b w:val="0"/>
                <w:bCs w:val="0"/>
                <w:color w:val="auto"/>
                <w:sz w:val="24"/>
                <w:szCs w:val="24"/>
              </w:rPr>
              <w:t>直接输送至料仓暂存，作为后续混捏工序的配比组分；筛下</w:t>
            </w:r>
            <w:r>
              <w:rPr>
                <w:rStyle w:val="39"/>
                <w:rFonts w:hint="default" w:ascii="Times New Roman" w:hAnsi="Times New Roman" w:eastAsia="宋体" w:cs="Times New Roman"/>
                <w:b w:val="0"/>
                <w:bCs w:val="0"/>
                <w:color w:val="auto"/>
                <w:sz w:val="24"/>
                <w:szCs w:val="24"/>
              </w:rPr>
              <w:t>1</w:t>
            </w:r>
            <w:r>
              <w:rPr>
                <w:rStyle w:val="39"/>
                <w:rFonts w:hint="default" w:ascii="Times New Roman" w:hAnsi="Times New Roman" w:eastAsia="宋体" w:cs="Times New Roman"/>
                <w:b w:val="0"/>
                <w:bCs w:val="0"/>
                <w:color w:val="auto"/>
                <w:sz w:val="24"/>
                <w:szCs w:val="24"/>
              </w:rPr>
              <w:noBreakHyphen/>
            </w:r>
            <w:r>
              <w:rPr>
                <w:rStyle w:val="39"/>
                <w:rFonts w:hint="default" w:ascii="Times New Roman" w:hAnsi="Times New Roman" w:eastAsia="宋体" w:cs="Times New Roman"/>
                <w:b w:val="0"/>
                <w:bCs w:val="0"/>
                <w:color w:val="auto"/>
                <w:sz w:val="24"/>
                <w:szCs w:val="24"/>
              </w:rPr>
              <w:t>6mm 中细颗粒物料（水分≤0.1%）</w:t>
            </w:r>
            <w:r>
              <w:rPr>
                <w:rFonts w:ascii="宋体" w:hAnsi="宋体" w:eastAsia="宋体" w:cs="宋体"/>
                <w:color w:val="auto"/>
                <w:sz w:val="24"/>
                <w:szCs w:val="24"/>
              </w:rPr>
              <w:t>进入磨粉机进行碾压粉碎；</w:t>
            </w:r>
            <w:r>
              <w:rPr>
                <w:rStyle w:val="39"/>
                <w:rFonts w:hint="default" w:ascii="Times New Roman" w:hAnsi="Times New Roman" w:eastAsia="宋体" w:cs="Times New Roman"/>
                <w:b w:val="0"/>
                <w:bCs/>
                <w:color w:val="auto"/>
                <w:kern w:val="0"/>
                <w:sz w:val="24"/>
                <w:szCs w:val="24"/>
                <w:lang w:val="en-US" w:eastAsia="zh-CN" w:bidi="ar"/>
              </w:rPr>
              <w:t>原料经给料装置从入料口送入磨腔，物料在磨辊与磨环之间挤压、碾压粉碎；磨机配套循环风机提供动力，气流在磨腔、分级机、旋风分离器之间形成主体闭路循环。粗颗粒物料被分级机截留回落磨盘，循环研磨；合格细粉随循环风进入旋风分离器实现气固分离。旋风分离器收集绝大部分合格粉料，粉料可经气力输送系统或密闭螺旋输送机输送至成品料仓；磨机大部分气流经旋风上部回风管返回循环风机，回到磨粉系统继续循环。</w:t>
            </w:r>
            <w:r>
              <w:rPr>
                <w:rFonts w:ascii="宋体" w:hAnsi="宋体" w:eastAsia="宋体" w:cs="宋体"/>
                <w:color w:val="auto"/>
                <w:sz w:val="24"/>
                <w:szCs w:val="24"/>
              </w:rPr>
              <w:t>整套磨粉系统维持负压运行，减少粉尘无组织逸散。</w:t>
            </w:r>
          </w:p>
          <w:p w14:paraId="35142F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粉磨过程物料受热水分蒸发、设备缝隙渗入外界空气，会造成循环环路内气量增加、压力升高，因此在磨机入料部位设置旁路泄压支管（旁路废气），将环路多余余气引出汇入成品料仓；旋风底部同时分出少量分流气流，随同粉料经气力输送进入成品料仓。成品料仓仓顶设置覆膜</w:t>
            </w:r>
            <w:r>
              <w:rPr>
                <w:rStyle w:val="39"/>
                <w:rFonts w:hint="eastAsia" w:cs="Times New Roman"/>
                <w:b w:val="0"/>
                <w:bCs/>
                <w:color w:val="auto"/>
                <w:kern w:val="0"/>
                <w:sz w:val="24"/>
                <w:szCs w:val="24"/>
                <w:lang w:val="en-US" w:eastAsia="zh-CN" w:bidi="ar"/>
              </w:rPr>
              <w:t>滤料</w:t>
            </w:r>
            <w:r>
              <w:rPr>
                <w:rStyle w:val="39"/>
                <w:rFonts w:hint="default" w:ascii="Times New Roman" w:hAnsi="Times New Roman" w:eastAsia="宋体" w:cs="Times New Roman"/>
                <w:b w:val="0"/>
                <w:bCs/>
                <w:color w:val="auto"/>
                <w:kern w:val="0"/>
                <w:sz w:val="24"/>
                <w:szCs w:val="24"/>
                <w:lang w:val="en-US" w:eastAsia="zh-CN" w:bidi="ar"/>
              </w:rPr>
              <w:t>布袋除尘器，配套引风机，统一收集旁路泄压废气、气力输送带入废气以及料仓呼吸泄压废气，净化后废气经30m高排气筒排放。</w:t>
            </w:r>
          </w:p>
          <w:p w14:paraId="5F4910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物料去向：物料在磨腔完成粉碎，粗颗粒随内部循环风返回磨盘循环研磨；合格细粉进入旋风分离器沉降分离；旋风底部粉料经气力输送或螺旋输送机送入成品料仓，供后续混捏工序使用。</w:t>
            </w:r>
          </w:p>
          <w:p w14:paraId="24EFF0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气流去向：循环风机提供磨粉系统动力风，大部分气流在磨粉机</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分级机</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旋风分离器系统内部闭路循环，不向外排出；循环环路多余气体由磨机入料旁路支管引出泄压；旋风底部分出少量气流随气力输送进入成品料仓；仓顶布袋除尘器引风机</w:t>
            </w:r>
            <w:r>
              <w:rPr>
                <w:rStyle w:val="39"/>
                <w:rFonts w:hint="eastAsia" w:cs="Times New Roman"/>
                <w:b w:val="0"/>
                <w:bCs/>
                <w:color w:val="auto"/>
                <w:kern w:val="0"/>
                <w:sz w:val="24"/>
                <w:szCs w:val="24"/>
                <w:lang w:val="en-US" w:eastAsia="zh-CN" w:bidi="ar"/>
              </w:rPr>
              <w:t>（风量20000m</w:t>
            </w:r>
            <w:r>
              <w:rPr>
                <w:rStyle w:val="39"/>
                <w:rFonts w:hint="eastAsia" w:cs="Times New Roman"/>
                <w:b w:val="0"/>
                <w:bCs/>
                <w:color w:val="auto"/>
                <w:kern w:val="0"/>
                <w:sz w:val="24"/>
                <w:szCs w:val="24"/>
                <w:vertAlign w:val="superscript"/>
                <w:lang w:val="en-US" w:eastAsia="zh-CN" w:bidi="ar"/>
              </w:rPr>
              <w:t>3</w:t>
            </w:r>
            <w:r>
              <w:rPr>
                <w:rStyle w:val="39"/>
                <w:rFonts w:hint="eastAsia" w:cs="Times New Roman"/>
                <w:b w:val="0"/>
                <w:bCs/>
                <w:color w:val="auto"/>
                <w:kern w:val="0"/>
                <w:sz w:val="24"/>
                <w:szCs w:val="24"/>
                <w:lang w:val="en-US" w:eastAsia="zh-CN" w:bidi="ar"/>
              </w:rPr>
              <w:t>/h）</w:t>
            </w:r>
            <w:r>
              <w:rPr>
                <w:rStyle w:val="39"/>
                <w:rFonts w:hint="default" w:ascii="Times New Roman" w:hAnsi="Times New Roman" w:eastAsia="宋体" w:cs="Times New Roman"/>
                <w:b w:val="0"/>
                <w:bCs/>
                <w:color w:val="auto"/>
                <w:kern w:val="0"/>
                <w:sz w:val="24"/>
                <w:szCs w:val="24"/>
                <w:lang w:val="en-US" w:eastAsia="zh-CN" w:bidi="ar"/>
              </w:rPr>
              <w:t>，汇集旁路废气、气力输送分流废气，同时抽吸料仓缝隙环境补风，混合气流过滤后由排气筒排放。</w:t>
            </w:r>
          </w:p>
          <w:p w14:paraId="3FCCEEC9">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val="0"/>
                <w:bCs w:val="0"/>
                <w:color w:val="auto"/>
                <w:sz w:val="24"/>
                <w:szCs w:val="24"/>
                <w:lang w:val="en-US" w:eastAsia="zh-CN"/>
              </w:rPr>
            </w:pPr>
            <w:r>
              <w:rPr>
                <w:rStyle w:val="39"/>
                <w:rFonts w:hint="default" w:ascii="Times New Roman" w:hAnsi="Times New Roman" w:eastAsia="宋体" w:cs="Times New Roman"/>
                <w:b w:val="0"/>
                <w:bCs/>
                <w:color w:val="auto"/>
                <w:kern w:val="0"/>
                <w:sz w:val="24"/>
                <w:szCs w:val="24"/>
                <w:lang w:val="en-US" w:eastAsia="zh-CN" w:bidi="ar"/>
              </w:rPr>
              <w:t>废气去向：磨粉系统有组织废气来源分为两部分：一是磨机入料处旁路泄压支管引出的旁路废气；二是旋风下料气力输送带入料仓的含尘分流废气；两路废气连同料仓进料呼吸置换废气全部由仓顶</w:t>
            </w:r>
            <w:r>
              <w:rPr>
                <w:rStyle w:val="39"/>
                <w:rFonts w:hint="eastAsia" w:cs="Times New Roman"/>
                <w:b w:val="0"/>
                <w:bCs/>
                <w:color w:val="auto"/>
                <w:kern w:val="0"/>
                <w:sz w:val="24"/>
                <w:szCs w:val="24"/>
                <w:lang w:val="en-US" w:eastAsia="zh-CN" w:bidi="ar"/>
              </w:rPr>
              <w:t>覆膜滤料</w:t>
            </w:r>
            <w:r>
              <w:rPr>
                <w:rStyle w:val="39"/>
                <w:rFonts w:hint="default" w:ascii="Times New Roman" w:hAnsi="Times New Roman" w:eastAsia="宋体" w:cs="Times New Roman"/>
                <w:b w:val="0"/>
                <w:bCs/>
                <w:color w:val="auto"/>
                <w:kern w:val="0"/>
                <w:sz w:val="24"/>
                <w:szCs w:val="24"/>
                <w:lang w:val="en-US" w:eastAsia="zh-CN" w:bidi="ar"/>
              </w:rPr>
              <w:t>布袋除尘器收集净化；捕集粉尘回落料仓回用，净化后废气经30m排气筒外排。</w:t>
            </w:r>
          </w:p>
          <w:p w14:paraId="52EA02BE">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排污节点及处理措施汇总见表2-</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bCs/>
                <w:color w:val="auto"/>
                <w:sz w:val="24"/>
                <w:highlight w:val="none"/>
              </w:rPr>
              <w:t>。</w:t>
            </w:r>
          </w:p>
          <w:p w14:paraId="202E1ED6">
            <w:pPr>
              <w:keepNext w:val="0"/>
              <w:keepLines w:val="0"/>
              <w:pageBreakBefore w:val="0"/>
              <w:shd w:val="clear" w:color="auto" w:fill="auto"/>
              <w:kinsoku/>
              <w:wordWrap/>
              <w:overflowPunct/>
              <w:topLinePunct w:val="0"/>
              <w:autoSpaceDE/>
              <w:autoSpaceDN/>
              <w:bidi w:val="0"/>
              <w:adjustRightInd w:val="0"/>
              <w:snapToGrid w:val="0"/>
              <w:spacing w:line="420" w:lineRule="exact"/>
              <w:jc w:val="center"/>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w:t>
            </w:r>
            <w:r>
              <w:rPr>
                <w:rFonts w:hint="eastAsia" w:ascii="Times New Roman" w:hAnsi="Times New Roman" w:cs="Times New Roman"/>
                <w:b/>
                <w:color w:val="auto"/>
                <w:sz w:val="24"/>
                <w:highlight w:val="none"/>
                <w:lang w:val="en-US" w:eastAsia="zh-CN"/>
              </w:rPr>
              <w:t>5</w:t>
            </w:r>
            <w:r>
              <w:rPr>
                <w:rFonts w:hint="default" w:ascii="Times New Roman" w:hAnsi="Times New Roman" w:cs="Times New Roman"/>
                <w:b/>
                <w:color w:val="auto"/>
                <w:sz w:val="24"/>
                <w:highlight w:val="none"/>
              </w:rPr>
              <w:t xml:space="preserve">  项目产排污节点及处理措施一览表</w:t>
            </w:r>
          </w:p>
          <w:tbl>
            <w:tblPr>
              <w:tblStyle w:val="36"/>
              <w:tblW w:w="8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354"/>
              <w:gridCol w:w="2008"/>
              <w:gridCol w:w="996"/>
              <w:gridCol w:w="936"/>
              <w:gridCol w:w="3521"/>
            </w:tblGrid>
            <w:tr w14:paraId="629E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563" w:type="dxa"/>
                  <w:noWrap w:val="0"/>
                  <w:tcMar>
                    <w:top w:w="0" w:type="dxa"/>
                    <w:left w:w="28" w:type="dxa"/>
                    <w:bottom w:w="0" w:type="dxa"/>
                    <w:right w:w="28" w:type="dxa"/>
                  </w:tcMar>
                  <w:vAlign w:val="center"/>
                </w:tcPr>
                <w:p w14:paraId="03F8814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类别</w:t>
                  </w:r>
                </w:p>
              </w:tc>
              <w:tc>
                <w:tcPr>
                  <w:tcW w:w="2362" w:type="dxa"/>
                  <w:gridSpan w:val="2"/>
                  <w:noWrap w:val="0"/>
                  <w:tcMar>
                    <w:top w:w="0" w:type="dxa"/>
                    <w:left w:w="28" w:type="dxa"/>
                    <w:bottom w:w="0" w:type="dxa"/>
                    <w:right w:w="28" w:type="dxa"/>
                  </w:tcMar>
                  <w:vAlign w:val="center"/>
                </w:tcPr>
                <w:p w14:paraId="25A3FCA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产生工序</w:t>
                  </w:r>
                </w:p>
              </w:tc>
              <w:tc>
                <w:tcPr>
                  <w:tcW w:w="996" w:type="dxa"/>
                  <w:noWrap w:val="0"/>
                  <w:tcMar>
                    <w:top w:w="0" w:type="dxa"/>
                    <w:left w:w="28" w:type="dxa"/>
                    <w:bottom w:w="0" w:type="dxa"/>
                    <w:right w:w="28" w:type="dxa"/>
                  </w:tcMar>
                  <w:vAlign w:val="center"/>
                </w:tcPr>
                <w:p w14:paraId="7DAF2C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污染因子</w:t>
                  </w:r>
                </w:p>
              </w:tc>
              <w:tc>
                <w:tcPr>
                  <w:tcW w:w="936" w:type="dxa"/>
                  <w:noWrap w:val="0"/>
                  <w:tcMar>
                    <w:top w:w="0" w:type="dxa"/>
                    <w:left w:w="28" w:type="dxa"/>
                    <w:bottom w:w="0" w:type="dxa"/>
                    <w:right w:w="28" w:type="dxa"/>
                  </w:tcMar>
                  <w:vAlign w:val="center"/>
                </w:tcPr>
                <w:p w14:paraId="03F2E7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产生特点</w:t>
                  </w:r>
                </w:p>
              </w:tc>
              <w:tc>
                <w:tcPr>
                  <w:tcW w:w="3521" w:type="dxa"/>
                  <w:noWrap w:val="0"/>
                  <w:tcMar>
                    <w:top w:w="0" w:type="dxa"/>
                    <w:left w:w="28" w:type="dxa"/>
                    <w:bottom w:w="0" w:type="dxa"/>
                    <w:right w:w="28" w:type="dxa"/>
                  </w:tcMar>
                  <w:vAlign w:val="center"/>
                </w:tcPr>
                <w:p w14:paraId="621B978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治理措施</w:t>
                  </w:r>
                </w:p>
              </w:tc>
            </w:tr>
            <w:tr w14:paraId="3A96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restart"/>
                  <w:noWrap w:val="0"/>
                  <w:tcMar>
                    <w:top w:w="0" w:type="dxa"/>
                    <w:left w:w="28" w:type="dxa"/>
                    <w:bottom w:w="0" w:type="dxa"/>
                    <w:right w:w="28" w:type="dxa"/>
                  </w:tcMar>
                  <w:vAlign w:val="center"/>
                </w:tcPr>
                <w:p w14:paraId="60006F3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废气</w:t>
                  </w:r>
                </w:p>
              </w:tc>
              <w:tc>
                <w:tcPr>
                  <w:tcW w:w="354" w:type="dxa"/>
                  <w:vMerge w:val="restart"/>
                  <w:noWrap w:val="0"/>
                  <w:tcMar>
                    <w:top w:w="0" w:type="dxa"/>
                    <w:left w:w="28" w:type="dxa"/>
                    <w:bottom w:w="0" w:type="dxa"/>
                    <w:right w:w="28" w:type="dxa"/>
                  </w:tcMar>
                  <w:vAlign w:val="center"/>
                </w:tcPr>
                <w:p w14:paraId="64BB00E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G</w:t>
                  </w:r>
                </w:p>
              </w:tc>
              <w:tc>
                <w:tcPr>
                  <w:tcW w:w="2008" w:type="dxa"/>
                  <w:noWrap w:val="0"/>
                  <w:tcMar>
                    <w:top w:w="0" w:type="dxa"/>
                    <w:left w:w="28" w:type="dxa"/>
                    <w:bottom w:w="0" w:type="dxa"/>
                    <w:right w:w="28" w:type="dxa"/>
                  </w:tcMar>
                  <w:vAlign w:val="center"/>
                </w:tcPr>
                <w:p w14:paraId="717297B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东线磨粉</w:t>
                  </w:r>
                </w:p>
              </w:tc>
              <w:tc>
                <w:tcPr>
                  <w:tcW w:w="996" w:type="dxa"/>
                  <w:noWrap w:val="0"/>
                  <w:tcMar>
                    <w:top w:w="0" w:type="dxa"/>
                    <w:left w:w="28" w:type="dxa"/>
                    <w:bottom w:w="0" w:type="dxa"/>
                    <w:right w:w="28" w:type="dxa"/>
                  </w:tcMar>
                  <w:vAlign w:val="center"/>
                </w:tcPr>
                <w:p w14:paraId="1A0914B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1996B84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连续</w:t>
                  </w:r>
                </w:p>
              </w:tc>
              <w:tc>
                <w:tcPr>
                  <w:tcW w:w="3521" w:type="dxa"/>
                  <w:noWrap w:val="0"/>
                  <w:tcMar>
                    <w:top w:w="0" w:type="dxa"/>
                    <w:left w:w="28" w:type="dxa"/>
                    <w:bottom w:w="0" w:type="dxa"/>
                    <w:right w:w="28" w:type="dxa"/>
                  </w:tcMar>
                  <w:vAlign w:val="center"/>
                </w:tcPr>
                <w:p w14:paraId="286D9EC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覆膜滤料布袋除尘器+</w:t>
                  </w:r>
                  <w:r>
                    <w:rPr>
                      <w:rFonts w:hint="eastAsia" w:ascii="Times New Roman" w:hAnsi="Times New Roman" w:cs="Times New Roman"/>
                      <w:color w:val="auto"/>
                      <w:szCs w:val="21"/>
                      <w:highlight w:val="none"/>
                      <w:lang w:val="en-US" w:eastAsia="zh-CN"/>
                    </w:rPr>
                    <w:t>30m排气筒DA0</w:t>
                  </w:r>
                  <w:r>
                    <w:rPr>
                      <w:rFonts w:hint="eastAsia" w:cs="Times New Roman"/>
                      <w:color w:val="auto"/>
                      <w:szCs w:val="21"/>
                      <w:highlight w:val="none"/>
                      <w:lang w:val="en-US" w:eastAsia="zh-CN"/>
                    </w:rPr>
                    <w:t>48</w:t>
                  </w:r>
                  <w:r>
                    <w:rPr>
                      <w:rFonts w:hint="eastAsia" w:ascii="Times New Roman" w:hAnsi="Times New Roman" w:cs="Times New Roman"/>
                      <w:color w:val="auto"/>
                      <w:szCs w:val="21"/>
                      <w:highlight w:val="none"/>
                      <w:lang w:val="en-US" w:eastAsia="zh-CN"/>
                    </w:rPr>
                    <w:t>（利旧）</w:t>
                  </w:r>
                </w:p>
              </w:tc>
            </w:tr>
            <w:tr w14:paraId="4BAF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01BA40C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354" w:type="dxa"/>
                  <w:vMerge w:val="continue"/>
                  <w:noWrap w:val="0"/>
                  <w:tcMar>
                    <w:top w:w="0" w:type="dxa"/>
                    <w:left w:w="28" w:type="dxa"/>
                    <w:bottom w:w="0" w:type="dxa"/>
                    <w:right w:w="28" w:type="dxa"/>
                  </w:tcMar>
                  <w:vAlign w:val="center"/>
                </w:tcPr>
                <w:p w14:paraId="4D73025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2008" w:type="dxa"/>
                  <w:noWrap w:val="0"/>
                  <w:tcMar>
                    <w:top w:w="0" w:type="dxa"/>
                    <w:left w:w="28" w:type="dxa"/>
                    <w:bottom w:w="0" w:type="dxa"/>
                    <w:right w:w="28" w:type="dxa"/>
                  </w:tcMar>
                  <w:vAlign w:val="center"/>
                </w:tcPr>
                <w:p w14:paraId="37B5073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西线磨粉</w:t>
                  </w:r>
                </w:p>
              </w:tc>
              <w:tc>
                <w:tcPr>
                  <w:tcW w:w="996" w:type="dxa"/>
                  <w:noWrap w:val="0"/>
                  <w:tcMar>
                    <w:top w:w="0" w:type="dxa"/>
                    <w:left w:w="28" w:type="dxa"/>
                    <w:bottom w:w="0" w:type="dxa"/>
                    <w:right w:w="28" w:type="dxa"/>
                  </w:tcMar>
                  <w:vAlign w:val="center"/>
                </w:tcPr>
                <w:p w14:paraId="6CF795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6F55F85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连续</w:t>
                  </w:r>
                </w:p>
              </w:tc>
              <w:tc>
                <w:tcPr>
                  <w:tcW w:w="3521" w:type="dxa"/>
                  <w:noWrap w:val="0"/>
                  <w:tcMar>
                    <w:top w:w="0" w:type="dxa"/>
                    <w:left w:w="28" w:type="dxa"/>
                    <w:bottom w:w="0" w:type="dxa"/>
                    <w:right w:w="28" w:type="dxa"/>
                  </w:tcMar>
                  <w:vAlign w:val="center"/>
                </w:tcPr>
                <w:p w14:paraId="1B245A0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覆膜滤料布袋除尘器+</w:t>
                  </w:r>
                  <w:r>
                    <w:rPr>
                      <w:rFonts w:hint="eastAsia" w:ascii="Times New Roman" w:hAnsi="Times New Roman" w:cs="Times New Roman"/>
                      <w:color w:val="auto"/>
                      <w:szCs w:val="21"/>
                      <w:highlight w:val="none"/>
                      <w:lang w:val="en-US" w:eastAsia="zh-CN"/>
                    </w:rPr>
                    <w:t>30m排气筒DA0</w:t>
                  </w:r>
                  <w:r>
                    <w:rPr>
                      <w:rFonts w:hint="eastAsia" w:cs="Times New Roman"/>
                      <w:color w:val="auto"/>
                      <w:szCs w:val="21"/>
                      <w:highlight w:val="none"/>
                      <w:lang w:val="en-US" w:eastAsia="zh-CN"/>
                    </w:rPr>
                    <w:t>54</w:t>
                  </w:r>
                  <w:r>
                    <w:rPr>
                      <w:rFonts w:hint="eastAsia" w:ascii="Times New Roman" w:hAnsi="Times New Roman" w:cs="Times New Roman"/>
                      <w:color w:val="auto"/>
                      <w:szCs w:val="21"/>
                      <w:highlight w:val="none"/>
                      <w:lang w:val="en-US" w:eastAsia="zh-CN"/>
                    </w:rPr>
                    <w:t>（利旧）</w:t>
                  </w:r>
                </w:p>
              </w:tc>
            </w:tr>
            <w:tr w14:paraId="5437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3" w:type="dxa"/>
                  <w:vMerge w:val="continue"/>
                  <w:noWrap w:val="0"/>
                  <w:tcMar>
                    <w:top w:w="0" w:type="dxa"/>
                    <w:left w:w="28" w:type="dxa"/>
                    <w:bottom w:w="0" w:type="dxa"/>
                    <w:right w:w="28" w:type="dxa"/>
                  </w:tcMar>
                  <w:vAlign w:val="center"/>
                </w:tcPr>
                <w:p w14:paraId="3DB01A9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354" w:type="dxa"/>
                  <w:vMerge w:val="continue"/>
                  <w:noWrap w:val="0"/>
                  <w:tcMar>
                    <w:top w:w="0" w:type="dxa"/>
                    <w:left w:w="28" w:type="dxa"/>
                    <w:bottom w:w="0" w:type="dxa"/>
                    <w:right w:w="28" w:type="dxa"/>
                  </w:tcMar>
                  <w:vAlign w:val="center"/>
                </w:tcPr>
                <w:p w14:paraId="6E6C524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2008" w:type="dxa"/>
                  <w:noWrap w:val="0"/>
                  <w:tcMar>
                    <w:top w:w="0" w:type="dxa"/>
                    <w:left w:w="28" w:type="dxa"/>
                    <w:bottom w:w="0" w:type="dxa"/>
                    <w:right w:w="28" w:type="dxa"/>
                  </w:tcMar>
                  <w:vAlign w:val="center"/>
                </w:tcPr>
                <w:p w14:paraId="26AB02C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lang w:val="en-US" w:eastAsia="zh-CN"/>
                    </w:rPr>
                    <w:t>无组织废气</w:t>
                  </w:r>
                </w:p>
              </w:tc>
              <w:tc>
                <w:tcPr>
                  <w:tcW w:w="996" w:type="dxa"/>
                  <w:noWrap w:val="0"/>
                  <w:tcMar>
                    <w:top w:w="0" w:type="dxa"/>
                    <w:left w:w="28" w:type="dxa"/>
                    <w:bottom w:w="0" w:type="dxa"/>
                    <w:right w:w="28" w:type="dxa"/>
                  </w:tcMar>
                  <w:vAlign w:val="center"/>
                </w:tcPr>
                <w:p w14:paraId="48AC0FE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586AAC7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6E39194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kern w:val="2"/>
                      <w:sz w:val="21"/>
                      <w:szCs w:val="21"/>
                      <w:highlight w:val="none"/>
                      <w:lang w:val="en-US" w:eastAsia="zh-CN" w:bidi="ar-SA"/>
                    </w:rPr>
                    <w:t>及时清扫扬尘</w:t>
                  </w:r>
                </w:p>
              </w:tc>
            </w:tr>
            <w:tr w14:paraId="2FF0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noWrap w:val="0"/>
                  <w:tcMar>
                    <w:top w:w="0" w:type="dxa"/>
                    <w:left w:w="28" w:type="dxa"/>
                    <w:bottom w:w="0" w:type="dxa"/>
                    <w:right w:w="28" w:type="dxa"/>
                  </w:tcMar>
                  <w:vAlign w:val="center"/>
                </w:tcPr>
                <w:p w14:paraId="48735EF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54" w:type="dxa"/>
                  <w:noWrap w:val="0"/>
                  <w:tcMar>
                    <w:top w:w="0" w:type="dxa"/>
                    <w:left w:w="28" w:type="dxa"/>
                    <w:bottom w:w="0" w:type="dxa"/>
                    <w:right w:w="28" w:type="dxa"/>
                  </w:tcMar>
                  <w:vAlign w:val="center"/>
                </w:tcPr>
                <w:p w14:paraId="2930AA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N</w:t>
                  </w:r>
                </w:p>
              </w:tc>
              <w:tc>
                <w:tcPr>
                  <w:tcW w:w="2008" w:type="dxa"/>
                  <w:noWrap w:val="0"/>
                  <w:tcMar>
                    <w:top w:w="0" w:type="dxa"/>
                    <w:left w:w="28" w:type="dxa"/>
                    <w:bottom w:w="0" w:type="dxa"/>
                    <w:right w:w="28" w:type="dxa"/>
                  </w:tcMar>
                  <w:vAlign w:val="center"/>
                </w:tcPr>
                <w:p w14:paraId="6262C31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生产设备</w:t>
                  </w:r>
                </w:p>
              </w:tc>
              <w:tc>
                <w:tcPr>
                  <w:tcW w:w="996" w:type="dxa"/>
                  <w:noWrap w:val="0"/>
                  <w:tcMar>
                    <w:top w:w="0" w:type="dxa"/>
                    <w:left w:w="28" w:type="dxa"/>
                    <w:bottom w:w="0" w:type="dxa"/>
                    <w:right w:w="28" w:type="dxa"/>
                  </w:tcMar>
                  <w:vAlign w:val="center"/>
                </w:tcPr>
                <w:p w14:paraId="1524025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w:t>
                  </w:r>
                  <w:r>
                    <w:rPr>
                      <w:rFonts w:hint="default" w:ascii="Times New Roman" w:hAnsi="Times New Roman" w:cs="Times New Roman"/>
                      <w:color w:val="auto"/>
                      <w:szCs w:val="21"/>
                      <w:highlight w:val="none"/>
                      <w:vertAlign w:val="subscript"/>
                    </w:rPr>
                    <w:t>A</w:t>
                  </w:r>
                </w:p>
              </w:tc>
              <w:tc>
                <w:tcPr>
                  <w:tcW w:w="936" w:type="dxa"/>
                  <w:noWrap w:val="0"/>
                  <w:tcMar>
                    <w:top w:w="0" w:type="dxa"/>
                    <w:left w:w="28" w:type="dxa"/>
                    <w:bottom w:w="0" w:type="dxa"/>
                    <w:right w:w="28" w:type="dxa"/>
                  </w:tcMar>
                  <w:vAlign w:val="center"/>
                </w:tcPr>
                <w:p w14:paraId="7CF287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连续</w:t>
                  </w:r>
                </w:p>
              </w:tc>
              <w:tc>
                <w:tcPr>
                  <w:tcW w:w="3521" w:type="dxa"/>
                  <w:noWrap w:val="0"/>
                  <w:tcMar>
                    <w:top w:w="0" w:type="dxa"/>
                    <w:left w:w="28" w:type="dxa"/>
                    <w:bottom w:w="0" w:type="dxa"/>
                    <w:right w:w="28" w:type="dxa"/>
                  </w:tcMar>
                  <w:vAlign w:val="center"/>
                </w:tcPr>
                <w:p w14:paraId="1FD7BE9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基础减振、厂房隔声、消声等措施治理</w:t>
                  </w:r>
                </w:p>
              </w:tc>
            </w:tr>
            <w:tr w14:paraId="7612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restart"/>
                  <w:noWrap w:val="0"/>
                  <w:tcMar>
                    <w:top w:w="0" w:type="dxa"/>
                    <w:left w:w="28" w:type="dxa"/>
                    <w:bottom w:w="0" w:type="dxa"/>
                    <w:right w:w="28" w:type="dxa"/>
                  </w:tcMar>
                  <w:vAlign w:val="center"/>
                </w:tcPr>
                <w:p w14:paraId="7617C7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54" w:type="dxa"/>
                  <w:vMerge w:val="restart"/>
                  <w:noWrap w:val="0"/>
                  <w:tcMar>
                    <w:top w:w="0" w:type="dxa"/>
                    <w:left w:w="28" w:type="dxa"/>
                    <w:bottom w:w="0" w:type="dxa"/>
                    <w:right w:w="28" w:type="dxa"/>
                  </w:tcMar>
                  <w:vAlign w:val="center"/>
                </w:tcPr>
                <w:p w14:paraId="26858AC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S</w:t>
                  </w:r>
                </w:p>
              </w:tc>
              <w:tc>
                <w:tcPr>
                  <w:tcW w:w="2008" w:type="dxa"/>
                  <w:vMerge w:val="restart"/>
                  <w:noWrap w:val="0"/>
                  <w:tcMar>
                    <w:top w:w="0" w:type="dxa"/>
                    <w:left w:w="28" w:type="dxa"/>
                    <w:bottom w:w="0" w:type="dxa"/>
                    <w:right w:w="28" w:type="dxa"/>
                  </w:tcMar>
                  <w:vAlign w:val="center"/>
                </w:tcPr>
                <w:p w14:paraId="67FC7F0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废气治理设施</w:t>
                  </w:r>
                </w:p>
              </w:tc>
              <w:tc>
                <w:tcPr>
                  <w:tcW w:w="996" w:type="dxa"/>
                  <w:noWrap w:val="0"/>
                  <w:tcMar>
                    <w:top w:w="0" w:type="dxa"/>
                    <w:left w:w="28" w:type="dxa"/>
                    <w:bottom w:w="0" w:type="dxa"/>
                    <w:right w:w="28" w:type="dxa"/>
                  </w:tcMar>
                  <w:vAlign w:val="center"/>
                </w:tcPr>
                <w:p w14:paraId="02C351E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除尘灰</w:t>
                  </w:r>
                </w:p>
              </w:tc>
              <w:tc>
                <w:tcPr>
                  <w:tcW w:w="936" w:type="dxa"/>
                  <w:noWrap w:val="0"/>
                  <w:tcMar>
                    <w:top w:w="0" w:type="dxa"/>
                    <w:left w:w="28" w:type="dxa"/>
                    <w:bottom w:w="0" w:type="dxa"/>
                    <w:right w:w="28" w:type="dxa"/>
                  </w:tcMar>
                  <w:vAlign w:val="center"/>
                </w:tcPr>
                <w:p w14:paraId="0720537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间断</w:t>
                  </w:r>
                </w:p>
              </w:tc>
              <w:tc>
                <w:tcPr>
                  <w:tcW w:w="3521" w:type="dxa"/>
                  <w:noWrap w:val="0"/>
                  <w:tcMar>
                    <w:top w:w="0" w:type="dxa"/>
                    <w:left w:w="28" w:type="dxa"/>
                    <w:bottom w:w="0" w:type="dxa"/>
                    <w:right w:w="28" w:type="dxa"/>
                  </w:tcMar>
                  <w:vAlign w:val="center"/>
                </w:tcPr>
                <w:p w14:paraId="66A0AA2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rPr>
                  </w:pPr>
                  <w:r>
                    <w:rPr>
                      <w:rFonts w:hint="eastAsia" w:ascii="Times New Roman" w:hAnsi="Times New Roman" w:cs="Times New Roman"/>
                      <w:color w:val="auto"/>
                      <w:szCs w:val="21"/>
                      <w:highlight w:val="none"/>
                      <w:lang w:val="en-US" w:eastAsia="zh-CN"/>
                    </w:rPr>
                    <w:t>收集后回用于生产</w:t>
                  </w:r>
                </w:p>
              </w:tc>
            </w:tr>
            <w:tr w14:paraId="7FD0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017660D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6E8B6EB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continue"/>
                  <w:noWrap w:val="0"/>
                  <w:tcMar>
                    <w:top w:w="0" w:type="dxa"/>
                    <w:left w:w="28" w:type="dxa"/>
                    <w:bottom w:w="0" w:type="dxa"/>
                    <w:right w:w="28" w:type="dxa"/>
                  </w:tcMar>
                  <w:vAlign w:val="center"/>
                </w:tcPr>
                <w:p w14:paraId="29F499C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996" w:type="dxa"/>
                  <w:noWrap w:val="0"/>
                  <w:tcMar>
                    <w:top w:w="0" w:type="dxa"/>
                    <w:left w:w="28" w:type="dxa"/>
                    <w:bottom w:w="0" w:type="dxa"/>
                    <w:right w:w="28" w:type="dxa"/>
                  </w:tcMar>
                  <w:vAlign w:val="center"/>
                </w:tcPr>
                <w:p w14:paraId="14DE38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废布袋</w:t>
                  </w:r>
                </w:p>
              </w:tc>
              <w:tc>
                <w:tcPr>
                  <w:tcW w:w="936" w:type="dxa"/>
                  <w:noWrap w:val="0"/>
                  <w:tcMar>
                    <w:top w:w="0" w:type="dxa"/>
                    <w:left w:w="28" w:type="dxa"/>
                    <w:bottom w:w="0" w:type="dxa"/>
                    <w:right w:w="28" w:type="dxa"/>
                  </w:tcMar>
                  <w:vAlign w:val="center"/>
                </w:tcPr>
                <w:p w14:paraId="535478A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545FE3D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收集后外售</w:t>
                  </w:r>
                </w:p>
              </w:tc>
            </w:tr>
            <w:tr w14:paraId="3D6E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63" w:type="dxa"/>
                  <w:vMerge w:val="continue"/>
                  <w:noWrap w:val="0"/>
                  <w:tcMar>
                    <w:top w:w="0" w:type="dxa"/>
                    <w:left w:w="28" w:type="dxa"/>
                    <w:bottom w:w="0" w:type="dxa"/>
                    <w:right w:w="28" w:type="dxa"/>
                  </w:tcMar>
                  <w:vAlign w:val="center"/>
                </w:tcPr>
                <w:p w14:paraId="04A7EF0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0F4C7D4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restart"/>
                  <w:noWrap w:val="0"/>
                  <w:tcMar>
                    <w:top w:w="0" w:type="dxa"/>
                    <w:left w:w="28" w:type="dxa"/>
                    <w:bottom w:w="0" w:type="dxa"/>
                    <w:right w:w="28" w:type="dxa"/>
                  </w:tcMar>
                  <w:vAlign w:val="center"/>
                </w:tcPr>
                <w:p w14:paraId="489F19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设备检修</w:t>
                  </w:r>
                </w:p>
              </w:tc>
              <w:tc>
                <w:tcPr>
                  <w:tcW w:w="996" w:type="dxa"/>
                  <w:noWrap w:val="0"/>
                  <w:tcMar>
                    <w:top w:w="0" w:type="dxa"/>
                    <w:left w:w="28" w:type="dxa"/>
                    <w:bottom w:w="0" w:type="dxa"/>
                    <w:right w:w="28" w:type="dxa"/>
                  </w:tcMar>
                  <w:vAlign w:val="center"/>
                </w:tcPr>
                <w:p w14:paraId="4C8548A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废油桶</w:t>
                  </w:r>
                </w:p>
              </w:tc>
              <w:tc>
                <w:tcPr>
                  <w:tcW w:w="936" w:type="dxa"/>
                  <w:noWrap w:val="0"/>
                  <w:tcMar>
                    <w:top w:w="0" w:type="dxa"/>
                    <w:left w:w="28" w:type="dxa"/>
                    <w:bottom w:w="0" w:type="dxa"/>
                    <w:right w:w="28" w:type="dxa"/>
                  </w:tcMar>
                  <w:vAlign w:val="center"/>
                </w:tcPr>
                <w:p w14:paraId="620EAAA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间断</w:t>
                  </w:r>
                </w:p>
              </w:tc>
              <w:tc>
                <w:tcPr>
                  <w:tcW w:w="3521" w:type="dxa"/>
                  <w:vMerge w:val="restart"/>
                  <w:noWrap w:val="0"/>
                  <w:tcMar>
                    <w:top w:w="0" w:type="dxa"/>
                    <w:left w:w="28" w:type="dxa"/>
                    <w:bottom w:w="0" w:type="dxa"/>
                    <w:right w:w="28" w:type="dxa"/>
                  </w:tcMar>
                  <w:vAlign w:val="center"/>
                </w:tcPr>
                <w:p w14:paraId="70FCE8C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随产随清，交由资质单位处置</w:t>
                  </w:r>
                </w:p>
              </w:tc>
            </w:tr>
            <w:tr w14:paraId="7841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563" w:type="dxa"/>
                  <w:vMerge w:val="continue"/>
                  <w:noWrap w:val="0"/>
                  <w:tcMar>
                    <w:top w:w="0" w:type="dxa"/>
                    <w:left w:w="28" w:type="dxa"/>
                    <w:bottom w:w="0" w:type="dxa"/>
                    <w:right w:w="28" w:type="dxa"/>
                  </w:tcMar>
                  <w:vAlign w:val="center"/>
                </w:tcPr>
                <w:p w14:paraId="726B19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2936806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continue"/>
                  <w:noWrap w:val="0"/>
                  <w:tcMar>
                    <w:top w:w="0" w:type="dxa"/>
                    <w:left w:w="28" w:type="dxa"/>
                    <w:bottom w:w="0" w:type="dxa"/>
                    <w:right w:w="28" w:type="dxa"/>
                  </w:tcMar>
                  <w:vAlign w:val="center"/>
                </w:tcPr>
                <w:p w14:paraId="32563E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996" w:type="dxa"/>
                  <w:noWrap w:val="0"/>
                  <w:tcMar>
                    <w:top w:w="0" w:type="dxa"/>
                    <w:left w:w="28" w:type="dxa"/>
                    <w:bottom w:w="0" w:type="dxa"/>
                    <w:right w:w="28" w:type="dxa"/>
                  </w:tcMar>
                  <w:vAlign w:val="center"/>
                </w:tcPr>
                <w:p w14:paraId="5C5D118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废机油</w:t>
                  </w:r>
                </w:p>
              </w:tc>
              <w:tc>
                <w:tcPr>
                  <w:tcW w:w="936" w:type="dxa"/>
                  <w:noWrap w:val="0"/>
                  <w:tcMar>
                    <w:top w:w="0" w:type="dxa"/>
                    <w:left w:w="28" w:type="dxa"/>
                    <w:bottom w:w="0" w:type="dxa"/>
                    <w:right w:w="28" w:type="dxa"/>
                  </w:tcMar>
                  <w:vAlign w:val="center"/>
                </w:tcPr>
                <w:p w14:paraId="239FE50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间断</w:t>
                  </w:r>
                </w:p>
              </w:tc>
              <w:tc>
                <w:tcPr>
                  <w:tcW w:w="3521" w:type="dxa"/>
                  <w:vMerge w:val="continue"/>
                  <w:noWrap w:val="0"/>
                  <w:tcMar>
                    <w:top w:w="0" w:type="dxa"/>
                    <w:left w:w="28" w:type="dxa"/>
                    <w:bottom w:w="0" w:type="dxa"/>
                    <w:right w:w="28" w:type="dxa"/>
                  </w:tcMar>
                  <w:vAlign w:val="center"/>
                </w:tcPr>
                <w:p w14:paraId="2372D7A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Cs w:val="21"/>
                      <w:highlight w:val="none"/>
                      <w:lang w:val="en-US" w:eastAsia="zh-CN"/>
                    </w:rPr>
                  </w:pPr>
                </w:p>
              </w:tc>
            </w:tr>
            <w:tr w14:paraId="56C2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21D34F6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4EB481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noWrap w:val="0"/>
                  <w:tcMar>
                    <w:top w:w="0" w:type="dxa"/>
                    <w:left w:w="28" w:type="dxa"/>
                    <w:bottom w:w="0" w:type="dxa"/>
                    <w:right w:w="28" w:type="dxa"/>
                  </w:tcMar>
                  <w:vAlign w:val="center"/>
                </w:tcPr>
                <w:p w14:paraId="74D4BB9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日常生活</w:t>
                  </w:r>
                </w:p>
              </w:tc>
              <w:tc>
                <w:tcPr>
                  <w:tcW w:w="996" w:type="dxa"/>
                  <w:noWrap w:val="0"/>
                  <w:tcMar>
                    <w:top w:w="0" w:type="dxa"/>
                    <w:left w:w="28" w:type="dxa"/>
                    <w:bottom w:w="0" w:type="dxa"/>
                    <w:right w:w="28" w:type="dxa"/>
                  </w:tcMar>
                  <w:vAlign w:val="center"/>
                </w:tcPr>
                <w:p w14:paraId="4896EC8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生活垃圾</w:t>
                  </w:r>
                </w:p>
              </w:tc>
              <w:tc>
                <w:tcPr>
                  <w:tcW w:w="936" w:type="dxa"/>
                  <w:noWrap w:val="0"/>
                  <w:tcMar>
                    <w:top w:w="0" w:type="dxa"/>
                    <w:left w:w="28" w:type="dxa"/>
                    <w:bottom w:w="0" w:type="dxa"/>
                    <w:right w:w="28" w:type="dxa"/>
                  </w:tcMar>
                  <w:vAlign w:val="center"/>
                </w:tcPr>
                <w:p w14:paraId="06B8FB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0CBDC58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收集后交由环卫部门处理</w:t>
                  </w:r>
                </w:p>
              </w:tc>
            </w:tr>
          </w:tbl>
          <w:p w14:paraId="009E9121">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6A1D5D1B">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3A043B22">
            <w:pPr>
              <w:shd w:val="clear" w:color="auto" w:fill="auto"/>
              <w:adjustRightInd w:val="0"/>
              <w:snapToGrid w:val="0"/>
              <w:rPr>
                <w:rFonts w:hint="default" w:ascii="Times New Roman" w:hAnsi="Times New Roman" w:cs="Times New Roman"/>
                <w:bCs/>
                <w:color w:val="auto"/>
                <w:szCs w:val="21"/>
              </w:rPr>
            </w:pPr>
          </w:p>
        </w:tc>
      </w:tr>
      <w:tr w14:paraId="37B37A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43" w:hRule="atLeast"/>
          <w:jc w:val="center"/>
        </w:trPr>
        <w:tc>
          <w:tcPr>
            <w:tcW w:w="452" w:type="dxa"/>
            <w:noWrap w:val="0"/>
            <w:vAlign w:val="center"/>
          </w:tcPr>
          <w:p w14:paraId="19A07081">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Cs w:val="24"/>
              </w:rPr>
            </w:pPr>
            <w:r>
              <w:rPr>
                <w:rFonts w:hint="default" w:ascii="Times New Roman" w:hAnsi="Times New Roman" w:cs="Times New Roman"/>
                <w:bCs/>
                <w:color w:val="auto"/>
                <w:kern w:val="2"/>
                <w:szCs w:val="24"/>
              </w:rPr>
              <w:t>与项目有关的原有环境污染问题</w:t>
            </w:r>
          </w:p>
        </w:tc>
        <w:tc>
          <w:tcPr>
            <w:tcW w:w="8608" w:type="dxa"/>
            <w:noWrap w:val="0"/>
            <w:vAlign w:val="top"/>
          </w:tcPr>
          <w:p w14:paraId="5DBA943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1、现有工程概况</w:t>
            </w:r>
          </w:p>
          <w:p w14:paraId="432460A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石家庄鸿科碳素有限公司成立于2014年，厂址位于石家庄市矿区工业园区石钢片区河北鸿科碳素有限公司，主要生产新型节能环保预焙阳极。现有工程劳动定员</w:t>
            </w:r>
            <w:r>
              <w:rPr>
                <w:rFonts w:hint="eastAsia" w:cs="Times New Roman"/>
                <w:bCs/>
                <w:color w:val="auto"/>
                <w:sz w:val="24"/>
                <w:szCs w:val="24"/>
                <w:lang w:val="en-US" w:eastAsia="zh-CN"/>
              </w:rPr>
              <w:t>47</w:t>
            </w:r>
            <w:r>
              <w:rPr>
                <w:rFonts w:hint="default" w:ascii="Times New Roman" w:hAnsi="Times New Roman" w:cs="Times New Roman"/>
                <w:bCs/>
                <w:color w:val="auto"/>
                <w:sz w:val="24"/>
                <w:szCs w:val="24"/>
              </w:rPr>
              <w:t>0人，采用</w:t>
            </w:r>
            <w:r>
              <w:rPr>
                <w:rFonts w:hint="eastAsia" w:cs="Times New Roman"/>
                <w:bCs/>
                <w:color w:val="auto"/>
                <w:sz w:val="24"/>
                <w:szCs w:val="24"/>
                <w:lang w:val="en-US" w:eastAsia="zh-CN"/>
              </w:rPr>
              <w:t>两</w:t>
            </w:r>
            <w:r>
              <w:rPr>
                <w:rFonts w:hint="default" w:ascii="Times New Roman" w:hAnsi="Times New Roman" w:cs="Times New Roman"/>
                <w:bCs/>
                <w:color w:val="auto"/>
                <w:sz w:val="24"/>
                <w:szCs w:val="24"/>
              </w:rPr>
              <w:t>班制生产，每班</w:t>
            </w:r>
            <w:r>
              <w:rPr>
                <w:rFonts w:hint="eastAsia" w:cs="Times New Roman"/>
                <w:bCs/>
                <w:color w:val="auto"/>
                <w:sz w:val="24"/>
                <w:szCs w:val="24"/>
                <w:lang w:val="en-US" w:eastAsia="zh-CN"/>
              </w:rPr>
              <w:t>12</w:t>
            </w:r>
            <w:r>
              <w:rPr>
                <w:rFonts w:hint="default" w:ascii="Times New Roman" w:hAnsi="Times New Roman" w:cs="Times New Roman"/>
                <w:bCs/>
                <w:color w:val="auto"/>
                <w:sz w:val="24"/>
                <w:szCs w:val="24"/>
              </w:rPr>
              <w:t>h，年工作300d，生产工序平均实际运行时间为7200h。</w:t>
            </w:r>
          </w:p>
          <w:p w14:paraId="749D30E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河北鸿科碳素有限公司年产16万吨新型节能环保预焙阳极项目环境影响报告书</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2015年2月</w:t>
            </w:r>
            <w:r>
              <w:rPr>
                <w:rFonts w:hint="eastAsia" w:ascii="Times New Roman" w:hAnsi="Times New Roman" w:cs="Times New Roman"/>
                <w:bCs/>
                <w:color w:val="auto"/>
                <w:sz w:val="24"/>
                <w:szCs w:val="24"/>
                <w:lang w:val="en-US" w:eastAsia="zh-CN"/>
              </w:rPr>
              <w:t>25日</w:t>
            </w:r>
            <w:r>
              <w:rPr>
                <w:rFonts w:hint="default" w:ascii="Times New Roman" w:hAnsi="Times New Roman" w:cs="Times New Roman"/>
                <w:bCs/>
                <w:color w:val="auto"/>
                <w:sz w:val="24"/>
                <w:szCs w:val="24"/>
              </w:rPr>
              <w:t>通过井陉矿区环保局审批</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矿环[2015]07号</w:t>
            </w:r>
            <w:r>
              <w:rPr>
                <w:rFonts w:hint="eastAsia" w:ascii="Times New Roman" w:hAnsi="Times New Roman" w:eastAsia="宋体" w:cs="Times New Roman"/>
                <w:bCs/>
                <w:color w:val="auto"/>
                <w:sz w:val="24"/>
                <w:szCs w:val="24"/>
                <w:lang w:eastAsia="zh-CN"/>
              </w:rPr>
              <w:t>）</w:t>
            </w:r>
            <w:r>
              <w:rPr>
                <w:rFonts w:hint="default" w:ascii="Times New Roman" w:hAnsi="Times New Roman" w:cs="Times New Roman"/>
                <w:bCs/>
                <w:color w:val="auto"/>
                <w:sz w:val="24"/>
                <w:szCs w:val="24"/>
              </w:rPr>
              <w:t>，2016年3月</w:t>
            </w:r>
            <w:r>
              <w:rPr>
                <w:rFonts w:hint="eastAsia" w:ascii="Times New Roman" w:hAnsi="Times New Roman" w:cs="Times New Roman"/>
                <w:bCs/>
                <w:color w:val="auto"/>
                <w:sz w:val="24"/>
                <w:szCs w:val="24"/>
                <w:lang w:val="en-US" w:eastAsia="zh-CN"/>
              </w:rPr>
              <w:t>23日</w:t>
            </w:r>
            <w:r>
              <w:rPr>
                <w:rFonts w:hint="default" w:ascii="Times New Roman" w:hAnsi="Times New Roman" w:cs="Times New Roman"/>
                <w:bCs/>
                <w:color w:val="auto"/>
                <w:sz w:val="24"/>
                <w:szCs w:val="24"/>
              </w:rPr>
              <w:t>一期工程通过井陉矿区环保局组织的环保验收；《河北鸿科碳素有限公司年产16万吨新型节能环保预焙阳极项目环境影响补充报告》于2017年5月</w:t>
            </w:r>
            <w:r>
              <w:rPr>
                <w:rFonts w:hint="eastAsia" w:ascii="Times New Roman" w:hAnsi="Times New Roman" w:cs="Times New Roman"/>
                <w:bCs/>
                <w:color w:val="auto"/>
                <w:sz w:val="24"/>
                <w:szCs w:val="24"/>
                <w:lang w:val="en-US" w:eastAsia="zh-CN"/>
              </w:rPr>
              <w:t>27日</w:t>
            </w:r>
            <w:r>
              <w:rPr>
                <w:rFonts w:hint="default" w:ascii="Times New Roman" w:hAnsi="Times New Roman" w:cs="Times New Roman"/>
                <w:bCs/>
                <w:color w:val="auto"/>
                <w:sz w:val="24"/>
                <w:szCs w:val="24"/>
              </w:rPr>
              <w:t>通过井陉矿区环保局审批</w:t>
            </w:r>
            <w:r>
              <w:rPr>
                <w:rFonts w:hint="eastAsia" w:ascii="Times New Roman" w:hAnsi="Times New Roman" w:cs="Times New Roman"/>
                <w:bCs/>
                <w:color w:val="auto"/>
                <w:sz w:val="24"/>
                <w:szCs w:val="24"/>
                <w:lang w:eastAsia="zh-CN"/>
              </w:rPr>
              <w:t>（矿环[2017]15号）</w:t>
            </w:r>
            <w:r>
              <w:rPr>
                <w:rFonts w:hint="default" w:ascii="Times New Roman" w:hAnsi="Times New Roman" w:cs="Times New Roman"/>
                <w:bCs/>
                <w:color w:val="auto"/>
                <w:sz w:val="24"/>
                <w:szCs w:val="24"/>
              </w:rPr>
              <w:t>，2017年9月</w:t>
            </w:r>
            <w:r>
              <w:rPr>
                <w:rFonts w:hint="eastAsia" w:ascii="Times New Roman" w:hAnsi="Times New Roman" w:cs="Times New Roman"/>
                <w:bCs/>
                <w:color w:val="auto"/>
                <w:sz w:val="24"/>
                <w:szCs w:val="24"/>
                <w:lang w:val="en-US" w:eastAsia="zh-CN"/>
              </w:rPr>
              <w:t>13日</w:t>
            </w:r>
            <w:r>
              <w:rPr>
                <w:rFonts w:hint="default" w:ascii="Times New Roman" w:hAnsi="Times New Roman" w:cs="Times New Roman"/>
                <w:bCs/>
                <w:color w:val="auto"/>
                <w:sz w:val="24"/>
                <w:szCs w:val="24"/>
              </w:rPr>
              <w:t>二期工程通过井陉矿区环保局的环保验收</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FF0000"/>
                <w:sz w:val="24"/>
                <w:szCs w:val="24"/>
              </w:rPr>
              <w:t>《河北鸿科碳素有限公司焙烧燃料天然气改造项目报告表》于201</w:t>
            </w:r>
            <w:r>
              <w:rPr>
                <w:rFonts w:hint="eastAsia" w:ascii="Times New Roman" w:hAnsi="Times New Roman" w:cs="Times New Roman"/>
                <w:bCs/>
                <w:color w:val="FF0000"/>
                <w:sz w:val="24"/>
                <w:szCs w:val="24"/>
                <w:lang w:val="en-US" w:eastAsia="zh-CN"/>
              </w:rPr>
              <w:t>8</w:t>
            </w:r>
            <w:r>
              <w:rPr>
                <w:rFonts w:hint="default" w:ascii="Times New Roman" w:hAnsi="Times New Roman" w:cs="Times New Roman"/>
                <w:bCs/>
                <w:color w:val="FF0000"/>
                <w:sz w:val="24"/>
                <w:szCs w:val="24"/>
              </w:rPr>
              <w:t>年</w:t>
            </w:r>
            <w:r>
              <w:rPr>
                <w:rFonts w:hint="eastAsia" w:ascii="Times New Roman" w:hAnsi="Times New Roman" w:cs="Times New Roman"/>
                <w:bCs/>
                <w:color w:val="FF0000"/>
                <w:sz w:val="24"/>
                <w:szCs w:val="24"/>
                <w:lang w:val="en-US" w:eastAsia="zh-CN"/>
              </w:rPr>
              <w:t>3</w:t>
            </w:r>
            <w:r>
              <w:rPr>
                <w:rFonts w:hint="default" w:ascii="Times New Roman" w:hAnsi="Times New Roman" w:cs="Times New Roman"/>
                <w:bCs/>
                <w:color w:val="FF0000"/>
                <w:sz w:val="24"/>
                <w:szCs w:val="24"/>
              </w:rPr>
              <w:t>月</w:t>
            </w:r>
            <w:r>
              <w:rPr>
                <w:rFonts w:hint="eastAsia" w:ascii="Times New Roman" w:hAnsi="Times New Roman" w:cs="Times New Roman"/>
                <w:bCs/>
                <w:color w:val="FF0000"/>
                <w:sz w:val="24"/>
                <w:szCs w:val="24"/>
                <w:lang w:val="en-US" w:eastAsia="zh-CN"/>
              </w:rPr>
              <w:t>26日</w:t>
            </w:r>
            <w:r>
              <w:rPr>
                <w:rFonts w:hint="default" w:ascii="Times New Roman" w:hAnsi="Times New Roman" w:cs="Times New Roman"/>
                <w:bCs/>
                <w:color w:val="FF0000"/>
                <w:sz w:val="24"/>
                <w:szCs w:val="24"/>
              </w:rPr>
              <w:t>通过石家庄市井陉矿区行政审批局审批，并于2018年</w:t>
            </w:r>
            <w:r>
              <w:rPr>
                <w:rFonts w:hint="eastAsia" w:cs="Times New Roman"/>
                <w:bCs/>
                <w:color w:val="FF0000"/>
                <w:sz w:val="24"/>
                <w:szCs w:val="24"/>
                <w:lang w:val="en-US" w:eastAsia="zh-CN"/>
              </w:rPr>
              <w:t>6月3日和</w:t>
            </w:r>
            <w:r>
              <w:rPr>
                <w:rFonts w:hint="default" w:ascii="Times New Roman" w:hAnsi="Times New Roman" w:cs="Times New Roman"/>
                <w:bCs/>
                <w:color w:val="FF0000"/>
                <w:sz w:val="24"/>
                <w:szCs w:val="24"/>
              </w:rPr>
              <w:t>7月</w:t>
            </w:r>
            <w:r>
              <w:rPr>
                <w:rFonts w:hint="eastAsia" w:ascii="Times New Roman" w:hAnsi="Times New Roman" w:cs="Times New Roman"/>
                <w:bCs/>
                <w:color w:val="FF0000"/>
                <w:sz w:val="24"/>
                <w:szCs w:val="24"/>
                <w:lang w:val="en-US" w:eastAsia="zh-CN"/>
              </w:rPr>
              <w:t>17日</w:t>
            </w:r>
            <w:r>
              <w:rPr>
                <w:rFonts w:hint="default" w:ascii="Times New Roman" w:hAnsi="Times New Roman" w:cs="Times New Roman"/>
                <w:bCs/>
                <w:color w:val="FF0000"/>
                <w:sz w:val="24"/>
                <w:szCs w:val="24"/>
              </w:rPr>
              <w:t>完成验收</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《河北鸿科碳素有限公司烟气除湿脱白项目环境影响报告表》于201</w:t>
            </w:r>
            <w:r>
              <w:rPr>
                <w:rFonts w:hint="eastAsia" w:ascii="Times New Roman" w:hAnsi="Times New Roman" w:cs="Times New Roman"/>
                <w:bCs/>
                <w:color w:val="auto"/>
                <w:sz w:val="24"/>
                <w:szCs w:val="24"/>
                <w:lang w:val="en-US" w:eastAsia="zh-CN"/>
              </w:rPr>
              <w:t>8</w:t>
            </w:r>
            <w:r>
              <w:rPr>
                <w:rFonts w:hint="default" w:ascii="Times New Roman" w:hAnsi="Times New Roman" w:cs="Times New Roman"/>
                <w:bCs/>
                <w:color w:val="auto"/>
                <w:sz w:val="24"/>
                <w:szCs w:val="24"/>
              </w:rPr>
              <w:t>年</w:t>
            </w:r>
            <w:r>
              <w:rPr>
                <w:rFonts w:hint="eastAsia" w:ascii="Times New Roman" w:hAnsi="Times New Roman" w:cs="Times New Roman"/>
                <w:bCs/>
                <w:color w:val="auto"/>
                <w:sz w:val="24"/>
                <w:szCs w:val="24"/>
                <w:lang w:val="en-US" w:eastAsia="zh-CN"/>
              </w:rPr>
              <w:t>10</w:t>
            </w:r>
            <w:r>
              <w:rPr>
                <w:rFonts w:hint="default" w:ascii="Times New Roman" w:hAnsi="Times New Roman" w:cs="Times New Roman"/>
                <w:bCs/>
                <w:color w:val="auto"/>
                <w:sz w:val="24"/>
                <w:szCs w:val="24"/>
              </w:rPr>
              <w:t>月</w:t>
            </w:r>
            <w:r>
              <w:rPr>
                <w:rFonts w:hint="eastAsia" w:ascii="Times New Roman" w:hAnsi="Times New Roman" w:cs="Times New Roman"/>
                <w:bCs/>
                <w:color w:val="auto"/>
                <w:sz w:val="24"/>
                <w:szCs w:val="24"/>
                <w:lang w:val="en-US" w:eastAsia="zh-CN"/>
              </w:rPr>
              <w:t>10日</w:t>
            </w:r>
            <w:r>
              <w:rPr>
                <w:rFonts w:hint="default" w:ascii="Times New Roman" w:hAnsi="Times New Roman" w:cs="Times New Roman"/>
                <w:bCs/>
                <w:color w:val="auto"/>
                <w:sz w:val="24"/>
                <w:szCs w:val="24"/>
              </w:rPr>
              <w:t>通过石家庄市井陉矿区行政审批局审批</w:t>
            </w:r>
            <w:r>
              <w:rPr>
                <w:rFonts w:hint="eastAsia" w:ascii="Times New Roman" w:hAnsi="Times New Roman" w:cs="Times New Roman"/>
                <w:bCs/>
                <w:color w:val="auto"/>
                <w:sz w:val="24"/>
                <w:szCs w:val="24"/>
                <w:lang w:eastAsia="zh-CN"/>
              </w:rPr>
              <w:t>（矿行审环评字[2018]010号）</w:t>
            </w:r>
            <w:r>
              <w:rPr>
                <w:rFonts w:hint="default" w:ascii="Times New Roman" w:hAnsi="Times New Roman" w:cs="Times New Roman"/>
                <w:bCs/>
                <w:color w:val="auto"/>
                <w:sz w:val="24"/>
                <w:szCs w:val="24"/>
              </w:rPr>
              <w:t>，并</w:t>
            </w:r>
            <w:r>
              <w:rPr>
                <w:rFonts w:hint="eastAsia" w:ascii="Times New Roman" w:hAnsi="Times New Roman" w:cs="Times New Roman"/>
                <w:bCs/>
                <w:color w:val="auto"/>
                <w:sz w:val="24"/>
                <w:szCs w:val="24"/>
                <w:lang w:val="en-US" w:eastAsia="zh-CN"/>
              </w:rPr>
              <w:t>于</w:t>
            </w:r>
            <w:r>
              <w:rPr>
                <w:rFonts w:hint="default" w:ascii="Times New Roman" w:hAnsi="Times New Roman" w:cs="Times New Roman"/>
                <w:bCs/>
                <w:color w:val="auto"/>
                <w:sz w:val="24"/>
                <w:szCs w:val="24"/>
              </w:rPr>
              <w:t>2019年</w:t>
            </w:r>
            <w:r>
              <w:rPr>
                <w:rFonts w:hint="eastAsia" w:cs="Times New Roman"/>
                <w:bCs/>
                <w:color w:val="auto"/>
                <w:sz w:val="24"/>
                <w:szCs w:val="24"/>
                <w:lang w:val="en-US" w:eastAsia="zh-CN"/>
              </w:rPr>
              <w:t>6</w:t>
            </w:r>
            <w:r>
              <w:rPr>
                <w:rFonts w:hint="default" w:ascii="Times New Roman" w:hAnsi="Times New Roman" w:cs="Times New Roman"/>
                <w:bCs/>
                <w:color w:val="auto"/>
                <w:sz w:val="24"/>
                <w:szCs w:val="24"/>
              </w:rPr>
              <w:t>月完成验收</w:t>
            </w:r>
            <w:r>
              <w:rPr>
                <w:rFonts w:hint="eastAsia" w:ascii="Times New Roman" w:hAnsi="Times New Roman" w:cs="Times New Roman"/>
                <w:bCs/>
                <w:color w:val="auto"/>
                <w:sz w:val="24"/>
                <w:szCs w:val="24"/>
                <w:lang w:eastAsia="zh-CN"/>
              </w:rPr>
              <w:t>；</w:t>
            </w:r>
            <w:r>
              <w:rPr>
                <w:rFonts w:hint="eastAsia" w:ascii="Times New Roman" w:hAnsi="Times New Roman" w:cs="Times New Roman"/>
                <w:bCs/>
                <w:color w:val="auto"/>
                <w:sz w:val="24"/>
                <w:szCs w:val="24"/>
                <w:highlight w:val="none"/>
                <w:lang w:eastAsia="zh-CN"/>
              </w:rPr>
              <w:t>《河北鸿科碳素有限公司原材料及成品库技术改造项目</w:t>
            </w:r>
            <w:r>
              <w:rPr>
                <w:rFonts w:hint="eastAsia" w:ascii="Times New Roman" w:hAnsi="Times New Roman" w:cs="Times New Roman"/>
                <w:bCs/>
                <w:color w:val="auto"/>
                <w:sz w:val="24"/>
                <w:szCs w:val="24"/>
                <w:highlight w:val="none"/>
                <w:lang w:val="en-US" w:eastAsia="zh-CN"/>
              </w:rPr>
              <w:t>环境影响报告表</w:t>
            </w:r>
            <w:r>
              <w:rPr>
                <w:rFonts w:hint="eastAsia" w:ascii="Times New Roman" w:hAnsi="Times New Roman" w:cs="Times New Roman"/>
                <w:bCs/>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于2020年7月6日通过石家庄市井陉矿区行政审批局审批（矿行审环评字[2020]7号），并于2020年10月25日通过自主验收</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highlight w:val="none"/>
                <w:u w:val="none"/>
                <w:lang w:val="en-US" w:eastAsia="zh-CN"/>
              </w:rPr>
              <w:t>《河北鸿科碳素有限公司预焙阳极炭块修型升级改造项目环境影响报告表》于2023年7月21日通过石家庄市井陉矿区行政审批局审批（矿行审环评字[2023]8号），并于2023年8月15日通过自主验收；《河北鸿科碳素有限公司破碎线升级改造项目环境影响报告表》于2025年11月27日通过石家庄市井陉矿区数据和政务服务局审批（矿数政环评字[2025]6号），目前该项目尚未验收；2026年2月26日，《煅烧、焙烧废气治理设施增加备用治理设施项目环境影响登记表》完成备案，备案号为“202613010700000056”；2026年5月20日，《河北鸿科碳素有限公司配料、混捏成型和沥青储运废气治理项目环境影响登记表》完成备案，备案号为“202613010700000063”；</w:t>
            </w:r>
            <w:r>
              <w:rPr>
                <w:rFonts w:hint="eastAsia" w:ascii="Times New Roman" w:hAnsi="Times New Roman" w:cs="Times New Roman"/>
                <w:bCs/>
                <w:color w:val="FF0000"/>
                <w:sz w:val="24"/>
                <w:szCs w:val="24"/>
                <w:lang w:eastAsia="zh-CN"/>
              </w:rPr>
              <w:t>河北鸿科碳素有限公司</w:t>
            </w:r>
            <w:r>
              <w:rPr>
                <w:rFonts w:hint="eastAsia" w:ascii="Times New Roman" w:hAnsi="Times New Roman" w:cs="Times New Roman"/>
                <w:bCs/>
                <w:color w:val="FF0000"/>
                <w:sz w:val="24"/>
                <w:szCs w:val="24"/>
                <w:lang w:val="en-US" w:eastAsia="zh-CN"/>
              </w:rPr>
              <w:t>于202</w:t>
            </w:r>
            <w:r>
              <w:rPr>
                <w:rFonts w:hint="eastAsia" w:cs="Times New Roman"/>
                <w:bCs/>
                <w:color w:val="FF0000"/>
                <w:sz w:val="24"/>
                <w:szCs w:val="24"/>
                <w:lang w:val="en-US" w:eastAsia="zh-CN"/>
              </w:rPr>
              <w:t>6</w:t>
            </w:r>
            <w:r>
              <w:rPr>
                <w:rFonts w:hint="eastAsia" w:ascii="Times New Roman" w:hAnsi="Times New Roman" w:cs="Times New Roman"/>
                <w:bCs/>
                <w:color w:val="FF0000"/>
                <w:sz w:val="24"/>
                <w:szCs w:val="24"/>
                <w:lang w:val="en-US" w:eastAsia="zh-CN"/>
              </w:rPr>
              <w:t>年</w:t>
            </w:r>
            <w:r>
              <w:rPr>
                <w:rFonts w:hint="eastAsia" w:cs="Times New Roman"/>
                <w:bCs/>
                <w:color w:val="FF0000"/>
                <w:sz w:val="24"/>
                <w:szCs w:val="24"/>
                <w:lang w:val="en-US" w:eastAsia="zh-CN"/>
              </w:rPr>
              <w:t>5</w:t>
            </w:r>
            <w:r>
              <w:rPr>
                <w:rFonts w:hint="eastAsia" w:ascii="Times New Roman" w:hAnsi="Times New Roman" w:cs="Times New Roman"/>
                <w:bCs/>
                <w:color w:val="FF0000"/>
                <w:sz w:val="24"/>
                <w:szCs w:val="24"/>
                <w:lang w:val="en-US" w:eastAsia="zh-CN"/>
              </w:rPr>
              <w:t>月2</w:t>
            </w:r>
            <w:r>
              <w:rPr>
                <w:rFonts w:hint="eastAsia" w:cs="Times New Roman"/>
                <w:bCs/>
                <w:color w:val="FF0000"/>
                <w:sz w:val="24"/>
                <w:szCs w:val="24"/>
                <w:lang w:val="en-US" w:eastAsia="zh-CN"/>
              </w:rPr>
              <w:t>7</w:t>
            </w:r>
            <w:r>
              <w:rPr>
                <w:rFonts w:hint="eastAsia" w:ascii="Times New Roman" w:hAnsi="Times New Roman" w:cs="Times New Roman"/>
                <w:bCs/>
                <w:color w:val="FF0000"/>
                <w:sz w:val="24"/>
                <w:szCs w:val="24"/>
                <w:lang w:val="en-US" w:eastAsia="zh-CN"/>
              </w:rPr>
              <w:t>日</w:t>
            </w:r>
            <w:r>
              <w:rPr>
                <w:rFonts w:hint="eastAsia" w:cs="Times New Roman"/>
                <w:bCs/>
                <w:color w:val="FF0000"/>
                <w:sz w:val="24"/>
                <w:szCs w:val="24"/>
                <w:lang w:val="en-US" w:eastAsia="zh-CN"/>
              </w:rPr>
              <w:t>重新申请</w:t>
            </w:r>
            <w:r>
              <w:rPr>
                <w:rFonts w:hint="eastAsia" w:ascii="Times New Roman" w:hAnsi="Times New Roman" w:cs="Times New Roman"/>
                <w:bCs/>
                <w:color w:val="FF0000"/>
                <w:sz w:val="24"/>
                <w:szCs w:val="24"/>
                <w:lang w:val="en-US" w:eastAsia="zh-CN"/>
              </w:rPr>
              <w:t>排污许可证，证书编号为91130107329721321X001V，</w:t>
            </w:r>
            <w:r>
              <w:rPr>
                <w:rFonts w:hint="eastAsia" w:ascii="Times New Roman" w:hAnsi="Times New Roman" w:cs="Times New Roman"/>
                <w:bCs/>
                <w:color w:val="auto"/>
                <w:sz w:val="24"/>
                <w:szCs w:val="24"/>
                <w:lang w:val="en-US" w:eastAsia="zh-CN"/>
              </w:rPr>
              <w:t>有效期限为202</w:t>
            </w:r>
            <w:r>
              <w:rPr>
                <w:rFonts w:hint="eastAsia" w:cs="Times New Roman"/>
                <w:bCs/>
                <w:color w:val="auto"/>
                <w:sz w:val="24"/>
                <w:szCs w:val="24"/>
                <w:lang w:val="en-US" w:eastAsia="zh-CN"/>
              </w:rPr>
              <w:t>6</w:t>
            </w:r>
            <w:r>
              <w:rPr>
                <w:rFonts w:hint="eastAsia"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月2</w:t>
            </w:r>
            <w:r>
              <w:rPr>
                <w:rFonts w:hint="eastAsia" w:cs="Times New Roman"/>
                <w:bCs/>
                <w:color w:val="auto"/>
                <w:sz w:val="24"/>
                <w:szCs w:val="24"/>
                <w:lang w:val="en-US" w:eastAsia="zh-CN"/>
              </w:rPr>
              <w:t>7</w:t>
            </w:r>
            <w:r>
              <w:rPr>
                <w:rFonts w:hint="eastAsia" w:ascii="Times New Roman" w:hAnsi="Times New Roman" w:cs="Times New Roman"/>
                <w:bCs/>
                <w:color w:val="auto"/>
                <w:sz w:val="24"/>
                <w:szCs w:val="24"/>
                <w:lang w:val="en-US" w:eastAsia="zh-CN"/>
              </w:rPr>
              <w:t>日至20</w:t>
            </w:r>
            <w:r>
              <w:rPr>
                <w:rFonts w:hint="eastAsia" w:cs="Times New Roman"/>
                <w:bCs/>
                <w:color w:val="auto"/>
                <w:sz w:val="24"/>
                <w:szCs w:val="24"/>
                <w:lang w:val="en-US" w:eastAsia="zh-CN"/>
              </w:rPr>
              <w:t>31</w:t>
            </w:r>
            <w:r>
              <w:rPr>
                <w:rFonts w:hint="eastAsia"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月2</w:t>
            </w:r>
            <w:r>
              <w:rPr>
                <w:rFonts w:hint="eastAsia" w:cs="Times New Roman"/>
                <w:bCs/>
                <w:color w:val="auto"/>
                <w:sz w:val="24"/>
                <w:szCs w:val="24"/>
                <w:lang w:val="en-US" w:eastAsia="zh-CN"/>
              </w:rPr>
              <w:t>6</w:t>
            </w:r>
            <w:r>
              <w:rPr>
                <w:rFonts w:hint="eastAsia" w:ascii="Times New Roman" w:hAnsi="Times New Roman" w:cs="Times New Roman"/>
                <w:bCs/>
                <w:color w:val="auto"/>
                <w:sz w:val="24"/>
                <w:szCs w:val="24"/>
                <w:lang w:val="en-US" w:eastAsia="zh-CN"/>
              </w:rPr>
              <w:t>日</w:t>
            </w:r>
            <w:r>
              <w:rPr>
                <w:rFonts w:hint="default" w:ascii="Times New Roman" w:hAnsi="Times New Roman" w:cs="Times New Roman"/>
                <w:bCs/>
                <w:color w:val="auto"/>
                <w:sz w:val="24"/>
                <w:szCs w:val="24"/>
              </w:rPr>
              <w:t>。现有工程环保手续情况见表</w:t>
            </w:r>
            <w:r>
              <w:rPr>
                <w:rFonts w:hint="eastAsia" w:ascii="Times New Roman" w:hAnsi="Times New Roman" w:cs="Times New Roman"/>
                <w:bCs/>
                <w:color w:val="auto"/>
                <w:sz w:val="24"/>
                <w:szCs w:val="24"/>
                <w:lang w:val="en-US" w:eastAsia="zh-CN"/>
              </w:rPr>
              <w:t>2-6</w:t>
            </w:r>
            <w:r>
              <w:rPr>
                <w:rFonts w:hint="default" w:ascii="Times New Roman" w:hAnsi="Times New Roman" w:cs="Times New Roman"/>
                <w:bCs/>
                <w:color w:val="auto"/>
                <w:sz w:val="24"/>
                <w:szCs w:val="24"/>
              </w:rPr>
              <w:t>。</w:t>
            </w:r>
          </w:p>
          <w:p w14:paraId="7DEB66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auto"/>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2-6</w:t>
            </w:r>
            <w:r>
              <w:rPr>
                <w:rFonts w:hint="default" w:ascii="Times New Roman" w:hAnsi="Times New Roman" w:cs="Times New Roman"/>
                <w:b/>
                <w:bCs/>
                <w:color w:val="auto"/>
                <w:sz w:val="24"/>
                <w:szCs w:val="22"/>
                <w:lang w:val="en-US" w:eastAsia="zh-CN"/>
              </w:rPr>
              <w:t xml:space="preserve"> </w:t>
            </w:r>
            <w:r>
              <w:rPr>
                <w:rFonts w:hint="default" w:ascii="Times New Roman" w:hAnsi="Times New Roman" w:cs="Times New Roman"/>
                <w:b/>
                <w:bCs/>
                <w:color w:val="auto"/>
                <w:sz w:val="24"/>
                <w:szCs w:val="22"/>
              </w:rPr>
              <w:t xml:space="preserve">   现有工程环保手续一览表</w:t>
            </w:r>
          </w:p>
          <w:tbl>
            <w:tblPr>
              <w:tblStyle w:val="36"/>
              <w:tblW w:w="8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419"/>
              <w:gridCol w:w="2958"/>
              <w:gridCol w:w="2442"/>
              <w:gridCol w:w="1099"/>
              <w:gridCol w:w="1464"/>
            </w:tblGrid>
            <w:tr w14:paraId="0146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jc w:val="center"/>
              </w:trPr>
              <w:tc>
                <w:tcPr>
                  <w:tcW w:w="445" w:type="dxa"/>
                  <w:tcBorders>
                    <w:tl2br w:val="nil"/>
                    <w:tr2bl w:val="nil"/>
                  </w:tcBorders>
                  <w:noWrap w:val="0"/>
                  <w:vAlign w:val="center"/>
                </w:tcPr>
                <w:p w14:paraId="477BE7A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编号</w:t>
                  </w:r>
                </w:p>
              </w:tc>
              <w:tc>
                <w:tcPr>
                  <w:tcW w:w="3356" w:type="dxa"/>
                  <w:tcBorders>
                    <w:tl2br w:val="nil"/>
                    <w:tr2bl w:val="nil"/>
                  </w:tcBorders>
                  <w:noWrap w:val="0"/>
                  <w:vAlign w:val="center"/>
                </w:tcPr>
                <w:p w14:paraId="612943B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环保手续</w:t>
                  </w:r>
                </w:p>
              </w:tc>
              <w:tc>
                <w:tcPr>
                  <w:tcW w:w="1724" w:type="dxa"/>
                  <w:tcBorders>
                    <w:tl2br w:val="nil"/>
                    <w:tr2bl w:val="nil"/>
                  </w:tcBorders>
                  <w:noWrap w:val="0"/>
                  <w:vAlign w:val="center"/>
                </w:tcPr>
                <w:p w14:paraId="799D881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文号</w:t>
                  </w:r>
                </w:p>
              </w:tc>
              <w:tc>
                <w:tcPr>
                  <w:tcW w:w="1200" w:type="dxa"/>
                  <w:tcBorders>
                    <w:tl2br w:val="nil"/>
                    <w:tr2bl w:val="nil"/>
                  </w:tcBorders>
                  <w:noWrap w:val="0"/>
                  <w:vAlign w:val="center"/>
                </w:tcPr>
                <w:p w14:paraId="20B92C2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时间</w:t>
                  </w:r>
                </w:p>
              </w:tc>
              <w:tc>
                <w:tcPr>
                  <w:tcW w:w="1657" w:type="dxa"/>
                  <w:tcBorders>
                    <w:tl2br w:val="nil"/>
                    <w:tr2bl w:val="nil"/>
                  </w:tcBorders>
                  <w:noWrap w:val="0"/>
                  <w:vAlign w:val="center"/>
                </w:tcPr>
                <w:p w14:paraId="7455E44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审批部门</w:t>
                  </w:r>
                </w:p>
              </w:tc>
            </w:tr>
            <w:tr w14:paraId="601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2E6B536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1</w:t>
                  </w:r>
                </w:p>
              </w:tc>
              <w:tc>
                <w:tcPr>
                  <w:tcW w:w="3356" w:type="dxa"/>
                  <w:tcBorders>
                    <w:tl2br w:val="nil"/>
                    <w:tr2bl w:val="nil"/>
                  </w:tcBorders>
                  <w:noWrap w:val="0"/>
                  <w:vAlign w:val="center"/>
                </w:tcPr>
                <w:p w14:paraId="5BC3B53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河北鸿科碳素有限公司年产16万吨新型节能环保预焙阳极项目环境影响报告书批复</w:t>
                  </w:r>
                </w:p>
              </w:tc>
              <w:tc>
                <w:tcPr>
                  <w:tcW w:w="1724" w:type="dxa"/>
                  <w:tcBorders>
                    <w:tl2br w:val="nil"/>
                    <w:tr2bl w:val="nil"/>
                  </w:tcBorders>
                  <w:noWrap w:val="0"/>
                  <w:vAlign w:val="center"/>
                </w:tcPr>
                <w:p w14:paraId="6AA7845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矿环[2015]07号</w:t>
                  </w:r>
                </w:p>
              </w:tc>
              <w:tc>
                <w:tcPr>
                  <w:tcW w:w="1200" w:type="dxa"/>
                  <w:tcBorders>
                    <w:tl2br w:val="nil"/>
                    <w:tr2bl w:val="nil"/>
                  </w:tcBorders>
                  <w:noWrap w:val="0"/>
                  <w:vAlign w:val="center"/>
                </w:tcPr>
                <w:p w14:paraId="382191C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2015年2月</w:t>
                  </w:r>
                  <w:r>
                    <w:rPr>
                      <w:rFonts w:hint="eastAsia" w:ascii="Times New Roman" w:hAnsi="Times New Roman" w:eastAsia="宋体" w:cs="Times New Roman"/>
                      <w:color w:val="auto"/>
                      <w:szCs w:val="20"/>
                      <w:lang w:val="en-US" w:eastAsia="zh-CN"/>
                    </w:rPr>
                    <w:t>25日</w:t>
                  </w:r>
                </w:p>
              </w:tc>
              <w:tc>
                <w:tcPr>
                  <w:tcW w:w="1657" w:type="dxa"/>
                  <w:tcBorders>
                    <w:tl2br w:val="nil"/>
                    <w:tr2bl w:val="nil"/>
                  </w:tcBorders>
                  <w:noWrap w:val="0"/>
                  <w:vAlign w:val="center"/>
                </w:tcPr>
                <w:p w14:paraId="4EF711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63E8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41FF5A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2</w:t>
                  </w:r>
                </w:p>
              </w:tc>
              <w:tc>
                <w:tcPr>
                  <w:tcW w:w="3356" w:type="dxa"/>
                  <w:tcBorders>
                    <w:tl2br w:val="nil"/>
                    <w:tr2bl w:val="nil"/>
                  </w:tcBorders>
                  <w:noWrap w:val="0"/>
                  <w:vAlign w:val="center"/>
                </w:tcPr>
                <w:p w14:paraId="301C8F4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关于河北鸿科碳素有限公司年产16万吨新型节能环保预焙阳极（一期）项目环境保护验收批复</w:t>
                  </w:r>
                </w:p>
              </w:tc>
              <w:tc>
                <w:tcPr>
                  <w:tcW w:w="1724" w:type="dxa"/>
                  <w:tcBorders>
                    <w:tl2br w:val="nil"/>
                    <w:tr2bl w:val="nil"/>
                  </w:tcBorders>
                  <w:noWrap w:val="0"/>
                  <w:vAlign w:val="center"/>
                </w:tcPr>
                <w:p w14:paraId="5056AB5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3EDACF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2016年3月</w:t>
                  </w:r>
                  <w:r>
                    <w:rPr>
                      <w:rFonts w:hint="eastAsia" w:ascii="Times New Roman" w:hAnsi="Times New Roman" w:eastAsia="宋体" w:cs="Times New Roman"/>
                      <w:color w:val="auto"/>
                      <w:szCs w:val="20"/>
                      <w:lang w:val="en-US" w:eastAsia="zh-CN"/>
                    </w:rPr>
                    <w:t>23日</w:t>
                  </w:r>
                </w:p>
              </w:tc>
              <w:tc>
                <w:tcPr>
                  <w:tcW w:w="1657" w:type="dxa"/>
                  <w:tcBorders>
                    <w:tl2br w:val="nil"/>
                    <w:tr2bl w:val="nil"/>
                  </w:tcBorders>
                  <w:noWrap w:val="0"/>
                  <w:vAlign w:val="center"/>
                </w:tcPr>
                <w:p w14:paraId="7C884F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31BA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CE68C8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3</w:t>
                  </w:r>
                </w:p>
              </w:tc>
              <w:tc>
                <w:tcPr>
                  <w:tcW w:w="3356" w:type="dxa"/>
                  <w:tcBorders>
                    <w:tl2br w:val="nil"/>
                    <w:tr2bl w:val="nil"/>
                  </w:tcBorders>
                  <w:noWrap w:val="0"/>
                  <w:vAlign w:val="center"/>
                </w:tcPr>
                <w:p w14:paraId="011A829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年产16万吨新型节能环保预焙阳极项目环境影响补充报告批复</w:t>
                  </w:r>
                </w:p>
              </w:tc>
              <w:tc>
                <w:tcPr>
                  <w:tcW w:w="1724" w:type="dxa"/>
                  <w:tcBorders>
                    <w:tl2br w:val="nil"/>
                    <w:tr2bl w:val="nil"/>
                  </w:tcBorders>
                  <w:noWrap w:val="0"/>
                  <w:vAlign w:val="center"/>
                </w:tcPr>
                <w:p w14:paraId="1B7227C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矿环[2017]15号</w:t>
                  </w:r>
                </w:p>
              </w:tc>
              <w:tc>
                <w:tcPr>
                  <w:tcW w:w="1200" w:type="dxa"/>
                  <w:tcBorders>
                    <w:tl2br w:val="nil"/>
                    <w:tr2bl w:val="nil"/>
                  </w:tcBorders>
                  <w:noWrap w:val="0"/>
                  <w:vAlign w:val="center"/>
                </w:tcPr>
                <w:p w14:paraId="458D1AE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2017年5月</w:t>
                  </w:r>
                  <w:r>
                    <w:rPr>
                      <w:rFonts w:hint="eastAsia" w:ascii="Times New Roman" w:hAnsi="Times New Roman" w:eastAsia="宋体" w:cs="Times New Roman"/>
                      <w:color w:val="auto"/>
                      <w:szCs w:val="20"/>
                      <w:lang w:val="en-US" w:eastAsia="zh-CN"/>
                    </w:rPr>
                    <w:t>27日</w:t>
                  </w:r>
                </w:p>
              </w:tc>
              <w:tc>
                <w:tcPr>
                  <w:tcW w:w="1657" w:type="dxa"/>
                  <w:tcBorders>
                    <w:tl2br w:val="nil"/>
                    <w:tr2bl w:val="nil"/>
                  </w:tcBorders>
                  <w:noWrap w:val="0"/>
                  <w:vAlign w:val="center"/>
                </w:tcPr>
                <w:p w14:paraId="471CBAA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5DB4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4187FF3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4</w:t>
                  </w:r>
                </w:p>
              </w:tc>
              <w:tc>
                <w:tcPr>
                  <w:tcW w:w="3356" w:type="dxa"/>
                  <w:tcBorders>
                    <w:tl2br w:val="nil"/>
                    <w:tr2bl w:val="nil"/>
                  </w:tcBorders>
                  <w:noWrap w:val="0"/>
                  <w:vAlign w:val="center"/>
                </w:tcPr>
                <w:p w14:paraId="438F24A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关于河北鸿科碳素有限公司年产16万吨新型节能环保预焙阳极项目（二期）环境保护验收批复</w:t>
                  </w:r>
                </w:p>
              </w:tc>
              <w:tc>
                <w:tcPr>
                  <w:tcW w:w="1724" w:type="dxa"/>
                  <w:tcBorders>
                    <w:tl2br w:val="nil"/>
                    <w:tr2bl w:val="nil"/>
                  </w:tcBorders>
                  <w:noWrap w:val="0"/>
                  <w:vAlign w:val="center"/>
                </w:tcPr>
                <w:p w14:paraId="1F8057A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A5FE99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2017年9月</w:t>
                  </w:r>
                  <w:r>
                    <w:rPr>
                      <w:rFonts w:hint="eastAsia" w:ascii="Times New Roman" w:hAnsi="Times New Roman" w:eastAsia="宋体" w:cs="Times New Roman"/>
                      <w:color w:val="auto"/>
                      <w:szCs w:val="20"/>
                      <w:lang w:val="en-US" w:eastAsia="zh-CN"/>
                    </w:rPr>
                    <w:t>13日</w:t>
                  </w:r>
                </w:p>
              </w:tc>
              <w:tc>
                <w:tcPr>
                  <w:tcW w:w="1657" w:type="dxa"/>
                  <w:tcBorders>
                    <w:tl2br w:val="nil"/>
                    <w:tr2bl w:val="nil"/>
                  </w:tcBorders>
                  <w:noWrap w:val="0"/>
                  <w:vAlign w:val="center"/>
                </w:tcPr>
                <w:p w14:paraId="5A695BE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54F9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233759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5</w:t>
                  </w:r>
                </w:p>
              </w:tc>
              <w:tc>
                <w:tcPr>
                  <w:tcW w:w="3356" w:type="dxa"/>
                  <w:tcBorders>
                    <w:tl2br w:val="nil"/>
                    <w:tr2bl w:val="nil"/>
                  </w:tcBorders>
                  <w:noWrap w:val="0"/>
                  <w:vAlign w:val="center"/>
                </w:tcPr>
                <w:p w14:paraId="35190A4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河北鸿科碳素有限公司焙烧炉燃料改造项目环境影响报告表批复</w:t>
                  </w:r>
                </w:p>
              </w:tc>
              <w:tc>
                <w:tcPr>
                  <w:tcW w:w="1724" w:type="dxa"/>
                  <w:tcBorders>
                    <w:tl2br w:val="nil"/>
                    <w:tr2bl w:val="nil"/>
                  </w:tcBorders>
                  <w:noWrap w:val="0"/>
                  <w:vAlign w:val="center"/>
                </w:tcPr>
                <w:p w14:paraId="500E693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37257C6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2018年3月</w:t>
                  </w:r>
                  <w:r>
                    <w:rPr>
                      <w:rFonts w:hint="eastAsia" w:ascii="Times New Roman" w:hAnsi="Times New Roman" w:eastAsia="宋体" w:cs="Times New Roman"/>
                      <w:color w:val="auto"/>
                      <w:szCs w:val="20"/>
                      <w:lang w:val="en-US" w:eastAsia="zh-CN"/>
                    </w:rPr>
                    <w:t>26日</w:t>
                  </w:r>
                </w:p>
              </w:tc>
              <w:tc>
                <w:tcPr>
                  <w:tcW w:w="1657" w:type="dxa"/>
                  <w:tcBorders>
                    <w:tl2br w:val="nil"/>
                    <w:tr2bl w:val="nil"/>
                  </w:tcBorders>
                  <w:noWrap w:val="0"/>
                  <w:vAlign w:val="center"/>
                </w:tcPr>
                <w:p w14:paraId="5C3B963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2E2E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0A374F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6</w:t>
                  </w:r>
                </w:p>
              </w:tc>
              <w:tc>
                <w:tcPr>
                  <w:tcW w:w="3356" w:type="dxa"/>
                  <w:tcBorders>
                    <w:tl2br w:val="nil"/>
                    <w:tr2bl w:val="nil"/>
                  </w:tcBorders>
                  <w:noWrap w:val="0"/>
                  <w:vAlign w:val="center"/>
                </w:tcPr>
                <w:p w14:paraId="5BD9C5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河北鸿科碳素有限公司焙烧炉燃料改造</w:t>
                  </w:r>
                  <w:r>
                    <w:rPr>
                      <w:rFonts w:hint="eastAsia" w:cs="Times New Roman"/>
                      <w:color w:val="auto"/>
                      <w:szCs w:val="20"/>
                      <w:lang w:eastAsia="zh-CN"/>
                    </w:rPr>
                    <w:t>项目</w:t>
                  </w:r>
                  <w:r>
                    <w:rPr>
                      <w:rFonts w:hint="default" w:ascii="Times New Roman" w:hAnsi="Times New Roman" w:eastAsia="宋体" w:cs="Times New Roman"/>
                      <w:color w:val="auto"/>
                      <w:szCs w:val="20"/>
                    </w:rPr>
                    <w:t>竣工环保验收</w:t>
                  </w:r>
                </w:p>
              </w:tc>
              <w:tc>
                <w:tcPr>
                  <w:tcW w:w="1724" w:type="dxa"/>
                  <w:tcBorders>
                    <w:tl2br w:val="nil"/>
                    <w:tr2bl w:val="nil"/>
                  </w:tcBorders>
                  <w:noWrap w:val="0"/>
                  <w:vAlign w:val="center"/>
                </w:tcPr>
                <w:p w14:paraId="786C3DD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159B27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2018年7月</w:t>
                  </w:r>
                  <w:r>
                    <w:rPr>
                      <w:rFonts w:hint="eastAsia" w:ascii="Times New Roman" w:hAnsi="Times New Roman" w:eastAsia="宋体" w:cs="Times New Roman"/>
                      <w:color w:val="auto"/>
                      <w:szCs w:val="20"/>
                      <w:lang w:val="en-US" w:eastAsia="zh-CN"/>
                    </w:rPr>
                    <w:t>17日</w:t>
                  </w:r>
                </w:p>
              </w:tc>
              <w:tc>
                <w:tcPr>
                  <w:tcW w:w="1657" w:type="dxa"/>
                  <w:tcBorders>
                    <w:tl2br w:val="nil"/>
                    <w:tr2bl w:val="nil"/>
                  </w:tcBorders>
                  <w:noWrap w:val="0"/>
                  <w:vAlign w:val="center"/>
                </w:tcPr>
                <w:p w14:paraId="1CBEEE3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rPr>
                  </w:pPr>
                  <w:r>
                    <w:rPr>
                      <w:rFonts w:hint="eastAsia" w:ascii="Times New Roman" w:hAnsi="Times New Roman" w:eastAsia="宋体" w:cs="Times New Roman"/>
                      <w:color w:val="auto"/>
                      <w:szCs w:val="20"/>
                      <w:lang w:val="en-US" w:eastAsia="zh-CN"/>
                    </w:rPr>
                    <w:t>石家庄市井陉矿区行政审批局</w:t>
                  </w:r>
                  <w:r>
                    <w:rPr>
                      <w:rFonts w:hint="eastAsia" w:cs="Times New Roman"/>
                      <w:color w:val="auto"/>
                      <w:szCs w:val="20"/>
                      <w:lang w:val="en-US" w:eastAsia="zh-CN"/>
                    </w:rPr>
                    <w:t>+自主验收</w:t>
                  </w:r>
                </w:p>
              </w:tc>
            </w:tr>
            <w:tr w14:paraId="12D4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7FBCA21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7</w:t>
                  </w:r>
                </w:p>
              </w:tc>
              <w:tc>
                <w:tcPr>
                  <w:tcW w:w="3356" w:type="dxa"/>
                  <w:tcBorders>
                    <w:tl2br w:val="nil"/>
                    <w:tr2bl w:val="nil"/>
                  </w:tcBorders>
                  <w:noWrap w:val="0"/>
                  <w:vAlign w:val="center"/>
                </w:tcPr>
                <w:p w14:paraId="3F973E5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河北鸿科碳素有限公司烟气除湿脱白项目环境影响报告表</w:t>
                  </w:r>
                </w:p>
              </w:tc>
              <w:tc>
                <w:tcPr>
                  <w:tcW w:w="1724" w:type="dxa"/>
                  <w:tcBorders>
                    <w:tl2br w:val="nil"/>
                    <w:tr2bl w:val="nil"/>
                  </w:tcBorders>
                  <w:noWrap w:val="0"/>
                  <w:vAlign w:val="center"/>
                </w:tcPr>
                <w:p w14:paraId="2F44E41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矿行审环评字[2018]010号</w:t>
                  </w:r>
                </w:p>
              </w:tc>
              <w:tc>
                <w:tcPr>
                  <w:tcW w:w="1200" w:type="dxa"/>
                  <w:tcBorders>
                    <w:tl2br w:val="nil"/>
                    <w:tr2bl w:val="nil"/>
                  </w:tcBorders>
                  <w:noWrap w:val="0"/>
                  <w:vAlign w:val="center"/>
                </w:tcPr>
                <w:p w14:paraId="30A5562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2018年10月</w:t>
                  </w:r>
                  <w:r>
                    <w:rPr>
                      <w:rFonts w:hint="eastAsia" w:ascii="Times New Roman" w:hAnsi="Times New Roman" w:eastAsia="宋体" w:cs="Times New Roman"/>
                      <w:color w:val="auto"/>
                      <w:szCs w:val="20"/>
                      <w:lang w:val="en-US" w:eastAsia="zh-CN"/>
                    </w:rPr>
                    <w:t>10日</w:t>
                  </w:r>
                </w:p>
              </w:tc>
              <w:tc>
                <w:tcPr>
                  <w:tcW w:w="1657" w:type="dxa"/>
                  <w:tcBorders>
                    <w:tl2br w:val="nil"/>
                    <w:tr2bl w:val="nil"/>
                  </w:tcBorders>
                  <w:noWrap w:val="0"/>
                  <w:vAlign w:val="center"/>
                </w:tcPr>
                <w:p w14:paraId="1865D85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06FD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47E6A2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8</w:t>
                  </w:r>
                </w:p>
              </w:tc>
              <w:tc>
                <w:tcPr>
                  <w:tcW w:w="3356" w:type="dxa"/>
                  <w:tcBorders>
                    <w:tl2br w:val="nil"/>
                    <w:tr2bl w:val="nil"/>
                  </w:tcBorders>
                  <w:noWrap w:val="0"/>
                  <w:vAlign w:val="center"/>
                </w:tcPr>
                <w:p w14:paraId="31B41B6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河北鸿科碳素有限公司烟气除湿脱白项目竣工环保验收</w:t>
                  </w:r>
                </w:p>
              </w:tc>
              <w:tc>
                <w:tcPr>
                  <w:tcW w:w="1724" w:type="dxa"/>
                  <w:tcBorders>
                    <w:tl2br w:val="nil"/>
                    <w:tr2bl w:val="nil"/>
                  </w:tcBorders>
                  <w:noWrap w:val="0"/>
                  <w:vAlign w:val="center"/>
                </w:tcPr>
                <w:p w14:paraId="19EBB2E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A6FD18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2019年</w:t>
                  </w:r>
                  <w:r>
                    <w:rPr>
                      <w:rFonts w:hint="eastAsia" w:ascii="Times New Roman" w:hAnsi="Times New Roman" w:eastAsia="宋体" w:cs="Times New Roman"/>
                      <w:color w:val="auto"/>
                      <w:szCs w:val="20"/>
                      <w:lang w:val="en-US" w:eastAsia="zh-CN"/>
                    </w:rPr>
                    <w:t>6</w:t>
                  </w:r>
                  <w:r>
                    <w:rPr>
                      <w:rFonts w:hint="default" w:ascii="Times New Roman" w:hAnsi="Times New Roman" w:eastAsia="宋体" w:cs="Times New Roman"/>
                      <w:color w:val="auto"/>
                      <w:szCs w:val="20"/>
                    </w:rPr>
                    <w:t>月</w:t>
                  </w:r>
                  <w:r>
                    <w:rPr>
                      <w:rFonts w:hint="eastAsia" w:ascii="Times New Roman" w:hAnsi="Times New Roman" w:eastAsia="宋体" w:cs="Times New Roman"/>
                      <w:color w:val="auto"/>
                      <w:szCs w:val="20"/>
                      <w:lang w:val="en-US" w:eastAsia="zh-CN"/>
                    </w:rPr>
                    <w:t>22日</w:t>
                  </w:r>
                </w:p>
              </w:tc>
              <w:tc>
                <w:tcPr>
                  <w:tcW w:w="1657" w:type="dxa"/>
                  <w:tcBorders>
                    <w:tl2br w:val="nil"/>
                    <w:tr2bl w:val="nil"/>
                  </w:tcBorders>
                  <w:noWrap w:val="0"/>
                  <w:vAlign w:val="center"/>
                </w:tcPr>
                <w:p w14:paraId="5A9AF5A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自主验收</w:t>
                  </w:r>
                </w:p>
              </w:tc>
            </w:tr>
            <w:tr w14:paraId="6B54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65C7605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9</w:t>
                  </w:r>
                </w:p>
              </w:tc>
              <w:tc>
                <w:tcPr>
                  <w:tcW w:w="3356" w:type="dxa"/>
                  <w:tcBorders>
                    <w:tl2br w:val="nil"/>
                    <w:tr2bl w:val="nil"/>
                  </w:tcBorders>
                  <w:noWrap w:val="0"/>
                  <w:vAlign w:val="center"/>
                </w:tcPr>
                <w:p w14:paraId="147A9EA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河北鸿科碳素有限公司原材料及成品库技术改造项目环境影响报告表</w:t>
                  </w:r>
                </w:p>
              </w:tc>
              <w:tc>
                <w:tcPr>
                  <w:tcW w:w="1724" w:type="dxa"/>
                  <w:tcBorders>
                    <w:tl2br w:val="nil"/>
                    <w:tr2bl w:val="nil"/>
                  </w:tcBorders>
                  <w:noWrap w:val="0"/>
                  <w:vAlign w:val="center"/>
                </w:tcPr>
                <w:p w14:paraId="08DF81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矿行审环评字[2020]7号</w:t>
                  </w:r>
                </w:p>
              </w:tc>
              <w:tc>
                <w:tcPr>
                  <w:tcW w:w="1200" w:type="dxa"/>
                  <w:tcBorders>
                    <w:tl2br w:val="nil"/>
                    <w:tr2bl w:val="nil"/>
                  </w:tcBorders>
                  <w:noWrap w:val="0"/>
                  <w:vAlign w:val="center"/>
                </w:tcPr>
                <w:p w14:paraId="2CE2F4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2020年7月6日</w:t>
                  </w:r>
                </w:p>
              </w:tc>
              <w:tc>
                <w:tcPr>
                  <w:tcW w:w="1657" w:type="dxa"/>
                  <w:tcBorders>
                    <w:tl2br w:val="nil"/>
                    <w:tr2bl w:val="nil"/>
                  </w:tcBorders>
                  <w:noWrap w:val="0"/>
                  <w:vAlign w:val="center"/>
                </w:tcPr>
                <w:p w14:paraId="6B8A3DF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49D9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C7C9EE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10</w:t>
                  </w:r>
                </w:p>
              </w:tc>
              <w:tc>
                <w:tcPr>
                  <w:tcW w:w="3356" w:type="dxa"/>
                  <w:tcBorders>
                    <w:tl2br w:val="nil"/>
                    <w:tr2bl w:val="nil"/>
                  </w:tcBorders>
                  <w:noWrap w:val="0"/>
                  <w:vAlign w:val="center"/>
                </w:tcPr>
                <w:p w14:paraId="6D61061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eastAsia="zh-CN"/>
                    </w:rPr>
                  </w:pPr>
                  <w:r>
                    <w:rPr>
                      <w:rFonts w:hint="default" w:ascii="Times New Roman" w:hAnsi="Times New Roman" w:eastAsia="宋体" w:cs="Times New Roman"/>
                      <w:color w:val="auto"/>
                      <w:szCs w:val="20"/>
                      <w:highlight w:val="none"/>
                    </w:rPr>
                    <w:t>河北鸿科碳素有限公司原材料及成品库技术改造项目竣工环境保护验收监测报告表</w:t>
                  </w:r>
                </w:p>
              </w:tc>
              <w:tc>
                <w:tcPr>
                  <w:tcW w:w="1724" w:type="dxa"/>
                  <w:tcBorders>
                    <w:tl2br w:val="nil"/>
                    <w:tr2bl w:val="nil"/>
                  </w:tcBorders>
                  <w:noWrap w:val="0"/>
                  <w:vAlign w:val="center"/>
                </w:tcPr>
                <w:p w14:paraId="5E98C74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w:t>
                  </w:r>
                </w:p>
              </w:tc>
              <w:tc>
                <w:tcPr>
                  <w:tcW w:w="1200" w:type="dxa"/>
                  <w:tcBorders>
                    <w:tl2br w:val="nil"/>
                    <w:tr2bl w:val="nil"/>
                  </w:tcBorders>
                  <w:noWrap w:val="0"/>
                  <w:vAlign w:val="center"/>
                </w:tcPr>
                <w:p w14:paraId="02738DC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2020年10月25日</w:t>
                  </w:r>
                </w:p>
              </w:tc>
              <w:tc>
                <w:tcPr>
                  <w:tcW w:w="1657" w:type="dxa"/>
                  <w:tcBorders>
                    <w:tl2br w:val="nil"/>
                    <w:tr2bl w:val="nil"/>
                  </w:tcBorders>
                  <w:noWrap w:val="0"/>
                  <w:vAlign w:val="center"/>
                </w:tcPr>
                <w:p w14:paraId="469F34B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自主验收</w:t>
                  </w:r>
                </w:p>
              </w:tc>
            </w:tr>
            <w:tr w14:paraId="556E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D65B76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11</w:t>
                  </w:r>
                </w:p>
              </w:tc>
              <w:tc>
                <w:tcPr>
                  <w:tcW w:w="3356" w:type="dxa"/>
                  <w:tcBorders>
                    <w:tl2br w:val="nil"/>
                    <w:tr2bl w:val="nil"/>
                  </w:tcBorders>
                  <w:noWrap w:val="0"/>
                  <w:vAlign w:val="center"/>
                </w:tcPr>
                <w:p w14:paraId="2DA2C06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lang w:val="en-US" w:eastAsia="zh-CN"/>
                    </w:rPr>
                    <w:t>河北鸿科碳素有限公司预焙阳极炭块修型升级改造项目环境影响报告表批复</w:t>
                  </w:r>
                </w:p>
              </w:tc>
              <w:tc>
                <w:tcPr>
                  <w:tcW w:w="1724" w:type="dxa"/>
                  <w:tcBorders>
                    <w:tl2br w:val="nil"/>
                    <w:tr2bl w:val="nil"/>
                  </w:tcBorders>
                  <w:noWrap w:val="0"/>
                  <w:vAlign w:val="center"/>
                </w:tcPr>
                <w:p w14:paraId="158A99D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矿行审环评字[2023]8号</w:t>
                  </w:r>
                </w:p>
              </w:tc>
              <w:tc>
                <w:tcPr>
                  <w:tcW w:w="1200" w:type="dxa"/>
                  <w:tcBorders>
                    <w:tl2br w:val="nil"/>
                    <w:tr2bl w:val="nil"/>
                  </w:tcBorders>
                  <w:noWrap w:val="0"/>
                  <w:vAlign w:val="center"/>
                </w:tcPr>
                <w:p w14:paraId="332C873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2023年7月21日</w:t>
                  </w:r>
                </w:p>
              </w:tc>
              <w:tc>
                <w:tcPr>
                  <w:tcW w:w="1657" w:type="dxa"/>
                  <w:tcBorders>
                    <w:tl2br w:val="nil"/>
                    <w:tr2bl w:val="nil"/>
                  </w:tcBorders>
                  <w:noWrap w:val="0"/>
                  <w:vAlign w:val="center"/>
                </w:tcPr>
                <w:p w14:paraId="75E94E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石家庄市井陉矿区行政审批局</w:t>
                  </w:r>
                </w:p>
              </w:tc>
            </w:tr>
            <w:tr w14:paraId="73B2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864B6F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12</w:t>
                  </w:r>
                </w:p>
              </w:tc>
              <w:tc>
                <w:tcPr>
                  <w:tcW w:w="3356" w:type="dxa"/>
                  <w:tcBorders>
                    <w:tl2br w:val="nil"/>
                    <w:tr2bl w:val="nil"/>
                  </w:tcBorders>
                  <w:noWrap w:val="0"/>
                  <w:vAlign w:val="center"/>
                </w:tcPr>
                <w:p w14:paraId="65C4199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lang w:val="en-US" w:eastAsia="zh-CN"/>
                    </w:rPr>
                    <w:t>河北鸿科碳素有限公司预焙阳极炭块修型升级改造项目竣工环境保护验收监测报告表</w:t>
                  </w:r>
                </w:p>
              </w:tc>
              <w:tc>
                <w:tcPr>
                  <w:tcW w:w="1724" w:type="dxa"/>
                  <w:tcBorders>
                    <w:tl2br w:val="nil"/>
                    <w:tr2bl w:val="nil"/>
                  </w:tcBorders>
                  <w:noWrap w:val="0"/>
                  <w:vAlign w:val="center"/>
                </w:tcPr>
                <w:p w14:paraId="74A3D45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w:t>
                  </w:r>
                </w:p>
              </w:tc>
              <w:tc>
                <w:tcPr>
                  <w:tcW w:w="1200" w:type="dxa"/>
                  <w:tcBorders>
                    <w:tl2br w:val="nil"/>
                    <w:tr2bl w:val="nil"/>
                  </w:tcBorders>
                  <w:noWrap w:val="0"/>
                  <w:vAlign w:val="center"/>
                </w:tcPr>
                <w:p w14:paraId="2CB7DD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2023年8月15日</w:t>
                  </w:r>
                </w:p>
              </w:tc>
              <w:tc>
                <w:tcPr>
                  <w:tcW w:w="1657" w:type="dxa"/>
                  <w:tcBorders>
                    <w:tl2br w:val="nil"/>
                    <w:tr2bl w:val="nil"/>
                  </w:tcBorders>
                  <w:noWrap w:val="0"/>
                  <w:vAlign w:val="center"/>
                </w:tcPr>
                <w:p w14:paraId="0AA079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自主验收</w:t>
                  </w:r>
                </w:p>
              </w:tc>
            </w:tr>
            <w:tr w14:paraId="22A7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4A9D315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13</w:t>
                  </w:r>
                </w:p>
              </w:tc>
              <w:tc>
                <w:tcPr>
                  <w:tcW w:w="3356" w:type="dxa"/>
                  <w:tcBorders>
                    <w:tl2br w:val="nil"/>
                    <w:tr2bl w:val="nil"/>
                  </w:tcBorders>
                  <w:noWrap w:val="0"/>
                  <w:vAlign w:val="center"/>
                </w:tcPr>
                <w:p w14:paraId="01D2ED7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河北鸿科碳素有限公司破碎线升级改造项目环境影响报告表批复</w:t>
                  </w:r>
                </w:p>
              </w:tc>
              <w:tc>
                <w:tcPr>
                  <w:tcW w:w="1724" w:type="dxa"/>
                  <w:tcBorders>
                    <w:tl2br w:val="nil"/>
                    <w:tr2bl w:val="nil"/>
                  </w:tcBorders>
                  <w:noWrap w:val="0"/>
                  <w:vAlign w:val="center"/>
                </w:tcPr>
                <w:p w14:paraId="7540EFE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矿数政环评字[2025]6号</w:t>
                  </w:r>
                </w:p>
              </w:tc>
              <w:tc>
                <w:tcPr>
                  <w:tcW w:w="1200" w:type="dxa"/>
                  <w:tcBorders>
                    <w:tl2br w:val="nil"/>
                    <w:tr2bl w:val="nil"/>
                  </w:tcBorders>
                  <w:noWrap w:val="0"/>
                  <w:vAlign w:val="center"/>
                </w:tcPr>
                <w:p w14:paraId="58742B4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2025年11月27日</w:t>
                  </w:r>
                </w:p>
              </w:tc>
              <w:tc>
                <w:tcPr>
                  <w:tcW w:w="1657" w:type="dxa"/>
                  <w:tcBorders>
                    <w:tl2br w:val="nil"/>
                    <w:tr2bl w:val="nil"/>
                  </w:tcBorders>
                  <w:noWrap w:val="0"/>
                  <w:vAlign w:val="center"/>
                </w:tcPr>
                <w:p w14:paraId="33E440F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石家庄市井陉矿区数据和政务服务局</w:t>
                  </w:r>
                </w:p>
              </w:tc>
            </w:tr>
            <w:tr w14:paraId="4143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7A137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14</w:t>
                  </w:r>
                </w:p>
              </w:tc>
              <w:tc>
                <w:tcPr>
                  <w:tcW w:w="3356" w:type="dxa"/>
                  <w:tcBorders>
                    <w:tl2br w:val="nil"/>
                    <w:tr2bl w:val="nil"/>
                  </w:tcBorders>
                  <w:noWrap w:val="0"/>
                  <w:vAlign w:val="center"/>
                </w:tcPr>
                <w:p w14:paraId="47FFD65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煅烧、焙烧废气治理设施增加备用治理设施项目环境影响登记表</w:t>
                  </w:r>
                </w:p>
              </w:tc>
              <w:tc>
                <w:tcPr>
                  <w:tcW w:w="1724" w:type="dxa"/>
                  <w:tcBorders>
                    <w:tl2br w:val="nil"/>
                    <w:tr2bl w:val="nil"/>
                  </w:tcBorders>
                  <w:noWrap w:val="0"/>
                  <w:vAlign w:val="center"/>
                </w:tcPr>
                <w:p w14:paraId="176C3FD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202613010700000056</w:t>
                  </w:r>
                </w:p>
              </w:tc>
              <w:tc>
                <w:tcPr>
                  <w:tcW w:w="1200" w:type="dxa"/>
                  <w:tcBorders>
                    <w:tl2br w:val="nil"/>
                    <w:tr2bl w:val="nil"/>
                  </w:tcBorders>
                  <w:noWrap w:val="0"/>
                  <w:vAlign w:val="center"/>
                </w:tcPr>
                <w:p w14:paraId="6A926EC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2026年2月26日</w:t>
                  </w:r>
                </w:p>
              </w:tc>
              <w:tc>
                <w:tcPr>
                  <w:tcW w:w="1657" w:type="dxa"/>
                  <w:tcBorders>
                    <w:tl2br w:val="nil"/>
                    <w:tr2bl w:val="nil"/>
                  </w:tcBorders>
                  <w:noWrap w:val="0"/>
                  <w:vAlign w:val="center"/>
                </w:tcPr>
                <w:p w14:paraId="7FAE79E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0A3F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80CE06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15</w:t>
                  </w:r>
                </w:p>
              </w:tc>
              <w:tc>
                <w:tcPr>
                  <w:tcW w:w="3356" w:type="dxa"/>
                  <w:tcBorders>
                    <w:tl2br w:val="nil"/>
                    <w:tr2bl w:val="nil"/>
                  </w:tcBorders>
                  <w:noWrap w:val="0"/>
                  <w:vAlign w:val="center"/>
                </w:tcPr>
                <w:p w14:paraId="64D9CA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河北鸿科碳素有限公司配料、混捏成型和沥青储运废气治理项目环境影响登记表</w:t>
                  </w:r>
                </w:p>
              </w:tc>
              <w:tc>
                <w:tcPr>
                  <w:tcW w:w="1724" w:type="dxa"/>
                  <w:tcBorders>
                    <w:tl2br w:val="nil"/>
                    <w:tr2bl w:val="nil"/>
                  </w:tcBorders>
                  <w:noWrap w:val="0"/>
                  <w:vAlign w:val="center"/>
                </w:tcPr>
                <w:p w14:paraId="7D261D2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202613010700000063</w:t>
                  </w:r>
                </w:p>
              </w:tc>
              <w:tc>
                <w:tcPr>
                  <w:tcW w:w="1200" w:type="dxa"/>
                  <w:tcBorders>
                    <w:tl2br w:val="nil"/>
                    <w:tr2bl w:val="nil"/>
                  </w:tcBorders>
                  <w:noWrap w:val="0"/>
                  <w:vAlign w:val="center"/>
                </w:tcPr>
                <w:p w14:paraId="435F80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2026年5月20日</w:t>
                  </w:r>
                </w:p>
              </w:tc>
              <w:tc>
                <w:tcPr>
                  <w:tcW w:w="1657" w:type="dxa"/>
                  <w:tcBorders>
                    <w:tl2br w:val="nil"/>
                    <w:tr2bl w:val="nil"/>
                  </w:tcBorders>
                  <w:noWrap w:val="0"/>
                  <w:vAlign w:val="center"/>
                </w:tcPr>
                <w:p w14:paraId="0B9118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5C3F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1877F1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w:t>
                  </w:r>
                  <w:r>
                    <w:rPr>
                      <w:rFonts w:hint="eastAsia" w:cs="Times New Roman"/>
                      <w:color w:val="auto"/>
                      <w:szCs w:val="20"/>
                      <w:lang w:val="en-US" w:eastAsia="zh-CN"/>
                    </w:rPr>
                    <w:t>6</w:t>
                  </w:r>
                </w:p>
              </w:tc>
              <w:tc>
                <w:tcPr>
                  <w:tcW w:w="3356" w:type="dxa"/>
                  <w:tcBorders>
                    <w:tl2br w:val="nil"/>
                    <w:tr2bl w:val="nil"/>
                  </w:tcBorders>
                  <w:noWrap w:val="0"/>
                  <w:vAlign w:val="center"/>
                </w:tcPr>
                <w:p w14:paraId="0A283F8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rPr>
                  </w:pPr>
                  <w:r>
                    <w:rPr>
                      <w:rFonts w:hint="eastAsia" w:ascii="Times New Roman" w:hAnsi="Times New Roman" w:eastAsia="宋体" w:cs="Times New Roman"/>
                      <w:color w:val="auto"/>
                      <w:szCs w:val="20"/>
                      <w:highlight w:val="none"/>
                      <w:lang w:eastAsia="zh-CN"/>
                    </w:rPr>
                    <w:t>河北鸿科碳素有限公司</w:t>
                  </w:r>
                  <w:r>
                    <w:rPr>
                      <w:rFonts w:hint="eastAsia" w:ascii="Times New Roman" w:hAnsi="Times New Roman" w:eastAsia="宋体" w:cs="Times New Roman"/>
                      <w:color w:val="auto"/>
                      <w:szCs w:val="20"/>
                      <w:highlight w:val="none"/>
                      <w:lang w:val="en-US" w:eastAsia="zh-CN"/>
                    </w:rPr>
                    <w:t>排污许可证</w:t>
                  </w:r>
                </w:p>
              </w:tc>
              <w:tc>
                <w:tcPr>
                  <w:tcW w:w="1724" w:type="dxa"/>
                  <w:tcBorders>
                    <w:tl2br w:val="nil"/>
                    <w:tr2bl w:val="nil"/>
                  </w:tcBorders>
                  <w:noWrap w:val="0"/>
                  <w:vAlign w:val="center"/>
                </w:tcPr>
                <w:p w14:paraId="051A281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91130107329721321X001V</w:t>
                  </w:r>
                </w:p>
              </w:tc>
              <w:tc>
                <w:tcPr>
                  <w:tcW w:w="1200" w:type="dxa"/>
                  <w:tcBorders>
                    <w:tl2br w:val="nil"/>
                    <w:tr2bl w:val="nil"/>
                  </w:tcBorders>
                  <w:noWrap w:val="0"/>
                  <w:vAlign w:val="center"/>
                </w:tcPr>
                <w:p w14:paraId="36C552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202</w:t>
                  </w:r>
                  <w:r>
                    <w:rPr>
                      <w:rFonts w:hint="eastAsia" w:cs="Times New Roman"/>
                      <w:color w:val="auto"/>
                      <w:szCs w:val="20"/>
                      <w:highlight w:val="none"/>
                      <w:lang w:val="en-US" w:eastAsia="zh-CN"/>
                    </w:rPr>
                    <w:t>6</w:t>
                  </w:r>
                  <w:r>
                    <w:rPr>
                      <w:rFonts w:hint="eastAsia" w:ascii="Times New Roman" w:hAnsi="Times New Roman" w:eastAsia="宋体" w:cs="Times New Roman"/>
                      <w:color w:val="auto"/>
                      <w:szCs w:val="20"/>
                      <w:highlight w:val="none"/>
                      <w:lang w:val="en-US" w:eastAsia="zh-CN"/>
                    </w:rPr>
                    <w:t>年</w:t>
                  </w:r>
                  <w:r>
                    <w:rPr>
                      <w:rFonts w:hint="eastAsia" w:cs="Times New Roman"/>
                      <w:color w:val="auto"/>
                      <w:szCs w:val="20"/>
                      <w:highlight w:val="none"/>
                      <w:lang w:val="en-US" w:eastAsia="zh-CN"/>
                    </w:rPr>
                    <w:t>5</w:t>
                  </w:r>
                  <w:r>
                    <w:rPr>
                      <w:rFonts w:hint="eastAsia" w:ascii="Times New Roman" w:hAnsi="Times New Roman" w:eastAsia="宋体" w:cs="Times New Roman"/>
                      <w:color w:val="auto"/>
                      <w:szCs w:val="20"/>
                      <w:highlight w:val="none"/>
                      <w:lang w:val="en-US" w:eastAsia="zh-CN"/>
                    </w:rPr>
                    <w:t>月2</w:t>
                  </w:r>
                  <w:r>
                    <w:rPr>
                      <w:rFonts w:hint="eastAsia" w:cs="Times New Roman"/>
                      <w:color w:val="auto"/>
                      <w:szCs w:val="20"/>
                      <w:highlight w:val="none"/>
                      <w:lang w:val="en-US" w:eastAsia="zh-CN"/>
                    </w:rPr>
                    <w:t>7</w:t>
                  </w:r>
                  <w:r>
                    <w:rPr>
                      <w:rFonts w:hint="eastAsia" w:ascii="Times New Roman" w:hAnsi="Times New Roman" w:eastAsia="宋体" w:cs="Times New Roman"/>
                      <w:color w:val="auto"/>
                      <w:szCs w:val="20"/>
                      <w:highlight w:val="none"/>
                      <w:lang w:val="en-US" w:eastAsia="zh-CN"/>
                    </w:rPr>
                    <w:t>日</w:t>
                  </w:r>
                </w:p>
              </w:tc>
              <w:tc>
                <w:tcPr>
                  <w:tcW w:w="1657" w:type="dxa"/>
                  <w:tcBorders>
                    <w:tl2br w:val="nil"/>
                    <w:tr2bl w:val="nil"/>
                  </w:tcBorders>
                  <w:noWrap w:val="0"/>
                  <w:vAlign w:val="center"/>
                </w:tcPr>
                <w:p w14:paraId="37A4182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石家庄市井陉矿区行政审批局</w:t>
                  </w:r>
                </w:p>
              </w:tc>
            </w:tr>
          </w:tbl>
          <w:p w14:paraId="4F36BCDC">
            <w:pPr>
              <w:keepNext w:val="0"/>
              <w:keepLines w:val="0"/>
              <w:pageBreakBefore w:val="0"/>
              <w:widowControl w:val="0"/>
              <w:kinsoku/>
              <w:wordWrap/>
              <w:overflowPunct/>
              <w:topLinePunct w:val="0"/>
              <w:autoSpaceDE/>
              <w:autoSpaceDN/>
              <w:bidi w:val="0"/>
              <w:adjustRightInd/>
              <w:snapToGrid/>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2、公用工程</w:t>
            </w:r>
          </w:p>
          <w:p w14:paraId="714E1B89">
            <w:pPr>
              <w:keepNext w:val="0"/>
              <w:keepLines w:val="0"/>
              <w:pageBreakBefore w:val="0"/>
              <w:widowControl w:val="0"/>
              <w:kinsoku/>
              <w:wordWrap/>
              <w:overflowPunct/>
              <w:topLinePunct w:val="0"/>
              <w:autoSpaceDE/>
              <w:autoSpaceDN/>
              <w:bidi w:val="0"/>
              <w:adjustRightInd/>
              <w:snapToGrid/>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（1）给排水</w:t>
            </w:r>
          </w:p>
          <w:p w14:paraId="64C9559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给水：用水由</w:t>
            </w:r>
            <w:r>
              <w:rPr>
                <w:rFonts w:hint="eastAsia" w:cs="Times New Roman"/>
                <w:color w:val="auto"/>
                <w:sz w:val="24"/>
                <w:szCs w:val="22"/>
                <w:lang w:val="en-US" w:eastAsia="zh-CN"/>
              </w:rPr>
              <w:t>当地</w:t>
            </w:r>
            <w:r>
              <w:rPr>
                <w:rFonts w:hint="default" w:ascii="Times New Roman" w:hAnsi="Times New Roman" w:cs="Times New Roman"/>
                <w:color w:val="auto"/>
                <w:sz w:val="24"/>
                <w:szCs w:val="22"/>
              </w:rPr>
              <w:t>供水管网提供，主要为生产用水和生活用水，总用水量为254</w:t>
            </w:r>
            <w:r>
              <w:rPr>
                <w:rFonts w:hint="eastAsia" w:cs="Times New Roman"/>
                <w:color w:val="auto"/>
                <w:sz w:val="24"/>
                <w:szCs w:val="22"/>
                <w:lang w:val="en-US" w:eastAsia="zh-CN"/>
              </w:rPr>
              <w:t>84.4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，其中新鲜水用水量为3</w:t>
            </w:r>
            <w:r>
              <w:rPr>
                <w:rFonts w:hint="eastAsia" w:cs="Times New Roman"/>
                <w:color w:val="auto"/>
                <w:sz w:val="24"/>
                <w:szCs w:val="22"/>
                <w:lang w:val="en-US" w:eastAsia="zh-CN"/>
              </w:rPr>
              <w:t>14.4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，二次用水量为170</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循环用水量为25240</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/d，循环利用率为99.</w:t>
            </w:r>
            <w:r>
              <w:rPr>
                <w:rFonts w:hint="eastAsia" w:cs="Times New Roman"/>
                <w:color w:val="auto"/>
                <w:sz w:val="24"/>
                <w:szCs w:val="22"/>
                <w:lang w:val="en-US" w:eastAsia="zh-CN"/>
              </w:rPr>
              <w:t>04</w:t>
            </w:r>
            <w:r>
              <w:rPr>
                <w:rFonts w:hint="default" w:ascii="Times New Roman" w:hAnsi="Times New Roman" w:cs="Times New Roman"/>
                <w:color w:val="auto"/>
                <w:sz w:val="24"/>
                <w:szCs w:val="22"/>
              </w:rPr>
              <w:t>%。</w:t>
            </w:r>
          </w:p>
          <w:p w14:paraId="04E3BD1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软水：项目设软水站1座，设2套TMFB750型全自动流量型软化水设备（1用1备），软水产水规模为10m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/h。</w:t>
            </w:r>
          </w:p>
          <w:p w14:paraId="5D9954D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排水：无生产废水产生。生活污水产生量为</w:t>
            </w:r>
            <w:r>
              <w:rPr>
                <w:rFonts w:hint="default" w:ascii="Times New Roman" w:hAnsi="Times New Roman" w:cs="Times New Roman"/>
                <w:color w:val="auto"/>
                <w:sz w:val="24"/>
                <w:szCs w:val="22"/>
                <w:lang w:val="en-US" w:eastAsia="zh-CN"/>
              </w:rPr>
              <w:t>14.4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/d，经污水处理站处理后用于厂区绿化及泼洒抑尘。现有工程给排水平衡见表</w:t>
            </w:r>
            <w:r>
              <w:rPr>
                <w:rFonts w:hint="eastAsia" w:ascii="Times New Roman" w:hAnsi="Times New Roman" w:cs="Times New Roman"/>
                <w:color w:val="auto"/>
                <w:sz w:val="24"/>
                <w:szCs w:val="22"/>
                <w:lang w:val="en-US" w:eastAsia="zh-CN"/>
              </w:rPr>
              <w:t>2-7</w:t>
            </w:r>
            <w:r>
              <w:rPr>
                <w:rFonts w:hint="default" w:ascii="Times New Roman" w:hAnsi="Times New Roman" w:cs="Times New Roman"/>
                <w:color w:val="auto"/>
                <w:sz w:val="24"/>
                <w:szCs w:val="22"/>
              </w:rPr>
              <w:t>及图</w:t>
            </w:r>
            <w:r>
              <w:rPr>
                <w:rFonts w:hint="eastAsia" w:ascii="Times New Roman" w:hAnsi="Times New Roman" w:cs="Times New Roman"/>
                <w:color w:val="auto"/>
                <w:sz w:val="24"/>
                <w:szCs w:val="22"/>
                <w:lang w:val="en-US" w:eastAsia="zh-CN"/>
              </w:rPr>
              <w:t>2-</w:t>
            </w:r>
            <w:r>
              <w:rPr>
                <w:rFonts w:hint="eastAsia" w:cs="Times New Roman"/>
                <w:color w:val="auto"/>
                <w:sz w:val="24"/>
                <w:szCs w:val="22"/>
                <w:lang w:val="en-US" w:eastAsia="zh-CN"/>
              </w:rPr>
              <w:t>3</w:t>
            </w:r>
            <w:r>
              <w:rPr>
                <w:rFonts w:hint="default" w:ascii="Times New Roman" w:hAnsi="Times New Roman" w:cs="Times New Roman"/>
                <w:color w:val="auto"/>
                <w:sz w:val="24"/>
                <w:szCs w:val="22"/>
              </w:rPr>
              <w:t>。</w:t>
            </w:r>
          </w:p>
          <w:p w14:paraId="2D4E9DB4">
            <w:pPr>
              <w:adjustRightInd w:val="0"/>
              <w:spacing w:line="440" w:lineRule="exact"/>
              <w:jc w:val="center"/>
              <w:textAlignment w:val="baseline"/>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2-7 </w:t>
            </w:r>
            <w:r>
              <w:rPr>
                <w:rFonts w:hint="default" w:ascii="Times New Roman" w:hAnsi="Times New Roman" w:cs="Times New Roman"/>
                <w:b/>
                <w:bCs/>
                <w:color w:val="auto"/>
                <w:sz w:val="24"/>
                <w:szCs w:val="22"/>
              </w:rPr>
              <w:t xml:space="preserve">   现有工程给排水平衡表     单位：m</w:t>
            </w:r>
            <w:r>
              <w:rPr>
                <w:rFonts w:hint="default" w:ascii="Times New Roman" w:hAnsi="Times New Roman" w:cs="Times New Roman"/>
                <w:b/>
                <w:bCs/>
                <w:color w:val="auto"/>
                <w:sz w:val="24"/>
                <w:szCs w:val="22"/>
                <w:vertAlign w:val="superscript"/>
              </w:rPr>
              <w:t>3</w:t>
            </w:r>
            <w:r>
              <w:rPr>
                <w:rFonts w:hint="default" w:ascii="Times New Roman" w:hAnsi="Times New Roman" w:cs="Times New Roman"/>
                <w:b/>
                <w:bCs/>
                <w:color w:val="auto"/>
                <w:sz w:val="24"/>
                <w:szCs w:val="22"/>
              </w:rPr>
              <w:t>/d</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917"/>
              <w:gridCol w:w="1114"/>
              <w:gridCol w:w="1253"/>
              <w:gridCol w:w="1114"/>
              <w:gridCol w:w="1114"/>
              <w:gridCol w:w="975"/>
              <w:gridCol w:w="892"/>
            </w:tblGrid>
            <w:tr w14:paraId="2482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1C28672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用水单元</w:t>
                  </w:r>
                </w:p>
              </w:tc>
              <w:tc>
                <w:tcPr>
                  <w:tcW w:w="664" w:type="pct"/>
                  <w:noWrap w:val="0"/>
                  <w:vAlign w:val="center"/>
                </w:tcPr>
                <w:p w14:paraId="7512716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总用水量</w:t>
                  </w:r>
                </w:p>
              </w:tc>
              <w:tc>
                <w:tcPr>
                  <w:tcW w:w="747" w:type="pct"/>
                  <w:noWrap w:val="0"/>
                  <w:vAlign w:val="center"/>
                </w:tcPr>
                <w:p w14:paraId="50526BF3">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新鲜水用量</w:t>
                  </w:r>
                </w:p>
              </w:tc>
              <w:tc>
                <w:tcPr>
                  <w:tcW w:w="664" w:type="pct"/>
                  <w:noWrap w:val="0"/>
                  <w:vAlign w:val="center"/>
                </w:tcPr>
                <w:p w14:paraId="17568EB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循环水量</w:t>
                  </w:r>
                </w:p>
              </w:tc>
              <w:tc>
                <w:tcPr>
                  <w:tcW w:w="664" w:type="pct"/>
                  <w:noWrap w:val="0"/>
                  <w:vAlign w:val="center"/>
                </w:tcPr>
                <w:p w14:paraId="7A35045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二次水量</w:t>
                  </w:r>
                </w:p>
              </w:tc>
              <w:tc>
                <w:tcPr>
                  <w:tcW w:w="581" w:type="pct"/>
                  <w:noWrap w:val="0"/>
                  <w:vAlign w:val="center"/>
                </w:tcPr>
                <w:p w14:paraId="10ECE17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损耗量</w:t>
                  </w:r>
                </w:p>
              </w:tc>
              <w:tc>
                <w:tcPr>
                  <w:tcW w:w="532" w:type="pct"/>
                  <w:noWrap w:val="0"/>
                  <w:vAlign w:val="center"/>
                </w:tcPr>
                <w:p w14:paraId="6E6F6893">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排水量</w:t>
                  </w:r>
                </w:p>
              </w:tc>
            </w:tr>
            <w:tr w14:paraId="406B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05C3446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煅烧炉脱硫系统</w:t>
                  </w:r>
                </w:p>
              </w:tc>
              <w:tc>
                <w:tcPr>
                  <w:tcW w:w="664" w:type="pct"/>
                  <w:noWrap w:val="0"/>
                  <w:vAlign w:val="center"/>
                </w:tcPr>
                <w:p w14:paraId="75C243A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8100</w:t>
                  </w:r>
                </w:p>
              </w:tc>
              <w:tc>
                <w:tcPr>
                  <w:tcW w:w="747" w:type="pct"/>
                  <w:noWrap w:val="0"/>
                  <w:vAlign w:val="center"/>
                </w:tcPr>
                <w:p w14:paraId="7F093F4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664" w:type="pct"/>
                  <w:noWrap w:val="0"/>
                  <w:vAlign w:val="center"/>
                </w:tcPr>
                <w:p w14:paraId="4EC6FC6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8000</w:t>
                  </w:r>
                </w:p>
              </w:tc>
              <w:tc>
                <w:tcPr>
                  <w:tcW w:w="664" w:type="pct"/>
                  <w:noWrap w:val="0"/>
                  <w:vAlign w:val="center"/>
                </w:tcPr>
                <w:p w14:paraId="34DCC11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5E51802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532" w:type="pct"/>
                  <w:noWrap w:val="0"/>
                  <w:vAlign w:val="center"/>
                </w:tcPr>
                <w:p w14:paraId="00353DB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15DF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31D77AA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软水制备系统</w:t>
                  </w:r>
                </w:p>
              </w:tc>
              <w:tc>
                <w:tcPr>
                  <w:tcW w:w="664" w:type="pct"/>
                  <w:noWrap w:val="0"/>
                  <w:vAlign w:val="center"/>
                </w:tcPr>
                <w:p w14:paraId="2ACAD3B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c>
                <w:tcPr>
                  <w:tcW w:w="747" w:type="pct"/>
                  <w:noWrap w:val="0"/>
                  <w:vAlign w:val="center"/>
                </w:tcPr>
                <w:p w14:paraId="6407F94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c>
                <w:tcPr>
                  <w:tcW w:w="664" w:type="pct"/>
                  <w:noWrap w:val="0"/>
                  <w:vAlign w:val="center"/>
                </w:tcPr>
                <w:p w14:paraId="5A131D6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485CD06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7DF013AC">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32" w:type="pct"/>
                  <w:noWrap w:val="0"/>
                  <w:vAlign w:val="center"/>
                </w:tcPr>
                <w:p w14:paraId="5D89007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r>
            <w:tr w14:paraId="01A0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4717D59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煅烧炉循环冷却水</w:t>
                  </w:r>
                </w:p>
              </w:tc>
              <w:tc>
                <w:tcPr>
                  <w:tcW w:w="664" w:type="pct"/>
                  <w:noWrap w:val="0"/>
                  <w:vAlign w:val="center"/>
                </w:tcPr>
                <w:p w14:paraId="2291F28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12120</w:t>
                  </w:r>
                </w:p>
              </w:tc>
              <w:tc>
                <w:tcPr>
                  <w:tcW w:w="747" w:type="pct"/>
                  <w:noWrap w:val="0"/>
                  <w:vAlign w:val="center"/>
                </w:tcPr>
                <w:p w14:paraId="752C3CC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5424788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12000</w:t>
                  </w:r>
                </w:p>
              </w:tc>
              <w:tc>
                <w:tcPr>
                  <w:tcW w:w="664" w:type="pct"/>
                  <w:noWrap w:val="0"/>
                  <w:vAlign w:val="center"/>
                </w:tcPr>
                <w:p w14:paraId="79AB16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120</w:t>
                  </w:r>
                </w:p>
              </w:tc>
              <w:tc>
                <w:tcPr>
                  <w:tcW w:w="581" w:type="pct"/>
                  <w:noWrap w:val="0"/>
                  <w:vAlign w:val="center"/>
                </w:tcPr>
                <w:p w14:paraId="59ACA6E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532" w:type="pct"/>
                  <w:noWrap w:val="0"/>
                  <w:vAlign w:val="center"/>
                </w:tcPr>
                <w:p w14:paraId="162E212A">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r>
            <w:tr w14:paraId="345B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0288EA5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焙烧炉脱硫系统</w:t>
                  </w:r>
                </w:p>
              </w:tc>
              <w:tc>
                <w:tcPr>
                  <w:tcW w:w="664" w:type="pct"/>
                  <w:noWrap w:val="0"/>
                  <w:vAlign w:val="center"/>
                </w:tcPr>
                <w:p w14:paraId="76CADD7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5080</w:t>
                  </w:r>
                </w:p>
              </w:tc>
              <w:tc>
                <w:tcPr>
                  <w:tcW w:w="747" w:type="pct"/>
                  <w:noWrap w:val="0"/>
                  <w:vAlign w:val="center"/>
                </w:tcPr>
                <w:p w14:paraId="015CA6C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w:t>
                  </w:r>
                </w:p>
              </w:tc>
              <w:tc>
                <w:tcPr>
                  <w:tcW w:w="664" w:type="pct"/>
                  <w:noWrap w:val="0"/>
                  <w:vAlign w:val="center"/>
                </w:tcPr>
                <w:p w14:paraId="7518000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5000</w:t>
                  </w:r>
                </w:p>
              </w:tc>
              <w:tc>
                <w:tcPr>
                  <w:tcW w:w="664" w:type="pct"/>
                  <w:noWrap w:val="0"/>
                  <w:vAlign w:val="center"/>
                </w:tcPr>
                <w:p w14:paraId="28F2E91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30</w:t>
                  </w:r>
                </w:p>
              </w:tc>
              <w:tc>
                <w:tcPr>
                  <w:tcW w:w="581" w:type="pct"/>
                  <w:noWrap w:val="0"/>
                  <w:vAlign w:val="center"/>
                </w:tcPr>
                <w:p w14:paraId="5A9681CA">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80</w:t>
                  </w:r>
                </w:p>
              </w:tc>
              <w:tc>
                <w:tcPr>
                  <w:tcW w:w="532" w:type="pct"/>
                  <w:noWrap w:val="0"/>
                  <w:vAlign w:val="center"/>
                </w:tcPr>
                <w:p w14:paraId="5C1E249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5CD2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6F52653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成型冷却用水</w:t>
                  </w:r>
                </w:p>
              </w:tc>
              <w:tc>
                <w:tcPr>
                  <w:tcW w:w="664" w:type="pct"/>
                  <w:noWrap w:val="0"/>
                  <w:vAlign w:val="center"/>
                </w:tcPr>
                <w:p w14:paraId="1C0B50B4">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747" w:type="pct"/>
                  <w:noWrap w:val="0"/>
                  <w:vAlign w:val="center"/>
                </w:tcPr>
                <w:p w14:paraId="64A1945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481D7A54">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240</w:t>
                  </w:r>
                </w:p>
              </w:tc>
              <w:tc>
                <w:tcPr>
                  <w:tcW w:w="664" w:type="pct"/>
                  <w:noWrap w:val="0"/>
                  <w:vAlign w:val="center"/>
                </w:tcPr>
                <w:p w14:paraId="4340712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581" w:type="pct"/>
                  <w:noWrap w:val="0"/>
                  <w:vAlign w:val="center"/>
                </w:tcPr>
                <w:p w14:paraId="4DEA7C8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532" w:type="pct"/>
                  <w:noWrap w:val="0"/>
                  <w:vAlign w:val="center"/>
                </w:tcPr>
                <w:p w14:paraId="3110594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7AD1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564F79EB">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生活用水</w:t>
                  </w:r>
                </w:p>
              </w:tc>
              <w:tc>
                <w:tcPr>
                  <w:tcW w:w="664" w:type="pct"/>
                  <w:noWrap w:val="0"/>
                  <w:vAlign w:val="center"/>
                </w:tcPr>
                <w:p w14:paraId="331ADCB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14.4</w:t>
                  </w:r>
                </w:p>
              </w:tc>
              <w:tc>
                <w:tcPr>
                  <w:tcW w:w="747" w:type="pct"/>
                  <w:noWrap w:val="0"/>
                  <w:vAlign w:val="center"/>
                </w:tcPr>
                <w:p w14:paraId="4074277B">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14.4</w:t>
                  </w:r>
                </w:p>
              </w:tc>
              <w:tc>
                <w:tcPr>
                  <w:tcW w:w="664" w:type="pct"/>
                  <w:noWrap w:val="0"/>
                  <w:vAlign w:val="center"/>
                </w:tcPr>
                <w:p w14:paraId="6EFCC28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18F7E0B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6CBF73D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2.88</w:t>
                  </w:r>
                </w:p>
              </w:tc>
              <w:tc>
                <w:tcPr>
                  <w:tcW w:w="532" w:type="pct"/>
                  <w:noWrap w:val="0"/>
                  <w:vAlign w:val="center"/>
                </w:tcPr>
                <w:p w14:paraId="7C65C9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11.52*</w:t>
                  </w:r>
                </w:p>
              </w:tc>
            </w:tr>
            <w:tr w14:paraId="64EE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1B491E8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合计</w:t>
                  </w:r>
                </w:p>
              </w:tc>
              <w:tc>
                <w:tcPr>
                  <w:tcW w:w="664" w:type="pct"/>
                  <w:noWrap w:val="0"/>
                  <w:vAlign w:val="top"/>
                </w:tcPr>
                <w:p w14:paraId="139AE23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25484.4</w:t>
                  </w:r>
                </w:p>
              </w:tc>
              <w:tc>
                <w:tcPr>
                  <w:tcW w:w="747" w:type="pct"/>
                  <w:noWrap w:val="0"/>
                  <w:vAlign w:val="top"/>
                </w:tcPr>
                <w:p w14:paraId="6B21EA2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314.4</w:t>
                  </w:r>
                </w:p>
              </w:tc>
              <w:tc>
                <w:tcPr>
                  <w:tcW w:w="664" w:type="pct"/>
                  <w:noWrap w:val="0"/>
                  <w:vAlign w:val="top"/>
                </w:tcPr>
                <w:p w14:paraId="7441D64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25240</w:t>
                  </w:r>
                </w:p>
              </w:tc>
              <w:tc>
                <w:tcPr>
                  <w:tcW w:w="664" w:type="pct"/>
                  <w:noWrap w:val="0"/>
                  <w:vAlign w:val="top"/>
                </w:tcPr>
                <w:p w14:paraId="5F3E600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170</w:t>
                  </w:r>
                </w:p>
              </w:tc>
              <w:tc>
                <w:tcPr>
                  <w:tcW w:w="581" w:type="pct"/>
                  <w:noWrap w:val="0"/>
                  <w:vAlign w:val="top"/>
                </w:tcPr>
                <w:p w14:paraId="30BFBCB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302.88</w:t>
                  </w:r>
                </w:p>
              </w:tc>
              <w:tc>
                <w:tcPr>
                  <w:tcW w:w="532" w:type="pct"/>
                  <w:noWrap w:val="0"/>
                  <w:vAlign w:val="center"/>
                </w:tcPr>
                <w:p w14:paraId="4CCEA6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177.9*</w:t>
                  </w:r>
                </w:p>
              </w:tc>
            </w:tr>
          </w:tbl>
          <w:p w14:paraId="12D020A3">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r>
              <w:rPr>
                <w:rFonts w:hint="default" w:ascii="Times New Roman" w:hAnsi="Times New Roman" w:cs="Times New Roman"/>
                <w:color w:val="auto"/>
                <w:sz w:val="18"/>
                <w:szCs w:val="21"/>
              </w:rPr>
              <w:t>注：*排水作为二次用水，不计入排水量。</w:t>
            </w:r>
          </w:p>
          <w:p w14:paraId="4CF2144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0E9F0649">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23FB7B4">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3416FF9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391992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2974B79A">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09D895E">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5CB9C4A">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7D0FDE89">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549951C">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2C1B054">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1647C625">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0C01A3D5">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D7ED6A7">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516E3E0">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4560" behindDoc="0" locked="0" layoutInCell="1" allowOverlap="1">
                      <wp:simplePos x="0" y="0"/>
                      <wp:positionH relativeFrom="column">
                        <wp:posOffset>2059305</wp:posOffset>
                      </wp:positionH>
                      <wp:positionV relativeFrom="paragraph">
                        <wp:posOffset>248920</wp:posOffset>
                      </wp:positionV>
                      <wp:extent cx="592455" cy="271145"/>
                      <wp:effectExtent l="0" t="0" r="0" b="0"/>
                      <wp:wrapNone/>
                      <wp:docPr id="91"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078919EA">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162.15pt;margin-top:19.6pt;height:21.35pt;width:46.65pt;z-index:251714560;mso-width-relative:page;mso-height-relative:page;" filled="f" stroked="f" coordsize="21600,21600" o:gfxdata="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bK6XXbAAAACQEAAA8AAAAAAAAA&#10;AQAgAAAAIgAAAGRycy9kb3ducmV2LnhtbFBLAQIUABQAAAAIAIdO4kBoXpgl1QEAAIwDAAAOAAAA&#10;AAAAAAEAIAAAACoBAABkcnMvZTJvRG9jLnhtbFBLBQYAAAAABgAGAFkBAABxBQAAAAA=&#10;">
                      <v:fill on="f" focussize="0,0"/>
                      <v:stroke on="f" weight="0.5pt"/>
                      <v:imagedata o:title=""/>
                      <o:lock v:ext="edit" aspectratio="f"/>
                      <v:textbox>
                        <w:txbxContent>
                          <w:p w14:paraId="078919EA">
                            <w:pPr>
                              <w:jc w:val="center"/>
                              <w:rPr>
                                <w:szCs w:val="21"/>
                              </w:rPr>
                            </w:pPr>
                            <w:r>
                              <w:rPr>
                                <w:rFonts w:hint="eastAsia"/>
                                <w:szCs w:val="21"/>
                              </w:rPr>
                              <w:t>100</w:t>
                            </w:r>
                          </w:p>
                        </w:txbxContent>
                      </v:textbox>
                    </v:shape>
                  </w:pict>
                </mc:Fallback>
              </mc:AlternateContent>
            </w:r>
            <w:r>
              <w:rPr>
                <w:color w:val="auto"/>
                <w:sz w:val="18"/>
              </w:rPr>
              <mc:AlternateContent>
                <mc:Choice Requires="wps">
                  <w:drawing>
                    <wp:anchor distT="0" distB="0" distL="114300" distR="114300" simplePos="0" relativeHeight="251674624" behindDoc="0" locked="0" layoutInCell="1" allowOverlap="1">
                      <wp:simplePos x="0" y="0"/>
                      <wp:positionH relativeFrom="column">
                        <wp:posOffset>234950</wp:posOffset>
                      </wp:positionH>
                      <wp:positionV relativeFrom="paragraph">
                        <wp:posOffset>79375</wp:posOffset>
                      </wp:positionV>
                      <wp:extent cx="1040765" cy="271145"/>
                      <wp:effectExtent l="0" t="0" r="0" b="0"/>
                      <wp:wrapNone/>
                      <wp:docPr id="18" name="文本框 219"/>
                      <wp:cNvGraphicFramePr/>
                      <a:graphic xmlns:a="http://schemas.openxmlformats.org/drawingml/2006/main">
                        <a:graphicData uri="http://schemas.microsoft.com/office/word/2010/wordprocessingShape">
                          <wps:wsp>
                            <wps:cNvSpPr txBox="1"/>
                            <wps:spPr>
                              <a:xfrm>
                                <a:off x="1494155" y="1165860"/>
                                <a:ext cx="1040765" cy="271145"/>
                              </a:xfrm>
                              <a:prstGeom prst="rect">
                                <a:avLst/>
                              </a:prstGeom>
                              <a:noFill/>
                              <a:ln w="6350">
                                <a:noFill/>
                              </a:ln>
                            </wps:spPr>
                            <wps:txbx>
                              <w:txbxContent>
                                <w:p w14:paraId="393D3ED5">
                                  <w:pPr>
                                    <w:jc w:val="center"/>
                                    <w:rPr>
                                      <w:rFonts w:hint="default" w:eastAsia="宋体"/>
                                      <w:szCs w:val="21"/>
                                      <w:lang w:val="en-US" w:eastAsia="zh-CN"/>
                                    </w:rPr>
                                  </w:pPr>
                                  <w:r>
                                    <w:rPr>
                                      <w:rFonts w:hint="eastAsia"/>
                                      <w:szCs w:val="21"/>
                                    </w:rPr>
                                    <w:t>新鲜水3</w:t>
                                  </w:r>
                                  <w:r>
                                    <w:rPr>
                                      <w:rFonts w:hint="eastAsia"/>
                                      <w:szCs w:val="21"/>
                                      <w:lang w:val="en-US" w:eastAsia="zh-CN"/>
                                    </w:rPr>
                                    <w:t>14.4</w:t>
                                  </w:r>
                                </w:p>
                              </w:txbxContent>
                            </wps:txbx>
                            <wps:bodyPr vert="horz" wrap="square" anchor="t" anchorCtr="0" upright="1"/>
                          </wps:wsp>
                        </a:graphicData>
                      </a:graphic>
                    </wp:anchor>
                  </w:drawing>
                </mc:Choice>
                <mc:Fallback>
                  <w:pict>
                    <v:shape id="文本框 219" o:spid="_x0000_s1026" o:spt="202" type="#_x0000_t202" style="position:absolute;left:0pt;margin-left:18.5pt;margin-top:6.25pt;height:21.35pt;width:81.95pt;z-index:251674624;mso-width-relative:page;mso-height-relative:page;" filled="f" stroked="f" coordsize="21600,21600" o:gfxdata="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5yhQQ2AAAAAgBAAAP&#10;AAAAAAAAAAEAIAAAACIAAABkcnMvZG93bnJldi54bWxQSwECFAAUAAAACACHTuJACKm/xN8BAACZ&#10;AwAADgAAAAAAAAABACAAAAAnAQAAZHJzL2Uyb0RvYy54bWxQSwUGAAAAAAYABgBZAQAAeAUAAAAA&#10;">
                      <v:fill on="f" focussize="0,0"/>
                      <v:stroke on="f" weight="0.5pt"/>
                      <v:imagedata o:title=""/>
                      <o:lock v:ext="edit" aspectratio="f"/>
                      <v:textbox>
                        <w:txbxContent>
                          <w:p w14:paraId="393D3ED5">
                            <w:pPr>
                              <w:jc w:val="center"/>
                              <w:rPr>
                                <w:rFonts w:hint="default" w:eastAsia="宋体"/>
                                <w:szCs w:val="21"/>
                                <w:lang w:val="en-US" w:eastAsia="zh-CN"/>
                              </w:rPr>
                            </w:pPr>
                            <w:r>
                              <w:rPr>
                                <w:rFonts w:hint="eastAsia"/>
                                <w:szCs w:val="21"/>
                              </w:rPr>
                              <w:t>新鲜水3</w:t>
                            </w:r>
                            <w:r>
                              <w:rPr>
                                <w:rFonts w:hint="eastAsia"/>
                                <w:szCs w:val="21"/>
                                <w:lang w:val="en-US" w:eastAsia="zh-CN"/>
                              </w:rPr>
                              <w:t>14.4</w:t>
                            </w:r>
                          </w:p>
                        </w:txbxContent>
                      </v:textbox>
                    </v:shape>
                  </w:pict>
                </mc:Fallback>
              </mc:AlternateContent>
            </w:r>
          </w:p>
          <w:p w14:paraId="2EB40E81">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3536" behindDoc="0" locked="0" layoutInCell="1" allowOverlap="1">
                      <wp:simplePos x="0" y="0"/>
                      <wp:positionH relativeFrom="column">
                        <wp:posOffset>2075180</wp:posOffset>
                      </wp:positionH>
                      <wp:positionV relativeFrom="paragraph">
                        <wp:posOffset>157480</wp:posOffset>
                      </wp:positionV>
                      <wp:extent cx="181610" cy="143510"/>
                      <wp:effectExtent l="3175" t="0" r="5715" b="8890"/>
                      <wp:wrapNone/>
                      <wp:docPr id="90" name="直接箭头连接符 90"/>
                      <wp:cNvGraphicFramePr/>
                      <a:graphic xmlns:a="http://schemas.openxmlformats.org/drawingml/2006/main">
                        <a:graphicData uri="http://schemas.microsoft.com/office/word/2010/wordprocessingShape">
                          <wps:wsp>
                            <wps:cNvCnPr/>
                            <wps:spPr>
                              <a:xfrm flipV="1">
                                <a:off x="3334385" y="1523365"/>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63.4pt;margin-top:12.4pt;height:11.3pt;width:14.3pt;z-index:251713536;mso-width-relative:page;mso-height-relative:page;" filled="f" stroked="t" coordsize="21600,21600" o:gfxdata="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kXronaAAAA&#10;CQEAAA8AAAAAAAAAAQAgAAAAIgAAAGRycy9kb3ducmV2LnhtbFBLAQIUABQAAAAIAIdO4kDpkV8B&#10;GwIAAPcDAAAOAAAAAAAAAAEAIAAAACkBAABkcnMvZTJvRG9jLnhtbFBLBQYAAAAABgAGAFkBAAC2&#10;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75648" behindDoc="0" locked="0" layoutInCell="1" allowOverlap="1">
                      <wp:simplePos x="0" y="0"/>
                      <wp:positionH relativeFrom="column">
                        <wp:posOffset>621030</wp:posOffset>
                      </wp:positionH>
                      <wp:positionV relativeFrom="paragraph">
                        <wp:posOffset>245745</wp:posOffset>
                      </wp:positionV>
                      <wp:extent cx="592455" cy="271145"/>
                      <wp:effectExtent l="0" t="0" r="0" b="0"/>
                      <wp:wrapNone/>
                      <wp:docPr id="19" name="文本框 220"/>
                      <wp:cNvGraphicFramePr/>
                      <a:graphic xmlns:a="http://schemas.openxmlformats.org/drawingml/2006/main">
                        <a:graphicData uri="http://schemas.microsoft.com/office/word/2010/wordprocessingShape">
                          <wps:wsp>
                            <wps:cNvSpPr txBox="1"/>
                            <wps:spPr>
                              <a:xfrm>
                                <a:off x="1880235" y="1611630"/>
                                <a:ext cx="592455" cy="271145"/>
                              </a:xfrm>
                              <a:prstGeom prst="rect">
                                <a:avLst/>
                              </a:prstGeom>
                              <a:noFill/>
                              <a:ln w="6350">
                                <a:noFill/>
                              </a:ln>
                            </wps:spPr>
                            <wps:txbx>
                              <w:txbxContent>
                                <w:p w14:paraId="6590D200">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48.9pt;margin-top:19.35pt;height:21.35pt;width:46.65pt;z-index:251675648;mso-width-relative:page;mso-height-relative:page;" filled="f" stroked="f" coordsize="21600,21600" o:gfxdata="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0NzK9oAAAAIAQAA&#10;DwAAAAAAAAABACAAAAAiAAAAZHJzL2Rvd25yZXYueG1sUEsBAhQAFAAAAAgAh07iQOdaqRHeAQAA&#10;mAMAAA4AAAAAAAAAAQAgAAAAKQEAAGRycy9lMm9Eb2MueG1sUEsFBgAAAAAGAAYAWQEAAHkFAAAA&#10;AA==&#10;">
                      <v:fill on="f" focussize="0,0"/>
                      <v:stroke on="f" weight="0.5pt"/>
                      <v:imagedata o:title=""/>
                      <o:lock v:ext="edit" aspectratio="f"/>
                      <v:textbox>
                        <w:txbxContent>
                          <w:p w14:paraId="6590D200">
                            <w:pPr>
                              <w:jc w:val="center"/>
                              <w:rPr>
                                <w:szCs w:val="21"/>
                              </w:rPr>
                            </w:pPr>
                            <w:r>
                              <w:rPr>
                                <w:rFonts w:hint="eastAsia"/>
                                <w:szCs w:val="21"/>
                              </w:rPr>
                              <w:t>100</w:t>
                            </w:r>
                          </w:p>
                        </w:txbxContent>
                      </v:textbox>
                    </v:shape>
                  </w:pict>
                </mc:Fallback>
              </mc:AlternateContent>
            </w:r>
            <w:r>
              <w:rPr>
                <w:color w:val="auto"/>
                <w:sz w:val="21"/>
              </w:rPr>
              <mc:AlternateContent>
                <mc:Choice Requires="wps">
                  <w:drawing>
                    <wp:anchor distT="0" distB="0" distL="114300" distR="114300" simplePos="0" relativeHeight="251673600" behindDoc="0" locked="0" layoutInCell="1" allowOverlap="1">
                      <wp:simplePos x="0" y="0"/>
                      <wp:positionH relativeFrom="column">
                        <wp:posOffset>351790</wp:posOffset>
                      </wp:positionH>
                      <wp:positionV relativeFrom="paragraph">
                        <wp:posOffset>18415</wp:posOffset>
                      </wp:positionV>
                      <wp:extent cx="969010" cy="0"/>
                      <wp:effectExtent l="0" t="4445" r="0" b="5080"/>
                      <wp:wrapNone/>
                      <wp:docPr id="17" name="直接连接符 218"/>
                      <wp:cNvGraphicFramePr/>
                      <a:graphic xmlns:a="http://schemas.openxmlformats.org/drawingml/2006/main">
                        <a:graphicData uri="http://schemas.microsoft.com/office/word/2010/wordprocessingShape">
                          <wps:wsp>
                            <wps:cNvCnPr/>
                            <wps:spPr>
                              <a:xfrm>
                                <a:off x="1610995" y="1384300"/>
                                <a:ext cx="969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18" o:spid="_x0000_s1026" o:spt="20" style="position:absolute;left:0pt;margin-left:27.7pt;margin-top:1.45pt;height:0pt;width:76.3pt;z-index:251673600;mso-width-relative:page;mso-height-relative:page;" filled="f" stroked="t" coordsize="21600,21600" o:gfxdata="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g/mIDUAAAABgEAAA8AAAAAAAAAAQAgAAAAIgAAAGRycy9kb3du&#10;cmV2LnhtbFBLAQIUABQAAAAIAIdO4kAdlwBEAwIAAPIDAAAOAAAAAAAAAAEAIAAAACMBAABkcnMv&#10;ZTJvRG9jLnhtbFBLBQYAAAAABgAGAFkBAACYBQ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613410</wp:posOffset>
                      </wp:positionH>
                      <wp:positionV relativeFrom="paragraph">
                        <wp:posOffset>22225</wp:posOffset>
                      </wp:positionV>
                      <wp:extent cx="0" cy="2987040"/>
                      <wp:effectExtent l="4445" t="0" r="14605" b="3810"/>
                      <wp:wrapNone/>
                      <wp:docPr id="10" name="直接连接符 200"/>
                      <wp:cNvGraphicFramePr/>
                      <a:graphic xmlns:a="http://schemas.openxmlformats.org/drawingml/2006/main">
                        <a:graphicData uri="http://schemas.microsoft.com/office/word/2010/wordprocessingShape">
                          <wps:wsp>
                            <wps:cNvCnPr/>
                            <wps:spPr>
                              <a:xfrm flipH="1">
                                <a:off x="1872615" y="1388110"/>
                                <a:ext cx="0" cy="29870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00" o:spid="_x0000_s1026" o:spt="20" style="position:absolute;left:0pt;flip:x;margin-left:48.3pt;margin-top:1.75pt;height:235.2pt;width:0pt;z-index:251666432;mso-width-relative:page;mso-height-relative:page;" filled="f" stroked="t" coordsize="21600,21600" o:gfxdata="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fac6O1AAAAAcBAAAPAAAAAAAAAAEAIAAAACIAAABk&#10;cnMvZG93bnJldi54bWxQSwECFAAUAAAACACHTuJAgRG9WgoCAAD9AwAADgAAAAAAAAABACAAAAAj&#10;AQAAZHJzL2Uyb0RvYy54bWxQSwUGAAAAAAYABgBZAQAAnwUAAAAA&#10;">
                      <v:fill on="f" focussize="0,0"/>
                      <v:stroke color="#000000" joinstyle="round"/>
                      <v:imagedata o:title=""/>
                      <o:lock v:ext="edit" aspectratio="f"/>
                    </v:line>
                  </w:pict>
                </mc:Fallback>
              </mc:AlternateContent>
            </w:r>
          </w:p>
          <w:p w14:paraId="74796555">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86912" behindDoc="0" locked="0" layoutInCell="1" allowOverlap="1">
                      <wp:simplePos x="0" y="0"/>
                      <wp:positionH relativeFrom="column">
                        <wp:posOffset>3007995</wp:posOffset>
                      </wp:positionH>
                      <wp:positionV relativeFrom="paragraph">
                        <wp:posOffset>240030</wp:posOffset>
                      </wp:positionV>
                      <wp:extent cx="0" cy="244475"/>
                      <wp:effectExtent l="4445" t="0" r="14605" b="3175"/>
                      <wp:wrapNone/>
                      <wp:docPr id="30" name="直接连接符 234"/>
                      <wp:cNvGraphicFramePr/>
                      <a:graphic xmlns:a="http://schemas.openxmlformats.org/drawingml/2006/main">
                        <a:graphicData uri="http://schemas.microsoft.com/office/word/2010/wordprocessingShape">
                          <wps:wsp>
                            <wps:cNvCnPr/>
                            <wps:spPr>
                              <a:xfrm>
                                <a:off x="4267200" y="1885315"/>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236.85pt;margin-top:18.9pt;height:19.25pt;width:0pt;z-index:251686912;mso-width-relative:page;mso-height-relative:page;" filled="f" stroked="t" coordsize="21600,21600" o:gfxdata="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y+i7dYAAAAJAQAADwAAAAAAAAABACAAAAAiAAAAZHJz&#10;L2Rvd25yZXYueG1sUEsBAhQAFAAAAAgAh07iQBfuHy0GAgAA8gMAAA4AAAAAAAAAAQAgAAAAJQEA&#10;AGRycy9lMm9Eb2MueG1sUEsFBgAAAAAGAAYAWQEAAJ0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5888" behindDoc="0" locked="0" layoutInCell="1" allowOverlap="1">
                      <wp:simplePos x="0" y="0"/>
                      <wp:positionH relativeFrom="column">
                        <wp:posOffset>2801620</wp:posOffset>
                      </wp:positionH>
                      <wp:positionV relativeFrom="paragraph">
                        <wp:posOffset>236855</wp:posOffset>
                      </wp:positionV>
                      <wp:extent cx="206375" cy="0"/>
                      <wp:effectExtent l="0" t="4445" r="0" b="5080"/>
                      <wp:wrapNone/>
                      <wp:docPr id="29" name="直接连接符 233"/>
                      <wp:cNvGraphicFramePr/>
                      <a:graphic xmlns:a="http://schemas.openxmlformats.org/drawingml/2006/main">
                        <a:graphicData uri="http://schemas.microsoft.com/office/word/2010/wordprocessingShape">
                          <wps:wsp>
                            <wps:cNvCnPr/>
                            <wps:spPr>
                              <a:xfrm>
                                <a:off x="4060825" y="188214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220.6pt;margin-top:18.65pt;height:0pt;width:16.25pt;z-index:251685888;mso-width-relative:page;mso-height-relative:page;" filled="f" stroked="t" coordsize="21600,21600" o:gfxdata="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A+fMQ1gAAAAkBAAAPAAAAAAAAAAEAIAAAACIAAABkcnMv&#10;ZG93bnJldi54bWxQSwECFAAUAAAACACHTuJAl2eVsgUCAADyAwAADgAAAAAAAAABACAAAAAlAQAA&#10;ZHJzL2Uyb0RvYy54bWxQSwUGAAAAAAYABgBZAQAAnA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629920</wp:posOffset>
                      </wp:positionH>
                      <wp:positionV relativeFrom="paragraph">
                        <wp:posOffset>158750</wp:posOffset>
                      </wp:positionV>
                      <wp:extent cx="711835" cy="635"/>
                      <wp:effectExtent l="0" t="48260" r="12065" b="65405"/>
                      <wp:wrapNone/>
                      <wp:docPr id="14" name="直接箭头连接符 206"/>
                      <wp:cNvGraphicFramePr/>
                      <a:graphic xmlns:a="http://schemas.openxmlformats.org/drawingml/2006/main">
                        <a:graphicData uri="http://schemas.microsoft.com/office/word/2010/wordprocessingShape">
                          <wps:wsp>
                            <wps:cNvCnPr/>
                            <wps:spPr>
                              <a:xfrm>
                                <a:off x="1889125" y="1804035"/>
                                <a:ext cx="711835" cy="635"/>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6" o:spid="_x0000_s1026" o:spt="34" type="#_x0000_t34" style="position:absolute;left:0pt;margin-left:49.6pt;margin-top:12.5pt;height:0.05pt;width:56.05pt;z-index:251670528;mso-width-relative:page;mso-height-relative:page;" filled="f" stroked="t" coordsize="21600,21600" o:gfxdata="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dSDYfWAAAACAEAAA8AAAAAAAAAAQAgAAAAIgAAAGRycy9kb3ducmV2LnhtbFBLAQIUABQAAAAI&#10;AIdO4kBTzxg7KAIAADAEAAAOAAAAAAAAAAEAIAAAACUBAABkcnMvZTJvRG9jLnhtbFBLBQYAAAAA&#10;BgAGAFkBAAC/BQAAAAA=&#10;" adj="10800">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1362710</wp:posOffset>
                      </wp:positionH>
                      <wp:positionV relativeFrom="paragraph">
                        <wp:posOffset>21590</wp:posOffset>
                      </wp:positionV>
                      <wp:extent cx="1424305" cy="271145"/>
                      <wp:effectExtent l="4445" t="4445" r="19050" b="10160"/>
                      <wp:wrapNone/>
                      <wp:docPr id="5" name="文本框 193"/>
                      <wp:cNvGraphicFramePr/>
                      <a:graphic xmlns:a="http://schemas.openxmlformats.org/drawingml/2006/main">
                        <a:graphicData uri="http://schemas.microsoft.com/office/word/2010/wordprocessingShape">
                          <wps:wsp>
                            <wps:cNvSpPr txBox="1"/>
                            <wps:spPr>
                              <a:xfrm>
                                <a:off x="2621915" y="166687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E9A28B3">
                                  <w:pPr>
                                    <w:jc w:val="center"/>
                                    <w:rPr>
                                      <w:szCs w:val="21"/>
                                    </w:rPr>
                                  </w:pPr>
                                  <w:r>
                                    <w:rPr>
                                      <w:rFonts w:hint="eastAsia"/>
                                      <w:szCs w:val="21"/>
                                    </w:rPr>
                                    <w:t>煅烧炉脱硫系统（</w:t>
                                  </w:r>
                                  <w:r>
                                    <w:rPr>
                                      <w:szCs w:val="21"/>
                                    </w:rPr>
                                    <w:t>-</w:t>
                                  </w:r>
                                  <w:r>
                                    <w:rPr>
                                      <w:rFonts w:hint="eastAsia"/>
                                      <w:szCs w:val="21"/>
                                    </w:rPr>
                                    <w:t>100）</w:t>
                                  </w:r>
                                </w:p>
                              </w:txbxContent>
                            </wps:txbx>
                            <wps:bodyPr vert="horz" wrap="square" anchor="t" anchorCtr="0" upright="1"/>
                          </wps:wsp>
                        </a:graphicData>
                      </a:graphic>
                    </wp:anchor>
                  </w:drawing>
                </mc:Choice>
                <mc:Fallback>
                  <w:pict>
                    <v:shape id="文本框 193" o:spid="_x0000_s1026" o:spt="202" type="#_x0000_t202" style="position:absolute;left:0pt;margin-left:107.3pt;margin-top:1.7pt;height:21.35pt;width:112.15pt;z-index:251661312;mso-width-relative:page;mso-height-relative:page;" fillcolor="#FFFFFF" filled="t" stroked="t" coordsize="21600,21600" o:gfxdata="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eronNUAAAAIAQAADwAAAAAAAAABACAAAAAiAAAAZHJzL2Rvd25yZXYu&#10;eG1sUEsBAhQAFAAAAAgAh07iQB3Kvpg3AgAAdwQAAA4AAAAAAAAAAQAgAAAAJAEAAGRycy9lMm9E&#10;b2MueG1sUEsFBgAAAAAGAAYAWQEAAM0FAAAAAA==&#10;">
                      <v:fill on="t" focussize="0,0"/>
                      <v:stroke weight="0.5pt" color="#000000" joinstyle="miter"/>
                      <v:imagedata o:title=""/>
                      <o:lock v:ext="edit" aspectratio="f"/>
                      <v:textbox>
                        <w:txbxContent>
                          <w:p w14:paraId="7E9A28B3">
                            <w:pPr>
                              <w:jc w:val="center"/>
                              <w:rPr>
                                <w:szCs w:val="21"/>
                              </w:rPr>
                            </w:pPr>
                            <w:r>
                              <w:rPr>
                                <w:rFonts w:hint="eastAsia"/>
                                <w:szCs w:val="21"/>
                              </w:rPr>
                              <w:t>煅烧炉脱硫系统（</w:t>
                            </w:r>
                            <w:r>
                              <w:rPr>
                                <w:szCs w:val="21"/>
                              </w:rPr>
                              <w:t>-</w:t>
                            </w:r>
                            <w:r>
                              <w:rPr>
                                <w:rFonts w:hint="eastAsia"/>
                                <w:szCs w:val="21"/>
                              </w:rPr>
                              <w:t>100）</w:t>
                            </w:r>
                          </w:p>
                        </w:txbxContent>
                      </v:textbox>
                    </v:shape>
                  </w:pict>
                </mc:Fallback>
              </mc:AlternateContent>
            </w:r>
          </w:p>
          <w:p w14:paraId="129007F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6608" behindDoc="0" locked="0" layoutInCell="1" allowOverlap="1">
                      <wp:simplePos x="0" y="0"/>
                      <wp:positionH relativeFrom="column">
                        <wp:posOffset>1849755</wp:posOffset>
                      </wp:positionH>
                      <wp:positionV relativeFrom="paragraph">
                        <wp:posOffset>29845</wp:posOffset>
                      </wp:positionV>
                      <wp:extent cx="592455" cy="271145"/>
                      <wp:effectExtent l="0" t="0" r="0" b="0"/>
                      <wp:wrapNone/>
                      <wp:docPr id="93"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1CFAA7CE">
                                  <w:pPr>
                                    <w:jc w:val="center"/>
                                    <w:rPr>
                                      <w:szCs w:val="21"/>
                                    </w:rPr>
                                  </w:pPr>
                                  <w:r>
                                    <w:rPr>
                                      <w:rFonts w:hint="eastAsia"/>
                                      <w:szCs w:val="21"/>
                                      <w:lang w:val="en-US" w:eastAsia="zh-CN"/>
                                    </w:rPr>
                                    <w:t>8</w:t>
                                  </w:r>
                                  <w:r>
                                    <w:rPr>
                                      <w:rFonts w:hint="eastAsia"/>
                                      <w:szCs w:val="21"/>
                                    </w:rPr>
                                    <w:t>0</w:t>
                                  </w:r>
                                </w:p>
                              </w:txbxContent>
                            </wps:txbx>
                            <wps:bodyPr vert="horz" wrap="square" anchor="t" anchorCtr="0" upright="1"/>
                          </wps:wsp>
                        </a:graphicData>
                      </a:graphic>
                    </wp:anchor>
                  </w:drawing>
                </mc:Choice>
                <mc:Fallback>
                  <w:pict>
                    <v:shape id="文本框 220" o:spid="_x0000_s1026" o:spt="202" type="#_x0000_t202" style="position:absolute;left:0pt;margin-left:145.65pt;margin-top:2.35pt;height:21.35pt;width:46.65pt;z-index:251716608;mso-width-relative:page;mso-height-relative:page;" filled="f" stroked="f" coordsize="21600,21600" o:gfxdata="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lGP32QAAAAgBAAAPAAAAAAAAAAEA&#10;IAAAACIAAABkcnMvZG93bnJldi54bWxQSwECFAAUAAAACACHTuJA8OtVidUBAACMAwAADgAAAAAA&#10;AAABACAAAAAoAQAAZHJzL2Uyb0RvYy54bWxQSwUGAAAAAAYABgBZAQAAbwUAAAAA&#10;">
                      <v:fill on="f" focussize="0,0"/>
                      <v:stroke on="f" weight="0.5pt"/>
                      <v:imagedata o:title=""/>
                      <o:lock v:ext="edit" aspectratio="f"/>
                      <v:textbox>
                        <w:txbxContent>
                          <w:p w14:paraId="1CFAA7CE">
                            <w:pPr>
                              <w:jc w:val="center"/>
                              <w:rPr>
                                <w:szCs w:val="21"/>
                              </w:rPr>
                            </w:pPr>
                            <w:r>
                              <w:rPr>
                                <w:rFonts w:hint="eastAsia"/>
                                <w:szCs w:val="21"/>
                                <w:lang w:val="en-US" w:eastAsia="zh-CN"/>
                              </w:rPr>
                              <w:t>8</w:t>
                            </w:r>
                            <w:r>
                              <w:rPr>
                                <w:rFonts w:hint="eastAsia"/>
                                <w:szCs w:val="21"/>
                              </w:rPr>
                              <w:t>0</w:t>
                            </w:r>
                          </w:p>
                        </w:txbxContent>
                      </v:textbox>
                    </v:shape>
                  </w:pict>
                </mc:Fallback>
              </mc:AlternateContent>
            </w:r>
            <w:r>
              <w:rPr>
                <w:color w:val="auto"/>
                <w:sz w:val="21"/>
              </w:rPr>
              <mc:AlternateContent>
                <mc:Choice Requires="wps">
                  <w:drawing>
                    <wp:anchor distT="0" distB="0" distL="114300" distR="114300" simplePos="0" relativeHeight="251715584" behindDoc="0" locked="0" layoutInCell="1" allowOverlap="1">
                      <wp:simplePos x="0" y="0"/>
                      <wp:positionH relativeFrom="column">
                        <wp:posOffset>1875155</wp:posOffset>
                      </wp:positionH>
                      <wp:positionV relativeFrom="paragraph">
                        <wp:posOffset>198755</wp:posOffset>
                      </wp:positionV>
                      <wp:extent cx="181610" cy="143510"/>
                      <wp:effectExtent l="3175" t="0" r="5715" b="8890"/>
                      <wp:wrapNone/>
                      <wp:docPr id="92" name="直接箭头连接符 92"/>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7.65pt;margin-top:15.65pt;height:11.3pt;width:14.3pt;z-index:251715584;mso-width-relative:page;mso-height-relative:page;" filled="f" stroked="t" coordsize="21600,21600" o:gfxdata="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a8QkjYAAAACQEAAA8AAAAAAAAA&#10;AQAgAAAAIgAAAGRycy9kb3ducmV2LnhtbFBLAQIUABQAAAAIAIdO4kDo6/9mEQIAAOsDAAAOAAAA&#10;AAAAAAEAIAAAACcBAABkcnMvZTJvRG9jLnhtbFBLBQYAAAAABgAGAFkBAACq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89984" behindDoc="0" locked="0" layoutInCell="1" allowOverlap="1">
                      <wp:simplePos x="0" y="0"/>
                      <wp:positionH relativeFrom="column">
                        <wp:posOffset>2361565</wp:posOffset>
                      </wp:positionH>
                      <wp:positionV relativeFrom="paragraph">
                        <wp:posOffset>5080</wp:posOffset>
                      </wp:positionV>
                      <wp:extent cx="592455" cy="271145"/>
                      <wp:effectExtent l="0" t="0" r="0" b="0"/>
                      <wp:wrapNone/>
                      <wp:docPr id="33" name="文本框 237"/>
                      <wp:cNvGraphicFramePr/>
                      <a:graphic xmlns:a="http://schemas.openxmlformats.org/drawingml/2006/main">
                        <a:graphicData uri="http://schemas.microsoft.com/office/word/2010/wordprocessingShape">
                          <wps:wsp>
                            <wps:cNvSpPr txBox="1"/>
                            <wps:spPr>
                              <a:xfrm>
                                <a:off x="3620770" y="1929765"/>
                                <a:ext cx="592455" cy="271145"/>
                              </a:xfrm>
                              <a:prstGeom prst="rect">
                                <a:avLst/>
                              </a:prstGeom>
                              <a:noFill/>
                              <a:ln w="6350">
                                <a:noFill/>
                              </a:ln>
                            </wps:spPr>
                            <wps:txbx>
                              <w:txbxContent>
                                <w:p w14:paraId="1B910922">
                                  <w:pPr>
                                    <w:jc w:val="center"/>
                                    <w:rPr>
                                      <w:szCs w:val="21"/>
                                    </w:rPr>
                                  </w:pPr>
                                  <w:r>
                                    <w:rPr>
                                      <w:rFonts w:hint="eastAsia"/>
                                      <w:szCs w:val="21"/>
                                    </w:rPr>
                                    <w:t>8</w:t>
                                  </w:r>
                                  <w:r>
                                    <w:rPr>
                                      <w:szCs w:val="21"/>
                                    </w:rPr>
                                    <w:t>000</w:t>
                                  </w:r>
                                </w:p>
                              </w:txbxContent>
                            </wps:txbx>
                            <wps:bodyPr vert="horz" wrap="square" anchor="t" anchorCtr="0" upright="1"/>
                          </wps:wsp>
                        </a:graphicData>
                      </a:graphic>
                    </wp:anchor>
                  </w:drawing>
                </mc:Choice>
                <mc:Fallback>
                  <w:pict>
                    <v:shape id="文本框 237" o:spid="_x0000_s1026" o:spt="202" type="#_x0000_t202" style="position:absolute;left:0pt;margin-left:185.95pt;margin-top:0.4pt;height:21.35pt;width:46.65pt;z-index:251689984;mso-width-relative:page;mso-height-relative:page;" filled="f" stroked="f" coordsize="21600,21600" o:gfxdata="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4sB79kAAAAH&#10;AQAADwAAAAAAAAABACAAAAAiAAAAZHJzL2Rvd25yZXYueG1sUEsBAhQAFAAAAAgAh07iQAYA8PLi&#10;AQAAmAMAAA4AAAAAAAAAAQAgAAAAKAEAAGRycy9lMm9Eb2MueG1sUEsFBgAAAAAGAAYAWQEAAHwF&#10;AAAAAA==&#10;">
                      <v:fill on="f" focussize="0,0"/>
                      <v:stroke on="f" weight="0.5pt"/>
                      <v:imagedata o:title=""/>
                      <o:lock v:ext="edit" aspectratio="f"/>
                      <v:textbox>
                        <w:txbxContent>
                          <w:p w14:paraId="1B910922">
                            <w:pPr>
                              <w:jc w:val="center"/>
                              <w:rPr>
                                <w:szCs w:val="21"/>
                              </w:rPr>
                            </w:pPr>
                            <w:r>
                              <w:rPr>
                                <w:rFonts w:hint="eastAsia"/>
                                <w:szCs w:val="21"/>
                              </w:rPr>
                              <w:t>8</w:t>
                            </w:r>
                            <w:r>
                              <w:rPr>
                                <w:szCs w:val="21"/>
                              </w:rPr>
                              <w:t>000</w:t>
                            </w:r>
                          </w:p>
                        </w:txbxContent>
                      </v:textbox>
                    </v:shape>
                  </w:pict>
                </mc:Fallback>
              </mc:AlternateContent>
            </w:r>
            <w:r>
              <w:rPr>
                <w:color w:val="auto"/>
                <w:sz w:val="21"/>
              </w:rPr>
              <mc:AlternateContent>
                <mc:Choice Requires="wps">
                  <w:drawing>
                    <wp:anchor distT="0" distB="0" distL="114300" distR="114300" simplePos="0" relativeHeight="251688960" behindDoc="0" locked="0" layoutInCell="1" allowOverlap="1">
                      <wp:simplePos x="0" y="0"/>
                      <wp:positionH relativeFrom="column">
                        <wp:posOffset>2280920</wp:posOffset>
                      </wp:positionH>
                      <wp:positionV relativeFrom="paragraph">
                        <wp:posOffset>5080</wp:posOffset>
                      </wp:positionV>
                      <wp:extent cx="0" cy="201295"/>
                      <wp:effectExtent l="48895" t="0" r="65405" b="8255"/>
                      <wp:wrapNone/>
                      <wp:docPr id="32" name="直接箭头连接符 236"/>
                      <wp:cNvGraphicFramePr/>
                      <a:graphic xmlns:a="http://schemas.openxmlformats.org/drawingml/2006/main">
                        <a:graphicData uri="http://schemas.microsoft.com/office/word/2010/wordprocessingShape">
                          <wps:wsp>
                            <wps:cNvCnPr/>
                            <wps:spPr>
                              <a:xfrm flipV="1">
                                <a:off x="3540125" y="192976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179.6pt;margin-top:0.4pt;height:15.85pt;width:0pt;z-index:251688960;mso-width-relative:page;mso-height-relative:page;" filled="f" stroked="t" coordsize="21600,21600" o:gfxdata="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AoNWvUAAAABwEAAA8AAAAA&#10;AAAAAQAgAAAAIgAAAGRycy9kb3ducmV2LnhtbFBLAQIUABQAAAAIAIdO4kBixNqAGAIAAAUEAAAO&#10;AAAAAAAAAAEAIAAAACMBAABkcnMvZTJvRG9jLnhtbFBLBQYAAAAABgAGAFkBAACt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87936" behindDoc="0" locked="0" layoutInCell="1" allowOverlap="1">
                      <wp:simplePos x="0" y="0"/>
                      <wp:positionH relativeFrom="column">
                        <wp:posOffset>2280920</wp:posOffset>
                      </wp:positionH>
                      <wp:positionV relativeFrom="paragraph">
                        <wp:posOffset>205740</wp:posOffset>
                      </wp:positionV>
                      <wp:extent cx="727075" cy="0"/>
                      <wp:effectExtent l="0" t="4445" r="0" b="5080"/>
                      <wp:wrapNone/>
                      <wp:docPr id="31" name="直接连接符 235"/>
                      <wp:cNvGraphicFramePr/>
                      <a:graphic xmlns:a="http://schemas.openxmlformats.org/drawingml/2006/main">
                        <a:graphicData uri="http://schemas.microsoft.com/office/word/2010/wordprocessingShape">
                          <wps:wsp>
                            <wps:cNvCnPr/>
                            <wps:spPr>
                              <a:xfrm flipH="1">
                                <a:off x="3540125" y="2130425"/>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179.6pt;margin-top:16.2pt;height:0pt;width:57.25pt;z-index:251687936;mso-width-relative:page;mso-height-relative:page;" filled="f" stroked="t" coordsize="21600,21600" o:gfxdata="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piKO51gAAAAkBAAAPAAAAAAAAAAEAIAAAACIA&#10;AABkcnMvZG93bnJldi54bWxQSwECFAAUAAAACACHTuJAsxY2IwsCAAD8AwAADgAAAAAAAAABACAA&#10;AAAlAQAAZHJzL2Uyb0RvYy54bWxQSwUGAAAAAAYABgBZAQAAogUAAAAA&#10;">
                      <v:fill on="f" focussize="0,0"/>
                      <v:stroke color="#000000" joinstyle="round"/>
                      <v:imagedata o:title=""/>
                      <o:lock v:ext="edit" aspectratio="f"/>
                    </v:line>
                  </w:pict>
                </mc:Fallback>
              </mc:AlternateContent>
            </w:r>
          </w:p>
          <w:p w14:paraId="30460186">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76672" behindDoc="0" locked="0" layoutInCell="1" allowOverlap="1">
                      <wp:simplePos x="0" y="0"/>
                      <wp:positionH relativeFrom="column">
                        <wp:posOffset>612140</wp:posOffset>
                      </wp:positionH>
                      <wp:positionV relativeFrom="paragraph">
                        <wp:posOffset>27940</wp:posOffset>
                      </wp:positionV>
                      <wp:extent cx="592455" cy="271145"/>
                      <wp:effectExtent l="0" t="0" r="0" b="0"/>
                      <wp:wrapNone/>
                      <wp:docPr id="20" name="文本框 221"/>
                      <wp:cNvGraphicFramePr/>
                      <a:graphic xmlns:a="http://schemas.openxmlformats.org/drawingml/2006/main">
                        <a:graphicData uri="http://schemas.microsoft.com/office/word/2010/wordprocessingShape">
                          <wps:wsp>
                            <wps:cNvSpPr txBox="1"/>
                            <wps:spPr>
                              <a:xfrm>
                                <a:off x="1871345" y="2232025"/>
                                <a:ext cx="592455" cy="271145"/>
                              </a:xfrm>
                              <a:prstGeom prst="rect">
                                <a:avLst/>
                              </a:prstGeom>
                              <a:noFill/>
                              <a:ln w="6350">
                                <a:noFill/>
                              </a:ln>
                            </wps:spPr>
                            <wps:txbx>
                              <w:txbxContent>
                                <w:p w14:paraId="163EEC64">
                                  <w:pPr>
                                    <w:jc w:val="center"/>
                                    <w:rPr>
                                      <w:szCs w:val="21"/>
                                    </w:rPr>
                                  </w:pPr>
                                  <w:r>
                                    <w:rPr>
                                      <w:rFonts w:hint="eastAsia"/>
                                      <w:szCs w:val="21"/>
                                    </w:rPr>
                                    <w:t>50</w:t>
                                  </w:r>
                                </w:p>
                              </w:txbxContent>
                            </wps:txbx>
                            <wps:bodyPr vert="horz" wrap="square" anchor="t" anchorCtr="0" upright="1"/>
                          </wps:wsp>
                        </a:graphicData>
                      </a:graphic>
                    </wp:anchor>
                  </w:drawing>
                </mc:Choice>
                <mc:Fallback>
                  <w:pict>
                    <v:shape id="文本框 221" o:spid="_x0000_s1026" o:spt="202" type="#_x0000_t202" style="position:absolute;left:0pt;margin-left:48.2pt;margin-top:2.2pt;height:21.35pt;width:46.65pt;z-index:251676672;mso-width-relative:page;mso-height-relative:page;" filled="f" stroked="f" coordsize="21600,21600" o:gfxdata="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ICDO/XAAAABwEAAA8A&#10;AAAAAAAAAQAgAAAAIgAAAGRycy9kb3ducmV2LnhtbFBLAQIUABQAAAAIAIdO4kDUOPgb3wEAAJgD&#10;AAAOAAAAAAAAAAEAIAAAACYBAABkcnMvZTJvRG9jLnhtbFBLBQYAAAAABgAGAFkBAAB3BQAAAAA=&#10;">
                      <v:fill on="f" focussize="0,0"/>
                      <v:stroke on="f" weight="0.5pt"/>
                      <v:imagedata o:title=""/>
                      <o:lock v:ext="edit" aspectratio="f"/>
                      <v:textbox>
                        <w:txbxContent>
                          <w:p w14:paraId="163EEC64">
                            <w:pPr>
                              <w:jc w:val="center"/>
                              <w:rPr>
                                <w:szCs w:val="21"/>
                              </w:rPr>
                            </w:pPr>
                            <w:r>
                              <w:rPr>
                                <w:rFonts w:hint="eastAsia"/>
                                <w:szCs w:val="21"/>
                              </w:rPr>
                              <w:t>50</w:t>
                            </w:r>
                          </w:p>
                        </w:txbxContent>
                      </v:textbox>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629920</wp:posOffset>
                      </wp:positionH>
                      <wp:positionV relativeFrom="paragraph">
                        <wp:posOffset>220980</wp:posOffset>
                      </wp:positionV>
                      <wp:extent cx="702945" cy="635"/>
                      <wp:effectExtent l="0" t="48260" r="1905" b="65405"/>
                      <wp:wrapNone/>
                      <wp:docPr id="13" name="直接箭头连接符 205"/>
                      <wp:cNvGraphicFramePr/>
                      <a:graphic xmlns:a="http://schemas.openxmlformats.org/drawingml/2006/main">
                        <a:graphicData uri="http://schemas.microsoft.com/office/word/2010/wordprocessingShape">
                          <wps:wsp>
                            <wps:cNvCnPr/>
                            <wps:spPr>
                              <a:xfrm>
                                <a:off x="1889125" y="2425065"/>
                                <a:ext cx="702945" cy="635"/>
                              </a:xfrm>
                              <a:prstGeom prst="bentConnector3">
                                <a:avLst>
                                  <a:gd name="adj1" fmla="val 49958"/>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5" o:spid="_x0000_s1026" o:spt="34" type="#_x0000_t34" style="position:absolute;left:0pt;margin-left:49.6pt;margin-top:17.4pt;height:0.05pt;width:55.35pt;z-index:251669504;mso-width-relative:page;mso-height-relative:page;" filled="f" stroked="t" coordsize="21600,21600" o:gfxdata="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1Fg9Y1wAAAAgBAAAPAAAAAAAAAAEAIAAAACIAAABkcnMvZG93bnJldi54bWxQSwEC&#10;FAAUAAAACACHTuJAmLHz4i4CAAAwBAAADgAAAAAAAAABACAAAAAmAQAAZHJzL2Uyb0RvYy54bWxQ&#10;SwUGAAAAAAYABgBZAQAAxgUAAAAA&#10;" adj="10791">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2336" behindDoc="0" locked="0" layoutInCell="1" allowOverlap="1">
                      <wp:simplePos x="0" y="0"/>
                      <wp:positionH relativeFrom="column">
                        <wp:posOffset>1338580</wp:posOffset>
                      </wp:positionH>
                      <wp:positionV relativeFrom="paragraph">
                        <wp:posOffset>66040</wp:posOffset>
                      </wp:positionV>
                      <wp:extent cx="1424305" cy="271145"/>
                      <wp:effectExtent l="4445" t="4445" r="19050" b="10160"/>
                      <wp:wrapNone/>
                      <wp:docPr id="6" name="文本框 194"/>
                      <wp:cNvGraphicFramePr/>
                      <a:graphic xmlns:a="http://schemas.openxmlformats.org/drawingml/2006/main">
                        <a:graphicData uri="http://schemas.microsoft.com/office/word/2010/wordprocessingShape">
                          <wps:wsp>
                            <wps:cNvSpPr txBox="1"/>
                            <wps:spPr>
                              <a:xfrm>
                                <a:off x="2597785" y="227012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2C9A8C1">
                                  <w:pPr>
                                    <w:jc w:val="center"/>
                                    <w:rPr>
                                      <w:szCs w:val="21"/>
                                    </w:rPr>
                                  </w:pPr>
                                  <w:r>
                                    <w:rPr>
                                      <w:rFonts w:hint="eastAsia"/>
                                      <w:szCs w:val="21"/>
                                    </w:rPr>
                                    <w:t>焙烧炉脱硫系统（</w:t>
                                  </w:r>
                                  <w:r>
                                    <w:rPr>
                                      <w:szCs w:val="21"/>
                                    </w:rPr>
                                    <w:t>-</w:t>
                                  </w:r>
                                  <w:r>
                                    <w:rPr>
                                      <w:rFonts w:hint="eastAsia"/>
                                      <w:szCs w:val="21"/>
                                    </w:rPr>
                                    <w:t>8</w:t>
                                  </w:r>
                                  <w:r>
                                    <w:rPr>
                                      <w:szCs w:val="21"/>
                                    </w:rPr>
                                    <w:t>0</w:t>
                                  </w:r>
                                  <w:r>
                                    <w:rPr>
                                      <w:rFonts w:hint="eastAsia"/>
                                      <w:szCs w:val="21"/>
                                    </w:rPr>
                                    <w:t>）</w:t>
                                  </w:r>
                                </w:p>
                              </w:txbxContent>
                            </wps:txbx>
                            <wps:bodyPr vert="horz" wrap="square" anchor="t" anchorCtr="0" upright="1"/>
                          </wps:wsp>
                        </a:graphicData>
                      </a:graphic>
                    </wp:anchor>
                  </w:drawing>
                </mc:Choice>
                <mc:Fallback>
                  <w:pict>
                    <v:shape id="文本框 194" o:spid="_x0000_s1026" o:spt="202" type="#_x0000_t202" style="position:absolute;left:0pt;margin-left:105.4pt;margin-top:5.2pt;height:21.35pt;width:112.15pt;z-index:251662336;mso-width-relative:page;mso-height-relative:page;" fillcolor="#FFFFFF" filled="t" stroked="t" coordsize="21600,21600" o:gfxdata="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8rfg9UAAAAJAQAADwAAAAAAAAABACAAAAAiAAAAZHJzL2Rvd25yZXYu&#10;eG1sUEsBAhQAFAAAAAgAh07iQMcwXlU3AgAAdwQAAA4AAAAAAAAAAQAgAAAAJAEAAGRycy9lMm9E&#10;b2MueG1sUEsFBgAAAAAGAAYAWQEAAM0FAAAAAA==&#10;">
                      <v:fill on="t" focussize="0,0"/>
                      <v:stroke weight="0.5pt" color="#000000" joinstyle="miter"/>
                      <v:imagedata o:title=""/>
                      <o:lock v:ext="edit" aspectratio="f"/>
                      <v:textbox>
                        <w:txbxContent>
                          <w:p w14:paraId="52C9A8C1">
                            <w:pPr>
                              <w:jc w:val="center"/>
                              <w:rPr>
                                <w:szCs w:val="21"/>
                              </w:rPr>
                            </w:pPr>
                            <w:r>
                              <w:rPr>
                                <w:rFonts w:hint="eastAsia"/>
                                <w:szCs w:val="21"/>
                              </w:rPr>
                              <w:t>焙烧炉脱硫系统（</w:t>
                            </w:r>
                            <w:r>
                              <w:rPr>
                                <w:szCs w:val="21"/>
                              </w:rPr>
                              <w:t>-</w:t>
                            </w:r>
                            <w:r>
                              <w:rPr>
                                <w:rFonts w:hint="eastAsia"/>
                                <w:szCs w:val="21"/>
                              </w:rPr>
                              <w:t>8</w:t>
                            </w:r>
                            <w:r>
                              <w:rPr>
                                <w:szCs w:val="21"/>
                              </w:rPr>
                              <w:t>0</w:t>
                            </w:r>
                            <w:r>
                              <w:rPr>
                                <w:rFonts w:hint="eastAsia"/>
                                <w:szCs w:val="21"/>
                              </w:rPr>
                              <w:t>）</w:t>
                            </w:r>
                          </w:p>
                        </w:txbxContent>
                      </v:textbox>
                    </v:shape>
                  </w:pict>
                </mc:Fallback>
              </mc:AlternateContent>
            </w:r>
          </w:p>
          <w:p w14:paraId="6699EA6B">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8656" behindDoc="0" locked="0" layoutInCell="1" allowOverlap="1">
                      <wp:simplePos x="0" y="0"/>
                      <wp:positionH relativeFrom="column">
                        <wp:posOffset>3669030</wp:posOffset>
                      </wp:positionH>
                      <wp:positionV relativeFrom="paragraph">
                        <wp:posOffset>33020</wp:posOffset>
                      </wp:positionV>
                      <wp:extent cx="592455" cy="271145"/>
                      <wp:effectExtent l="0" t="0" r="0" b="0"/>
                      <wp:wrapNone/>
                      <wp:docPr id="95"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104A3A1F">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288.9pt;margin-top:2.6pt;height:21.35pt;width:46.65pt;z-index:251718656;mso-width-relative:page;mso-height-relative:page;" filled="f" stroked="f" coordsize="21600,21600" o:gfxdata="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CzDDtoAAAAIAQAADwAAAAAAAAAB&#10;ACAAAAAiAAAAZHJzL2Rvd25yZXYueG1sUEsBAhQAFAAAAAgAh07iQBkzcqfVAQAAjAMAAA4AAAAA&#10;AAAAAQAgAAAAKQEAAGRycy9lMm9Eb2MueG1sUEsFBgAAAAAGAAYAWQEAAHAFAAAAAA==&#10;">
                      <v:fill on="f" focussize="0,0"/>
                      <v:stroke on="f" weight="0.5pt"/>
                      <v:imagedata o:title=""/>
                      <o:lock v:ext="edit" aspectratio="f"/>
                      <v:textbox>
                        <w:txbxContent>
                          <w:p w14:paraId="104A3A1F">
                            <w:pPr>
                              <w:jc w:val="center"/>
                              <w:rPr>
                                <w:szCs w:val="21"/>
                              </w:rPr>
                            </w:pPr>
                            <w:r>
                              <w:rPr>
                                <w:rFonts w:hint="eastAsia"/>
                                <w:szCs w:val="21"/>
                              </w:rPr>
                              <w:t>100</w:t>
                            </w:r>
                          </w:p>
                        </w:txbxContent>
                      </v:textbox>
                    </v:shape>
                  </w:pict>
                </mc:Fallback>
              </mc:AlternateContent>
            </w:r>
            <w:r>
              <w:rPr>
                <w:color w:val="auto"/>
                <w:sz w:val="21"/>
              </w:rPr>
              <mc:AlternateContent>
                <mc:Choice Requires="wps">
                  <w:drawing>
                    <wp:anchor distT="0" distB="0" distL="114300" distR="114300" simplePos="0" relativeHeight="251717632" behindDoc="0" locked="0" layoutInCell="1" allowOverlap="1">
                      <wp:simplePos x="0" y="0"/>
                      <wp:positionH relativeFrom="column">
                        <wp:posOffset>3627755</wp:posOffset>
                      </wp:positionH>
                      <wp:positionV relativeFrom="paragraph">
                        <wp:posOffset>230505</wp:posOffset>
                      </wp:positionV>
                      <wp:extent cx="181610" cy="143510"/>
                      <wp:effectExtent l="3175" t="0" r="5715" b="8890"/>
                      <wp:wrapNone/>
                      <wp:docPr id="94" name="直接箭头连接符 94"/>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5.65pt;margin-top:18.15pt;height:11.3pt;width:14.3pt;z-index:251717632;mso-width-relative:page;mso-height-relative:page;" filled="f" stroked="t" coordsize="21600,21600" o:gfxdata="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Wq73fZAAAACQEAAA8AAAAAAAAA&#10;AQAgAAAAIgAAAGRycy9kb3ducmV2LnhtbFBLAQIUABQAAAAIAIdO4kAUBWW2EAIAAOsDAAAOAAAA&#10;AAAAAAEAIAAAACgBAABkcnMvZTJvRG9jLnhtbFBLBQYAAAAABgAGAFkBAACq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91008" behindDoc="0" locked="0" layoutInCell="1" allowOverlap="1">
                      <wp:simplePos x="0" y="0"/>
                      <wp:positionH relativeFrom="column">
                        <wp:posOffset>1425575</wp:posOffset>
                      </wp:positionH>
                      <wp:positionV relativeFrom="paragraph">
                        <wp:posOffset>89535</wp:posOffset>
                      </wp:positionV>
                      <wp:extent cx="592455" cy="271145"/>
                      <wp:effectExtent l="0" t="0" r="0" b="0"/>
                      <wp:wrapNone/>
                      <wp:docPr id="34" name="文本框 222"/>
                      <wp:cNvGraphicFramePr/>
                      <a:graphic xmlns:a="http://schemas.openxmlformats.org/drawingml/2006/main">
                        <a:graphicData uri="http://schemas.microsoft.com/office/word/2010/wordprocessingShape">
                          <wps:wsp>
                            <wps:cNvSpPr txBox="1"/>
                            <wps:spPr>
                              <a:xfrm>
                                <a:off x="2684780" y="2573020"/>
                                <a:ext cx="592455" cy="271145"/>
                              </a:xfrm>
                              <a:prstGeom prst="rect">
                                <a:avLst/>
                              </a:prstGeom>
                              <a:noFill/>
                              <a:ln w="6350">
                                <a:noFill/>
                              </a:ln>
                            </wps:spPr>
                            <wps:txbx>
                              <w:txbxContent>
                                <w:p w14:paraId="56C52FCE">
                                  <w:pPr>
                                    <w:jc w:val="center"/>
                                    <w:rPr>
                                      <w:szCs w:val="21"/>
                                    </w:rPr>
                                  </w:pPr>
                                  <w:r>
                                    <w:rPr>
                                      <w:rFonts w:hint="eastAsia"/>
                                      <w:szCs w:val="21"/>
                                    </w:rPr>
                                    <w:t>3</w:t>
                                  </w:r>
                                  <w:r>
                                    <w:rPr>
                                      <w:szCs w:val="21"/>
                                    </w:rPr>
                                    <w:t>0</w:t>
                                  </w:r>
                                </w:p>
                              </w:txbxContent>
                            </wps:txbx>
                            <wps:bodyPr vert="horz" wrap="square" anchor="t" anchorCtr="0" upright="1"/>
                          </wps:wsp>
                        </a:graphicData>
                      </a:graphic>
                    </wp:anchor>
                  </w:drawing>
                </mc:Choice>
                <mc:Fallback>
                  <w:pict>
                    <v:shape id="文本框 222" o:spid="_x0000_s1026" o:spt="202" type="#_x0000_t202" style="position:absolute;left:0pt;margin-left:112.25pt;margin-top:7.05pt;height:21.35pt;width:46.65pt;z-index:251691008;mso-width-relative:page;mso-height-relative:page;" filled="f" stroked="f" coordsize="21600,21600" o:gfxdata="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HsGsj2gAAAAkB&#10;AAAPAAAAAAAAAAEAIAAAACIAAABkcnMvZG93bnJldi54bWxQSwECFAAUAAAACACHTuJA8RWwrOAB&#10;AACYAwAADgAAAAAAAAABACAAAAApAQAAZHJzL2Uyb0RvYy54bWxQSwUGAAAAAAYABgBZAQAAewUA&#10;AAAA&#10;">
                      <v:fill on="f" focussize="0,0"/>
                      <v:stroke on="f" weight="0.5pt"/>
                      <v:imagedata o:title=""/>
                      <o:lock v:ext="edit" aspectratio="f"/>
                      <v:textbox>
                        <w:txbxContent>
                          <w:p w14:paraId="56C52FCE">
                            <w:pPr>
                              <w:jc w:val="center"/>
                              <w:rPr>
                                <w:szCs w:val="21"/>
                              </w:rPr>
                            </w:pPr>
                            <w:r>
                              <w:rPr>
                                <w:rFonts w:hint="eastAsia"/>
                                <w:szCs w:val="21"/>
                              </w:rPr>
                              <w:t>3</w:t>
                            </w:r>
                            <w:r>
                              <w:rPr>
                                <w:szCs w:val="21"/>
                              </w:rPr>
                              <w:t>0</w:t>
                            </w:r>
                          </w:p>
                        </w:txbxContent>
                      </v:textbox>
                    </v:shape>
                  </w:pict>
                </mc:Fallback>
              </mc:AlternateContent>
            </w:r>
            <w:r>
              <w:rPr>
                <w:color w:val="auto"/>
                <w:sz w:val="21"/>
              </w:rPr>
              <mc:AlternateContent>
                <mc:Choice Requires="wps">
                  <w:drawing>
                    <wp:anchor distT="0" distB="0" distL="114300" distR="114300" simplePos="0" relativeHeight="251684864" behindDoc="0" locked="0" layoutInCell="1" allowOverlap="1">
                      <wp:simplePos x="0" y="0"/>
                      <wp:positionH relativeFrom="column">
                        <wp:posOffset>2334895</wp:posOffset>
                      </wp:positionH>
                      <wp:positionV relativeFrom="paragraph">
                        <wp:posOffset>54610</wp:posOffset>
                      </wp:positionV>
                      <wp:extent cx="592455" cy="271145"/>
                      <wp:effectExtent l="0" t="0" r="0" b="0"/>
                      <wp:wrapNone/>
                      <wp:docPr id="28" name="文本框 237"/>
                      <wp:cNvGraphicFramePr/>
                      <a:graphic xmlns:a="http://schemas.openxmlformats.org/drawingml/2006/main">
                        <a:graphicData uri="http://schemas.microsoft.com/office/word/2010/wordprocessingShape">
                          <wps:wsp>
                            <wps:cNvSpPr txBox="1"/>
                            <wps:spPr>
                              <a:xfrm>
                                <a:off x="3594100" y="2538095"/>
                                <a:ext cx="592455" cy="271145"/>
                              </a:xfrm>
                              <a:prstGeom prst="rect">
                                <a:avLst/>
                              </a:prstGeom>
                              <a:noFill/>
                              <a:ln w="6350">
                                <a:noFill/>
                              </a:ln>
                            </wps:spPr>
                            <wps:txbx>
                              <w:txbxContent>
                                <w:p w14:paraId="049F97C2">
                                  <w:pPr>
                                    <w:jc w:val="center"/>
                                    <w:rPr>
                                      <w:szCs w:val="21"/>
                                    </w:rPr>
                                  </w:pPr>
                                  <w:r>
                                    <w:rPr>
                                      <w:szCs w:val="21"/>
                                    </w:rPr>
                                    <w:t>5</w:t>
                                  </w:r>
                                  <w:r>
                                    <w:rPr>
                                      <w:rFonts w:hint="eastAsia"/>
                                      <w:szCs w:val="21"/>
                                    </w:rPr>
                                    <w:t>0</w:t>
                                  </w:r>
                                  <w:r>
                                    <w:rPr>
                                      <w:szCs w:val="21"/>
                                    </w:rPr>
                                    <w:t>00</w:t>
                                  </w:r>
                                </w:p>
                              </w:txbxContent>
                            </wps:txbx>
                            <wps:bodyPr vert="horz" wrap="square" anchor="t" anchorCtr="0" upright="1"/>
                          </wps:wsp>
                        </a:graphicData>
                      </a:graphic>
                    </wp:anchor>
                  </w:drawing>
                </mc:Choice>
                <mc:Fallback>
                  <w:pict>
                    <v:shape id="文本框 237" o:spid="_x0000_s1026" o:spt="202" type="#_x0000_t202" style="position:absolute;left:0pt;margin-left:183.85pt;margin-top:4.3pt;height:21.35pt;width:46.65pt;z-index:251684864;mso-width-relative:page;mso-height-relative:page;" filled="f" stroked="f" coordsize="21600,21600" o:gfxdata="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5VkNNoAAAAI&#10;AQAADwAAAAAAAAABACAAAAAiAAAAZHJzL2Rvd25yZXYueG1sUEsBAhQAFAAAAAgAh07iQMcBjDPh&#10;AQAAmAMAAA4AAAAAAAAAAQAgAAAAKQEAAGRycy9lMm9Eb2MueG1sUEsFBgAAAAAGAAYAWQEAAHwF&#10;AAAAAA==&#10;">
                      <v:fill on="f" focussize="0,0"/>
                      <v:stroke on="f" weight="0.5pt"/>
                      <v:imagedata o:title=""/>
                      <o:lock v:ext="edit" aspectratio="f"/>
                      <v:textbox>
                        <w:txbxContent>
                          <w:p w14:paraId="049F97C2">
                            <w:pPr>
                              <w:jc w:val="center"/>
                              <w:rPr>
                                <w:szCs w:val="21"/>
                              </w:rPr>
                            </w:pPr>
                            <w:r>
                              <w:rPr>
                                <w:szCs w:val="21"/>
                              </w:rPr>
                              <w:t>5</w:t>
                            </w:r>
                            <w:r>
                              <w:rPr>
                                <w:rFonts w:hint="eastAsia"/>
                                <w:szCs w:val="21"/>
                              </w:rPr>
                              <w:t>0</w:t>
                            </w:r>
                            <w:r>
                              <w:rPr>
                                <w:szCs w:val="21"/>
                              </w:rPr>
                              <w:t>00</w:t>
                            </w:r>
                          </w:p>
                        </w:txbxContent>
                      </v:textbox>
                    </v:shape>
                  </w:pict>
                </mc:Fallback>
              </mc:AlternateContent>
            </w:r>
            <w:r>
              <w:rPr>
                <w:color w:val="auto"/>
                <w:sz w:val="21"/>
              </w:rPr>
              <mc:AlternateContent>
                <mc:Choice Requires="wps">
                  <w:drawing>
                    <wp:anchor distT="0" distB="0" distL="114300" distR="114300" simplePos="0" relativeHeight="251683840" behindDoc="0" locked="0" layoutInCell="1" allowOverlap="1">
                      <wp:simplePos x="0" y="0"/>
                      <wp:positionH relativeFrom="column">
                        <wp:posOffset>2254250</wp:posOffset>
                      </wp:positionH>
                      <wp:positionV relativeFrom="paragraph">
                        <wp:posOffset>54610</wp:posOffset>
                      </wp:positionV>
                      <wp:extent cx="0" cy="201295"/>
                      <wp:effectExtent l="48895" t="0" r="65405" b="8255"/>
                      <wp:wrapNone/>
                      <wp:docPr id="27" name="直接箭头连接符 236"/>
                      <wp:cNvGraphicFramePr/>
                      <a:graphic xmlns:a="http://schemas.openxmlformats.org/drawingml/2006/main">
                        <a:graphicData uri="http://schemas.microsoft.com/office/word/2010/wordprocessingShape">
                          <wps:wsp>
                            <wps:cNvCnPr/>
                            <wps:spPr>
                              <a:xfrm flipV="1">
                                <a:off x="3513455" y="253809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177.5pt;margin-top:4.3pt;height:15.85pt;width:0pt;z-index:251683840;mso-width-relative:page;mso-height-relative:page;" filled="f" stroked="t" coordsize="21600,21600" o:gfxdata="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9nFrfVAAAACAEAAA8A&#10;AAAAAAAAAQAgAAAAIgAAAGRycy9kb3ducmV2LnhtbFBLAQIUABQAAAAIAIdO4kAl/ah8GgIAAAUE&#10;AAAOAAAAAAAAAAEAIAAAACQBAABkcnMvZTJvRG9jLnhtbFBLBQYAAAAABgAGAFkBAACw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82816" behindDoc="0" locked="0" layoutInCell="1" allowOverlap="1">
                      <wp:simplePos x="0" y="0"/>
                      <wp:positionH relativeFrom="column">
                        <wp:posOffset>2254250</wp:posOffset>
                      </wp:positionH>
                      <wp:positionV relativeFrom="paragraph">
                        <wp:posOffset>255905</wp:posOffset>
                      </wp:positionV>
                      <wp:extent cx="727075" cy="0"/>
                      <wp:effectExtent l="0" t="4445" r="0" b="5080"/>
                      <wp:wrapNone/>
                      <wp:docPr id="26" name="直接连接符 235"/>
                      <wp:cNvGraphicFramePr/>
                      <a:graphic xmlns:a="http://schemas.openxmlformats.org/drawingml/2006/main">
                        <a:graphicData uri="http://schemas.microsoft.com/office/word/2010/wordprocessingShape">
                          <wps:wsp>
                            <wps:cNvCnPr/>
                            <wps:spPr>
                              <a:xfrm flipH="1">
                                <a:off x="3513455" y="2739390"/>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177.5pt;margin-top:20.15pt;height:0pt;width:57.25pt;z-index:251682816;mso-width-relative:page;mso-height-relative:page;" filled="f" stroked="t" coordsize="21600,21600" o:gfxdata="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ocmvb1wAAAAkBAAAPAAAAAAAAAAEAIAAA&#10;ACIAAABkcnMvZG93bnJldi54bWxQSwECFAAUAAAACACHTuJAEH1btQ0CAAD8AwAADgAAAAAAAAAB&#10;ACAAAAAmAQAAZHJzL2Uyb0RvYy54bWxQSwUGAAAAAAYABgBZAQAApQ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1792" behindDoc="0" locked="0" layoutInCell="1" allowOverlap="1">
                      <wp:simplePos x="0" y="0"/>
                      <wp:positionH relativeFrom="column">
                        <wp:posOffset>2981325</wp:posOffset>
                      </wp:positionH>
                      <wp:positionV relativeFrom="paragraph">
                        <wp:posOffset>10795</wp:posOffset>
                      </wp:positionV>
                      <wp:extent cx="0" cy="244475"/>
                      <wp:effectExtent l="4445" t="0" r="14605" b="3175"/>
                      <wp:wrapNone/>
                      <wp:docPr id="25" name="直接连接符 234"/>
                      <wp:cNvGraphicFramePr/>
                      <a:graphic xmlns:a="http://schemas.openxmlformats.org/drawingml/2006/main">
                        <a:graphicData uri="http://schemas.microsoft.com/office/word/2010/wordprocessingShape">
                          <wps:wsp>
                            <wps:cNvCnPr/>
                            <wps:spPr>
                              <a:xfrm>
                                <a:off x="4240530" y="2494280"/>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234.75pt;margin-top:0.85pt;height:19.25pt;width:0pt;z-index:251681792;mso-width-relative:page;mso-height-relative:page;" filled="f" stroked="t" coordsize="21600,21600" o:gfxdata="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FXSnLUAAAACAEAAA8AAAAAAAAAAQAgAAAAIgAAAGRycy9kb3ducmV2&#10;LnhtbFBLAQIUABQAAAAIAIdO4kB6Hy93AAIAAPIDAAAOAAAAAAAAAAEAIAAAACMBAABkcnMvZTJv&#10;RG9jLnhtbFBLBQYAAAAABgAGAFkBAACVBQ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0768" behindDoc="0" locked="0" layoutInCell="1" allowOverlap="1">
                      <wp:simplePos x="0" y="0"/>
                      <wp:positionH relativeFrom="column">
                        <wp:posOffset>2774950</wp:posOffset>
                      </wp:positionH>
                      <wp:positionV relativeFrom="paragraph">
                        <wp:posOffset>10795</wp:posOffset>
                      </wp:positionV>
                      <wp:extent cx="206375" cy="0"/>
                      <wp:effectExtent l="0" t="4445" r="0" b="5080"/>
                      <wp:wrapNone/>
                      <wp:docPr id="24" name="直接连接符 233"/>
                      <wp:cNvGraphicFramePr/>
                      <a:graphic xmlns:a="http://schemas.openxmlformats.org/drawingml/2006/main">
                        <a:graphicData uri="http://schemas.microsoft.com/office/word/2010/wordprocessingShape">
                          <wps:wsp>
                            <wps:cNvCnPr/>
                            <wps:spPr>
                              <a:xfrm>
                                <a:off x="4034155" y="249428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218.5pt;margin-top:0.85pt;height:0pt;width:16.25pt;z-index:251680768;mso-width-relative:page;mso-height-relative:page;" filled="f" stroked="t" coordsize="21600,21600" o:gfxdata="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g0F9UAAAAHAQAADwAAAAAAAAABACAAAAAiAAAAZHJzL2Rv&#10;d25yZXYueG1sUEsBAhQAFAAAAAgAh07iQIXfmsYEAgAA8gMAAA4AAAAAAAAAAQAgAAAAJAEAAGRy&#10;cy9lMm9Eb2MueG1sUEsFBgAAAAAGAAYAWQEAAJo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72576" behindDoc="0" locked="0" layoutInCell="1" allowOverlap="1">
                      <wp:simplePos x="0" y="0"/>
                      <wp:positionH relativeFrom="column">
                        <wp:posOffset>1703070</wp:posOffset>
                      </wp:positionH>
                      <wp:positionV relativeFrom="paragraph">
                        <wp:posOffset>221615</wp:posOffset>
                      </wp:positionV>
                      <wp:extent cx="335280" cy="0"/>
                      <wp:effectExtent l="48895" t="0" r="65405" b="7620"/>
                      <wp:wrapNone/>
                      <wp:docPr id="16" name="直接箭头连接符 213"/>
                      <wp:cNvGraphicFramePr/>
                      <a:graphic xmlns:a="http://schemas.openxmlformats.org/drawingml/2006/main">
                        <a:graphicData uri="http://schemas.microsoft.com/office/word/2010/wordprocessingShape">
                          <wps:wsp>
                            <wps:cNvCnPr/>
                            <wps:spPr>
                              <a:xfrm rot="16200000">
                                <a:off x="2962275" y="2705100"/>
                                <a:ext cx="335280" cy="0"/>
                              </a:xfrm>
                              <a:prstGeom prst="bentConnector3">
                                <a:avLst>
                                  <a:gd name="adj1" fmla="val 49912"/>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13" o:spid="_x0000_s1026" o:spt="34" type="#_x0000_t34" style="position:absolute;left:0pt;margin-left:134.1pt;margin-top:17.45pt;height:0pt;width:26.4pt;rotation:-5898240f;z-index:251672576;mso-width-relative:page;mso-height-relative:page;" filled="f" stroked="t" coordsize="21600,21600" o:gfxdata="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AKeEtcAAAAJAQAADwAAAAAAAAABACAAAAAiAAAAZHJzL2Rvd25yZXYu&#10;eG1sUEsBAhQAFAAAAAgAh07iQO8oQ8M1AgAAPQQAAA4AAAAAAAAAAQAgAAAAJgEAAGRycy9lMm9E&#10;b2MueG1sUEsFBgAAAAAGAAYAWQEAAM0FAAAAAA==&#10;" adj="10781">
                      <v:fill on="f" focussize="0,0"/>
                      <v:stroke color="#000000" joinstyle="miter" endarrow="open"/>
                      <v:imagedata o:title=""/>
                      <o:lock v:ext="edit" aspectratio="f"/>
                    </v:shape>
                  </w:pict>
                </mc:Fallback>
              </mc:AlternateContent>
            </w:r>
          </w:p>
          <w:p w14:paraId="621E2514">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99200" behindDoc="0" locked="0" layoutInCell="1" allowOverlap="1">
                      <wp:simplePos x="0" y="0"/>
                      <wp:positionH relativeFrom="column">
                        <wp:posOffset>2326005</wp:posOffset>
                      </wp:positionH>
                      <wp:positionV relativeFrom="paragraph">
                        <wp:posOffset>40005</wp:posOffset>
                      </wp:positionV>
                      <wp:extent cx="592455" cy="271145"/>
                      <wp:effectExtent l="0" t="0" r="0" b="0"/>
                      <wp:wrapNone/>
                      <wp:docPr id="42" name="文本框 222"/>
                      <wp:cNvGraphicFramePr/>
                      <a:graphic xmlns:a="http://schemas.openxmlformats.org/drawingml/2006/main">
                        <a:graphicData uri="http://schemas.microsoft.com/office/word/2010/wordprocessingShape">
                          <wps:wsp>
                            <wps:cNvSpPr txBox="1"/>
                            <wps:spPr>
                              <a:xfrm>
                                <a:off x="3585210" y="2802890"/>
                                <a:ext cx="592455" cy="271145"/>
                              </a:xfrm>
                              <a:prstGeom prst="rect">
                                <a:avLst/>
                              </a:prstGeom>
                              <a:noFill/>
                              <a:ln w="6350">
                                <a:noFill/>
                              </a:ln>
                            </wps:spPr>
                            <wps:txbx>
                              <w:txbxContent>
                                <w:p w14:paraId="5D435924">
                                  <w:pPr>
                                    <w:jc w:val="center"/>
                                    <w:rPr>
                                      <w:szCs w:val="21"/>
                                    </w:rPr>
                                  </w:pPr>
                                  <w:r>
                                    <w:rPr>
                                      <w:rFonts w:hint="eastAsia"/>
                                      <w:szCs w:val="21"/>
                                    </w:rPr>
                                    <w:t>120</w:t>
                                  </w:r>
                                </w:p>
                              </w:txbxContent>
                            </wps:txbx>
                            <wps:bodyPr vert="horz" wrap="square" anchor="t" anchorCtr="0" upright="1"/>
                          </wps:wsp>
                        </a:graphicData>
                      </a:graphic>
                    </wp:anchor>
                  </w:drawing>
                </mc:Choice>
                <mc:Fallback>
                  <w:pict>
                    <v:shape id="文本框 222" o:spid="_x0000_s1026" o:spt="202" type="#_x0000_t202" style="position:absolute;left:0pt;margin-left:183.15pt;margin-top:3.15pt;height:21.35pt;width:46.65pt;z-index:251699200;mso-width-relative:page;mso-height-relative:page;" filled="f" stroked="f" coordsize="21600,21600" o:gfxdata="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mIp+p2gAAAAgB&#10;AAAPAAAAAAAAAAEAIAAAACIAAABkcnMvZG93bnJldi54bWxQSwECFAAUAAAACACHTuJADN63suAB&#10;AACYAwAADgAAAAAAAAABACAAAAApAQAAZHJzL2Uyb0RvYy54bWxQSwUGAAAAAAYABgBZAQAAewUA&#10;AAAA&#10;">
                      <v:fill on="f" focussize="0,0"/>
                      <v:stroke on="f" weight="0.5pt"/>
                      <v:imagedata o:title=""/>
                      <o:lock v:ext="edit" aspectratio="f"/>
                      <v:textbox>
                        <w:txbxContent>
                          <w:p w14:paraId="5D435924">
                            <w:pPr>
                              <w:jc w:val="center"/>
                              <w:rPr>
                                <w:szCs w:val="21"/>
                              </w:rPr>
                            </w:pPr>
                            <w:r>
                              <w:rPr>
                                <w:rFonts w:hint="eastAsia"/>
                                <w:szCs w:val="21"/>
                              </w:rPr>
                              <w:t>120</w:t>
                            </w:r>
                          </w:p>
                        </w:txbxContent>
                      </v:textbox>
                    </v:shape>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2388870</wp:posOffset>
                      </wp:positionH>
                      <wp:positionV relativeFrom="paragraph">
                        <wp:posOffset>247015</wp:posOffset>
                      </wp:positionV>
                      <wp:extent cx="542925" cy="0"/>
                      <wp:effectExtent l="0" t="48895" r="9525" b="65405"/>
                      <wp:wrapNone/>
                      <wp:docPr id="41" name="直接箭头连接符 204"/>
                      <wp:cNvGraphicFramePr/>
                      <a:graphic xmlns:a="http://schemas.openxmlformats.org/drawingml/2006/main">
                        <a:graphicData uri="http://schemas.microsoft.com/office/word/2010/wordprocessingShape">
                          <wps:wsp>
                            <wps:cNvCnPr/>
                            <wps:spPr>
                              <a:xfrm>
                                <a:off x="3648075" y="300990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4" o:spid="_x0000_s1026" o:spt="32" type="#_x0000_t32" style="position:absolute;left:0pt;margin-left:188.1pt;margin-top:19.45pt;height:0pt;width:42.75pt;z-index:251698176;mso-width-relative:page;mso-height-relative:page;" filled="f" stroked="t" coordsize="21600,21600" o:gfxdata="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JzrjNcAAAAJAQAADwAAAAAAAAAB&#10;ACAAAAAiAAAAZHJzL2Rvd25yZXYueG1sUEsBAhQAFAAAAAgAh07iQHW1dCkRAgAA+wMAAA4AAAAA&#10;AAAAAQAgAAAAJgEAAGRycy9lMm9Eb2MueG1sUEsFBgAAAAAGAAYAWQEAAKkFA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2927350</wp:posOffset>
                      </wp:positionH>
                      <wp:positionV relativeFrom="paragraph">
                        <wp:posOffset>109855</wp:posOffset>
                      </wp:positionV>
                      <wp:extent cx="1424305" cy="271145"/>
                      <wp:effectExtent l="4445" t="4445" r="19050" b="10160"/>
                      <wp:wrapNone/>
                      <wp:docPr id="35" name="文本框 193"/>
                      <wp:cNvGraphicFramePr/>
                      <a:graphic xmlns:a="http://schemas.openxmlformats.org/drawingml/2006/main">
                        <a:graphicData uri="http://schemas.microsoft.com/office/word/2010/wordprocessingShape">
                          <wps:wsp>
                            <wps:cNvSpPr txBox="1"/>
                            <wps:spPr>
                              <a:xfrm>
                                <a:off x="4186555" y="2872740"/>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F16A160">
                                  <w:pPr>
                                    <w:jc w:val="center"/>
                                    <w:rPr>
                                      <w:szCs w:val="21"/>
                                    </w:rPr>
                                  </w:pPr>
                                  <w:r>
                                    <w:rPr>
                                      <w:rFonts w:hint="eastAsia"/>
                                      <w:szCs w:val="21"/>
                                    </w:rPr>
                                    <w:t>煅烧循环冷却水（</w:t>
                                  </w:r>
                                  <w:r>
                                    <w:rPr>
                                      <w:szCs w:val="21"/>
                                    </w:rPr>
                                    <w:t>-</w:t>
                                  </w:r>
                                  <w:r>
                                    <w:rPr>
                                      <w:rFonts w:hint="eastAsia"/>
                                      <w:szCs w:val="21"/>
                                    </w:rPr>
                                    <w:t>10</w:t>
                                  </w:r>
                                  <w:r>
                                    <w:rPr>
                                      <w:szCs w:val="21"/>
                                    </w:rPr>
                                    <w:t>0</w:t>
                                  </w:r>
                                  <w:r>
                                    <w:rPr>
                                      <w:rFonts w:hint="eastAsia"/>
                                      <w:szCs w:val="21"/>
                                    </w:rPr>
                                    <w:t>）</w:t>
                                  </w:r>
                                </w:p>
                              </w:txbxContent>
                            </wps:txbx>
                            <wps:bodyPr vert="horz" wrap="square" anchor="t" anchorCtr="0" upright="1"/>
                          </wps:wsp>
                        </a:graphicData>
                      </a:graphic>
                    </wp:anchor>
                  </w:drawing>
                </mc:Choice>
                <mc:Fallback>
                  <w:pict>
                    <v:shape id="文本框 193" o:spid="_x0000_s1026" o:spt="202" type="#_x0000_t202" style="position:absolute;left:0pt;margin-left:230.5pt;margin-top:8.65pt;height:21.35pt;width:112.15pt;z-index:251692032;mso-width-relative:page;mso-height-relative:page;" fillcolor="#FFFFFF" filled="t" stroked="t" coordsize="21600,21600" o:gfxdata="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KFyWfVAAAACQEAAA8AAAAAAAAAAQAgAAAAIgAAAGRycy9kb3ducmV2Lnht&#10;bFBLAQIUABQAAAAIAIdO4kD1cFcxNQIAAHgEAAAOAAAAAAAAAAEAIAAAACQBAABkcnMvZTJvRG9j&#10;LnhtbFBLBQYAAAAABgAGAFkBAADLBQAAAAA=&#10;">
                      <v:fill on="t" focussize="0,0"/>
                      <v:stroke weight="0.5pt" color="#000000" joinstyle="miter"/>
                      <v:imagedata o:title=""/>
                      <o:lock v:ext="edit" aspectratio="f"/>
                      <v:textbox>
                        <w:txbxContent>
                          <w:p w14:paraId="5F16A160">
                            <w:pPr>
                              <w:jc w:val="center"/>
                              <w:rPr>
                                <w:szCs w:val="21"/>
                              </w:rPr>
                            </w:pPr>
                            <w:r>
                              <w:rPr>
                                <w:rFonts w:hint="eastAsia"/>
                                <w:szCs w:val="21"/>
                              </w:rPr>
                              <w:t>煅烧循环冷却水（</w:t>
                            </w:r>
                            <w:r>
                              <w:rPr>
                                <w:szCs w:val="21"/>
                              </w:rPr>
                              <w:t>-</w:t>
                            </w:r>
                            <w:r>
                              <w:rPr>
                                <w:rFonts w:hint="eastAsia"/>
                                <w:szCs w:val="21"/>
                              </w:rPr>
                              <w:t>10</w:t>
                            </w:r>
                            <w:r>
                              <w:rPr>
                                <w:szCs w:val="21"/>
                              </w:rPr>
                              <w:t>0</w:t>
                            </w:r>
                            <w:r>
                              <w:rPr>
                                <w:rFonts w:hint="eastAsia"/>
                                <w:szCs w:val="21"/>
                              </w:rPr>
                              <w:t>）</w:t>
                            </w:r>
                          </w:p>
                        </w:txbxContent>
                      </v:textbox>
                    </v:shape>
                  </w:pict>
                </mc:Fallback>
              </mc:AlternateContent>
            </w:r>
            <w:r>
              <w:rPr>
                <w:color w:val="auto"/>
                <w:sz w:val="21"/>
              </w:rPr>
              <mc:AlternateContent>
                <mc:Choice Requires="wps">
                  <w:drawing>
                    <wp:anchor distT="0" distB="0" distL="114300" distR="114300" simplePos="0" relativeHeight="251677696" behindDoc="0" locked="0" layoutInCell="1" allowOverlap="1">
                      <wp:simplePos x="0" y="0"/>
                      <wp:positionH relativeFrom="column">
                        <wp:posOffset>621030</wp:posOffset>
                      </wp:positionH>
                      <wp:positionV relativeFrom="paragraph">
                        <wp:posOffset>46355</wp:posOffset>
                      </wp:positionV>
                      <wp:extent cx="592455" cy="271145"/>
                      <wp:effectExtent l="0" t="0" r="0" b="0"/>
                      <wp:wrapNone/>
                      <wp:docPr id="21" name="文本框 222"/>
                      <wp:cNvGraphicFramePr/>
                      <a:graphic xmlns:a="http://schemas.openxmlformats.org/drawingml/2006/main">
                        <a:graphicData uri="http://schemas.microsoft.com/office/word/2010/wordprocessingShape">
                          <wps:wsp>
                            <wps:cNvSpPr txBox="1"/>
                            <wps:spPr>
                              <a:xfrm>
                                <a:off x="1880235" y="2809240"/>
                                <a:ext cx="592455" cy="271145"/>
                              </a:xfrm>
                              <a:prstGeom prst="rect">
                                <a:avLst/>
                              </a:prstGeom>
                              <a:noFill/>
                              <a:ln w="6350">
                                <a:noFill/>
                              </a:ln>
                            </wps:spPr>
                            <wps:txbx>
                              <w:txbxContent>
                                <w:p w14:paraId="4153E032">
                                  <w:pPr>
                                    <w:jc w:val="center"/>
                                    <w:rPr>
                                      <w:szCs w:val="21"/>
                                    </w:rPr>
                                  </w:pPr>
                                  <w:r>
                                    <w:rPr>
                                      <w:rFonts w:hint="eastAsia"/>
                                      <w:szCs w:val="21"/>
                                    </w:rPr>
                                    <w:t>150</w:t>
                                  </w:r>
                                </w:p>
                              </w:txbxContent>
                            </wps:txbx>
                            <wps:bodyPr vert="horz" wrap="square" anchor="t" anchorCtr="0" upright="1"/>
                          </wps:wsp>
                        </a:graphicData>
                      </a:graphic>
                    </wp:anchor>
                  </w:drawing>
                </mc:Choice>
                <mc:Fallback>
                  <w:pict>
                    <v:shape id="文本框 222" o:spid="_x0000_s1026" o:spt="202" type="#_x0000_t202" style="position:absolute;left:0pt;margin-left:48.9pt;margin-top:3.65pt;height:21.35pt;width:46.65pt;z-index:251677696;mso-width-relative:page;mso-height-relative:page;" filled="f" stroked="f" coordsize="21600,21600" o:gfxdata="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Y9KKtgAAAAHAQAADwAA&#10;AAAAAAABACAAAAAiAAAAZHJzL2Rvd25yZXYueG1sUEsBAhQAFAAAAAgAh07iQC9RqPTdAQAAmAMA&#10;AA4AAAAAAAAAAQAgAAAAJwEAAGRycy9lMm9Eb2MueG1sUEsFBgAAAAAGAAYAWQEAAHYFAAAAAA==&#10;">
                      <v:fill on="f" focussize="0,0"/>
                      <v:stroke on="f" weight="0.5pt"/>
                      <v:imagedata o:title=""/>
                      <o:lock v:ext="edit" aspectratio="f"/>
                      <v:textbox>
                        <w:txbxContent>
                          <w:p w14:paraId="4153E032">
                            <w:pPr>
                              <w:jc w:val="center"/>
                              <w:rPr>
                                <w:szCs w:val="21"/>
                              </w:rPr>
                            </w:pPr>
                            <w:r>
                              <w:rPr>
                                <w:rFonts w:hint="eastAsia"/>
                                <w:szCs w:val="21"/>
                              </w:rPr>
                              <w:t>150</w:t>
                            </w:r>
                          </w:p>
                        </w:txbxContent>
                      </v:textbox>
                    </v:shape>
                  </w:pict>
                </mc:Fallback>
              </mc:AlternateContent>
            </w: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629920</wp:posOffset>
                      </wp:positionH>
                      <wp:positionV relativeFrom="paragraph">
                        <wp:posOffset>238760</wp:posOffset>
                      </wp:positionV>
                      <wp:extent cx="711835" cy="635"/>
                      <wp:effectExtent l="0" t="48260" r="12065" b="65405"/>
                      <wp:wrapNone/>
                      <wp:docPr id="12" name="直接箭头连接符 204"/>
                      <wp:cNvGraphicFramePr/>
                      <a:graphic xmlns:a="http://schemas.openxmlformats.org/drawingml/2006/main">
                        <a:graphicData uri="http://schemas.microsoft.com/office/word/2010/wordprocessingShape">
                          <wps:wsp>
                            <wps:cNvCnPr/>
                            <wps:spPr>
                              <a:xfrm>
                                <a:off x="1889125" y="3001645"/>
                                <a:ext cx="711835" cy="635"/>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4" o:spid="_x0000_s1026" o:spt="34" type="#_x0000_t34" style="position:absolute;left:0pt;margin-left:49.6pt;margin-top:18.8pt;height:0.05pt;width:56.05pt;z-index:251668480;mso-width-relative:page;mso-height-relative:page;" filled="f" stroked="t" coordsize="21600,21600" o:gfxdata="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njhzR2AAAAAgBAAAPAAAAAAAAAAEAIAAAACIAAABkcnMvZG93bnJldi54bWxQSwECFAAU&#10;AAAACACHTuJA3x/M6ioCAAAwBAAADgAAAAAAAAABACAAAAAnAQAAZHJzL2Uyb0RvYy54bWxQSwUG&#10;AAAAAAYABgBZAQAAwwUAAAAA&#10;" adj="10800">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3360" behindDoc="0" locked="0" layoutInCell="1" allowOverlap="1">
                      <wp:simplePos x="0" y="0"/>
                      <wp:positionH relativeFrom="column">
                        <wp:posOffset>1338580</wp:posOffset>
                      </wp:positionH>
                      <wp:positionV relativeFrom="paragraph">
                        <wp:posOffset>110490</wp:posOffset>
                      </wp:positionV>
                      <wp:extent cx="1040765" cy="271145"/>
                      <wp:effectExtent l="4445" t="4445" r="21590" b="10160"/>
                      <wp:wrapNone/>
                      <wp:docPr id="7" name="文本框 195"/>
                      <wp:cNvGraphicFramePr/>
                      <a:graphic xmlns:a="http://schemas.openxmlformats.org/drawingml/2006/main">
                        <a:graphicData uri="http://schemas.microsoft.com/office/word/2010/wordprocessingShape">
                          <wps:wsp>
                            <wps:cNvSpPr txBox="1"/>
                            <wps:spPr>
                              <a:xfrm>
                                <a:off x="2597785" y="2873375"/>
                                <a:ext cx="104076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5BCCFE9">
                                  <w:pPr>
                                    <w:jc w:val="center"/>
                                    <w:rPr>
                                      <w:szCs w:val="21"/>
                                    </w:rPr>
                                  </w:pPr>
                                  <w:r>
                                    <w:rPr>
                                      <w:rFonts w:hint="eastAsia"/>
                                      <w:szCs w:val="21"/>
                                    </w:rPr>
                                    <w:t>软水制备</w:t>
                                  </w:r>
                                </w:p>
                              </w:txbxContent>
                            </wps:txbx>
                            <wps:bodyPr vert="horz" wrap="square" anchor="t" anchorCtr="0" upright="1"/>
                          </wps:wsp>
                        </a:graphicData>
                      </a:graphic>
                    </wp:anchor>
                  </w:drawing>
                </mc:Choice>
                <mc:Fallback>
                  <w:pict>
                    <v:shape id="文本框 195" o:spid="_x0000_s1026" o:spt="202" type="#_x0000_t202" style="position:absolute;left:0pt;margin-left:105.4pt;margin-top:8.7pt;height:21.35pt;width:81.95pt;z-index:251663360;mso-width-relative:page;mso-height-relative:page;" fillcolor="#FFFFFF" filled="t" stroked="t" coordsize="21600,21600" o:gfxdata="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YH+jzVAAAACQEAAA8AAAAAAAAAAQAgAAAAIgAAAGRycy9kb3ducmV2&#10;LnhtbFBLAQIUABQAAAAIAIdO4kD08LTMOAIAAHcEAAAOAAAAAAAAAAEAIAAAACQBAABkcnMvZTJv&#10;RG9jLnhtbFBLBQYAAAAABgAGAFkBAADOBQAAAAA=&#10;">
                      <v:fill on="t" focussize="0,0"/>
                      <v:stroke weight="0.5pt" color="#000000" joinstyle="miter"/>
                      <v:imagedata o:title=""/>
                      <o:lock v:ext="edit" aspectratio="f"/>
                      <v:textbox>
                        <w:txbxContent>
                          <w:p w14:paraId="55BCCFE9">
                            <w:pPr>
                              <w:jc w:val="center"/>
                              <w:rPr>
                                <w:szCs w:val="21"/>
                              </w:rPr>
                            </w:pPr>
                            <w:r>
                              <w:rPr>
                                <w:rFonts w:hint="eastAsia"/>
                                <w:szCs w:val="21"/>
                              </w:rPr>
                              <w:t>软水制备</w:t>
                            </w:r>
                          </w:p>
                        </w:txbxContent>
                      </v:textbox>
                    </v:shape>
                  </w:pict>
                </mc:Fallback>
              </mc:AlternateContent>
            </w:r>
          </w:p>
          <w:p w14:paraId="5317ECE3">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0464" behindDoc="0" locked="0" layoutInCell="1" allowOverlap="1">
                      <wp:simplePos x="0" y="0"/>
                      <wp:positionH relativeFrom="column">
                        <wp:posOffset>2990215</wp:posOffset>
                      </wp:positionH>
                      <wp:positionV relativeFrom="paragraph">
                        <wp:posOffset>153035</wp:posOffset>
                      </wp:positionV>
                      <wp:extent cx="592455" cy="271145"/>
                      <wp:effectExtent l="0" t="0" r="0" b="0"/>
                      <wp:wrapNone/>
                      <wp:docPr id="53" name="文本框 222"/>
                      <wp:cNvGraphicFramePr/>
                      <a:graphic xmlns:a="http://schemas.openxmlformats.org/drawingml/2006/main">
                        <a:graphicData uri="http://schemas.microsoft.com/office/word/2010/wordprocessingShape">
                          <wps:wsp>
                            <wps:cNvSpPr txBox="1"/>
                            <wps:spPr>
                              <a:xfrm>
                                <a:off x="4249420" y="3195320"/>
                                <a:ext cx="592455" cy="271145"/>
                              </a:xfrm>
                              <a:prstGeom prst="rect">
                                <a:avLst/>
                              </a:prstGeom>
                              <a:noFill/>
                              <a:ln w="6350">
                                <a:noFill/>
                              </a:ln>
                            </wps:spPr>
                            <wps:txbx>
                              <w:txbxContent>
                                <w:p w14:paraId="7E138AF1">
                                  <w:pPr>
                                    <w:jc w:val="center"/>
                                    <w:rPr>
                                      <w:szCs w:val="21"/>
                                    </w:rPr>
                                  </w:pPr>
                                  <w:r>
                                    <w:rPr>
                                      <w:rFonts w:hint="eastAsia"/>
                                      <w:szCs w:val="21"/>
                                    </w:rPr>
                                    <w:t>20</w:t>
                                  </w:r>
                                </w:p>
                              </w:txbxContent>
                            </wps:txbx>
                            <wps:bodyPr vert="horz" wrap="square" anchor="t" anchorCtr="0" upright="1"/>
                          </wps:wsp>
                        </a:graphicData>
                      </a:graphic>
                    </wp:anchor>
                  </w:drawing>
                </mc:Choice>
                <mc:Fallback>
                  <w:pict>
                    <v:shape id="文本框 222" o:spid="_x0000_s1026" o:spt="202" type="#_x0000_t202" style="position:absolute;left:0pt;margin-left:235.45pt;margin-top:12.05pt;height:21.35pt;width:46.65pt;z-index:251710464;mso-width-relative:page;mso-height-relative:page;" filled="f" stroked="f" coordsize="21600,21600" o:gfxdata="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rXX0XbAAAA&#10;CQEAAA8AAAAAAAAAAQAgAAAAIgAAAGRycy9kb3ducmV2LnhtbFBLAQIUABQAAAAIAIdO4kCB88fr&#10;4QEAAJgDAAAOAAAAAAAAAAEAIAAAACoBAABkcnMvZTJvRG9jLnhtbFBLBQYAAAAABgAGAFkBAAB9&#10;BQAAAAA=&#10;">
                      <v:fill on="f" focussize="0,0"/>
                      <v:stroke on="f" weight="0.5pt"/>
                      <v:imagedata o:title=""/>
                      <o:lock v:ext="edit" aspectratio="f"/>
                      <v:textbox>
                        <w:txbxContent>
                          <w:p w14:paraId="7E138AF1">
                            <w:pPr>
                              <w:jc w:val="center"/>
                              <w:rPr>
                                <w:szCs w:val="21"/>
                              </w:rPr>
                            </w:pPr>
                            <w:r>
                              <w:rPr>
                                <w:rFonts w:hint="eastAsia"/>
                                <w:szCs w:val="21"/>
                              </w:rPr>
                              <w:t>20</w:t>
                            </w:r>
                          </w:p>
                        </w:txbxContent>
                      </v:textbox>
                    </v:shape>
                  </w:pict>
                </mc:Fallback>
              </mc:AlternateContent>
            </w:r>
            <w:r>
              <w:rPr>
                <w:color w:val="auto"/>
                <w:sz w:val="21"/>
              </w:rPr>
              <mc:AlternateContent>
                <mc:Choice Requires="wps">
                  <w:drawing>
                    <wp:anchor distT="0" distB="0" distL="114300" distR="114300" simplePos="0" relativeHeight="251709440" behindDoc="0" locked="0" layoutInCell="1" allowOverlap="1">
                      <wp:simplePos x="0" y="0"/>
                      <wp:positionH relativeFrom="column">
                        <wp:posOffset>3232785</wp:posOffset>
                      </wp:positionH>
                      <wp:positionV relativeFrom="paragraph">
                        <wp:posOffset>267335</wp:posOffset>
                      </wp:positionV>
                      <wp:extent cx="347345" cy="0"/>
                      <wp:effectExtent l="49530" t="0" r="64770" b="14605"/>
                      <wp:wrapNone/>
                      <wp:docPr id="52" name="直接箭头连接符 236"/>
                      <wp:cNvGraphicFramePr/>
                      <a:graphic xmlns:a="http://schemas.openxmlformats.org/drawingml/2006/main">
                        <a:graphicData uri="http://schemas.microsoft.com/office/word/2010/wordprocessingShape">
                          <wps:wsp>
                            <wps:cNvCnPr/>
                            <wps:spPr>
                              <a:xfrm rot="5400000">
                                <a:off x="4491990" y="3309620"/>
                                <a:ext cx="34734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margin-left:254.55pt;margin-top:21.05pt;height:0pt;width:27.35pt;rotation:5898240f;z-index:251709440;mso-width-relative:page;mso-height-relative:page;" filled="f" stroked="t" coordsize="21600,21600" o:gfxdata="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WcHItYAAAAJAQAA&#10;DwAAAAAAAAABACAAAAAiAAAAZHJzL2Rvd25yZXYueG1sUEsBAhQAFAAAAAgAh07iQJmF6O4bAgAA&#10;CQQAAA4AAAAAAAAAAQAgAAAAJQEAAGRycy9lMm9Eb2MueG1sUEsFBgAAAAAGAAYAWQEAALIFAAAA&#10;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3926205</wp:posOffset>
                      </wp:positionH>
                      <wp:positionV relativeFrom="paragraph">
                        <wp:posOffset>92710</wp:posOffset>
                      </wp:positionV>
                      <wp:extent cx="592455" cy="271145"/>
                      <wp:effectExtent l="0" t="0" r="0" b="0"/>
                      <wp:wrapNone/>
                      <wp:docPr id="40" name="文本框 237"/>
                      <wp:cNvGraphicFramePr/>
                      <a:graphic xmlns:a="http://schemas.openxmlformats.org/drawingml/2006/main">
                        <a:graphicData uri="http://schemas.microsoft.com/office/word/2010/wordprocessingShape">
                          <wps:wsp>
                            <wps:cNvSpPr txBox="1"/>
                            <wps:spPr>
                              <a:xfrm>
                                <a:off x="5185410" y="3134995"/>
                                <a:ext cx="592455" cy="271145"/>
                              </a:xfrm>
                              <a:prstGeom prst="rect">
                                <a:avLst/>
                              </a:prstGeom>
                              <a:noFill/>
                              <a:ln w="6350">
                                <a:noFill/>
                              </a:ln>
                            </wps:spPr>
                            <wps:txbx>
                              <w:txbxContent>
                                <w:p w14:paraId="08345074">
                                  <w:pPr>
                                    <w:jc w:val="center"/>
                                    <w:rPr>
                                      <w:szCs w:val="21"/>
                                    </w:rPr>
                                  </w:pPr>
                                  <w:r>
                                    <w:rPr>
                                      <w:szCs w:val="21"/>
                                    </w:rPr>
                                    <w:t>1</w:t>
                                  </w:r>
                                  <w:r>
                                    <w:rPr>
                                      <w:rFonts w:hint="eastAsia"/>
                                      <w:szCs w:val="21"/>
                                    </w:rPr>
                                    <w:t>20</w:t>
                                  </w:r>
                                  <w:r>
                                    <w:rPr>
                                      <w:szCs w:val="21"/>
                                    </w:rPr>
                                    <w:t>00</w:t>
                                  </w:r>
                                </w:p>
                              </w:txbxContent>
                            </wps:txbx>
                            <wps:bodyPr vert="horz" wrap="square" anchor="t" anchorCtr="0" upright="1"/>
                          </wps:wsp>
                        </a:graphicData>
                      </a:graphic>
                    </wp:anchor>
                  </w:drawing>
                </mc:Choice>
                <mc:Fallback>
                  <w:pict>
                    <v:shape id="文本框 237" o:spid="_x0000_s1026" o:spt="202" type="#_x0000_t202" style="position:absolute;left:0pt;margin-left:309.15pt;margin-top:7.3pt;height:21.35pt;width:46.65pt;z-index:251697152;mso-width-relative:page;mso-height-relative:page;" filled="f" stroked="f" coordsize="21600,21600" o:gfxdata="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39a9x9oAAAAJ&#10;AQAADwAAAAAAAAABACAAAAAiAAAAZHJzL2Rvd25yZXYueG1sUEsBAhQAFAAAAAgAh07iQKkCyaTh&#10;AQAAmAMAAA4AAAAAAAAAAQAgAAAAKQEAAGRycy9lMm9Eb2MueG1sUEsFBgAAAAAGAAYAWQEAAHwF&#10;AAAAAA==&#10;">
                      <v:fill on="f" focussize="0,0"/>
                      <v:stroke on="f" weight="0.5pt"/>
                      <v:imagedata o:title=""/>
                      <o:lock v:ext="edit" aspectratio="f"/>
                      <v:textbox>
                        <w:txbxContent>
                          <w:p w14:paraId="08345074">
                            <w:pPr>
                              <w:jc w:val="center"/>
                              <w:rPr>
                                <w:szCs w:val="21"/>
                              </w:rPr>
                            </w:pPr>
                            <w:r>
                              <w:rPr>
                                <w:szCs w:val="21"/>
                              </w:rPr>
                              <w:t>1</w:t>
                            </w:r>
                            <w:r>
                              <w:rPr>
                                <w:rFonts w:hint="eastAsia"/>
                                <w:szCs w:val="21"/>
                              </w:rPr>
                              <w:t>20</w:t>
                            </w:r>
                            <w:r>
                              <w:rPr>
                                <w:szCs w:val="21"/>
                              </w:rPr>
                              <w:t>00</w:t>
                            </w:r>
                          </w:p>
                        </w:txbxContent>
                      </v:textbox>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3845560</wp:posOffset>
                      </wp:positionH>
                      <wp:positionV relativeFrom="paragraph">
                        <wp:posOffset>92710</wp:posOffset>
                      </wp:positionV>
                      <wp:extent cx="0" cy="201295"/>
                      <wp:effectExtent l="48895" t="0" r="65405" b="8255"/>
                      <wp:wrapNone/>
                      <wp:docPr id="39" name="直接箭头连接符 236"/>
                      <wp:cNvGraphicFramePr/>
                      <a:graphic xmlns:a="http://schemas.openxmlformats.org/drawingml/2006/main">
                        <a:graphicData uri="http://schemas.microsoft.com/office/word/2010/wordprocessingShape">
                          <wps:wsp>
                            <wps:cNvCnPr/>
                            <wps:spPr>
                              <a:xfrm flipV="1">
                                <a:off x="5104765" y="313499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302.8pt;margin-top:7.3pt;height:15.85pt;width:0pt;z-index:251696128;mso-width-relative:page;mso-height-relative:page;" filled="f" stroked="t" coordsize="21600,21600" o:gfxdata="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H0JUXVAAAACQEAAA8A&#10;AAAAAAAAAQAgAAAAIgAAAGRycy9kb3ducmV2LnhtbFBLAQIUABQAAAAIAIdO4kDrw78bGgIAAAUE&#10;AAAOAAAAAAAAAAEAIAAAACQBAABkcnMvZTJvRG9jLnhtbFBLBQYAAAAABgAGAFkBAACw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4572635</wp:posOffset>
                      </wp:positionH>
                      <wp:positionV relativeFrom="paragraph">
                        <wp:posOffset>48895</wp:posOffset>
                      </wp:positionV>
                      <wp:extent cx="0" cy="244475"/>
                      <wp:effectExtent l="4445" t="0" r="14605" b="3175"/>
                      <wp:wrapNone/>
                      <wp:docPr id="37" name="直接连接符 234"/>
                      <wp:cNvGraphicFramePr/>
                      <a:graphic xmlns:a="http://schemas.openxmlformats.org/drawingml/2006/main">
                        <a:graphicData uri="http://schemas.microsoft.com/office/word/2010/wordprocessingShape">
                          <wps:wsp>
                            <wps:cNvCnPr/>
                            <wps:spPr>
                              <a:xfrm>
                                <a:off x="5831840" y="3091180"/>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360.05pt;margin-top:3.85pt;height:19.25pt;width:0pt;z-index:251694080;mso-width-relative:page;mso-height-relative:page;" filled="f" stroked="t" coordsize="21600,21600" o:gfxdata="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Vqog41QAAAAgBAAAPAAAAAAAAAAEAIAAAACIAAABkcnMvZG93&#10;bnJldi54bWxQSwECFAAUAAAACACHTuJAsnu/eQMCAADyAwAADgAAAAAAAAABACAAAAAkAQAAZHJz&#10;L2Uyb0RvYy54bWxQSwUGAAAAAAYABgBZAQAAmQ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4366260</wp:posOffset>
                      </wp:positionH>
                      <wp:positionV relativeFrom="paragraph">
                        <wp:posOffset>48895</wp:posOffset>
                      </wp:positionV>
                      <wp:extent cx="206375" cy="0"/>
                      <wp:effectExtent l="0" t="4445" r="0" b="5080"/>
                      <wp:wrapNone/>
                      <wp:docPr id="36" name="直接连接符 233"/>
                      <wp:cNvGraphicFramePr/>
                      <a:graphic xmlns:a="http://schemas.openxmlformats.org/drawingml/2006/main">
                        <a:graphicData uri="http://schemas.microsoft.com/office/word/2010/wordprocessingShape">
                          <wps:wsp>
                            <wps:cNvCnPr/>
                            <wps:spPr>
                              <a:xfrm>
                                <a:off x="5625465" y="309118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343.8pt;margin-top:3.85pt;height:0pt;width:16.25pt;z-index:251693056;mso-width-relative:page;mso-height-relative:page;" filled="f" stroked="t" coordsize="21600,21600" o:gfxdata="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cvwZ9QAAAAHAQAADwAAAAAAAAABACAAAAAiAAAAZHJzL2Rv&#10;d25yZXYueG1sUEsBAhQAFAAAAAgAh07iQA+aW6sFAgAA8gMAAA4AAAAAAAAAAQAgAAAAIwEAAGRy&#10;cy9lMm9Eb2MueG1sUEsFBgAAAAAGAAYAWQEAAJoFAAAAAA==&#10;">
                      <v:fill on="f" focussize="0,0"/>
                      <v:stroke color="#000000" joinstyle="round"/>
                      <v:imagedata o:title=""/>
                      <o:lock v:ext="edit" aspectratio="f"/>
                    </v:line>
                  </w:pict>
                </mc:Fallback>
              </mc:AlternateContent>
            </w:r>
          </w:p>
          <w:p w14:paraId="2470B68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00224" behindDoc="0" locked="0" layoutInCell="1" allowOverlap="1">
                      <wp:simplePos x="0" y="0"/>
                      <wp:positionH relativeFrom="column">
                        <wp:posOffset>2718435</wp:posOffset>
                      </wp:positionH>
                      <wp:positionV relativeFrom="paragraph">
                        <wp:posOffset>177800</wp:posOffset>
                      </wp:positionV>
                      <wp:extent cx="1424305" cy="271145"/>
                      <wp:effectExtent l="4445" t="4445" r="19050" b="10160"/>
                      <wp:wrapNone/>
                      <wp:docPr id="43" name="文本框 193"/>
                      <wp:cNvGraphicFramePr/>
                      <a:graphic xmlns:a="http://schemas.openxmlformats.org/drawingml/2006/main">
                        <a:graphicData uri="http://schemas.microsoft.com/office/word/2010/wordprocessingShape">
                          <wps:wsp>
                            <wps:cNvSpPr txBox="1"/>
                            <wps:spPr>
                              <a:xfrm>
                                <a:off x="3977640" y="349948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FE9B9D5">
                                  <w:pPr>
                                    <w:jc w:val="center"/>
                                    <w:rPr>
                                      <w:szCs w:val="21"/>
                                    </w:rPr>
                                  </w:pPr>
                                  <w:r>
                                    <w:rPr>
                                      <w:rFonts w:hint="eastAsia"/>
                                      <w:szCs w:val="21"/>
                                    </w:rPr>
                                    <w:t>成型冷却水（</w:t>
                                  </w:r>
                                  <w:r>
                                    <w:rPr>
                                      <w:szCs w:val="21"/>
                                    </w:rPr>
                                    <w:t>-</w:t>
                                  </w:r>
                                  <w:r>
                                    <w:rPr>
                                      <w:rFonts w:hint="eastAsia"/>
                                      <w:szCs w:val="21"/>
                                    </w:rPr>
                                    <w:t>20</w:t>
                                  </w:r>
                                  <w:r>
                                    <w:rPr>
                                      <w:szCs w:val="21"/>
                                    </w:rPr>
                                    <w:t>.0</w:t>
                                  </w:r>
                                  <w:r>
                                    <w:rPr>
                                      <w:rFonts w:hint="eastAsia"/>
                                      <w:szCs w:val="21"/>
                                    </w:rPr>
                                    <w:t>）</w:t>
                                  </w:r>
                                </w:p>
                              </w:txbxContent>
                            </wps:txbx>
                            <wps:bodyPr vert="horz" wrap="square" anchor="t" anchorCtr="0" upright="1"/>
                          </wps:wsp>
                        </a:graphicData>
                      </a:graphic>
                    </wp:anchor>
                  </w:drawing>
                </mc:Choice>
                <mc:Fallback>
                  <w:pict>
                    <v:shape id="文本框 193" o:spid="_x0000_s1026" o:spt="202" type="#_x0000_t202" style="position:absolute;left:0pt;margin-left:214.05pt;margin-top:14pt;height:21.35pt;width:112.15pt;z-index:251700224;mso-width-relative:page;mso-height-relative:page;" fillcolor="#FFFFFF" filled="t" stroked="t" coordsize="21600,21600" o:gfxdata="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nQ147XAAAACQEAAA8AAAAAAAAAAQAgAAAAIgAAAGRycy9kb3du&#10;cmV2LnhtbFBLAQIUABQAAAAIAIdO4kCbkLbHOQIAAHgEAAAOAAAAAAAAAAEAIAAAACYBAABkcnMv&#10;ZTJvRG9jLnhtbFBLBQYAAAAABgAGAFkBAADRBQAAAAA=&#10;">
                      <v:fill on="t" focussize="0,0"/>
                      <v:stroke weight="0.5pt" color="#000000" joinstyle="miter"/>
                      <v:imagedata o:title=""/>
                      <o:lock v:ext="edit" aspectratio="f"/>
                      <v:textbox>
                        <w:txbxContent>
                          <w:p w14:paraId="4FE9B9D5">
                            <w:pPr>
                              <w:jc w:val="center"/>
                              <w:rPr>
                                <w:szCs w:val="21"/>
                              </w:rPr>
                            </w:pPr>
                            <w:r>
                              <w:rPr>
                                <w:rFonts w:hint="eastAsia"/>
                                <w:szCs w:val="21"/>
                              </w:rPr>
                              <w:t>成型冷却水（</w:t>
                            </w:r>
                            <w:r>
                              <w:rPr>
                                <w:szCs w:val="21"/>
                              </w:rPr>
                              <w:t>-</w:t>
                            </w:r>
                            <w:r>
                              <w:rPr>
                                <w:rFonts w:hint="eastAsia"/>
                                <w:szCs w:val="21"/>
                              </w:rPr>
                              <w:t>20</w:t>
                            </w:r>
                            <w:r>
                              <w:rPr>
                                <w:szCs w:val="21"/>
                              </w:rPr>
                              <w:t>.0</w:t>
                            </w:r>
                            <w:r>
                              <w:rPr>
                                <w:rFonts w:hint="eastAsia"/>
                                <w:szCs w:val="21"/>
                              </w:rPr>
                              <w:t>）</w:t>
                            </w:r>
                          </w:p>
                        </w:txbxContent>
                      </v:textbox>
                    </v:shape>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3845560</wp:posOffset>
                      </wp:positionH>
                      <wp:positionV relativeFrom="paragraph">
                        <wp:posOffset>13970</wp:posOffset>
                      </wp:positionV>
                      <wp:extent cx="727075" cy="0"/>
                      <wp:effectExtent l="0" t="4445" r="0" b="5080"/>
                      <wp:wrapNone/>
                      <wp:docPr id="38" name="直接连接符 235"/>
                      <wp:cNvGraphicFramePr/>
                      <a:graphic xmlns:a="http://schemas.openxmlformats.org/drawingml/2006/main">
                        <a:graphicData uri="http://schemas.microsoft.com/office/word/2010/wordprocessingShape">
                          <wps:wsp>
                            <wps:cNvCnPr/>
                            <wps:spPr>
                              <a:xfrm flipH="1">
                                <a:off x="5104765" y="3335655"/>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302.8pt;margin-top:1.1pt;height:0pt;width:57.25pt;z-index:251695104;mso-width-relative:page;mso-height-relative:page;" filled="f" stroked="t" coordsize="21600,21600" o:gfxdata="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Asz/1AAAAAcBAAAPAAAAAAAAAAEAIAAAACIA&#10;AABkcnMvZG93bnJldi54bWxQSwECFAAUAAAACACHTuJAERenDw0CAAD8AwAADgAAAAAAAAABACAA&#10;AAAjAQAAZHJzL2Uyb0RvYy54bWxQSwUGAAAAAAYABgBZAQAAogUAAAAA&#10;">
                      <v:fill on="f" focussize="0,0"/>
                      <v:stroke color="#000000" joinstyle="round"/>
                      <v:imagedata o:title=""/>
                      <o:lock v:ext="edit" aspectratio="f"/>
                    </v:line>
                  </w:pict>
                </mc:Fallback>
              </mc:AlternateContent>
            </w:r>
          </w:p>
          <w:p w14:paraId="22F560FF">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20704" behindDoc="0" locked="0" layoutInCell="1" allowOverlap="1">
                      <wp:simplePos x="0" y="0"/>
                      <wp:positionH relativeFrom="column">
                        <wp:posOffset>1859280</wp:posOffset>
                      </wp:positionH>
                      <wp:positionV relativeFrom="paragraph">
                        <wp:posOffset>236220</wp:posOffset>
                      </wp:positionV>
                      <wp:extent cx="592455" cy="271145"/>
                      <wp:effectExtent l="0" t="0" r="0" b="0"/>
                      <wp:wrapNone/>
                      <wp:docPr id="96"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510868D5">
                                  <w:pPr>
                                    <w:jc w:val="center"/>
                                    <w:rPr>
                                      <w:rFonts w:hint="default"/>
                                      <w:szCs w:val="21"/>
                                      <w:lang w:val="en-US"/>
                                    </w:rPr>
                                  </w:pPr>
                                  <w:r>
                                    <w:rPr>
                                      <w:rFonts w:hint="eastAsia"/>
                                      <w:szCs w:val="21"/>
                                      <w:lang w:val="en-US" w:eastAsia="zh-CN"/>
                                    </w:rPr>
                                    <w:t>2.88</w:t>
                                  </w:r>
                                </w:p>
                              </w:txbxContent>
                            </wps:txbx>
                            <wps:bodyPr vert="horz" wrap="square" anchor="t" anchorCtr="0" upright="1"/>
                          </wps:wsp>
                        </a:graphicData>
                      </a:graphic>
                    </wp:anchor>
                  </w:drawing>
                </mc:Choice>
                <mc:Fallback>
                  <w:pict>
                    <v:shape id="文本框 220" o:spid="_x0000_s1026" o:spt="202" type="#_x0000_t202" style="position:absolute;left:0pt;margin-left:146.4pt;margin-top:18.6pt;height:21.35pt;width:46.65pt;z-index:251720704;mso-width-relative:page;mso-height-relative:page;" filled="f" stroked="f" coordsize="21600,21600" o:gfxdata="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9kmJTdoAAAAJAQAADwAAAAAAAAAB&#10;ACAAAAAiAAAAZHJzL2Rvd25yZXYueG1sUEsBAhQAFAAAAAgAh07iQE1c2V3VAQAAjAMAAA4AAAAA&#10;AAAAAQAgAAAAKQEAAGRycy9lMm9Eb2MueG1sUEsFBgAAAAAGAAYAWQEAAHAFAAAAAA==&#10;">
                      <v:fill on="f" focussize="0,0"/>
                      <v:stroke on="f" weight="0.5pt"/>
                      <v:imagedata o:title=""/>
                      <o:lock v:ext="edit" aspectratio="f"/>
                      <v:textbox>
                        <w:txbxContent>
                          <w:p w14:paraId="510868D5">
                            <w:pPr>
                              <w:jc w:val="center"/>
                              <w:rPr>
                                <w:rFonts w:hint="default"/>
                                <w:szCs w:val="21"/>
                                <w:lang w:val="en-US"/>
                              </w:rPr>
                            </w:pPr>
                            <w:r>
                              <w:rPr>
                                <w:rFonts w:hint="eastAsia"/>
                                <w:szCs w:val="21"/>
                                <w:lang w:val="en-US" w:eastAsia="zh-CN"/>
                              </w:rPr>
                              <w:t>2.88</w:t>
                            </w:r>
                          </w:p>
                        </w:txbxContent>
                      </v:textbox>
                    </v:shape>
                  </w:pict>
                </mc:Fallback>
              </mc:AlternateContent>
            </w:r>
            <w:r>
              <w:rPr>
                <w:color w:val="auto"/>
                <w:sz w:val="21"/>
              </w:rPr>
              <mc:AlternateContent>
                <mc:Choice Requires="wps">
                  <w:drawing>
                    <wp:anchor distT="0" distB="0" distL="114300" distR="114300" simplePos="0" relativeHeight="251705344" behindDoc="0" locked="0" layoutInCell="1" allowOverlap="1">
                      <wp:simplePos x="0" y="0"/>
                      <wp:positionH relativeFrom="column">
                        <wp:posOffset>3709035</wp:posOffset>
                      </wp:positionH>
                      <wp:positionV relativeFrom="paragraph">
                        <wp:posOffset>160655</wp:posOffset>
                      </wp:positionV>
                      <wp:extent cx="592455" cy="271145"/>
                      <wp:effectExtent l="0" t="0" r="0" b="0"/>
                      <wp:wrapNone/>
                      <wp:docPr id="48" name="文本框 237"/>
                      <wp:cNvGraphicFramePr/>
                      <a:graphic xmlns:a="http://schemas.openxmlformats.org/drawingml/2006/main">
                        <a:graphicData uri="http://schemas.microsoft.com/office/word/2010/wordprocessingShape">
                          <wps:wsp>
                            <wps:cNvSpPr txBox="1"/>
                            <wps:spPr>
                              <a:xfrm>
                                <a:off x="4968240" y="3761740"/>
                                <a:ext cx="592455" cy="271145"/>
                              </a:xfrm>
                              <a:prstGeom prst="rect">
                                <a:avLst/>
                              </a:prstGeom>
                              <a:noFill/>
                              <a:ln w="6350">
                                <a:noFill/>
                              </a:ln>
                            </wps:spPr>
                            <wps:txbx>
                              <w:txbxContent>
                                <w:p w14:paraId="3853AB95">
                                  <w:pPr>
                                    <w:jc w:val="center"/>
                                    <w:rPr>
                                      <w:szCs w:val="21"/>
                                    </w:rPr>
                                  </w:pPr>
                                  <w:r>
                                    <w:rPr>
                                      <w:szCs w:val="21"/>
                                    </w:rPr>
                                    <w:t>240</w:t>
                                  </w:r>
                                </w:p>
                              </w:txbxContent>
                            </wps:txbx>
                            <wps:bodyPr vert="horz" wrap="square" anchor="t" anchorCtr="0" upright="1"/>
                          </wps:wsp>
                        </a:graphicData>
                      </a:graphic>
                    </wp:anchor>
                  </w:drawing>
                </mc:Choice>
                <mc:Fallback>
                  <w:pict>
                    <v:shape id="文本框 237" o:spid="_x0000_s1026" o:spt="202" type="#_x0000_t202" style="position:absolute;left:0pt;margin-left:292.05pt;margin-top:12.65pt;height:21.35pt;width:46.65pt;z-index:251705344;mso-width-relative:page;mso-height-relative:page;" filled="f" stroked="f" coordsize="21600,21600" o:gfxdata="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l7mZR2wAA&#10;AAkBAAAPAAAAAAAAAAEAIAAAACIAAABkcnMvZG93bnJldi54bWxQSwECFAAUAAAACACHTuJAruVG&#10;zOIBAACYAwAADgAAAAAAAAABACAAAAAqAQAAZHJzL2Uyb0RvYy54bWxQSwUGAAAAAAYABgBZAQAA&#10;fgUAAAAA&#10;">
                      <v:fill on="f" focussize="0,0"/>
                      <v:stroke on="f" weight="0.5pt"/>
                      <v:imagedata o:title=""/>
                      <o:lock v:ext="edit" aspectratio="f"/>
                      <v:textbox>
                        <w:txbxContent>
                          <w:p w14:paraId="3853AB95">
                            <w:pPr>
                              <w:jc w:val="center"/>
                              <w:rPr>
                                <w:szCs w:val="21"/>
                              </w:rPr>
                            </w:pPr>
                            <w:r>
                              <w:rPr>
                                <w:szCs w:val="21"/>
                              </w:rPr>
                              <w:t>240</w:t>
                            </w:r>
                          </w:p>
                        </w:txbxContent>
                      </v:textbox>
                    </v:shape>
                  </w:pict>
                </mc:Fallback>
              </mc:AlternateContent>
            </w:r>
            <w:r>
              <w:rPr>
                <w:color w:val="auto"/>
                <w:sz w:val="21"/>
              </w:rPr>
              <mc:AlternateContent>
                <mc:Choice Requires="wps">
                  <w:drawing>
                    <wp:anchor distT="0" distB="0" distL="114300" distR="114300" simplePos="0" relativeHeight="251704320" behindDoc="0" locked="0" layoutInCell="1" allowOverlap="1">
                      <wp:simplePos x="0" y="0"/>
                      <wp:positionH relativeFrom="column">
                        <wp:posOffset>3636645</wp:posOffset>
                      </wp:positionH>
                      <wp:positionV relativeFrom="paragraph">
                        <wp:posOffset>160020</wp:posOffset>
                      </wp:positionV>
                      <wp:extent cx="0" cy="201295"/>
                      <wp:effectExtent l="48895" t="0" r="65405" b="8255"/>
                      <wp:wrapNone/>
                      <wp:docPr id="47" name="直接箭头连接符 236"/>
                      <wp:cNvGraphicFramePr/>
                      <a:graphic xmlns:a="http://schemas.openxmlformats.org/drawingml/2006/main">
                        <a:graphicData uri="http://schemas.microsoft.com/office/word/2010/wordprocessingShape">
                          <wps:wsp>
                            <wps:cNvCnPr/>
                            <wps:spPr>
                              <a:xfrm flipV="1">
                                <a:off x="4895850" y="376110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286.35pt;margin-top:12.6pt;height:15.85pt;width:0pt;z-index:251704320;mso-width-relative:page;mso-height-relative:page;" filled="f" stroked="t" coordsize="21600,21600" o:gfxdata="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g005n1gAAAAkBAAAP&#10;AAAAAAAAAAEAIAAAACIAAABkcnMvZG93bnJldi54bWxQSwECFAAUAAAACACHTuJAHuL4MRoCAAAF&#10;BAAADgAAAAAAAAABACAAAAAlAQAAZHJzL2Uyb0RvYy54bWxQSwUGAAAAAAYABgBZAQAAsQU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4363720</wp:posOffset>
                      </wp:positionH>
                      <wp:positionV relativeFrom="paragraph">
                        <wp:posOffset>116840</wp:posOffset>
                      </wp:positionV>
                      <wp:extent cx="0" cy="244475"/>
                      <wp:effectExtent l="4445" t="0" r="14605" b="3175"/>
                      <wp:wrapNone/>
                      <wp:docPr id="45" name="直接连接符 234"/>
                      <wp:cNvGraphicFramePr/>
                      <a:graphic xmlns:a="http://schemas.openxmlformats.org/drawingml/2006/main">
                        <a:graphicData uri="http://schemas.microsoft.com/office/word/2010/wordprocessingShape">
                          <wps:wsp>
                            <wps:cNvCnPr/>
                            <wps:spPr>
                              <a:xfrm>
                                <a:off x="5622925" y="3717925"/>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343.6pt;margin-top:9.2pt;height:19.25pt;width:0pt;z-index:251702272;mso-width-relative:page;mso-height-relative:page;" filled="f" stroked="t" coordsize="21600,21600" o:gfxdata="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RsEZtYAAAAJAQAADwAAAAAAAAABACAAAAAiAAAAZHJzL2Rv&#10;d25yZXYueG1sUEsBAhQAFAAAAAgAh07iQOlofFMDAgAA8gMAAA4AAAAAAAAAAQAgAAAAJQEAAGRy&#10;cy9lMm9Eb2MueG1sUEsFBgAAAAAGAAYAWQEAAJo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701248" behindDoc="0" locked="0" layoutInCell="1" allowOverlap="1">
                      <wp:simplePos x="0" y="0"/>
                      <wp:positionH relativeFrom="column">
                        <wp:posOffset>4157345</wp:posOffset>
                      </wp:positionH>
                      <wp:positionV relativeFrom="paragraph">
                        <wp:posOffset>116840</wp:posOffset>
                      </wp:positionV>
                      <wp:extent cx="206375" cy="0"/>
                      <wp:effectExtent l="0" t="4445" r="0" b="5080"/>
                      <wp:wrapNone/>
                      <wp:docPr id="44" name="直接连接符 233"/>
                      <wp:cNvGraphicFramePr/>
                      <a:graphic xmlns:a="http://schemas.openxmlformats.org/drawingml/2006/main">
                        <a:graphicData uri="http://schemas.microsoft.com/office/word/2010/wordprocessingShape">
                          <wps:wsp>
                            <wps:cNvCnPr/>
                            <wps:spPr>
                              <a:xfrm>
                                <a:off x="5416550" y="3717925"/>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327.35pt;margin-top:9.2pt;height:0pt;width:16.25pt;z-index:251701248;mso-width-relative:page;mso-height-relative:page;" filled="f" stroked="t" coordsize="21600,21600" o:gfxdata="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lAXfTWAAAACQEAAA8AAAAAAAAAAQAgAAAAIgAAAGRy&#10;cy9kb3ducmV2LnhtbFBLAQIUABQAAAAIAIdO4kA4XDMoBwIAAPIDAAAOAAAAAAAAAAEAIAAAACUB&#10;AABkcnMvZTJvRG9jLnhtbFBLBQYAAAAABgAGAFkBAACeBQAAAAA=&#10;">
                      <v:fill on="f" focussize="0,0"/>
                      <v:stroke color="#000000" joinstyle="round"/>
                      <v:imagedata o:title=""/>
                      <o:lock v:ext="edit" aspectratio="f"/>
                    </v:line>
                  </w:pict>
                </mc:Fallback>
              </mc:AlternateContent>
            </w:r>
          </w:p>
          <w:p w14:paraId="1B071CE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9680" behindDoc="0" locked="0" layoutInCell="1" allowOverlap="1">
                      <wp:simplePos x="0" y="0"/>
                      <wp:positionH relativeFrom="column">
                        <wp:posOffset>1837055</wp:posOffset>
                      </wp:positionH>
                      <wp:positionV relativeFrom="paragraph">
                        <wp:posOffset>211455</wp:posOffset>
                      </wp:positionV>
                      <wp:extent cx="181610" cy="143510"/>
                      <wp:effectExtent l="3175" t="0" r="5715" b="8890"/>
                      <wp:wrapNone/>
                      <wp:docPr id="97" name="直接箭头连接符 97"/>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4.65pt;margin-top:16.65pt;height:11.3pt;width:14.3pt;z-index:251719680;mso-width-relative:page;mso-height-relative:page;" filled="f" stroked="t" coordsize="21600,21600" o:gfxdata="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j98s12gAAAAkBAAAPAAAAAAAA&#10;AAEAIAAAACIAAABkcnMvZG93bnJldi54bWxQSwECFAAUAAAACACHTuJAanIo3hACAADrAwAADgAA&#10;AAAAAAABACAAAAApAQAAZHJzL2Uyb0RvYy54bWxQSwUGAAAAAAYABgBZAQAAqwU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708416" behindDoc="0" locked="0" layoutInCell="1" allowOverlap="1">
                      <wp:simplePos x="0" y="0"/>
                      <wp:positionH relativeFrom="column">
                        <wp:posOffset>4209415</wp:posOffset>
                      </wp:positionH>
                      <wp:positionV relativeFrom="paragraph">
                        <wp:posOffset>246380</wp:posOffset>
                      </wp:positionV>
                      <wp:extent cx="1033145" cy="474980"/>
                      <wp:effectExtent l="5080" t="5080" r="9525" b="15240"/>
                      <wp:wrapNone/>
                      <wp:docPr id="51" name="文本框 227"/>
                      <wp:cNvGraphicFramePr/>
                      <a:graphic xmlns:a="http://schemas.openxmlformats.org/drawingml/2006/main">
                        <a:graphicData uri="http://schemas.microsoft.com/office/word/2010/wordprocessingShape">
                          <wps:wsp>
                            <wps:cNvSpPr txBox="1"/>
                            <wps:spPr>
                              <a:xfrm>
                                <a:off x="5468620" y="4126865"/>
                                <a:ext cx="1033145" cy="474980"/>
                              </a:xfrm>
                              <a:prstGeom prst="rect">
                                <a:avLst/>
                              </a:prstGeom>
                              <a:noFill/>
                              <a:ln w="6350" cap="flat" cmpd="sng">
                                <a:solidFill>
                                  <a:srgbClr val="000000"/>
                                </a:solidFill>
                                <a:prstDash val="solid"/>
                                <a:miter/>
                                <a:headEnd type="none" w="med" len="med"/>
                                <a:tailEnd type="none" w="med" len="med"/>
                              </a:ln>
                            </wps:spPr>
                            <wps:txbx>
                              <w:txbxContent>
                                <w:p w14:paraId="7C45EF9C">
                                  <w:pPr>
                                    <w:jc w:val="center"/>
                                    <w:rPr>
                                      <w:szCs w:val="21"/>
                                    </w:rPr>
                                  </w:pPr>
                                  <w:r>
                                    <w:rPr>
                                      <w:rFonts w:hint="eastAsia"/>
                                      <w:szCs w:val="21"/>
                                    </w:rPr>
                                    <w:t>洒水抑尘、绿化用水</w:t>
                                  </w:r>
                                </w:p>
                              </w:txbxContent>
                            </wps:txbx>
                            <wps:bodyPr vert="horz" wrap="square" anchor="t" anchorCtr="0" upright="1"/>
                          </wps:wsp>
                        </a:graphicData>
                      </a:graphic>
                    </wp:anchor>
                  </w:drawing>
                </mc:Choice>
                <mc:Fallback>
                  <w:pict>
                    <v:shape id="文本框 227" o:spid="_x0000_s1026" o:spt="202" type="#_x0000_t202" style="position:absolute;left:0pt;margin-left:331.45pt;margin-top:19.4pt;height:37.4pt;width:81.35pt;z-index:251708416;mso-width-relative:page;mso-height-relative:page;" filled="f" stroked="t" coordsize="21600,21600" o:gfxdata="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K215q9oAAAAKAQAADwAAAAAAAAABACAAAAAiAAAAZHJzL2Rvd25yZXYu&#10;eG1sUEsBAhQAFAAAAAgAh07iQDC6Ku0yAgAATwQAAA4AAAAAAAAAAQAgAAAAKQEAAGRycy9lMm9E&#10;b2MueG1sUEsFBgAAAAAGAAYAWQEAAM0FAAAAAA==&#10;">
                      <v:fill on="f" focussize="0,0"/>
                      <v:stroke weight="0.5pt" color="#000000" joinstyle="miter"/>
                      <v:imagedata o:title=""/>
                      <o:lock v:ext="edit" aspectratio="f"/>
                      <v:textbox>
                        <w:txbxContent>
                          <w:p w14:paraId="7C45EF9C">
                            <w:pPr>
                              <w:jc w:val="center"/>
                              <w:rPr>
                                <w:szCs w:val="21"/>
                              </w:rPr>
                            </w:pPr>
                            <w:r>
                              <w:rPr>
                                <w:rFonts w:hint="eastAsia"/>
                                <w:szCs w:val="21"/>
                              </w:rPr>
                              <w:t>洒水抑尘、绿化用水</w:t>
                            </w:r>
                          </w:p>
                        </w:txbxContent>
                      </v:textbox>
                    </v:shape>
                  </w:pict>
                </mc:Fallback>
              </mc:AlternateContent>
            </w:r>
            <w:r>
              <w:rPr>
                <w:color w:val="auto"/>
                <w:sz w:val="21"/>
              </w:rPr>
              <mc:AlternateContent>
                <mc:Choice Requires="wps">
                  <w:drawing>
                    <wp:anchor distT="0" distB="0" distL="114300" distR="114300" simplePos="0" relativeHeight="251703296" behindDoc="0" locked="0" layoutInCell="1" allowOverlap="1">
                      <wp:simplePos x="0" y="0"/>
                      <wp:positionH relativeFrom="column">
                        <wp:posOffset>3636645</wp:posOffset>
                      </wp:positionH>
                      <wp:positionV relativeFrom="paragraph">
                        <wp:posOffset>81915</wp:posOffset>
                      </wp:positionV>
                      <wp:extent cx="727075" cy="0"/>
                      <wp:effectExtent l="0" t="4445" r="0" b="5080"/>
                      <wp:wrapNone/>
                      <wp:docPr id="46" name="直接连接符 235"/>
                      <wp:cNvGraphicFramePr/>
                      <a:graphic xmlns:a="http://schemas.openxmlformats.org/drawingml/2006/main">
                        <a:graphicData uri="http://schemas.microsoft.com/office/word/2010/wordprocessingShape">
                          <wps:wsp>
                            <wps:cNvCnPr/>
                            <wps:spPr>
                              <a:xfrm flipH="1">
                                <a:off x="4895850" y="3962400"/>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286.35pt;margin-top:6.45pt;height:0pt;width:57.25pt;z-index:251703296;mso-width-relative:page;mso-height-relative:page;" filled="f" stroked="t" coordsize="21600,21600" o:gfxdata="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rnKjWAAAACQEAAA8AAAAAAAAAAQAgAAAA&#10;IgAAAGRycy9kb3ducmV2LnhtbFBLAQIUABQAAAAIAIdO4kA62wU2DQIAAPwDAAAOAAAAAAAAAAEA&#10;IAAAACUBAABkcnMvZTJvRG9jLnhtbFBLBQYAAAAABgAGAFkBAACkBQAAAAA=&#10;">
                      <v:fill on="f" focussize="0,0"/>
                      <v:stroke color="#000000" joinstyle="round"/>
                      <v:imagedata o:title=""/>
                      <o:lock v:ext="edit" aspectratio="f"/>
                    </v:line>
                  </w:pict>
                </mc:Fallback>
              </mc:AlternateContent>
            </w:r>
          </w:p>
          <w:p w14:paraId="2306530D">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07392" behindDoc="0" locked="0" layoutInCell="1" allowOverlap="1">
                      <wp:simplePos x="0" y="0"/>
                      <wp:positionH relativeFrom="column">
                        <wp:posOffset>3576955</wp:posOffset>
                      </wp:positionH>
                      <wp:positionV relativeFrom="paragraph">
                        <wp:posOffset>2540</wp:posOffset>
                      </wp:positionV>
                      <wp:extent cx="592455" cy="271145"/>
                      <wp:effectExtent l="0" t="0" r="0" b="0"/>
                      <wp:wrapNone/>
                      <wp:docPr id="50" name="文本框 227"/>
                      <wp:cNvGraphicFramePr/>
                      <a:graphic xmlns:a="http://schemas.openxmlformats.org/drawingml/2006/main">
                        <a:graphicData uri="http://schemas.microsoft.com/office/word/2010/wordprocessingShape">
                          <wps:wsp>
                            <wps:cNvSpPr txBox="1"/>
                            <wps:spPr>
                              <a:xfrm>
                                <a:off x="4836160" y="4162425"/>
                                <a:ext cx="592455" cy="271145"/>
                              </a:xfrm>
                              <a:prstGeom prst="rect">
                                <a:avLst/>
                              </a:prstGeom>
                              <a:noFill/>
                              <a:ln w="6350">
                                <a:noFill/>
                              </a:ln>
                            </wps:spPr>
                            <wps:txbx>
                              <w:txbxContent>
                                <w:p w14:paraId="2E50616F">
                                  <w:pPr>
                                    <w:jc w:val="center"/>
                                    <w:rPr>
                                      <w:szCs w:val="21"/>
                                    </w:rPr>
                                  </w:pPr>
                                  <w:r>
                                    <w:rPr>
                                      <w:rFonts w:hint="eastAsia"/>
                                      <w:szCs w:val="21"/>
                                    </w:rPr>
                                    <w:t>11.52</w:t>
                                  </w:r>
                                </w:p>
                              </w:txbxContent>
                            </wps:txbx>
                            <wps:bodyPr vert="horz" wrap="square" anchor="t" anchorCtr="0" upright="1"/>
                          </wps:wsp>
                        </a:graphicData>
                      </a:graphic>
                    </wp:anchor>
                  </w:drawing>
                </mc:Choice>
                <mc:Fallback>
                  <w:pict>
                    <v:shape id="文本框 227" o:spid="_x0000_s1026" o:spt="202" type="#_x0000_t202" style="position:absolute;left:0pt;margin-left:281.65pt;margin-top:0.2pt;height:21.35pt;width:46.65pt;z-index:251707392;mso-width-relative:page;mso-height-relative:page;" filled="f" stroked="f" coordsize="21600,21600" o:gfxdata="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vc+71wAAAAcBAAAP&#10;AAAAAAAAAAEAIAAAACIAAABkcnMvZG93bnJldi54bWxQSwECFAAUAAAACACHTuJAG6k3XeABAACY&#10;AwAADgAAAAAAAAABACAAAAAmAQAAZHJzL2Uyb0RvYy54bWxQSwUGAAAAAAYABgBZAQAAeAUAAAAA&#10;">
                      <v:fill on="f" focussize="0,0"/>
                      <v:stroke on="f" weight="0.5pt"/>
                      <v:imagedata o:title=""/>
                      <o:lock v:ext="edit" aspectratio="f"/>
                      <v:textbox>
                        <w:txbxContent>
                          <w:p w14:paraId="2E50616F">
                            <w:pPr>
                              <w:jc w:val="center"/>
                              <w:rPr>
                                <w:szCs w:val="21"/>
                              </w:rPr>
                            </w:pPr>
                            <w:r>
                              <w:rPr>
                                <w:rFonts w:hint="eastAsia"/>
                                <w:szCs w:val="21"/>
                              </w:rPr>
                              <w:t>11.52</w:t>
                            </w:r>
                          </w:p>
                        </w:txbxContent>
                      </v:textbox>
                    </v:shape>
                  </w:pict>
                </mc:Fallback>
              </mc:AlternateContent>
            </w:r>
            <w:r>
              <w:rPr>
                <w:color w:val="auto"/>
                <w:sz w:val="21"/>
              </w:rPr>
              <mc:AlternateContent>
                <mc:Choice Requires="wps">
                  <w:drawing>
                    <wp:anchor distT="0" distB="0" distL="114300" distR="114300" simplePos="0" relativeHeight="251706368" behindDoc="0" locked="0" layoutInCell="1" allowOverlap="1">
                      <wp:simplePos x="0" y="0"/>
                      <wp:positionH relativeFrom="column">
                        <wp:posOffset>3666490</wp:posOffset>
                      </wp:positionH>
                      <wp:positionV relativeFrom="paragraph">
                        <wp:posOffset>211455</wp:posOffset>
                      </wp:positionV>
                      <wp:extent cx="542925" cy="0"/>
                      <wp:effectExtent l="0" t="48895" r="9525" b="65405"/>
                      <wp:wrapNone/>
                      <wp:docPr id="49" name="直接箭头连接符 207"/>
                      <wp:cNvGraphicFramePr/>
                      <a:graphic xmlns:a="http://schemas.openxmlformats.org/drawingml/2006/main">
                        <a:graphicData uri="http://schemas.microsoft.com/office/word/2010/wordprocessingShape">
                          <wps:wsp>
                            <wps:cNvCnPr/>
                            <wps:spPr>
                              <a:xfrm>
                                <a:off x="4925695" y="437134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7" o:spid="_x0000_s1026" o:spt="32" type="#_x0000_t32" style="position:absolute;left:0pt;margin-left:288.7pt;margin-top:16.65pt;height:0pt;width:42.75pt;z-index:251706368;mso-width-relative:page;mso-height-relative:page;" filled="f" stroked="t" coordsize="21600,21600" o:gfxdata="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l6+M9gAAAAJAQAADwAAAAAAAAAB&#10;ACAAAAAiAAAAZHJzL2Rvd25yZXYueG1sUEsBAhQAFAAAAAgAh07iQOXDYbIQAgAA+wMAAA4AAAAA&#10;AAAAAQAgAAAAJwEAAGRycy9lMm9Eb2MueG1sUEsFBgAAAAAGAAYAWQEAAKkFA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79744" behindDoc="0" locked="0" layoutInCell="1" allowOverlap="1">
                      <wp:simplePos x="0" y="0"/>
                      <wp:positionH relativeFrom="column">
                        <wp:posOffset>2299335</wp:posOffset>
                      </wp:positionH>
                      <wp:positionV relativeFrom="paragraph">
                        <wp:posOffset>2540</wp:posOffset>
                      </wp:positionV>
                      <wp:extent cx="592455" cy="271145"/>
                      <wp:effectExtent l="0" t="0" r="0" b="0"/>
                      <wp:wrapNone/>
                      <wp:docPr id="23" name="文本框 227"/>
                      <wp:cNvGraphicFramePr/>
                      <a:graphic xmlns:a="http://schemas.openxmlformats.org/drawingml/2006/main">
                        <a:graphicData uri="http://schemas.microsoft.com/office/word/2010/wordprocessingShape">
                          <wps:wsp>
                            <wps:cNvSpPr txBox="1"/>
                            <wps:spPr>
                              <a:xfrm>
                                <a:off x="3558540" y="4162425"/>
                                <a:ext cx="592455" cy="271145"/>
                              </a:xfrm>
                              <a:prstGeom prst="rect">
                                <a:avLst/>
                              </a:prstGeom>
                              <a:noFill/>
                              <a:ln w="6350">
                                <a:noFill/>
                              </a:ln>
                            </wps:spPr>
                            <wps:txbx>
                              <w:txbxContent>
                                <w:p w14:paraId="772F8850">
                                  <w:pPr>
                                    <w:jc w:val="center"/>
                                    <w:rPr>
                                      <w:szCs w:val="21"/>
                                    </w:rPr>
                                  </w:pPr>
                                  <w:r>
                                    <w:rPr>
                                      <w:rFonts w:hint="eastAsia"/>
                                      <w:szCs w:val="21"/>
                                    </w:rPr>
                                    <w:t>11.52</w:t>
                                  </w:r>
                                </w:p>
                              </w:txbxContent>
                            </wps:txbx>
                            <wps:bodyPr vert="horz" wrap="square" anchor="t" anchorCtr="0" upright="1"/>
                          </wps:wsp>
                        </a:graphicData>
                      </a:graphic>
                    </wp:anchor>
                  </w:drawing>
                </mc:Choice>
                <mc:Fallback>
                  <w:pict>
                    <v:shape id="文本框 227" o:spid="_x0000_s1026" o:spt="202" type="#_x0000_t202" style="position:absolute;left:0pt;margin-left:181.05pt;margin-top:0.2pt;height:21.35pt;width:46.65pt;z-index:251679744;mso-width-relative:page;mso-height-relative:page;" filled="f" stroked="f" coordsize="21600,21600" o:gfxdata="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LTk+91wAAAAcB&#10;AAAPAAAAAAAAAAEAIAAAACIAAABkcnMvZG93bnJldi54bWxQSwECFAAUAAAACACHTuJAJR9mFuMB&#10;AACYAwAADgAAAAAAAAABACAAAAAmAQAAZHJzL2Uyb0RvYy54bWxQSwUGAAAAAAYABgBZAQAAewUA&#10;AAAA&#10;">
                      <v:fill on="f" focussize="0,0"/>
                      <v:stroke on="f" weight="0.5pt"/>
                      <v:imagedata o:title=""/>
                      <o:lock v:ext="edit" aspectratio="f"/>
                      <v:textbox>
                        <w:txbxContent>
                          <w:p w14:paraId="772F8850">
                            <w:pPr>
                              <w:jc w:val="center"/>
                              <w:rPr>
                                <w:szCs w:val="21"/>
                              </w:rPr>
                            </w:pPr>
                            <w:r>
                              <w:rPr>
                                <w:rFonts w:hint="eastAsia"/>
                                <w:szCs w:val="21"/>
                              </w:rPr>
                              <w:t>11.52</w:t>
                            </w:r>
                          </w:p>
                        </w:txbxContent>
                      </v:textbox>
                    </v:shape>
                  </w:pict>
                </mc:Fallback>
              </mc:AlternateContent>
            </w:r>
            <w:r>
              <w:rPr>
                <w:color w:val="auto"/>
                <w:sz w:val="21"/>
              </w:rPr>
              <mc:AlternateContent>
                <mc:Choice Requires="wps">
                  <w:drawing>
                    <wp:anchor distT="0" distB="0" distL="114300" distR="114300" simplePos="0" relativeHeight="251678720" behindDoc="0" locked="0" layoutInCell="1" allowOverlap="1">
                      <wp:simplePos x="0" y="0"/>
                      <wp:positionH relativeFrom="column">
                        <wp:posOffset>638810</wp:posOffset>
                      </wp:positionH>
                      <wp:positionV relativeFrom="paragraph">
                        <wp:posOffset>2540</wp:posOffset>
                      </wp:positionV>
                      <wp:extent cx="592455" cy="271145"/>
                      <wp:effectExtent l="0" t="0" r="0" b="0"/>
                      <wp:wrapNone/>
                      <wp:docPr id="22" name="文本框 225"/>
                      <wp:cNvGraphicFramePr/>
                      <a:graphic xmlns:a="http://schemas.openxmlformats.org/drawingml/2006/main">
                        <a:graphicData uri="http://schemas.microsoft.com/office/word/2010/wordprocessingShape">
                          <wps:wsp>
                            <wps:cNvSpPr txBox="1"/>
                            <wps:spPr>
                              <a:xfrm>
                                <a:off x="1898015" y="4162425"/>
                                <a:ext cx="592455" cy="271145"/>
                              </a:xfrm>
                              <a:prstGeom prst="rect">
                                <a:avLst/>
                              </a:prstGeom>
                              <a:noFill/>
                              <a:ln w="6350">
                                <a:noFill/>
                              </a:ln>
                            </wps:spPr>
                            <wps:txbx>
                              <w:txbxContent>
                                <w:p w14:paraId="19438234">
                                  <w:pPr>
                                    <w:jc w:val="center"/>
                                    <w:rPr>
                                      <w:szCs w:val="21"/>
                                    </w:rPr>
                                  </w:pPr>
                                  <w:r>
                                    <w:rPr>
                                      <w:rFonts w:hint="eastAsia"/>
                                      <w:szCs w:val="21"/>
                                    </w:rPr>
                                    <w:t>14.4</w:t>
                                  </w:r>
                                </w:p>
                              </w:txbxContent>
                            </wps:txbx>
                            <wps:bodyPr vert="horz" wrap="square" anchor="t" anchorCtr="0" upright="1"/>
                          </wps:wsp>
                        </a:graphicData>
                      </a:graphic>
                    </wp:anchor>
                  </w:drawing>
                </mc:Choice>
                <mc:Fallback>
                  <w:pict>
                    <v:shape id="文本框 225" o:spid="_x0000_s1026" o:spt="202" type="#_x0000_t202" style="position:absolute;left:0pt;margin-left:50.3pt;margin-top:0.2pt;height:21.35pt;width:46.65pt;z-index:251678720;mso-width-relative:page;mso-height-relative:page;" filled="f" stroked="f" coordsize="21600,21600" o:gfxdata="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uWKX7WAAAABwEAAA8A&#10;AAAAAAAAAQAgAAAAIgAAAGRycy9kb3ducmV2LnhtbFBLAQIUABQAAAAIAIdO4kCHJQyp4AEAAJgD&#10;AAAOAAAAAAAAAAEAIAAAACUBAABkcnMvZTJvRG9jLnhtbFBLBQYAAAAABgAGAFkBAAB3BQAAAAA=&#10;">
                      <v:fill on="f" focussize="0,0"/>
                      <v:stroke on="f" weight="0.5pt"/>
                      <v:imagedata o:title=""/>
                      <o:lock v:ext="edit" aspectratio="f"/>
                      <v:textbox>
                        <w:txbxContent>
                          <w:p w14:paraId="19438234">
                            <w:pPr>
                              <w:jc w:val="center"/>
                              <w:rPr>
                                <w:szCs w:val="21"/>
                              </w:rPr>
                            </w:pPr>
                            <w:r>
                              <w:rPr>
                                <w:rFonts w:hint="eastAsia"/>
                                <w:szCs w:val="21"/>
                              </w:rPr>
                              <w:t>14.4</w:t>
                            </w:r>
                          </w:p>
                        </w:txbxContent>
                      </v:textbox>
                    </v:shape>
                  </w:pict>
                </mc:Fallback>
              </mc:AlternateContent>
            </w:r>
            <w:r>
              <w:rPr>
                <w:color w:val="auto"/>
                <w:sz w:val="21"/>
              </w:rPr>
              <mc:AlternateContent>
                <mc:Choice Requires="wps">
                  <w:drawing>
                    <wp:anchor distT="0" distB="0" distL="114300" distR="114300" simplePos="0" relativeHeight="251671552" behindDoc="0" locked="0" layoutInCell="1" allowOverlap="1">
                      <wp:simplePos x="0" y="0"/>
                      <wp:positionH relativeFrom="column">
                        <wp:posOffset>2388870</wp:posOffset>
                      </wp:positionH>
                      <wp:positionV relativeFrom="paragraph">
                        <wp:posOffset>211455</wp:posOffset>
                      </wp:positionV>
                      <wp:extent cx="542925" cy="0"/>
                      <wp:effectExtent l="0" t="48895" r="9525" b="65405"/>
                      <wp:wrapNone/>
                      <wp:docPr id="15" name="直接箭头连接符 207"/>
                      <wp:cNvGraphicFramePr/>
                      <a:graphic xmlns:a="http://schemas.openxmlformats.org/drawingml/2006/main">
                        <a:graphicData uri="http://schemas.microsoft.com/office/word/2010/wordprocessingShape">
                          <wps:wsp>
                            <wps:cNvCnPr/>
                            <wps:spPr>
                              <a:xfrm>
                                <a:off x="3648075" y="437134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7" o:spid="_x0000_s1026" o:spt="32" type="#_x0000_t32" style="position:absolute;left:0pt;margin-left:188.1pt;margin-top:16.65pt;height:0pt;width:42.75pt;z-index:251671552;mso-width-relative:page;mso-height-relative:page;" filled="f" stroked="t" coordsize="21600,21600" o:gfxdata="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eQe8TXAAAACQEAAA8AAAAAAAAA&#10;AQAgAAAAIgAAAGRycy9kb3ducmV2LnhtbFBLAQIUABQAAAAIAIdO4kBNVb+wEgIAAPsDAAAOAAAA&#10;AAAAAAEAIAAAACYBAABkcnMvZTJvRG9jLnhtbFBLBQYAAAAABgAGAFkBAACq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67456" behindDoc="0" locked="0" layoutInCell="1" allowOverlap="1">
                      <wp:simplePos x="0" y="0"/>
                      <wp:positionH relativeFrom="column">
                        <wp:posOffset>621030</wp:posOffset>
                      </wp:positionH>
                      <wp:positionV relativeFrom="paragraph">
                        <wp:posOffset>211455</wp:posOffset>
                      </wp:positionV>
                      <wp:extent cx="727075" cy="635"/>
                      <wp:effectExtent l="0" t="48260" r="15875" b="65405"/>
                      <wp:wrapNone/>
                      <wp:docPr id="11" name="直接箭头连接符 201"/>
                      <wp:cNvGraphicFramePr/>
                      <a:graphic xmlns:a="http://schemas.openxmlformats.org/drawingml/2006/main">
                        <a:graphicData uri="http://schemas.microsoft.com/office/word/2010/wordprocessingShape">
                          <wps:wsp>
                            <wps:cNvCnPr/>
                            <wps:spPr>
                              <a:xfrm>
                                <a:off x="1880235" y="4371340"/>
                                <a:ext cx="727075" cy="635"/>
                              </a:xfrm>
                              <a:prstGeom prst="bentConnector3">
                                <a:avLst>
                                  <a:gd name="adj1" fmla="val 49958"/>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1" o:spid="_x0000_s1026" o:spt="34" type="#_x0000_t34" style="position:absolute;left:0pt;margin-left:48.9pt;margin-top:16.65pt;height:0.05pt;width:57.25pt;z-index:251667456;mso-width-relative:page;mso-height-relative:page;" filled="f" stroked="t" coordsize="21600,21600" o:gfxdata="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tTO5g2AAAAAgBAAAPAAAAAAAAAAEAIAAAACIAAABkcnMvZG93bnJldi54bWxQSwECFAAU&#10;AAAACACHTuJA7o+gFioCAAAwBAAADgAAAAAAAAABACAAAAAnAQAAZHJzL2Uyb0RvYy54bWxQSwUG&#10;AAAAAAYABgBZAQAAwwUAAAAA&#10;" adj="10791">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1347470</wp:posOffset>
                      </wp:positionH>
                      <wp:positionV relativeFrom="paragraph">
                        <wp:posOffset>74930</wp:posOffset>
                      </wp:positionV>
                      <wp:extent cx="1040765" cy="271145"/>
                      <wp:effectExtent l="4445" t="4445" r="21590" b="10160"/>
                      <wp:wrapNone/>
                      <wp:docPr id="9" name="文本框 199"/>
                      <wp:cNvGraphicFramePr/>
                      <a:graphic xmlns:a="http://schemas.openxmlformats.org/drawingml/2006/main">
                        <a:graphicData uri="http://schemas.microsoft.com/office/word/2010/wordprocessingShape">
                          <wps:wsp>
                            <wps:cNvSpPr txBox="1"/>
                            <wps:spPr>
                              <a:xfrm>
                                <a:off x="2606675" y="4234815"/>
                                <a:ext cx="104076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F19C784">
                                  <w:pPr>
                                    <w:jc w:val="center"/>
                                    <w:rPr>
                                      <w:szCs w:val="21"/>
                                    </w:rPr>
                                  </w:pPr>
                                  <w:r>
                                    <w:rPr>
                                      <w:rFonts w:hint="eastAsia"/>
                                      <w:szCs w:val="21"/>
                                    </w:rPr>
                                    <w:t>生活用水(</w:t>
                                  </w:r>
                                  <w:r>
                                    <w:rPr>
                                      <w:szCs w:val="21"/>
                                    </w:rPr>
                                    <w:t>-</w:t>
                                  </w:r>
                                  <w:r>
                                    <w:rPr>
                                      <w:rFonts w:hint="eastAsia"/>
                                      <w:szCs w:val="21"/>
                                    </w:rPr>
                                    <w:t>2.88)</w:t>
                                  </w:r>
                                </w:p>
                              </w:txbxContent>
                            </wps:txbx>
                            <wps:bodyPr vert="horz" wrap="square" anchor="t" anchorCtr="0" upright="1"/>
                          </wps:wsp>
                        </a:graphicData>
                      </a:graphic>
                    </wp:anchor>
                  </w:drawing>
                </mc:Choice>
                <mc:Fallback>
                  <w:pict>
                    <v:shape id="文本框 199" o:spid="_x0000_s1026" o:spt="202" type="#_x0000_t202" style="position:absolute;left:0pt;margin-left:106.1pt;margin-top:5.9pt;height:21.35pt;width:81.95pt;z-index:251665408;mso-width-relative:page;mso-height-relative:page;" fillcolor="#FFFFFF" filled="t" stroked="t" coordsize="21600,21600" o:gfxdata="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rBc4dYAAAAJAQAADwAAAAAAAAABACAAAAAiAAAAZHJzL2Rvd25y&#10;ZXYueG1sUEsBAhQAFAAAAAgAh07iQGA7iHw5AgAAdwQAAA4AAAAAAAAAAQAgAAAAJQEAAGRycy9l&#10;Mm9Eb2MueG1sUEsFBgAAAAAGAAYAWQEAANAFAAAAAA==&#10;">
                      <v:fill on="t" focussize="0,0"/>
                      <v:stroke weight="0.5pt" color="#000000" joinstyle="miter"/>
                      <v:imagedata o:title=""/>
                      <o:lock v:ext="edit" aspectratio="f"/>
                      <v:textbox>
                        <w:txbxContent>
                          <w:p w14:paraId="3F19C784">
                            <w:pPr>
                              <w:jc w:val="center"/>
                              <w:rPr>
                                <w:szCs w:val="21"/>
                              </w:rPr>
                            </w:pPr>
                            <w:r>
                              <w:rPr>
                                <w:rFonts w:hint="eastAsia"/>
                                <w:szCs w:val="21"/>
                              </w:rPr>
                              <w:t>生活用水(</w:t>
                            </w:r>
                            <w:r>
                              <w:rPr>
                                <w:szCs w:val="21"/>
                              </w:rPr>
                              <w:t>-</w:t>
                            </w:r>
                            <w:r>
                              <w:rPr>
                                <w:rFonts w:hint="eastAsia"/>
                                <w:szCs w:val="21"/>
                              </w:rPr>
                              <w:t>2.88)</w:t>
                            </w:r>
                          </w:p>
                        </w:txbxContent>
                      </v:textbox>
                    </v:shape>
                  </w:pict>
                </mc:Fallback>
              </mc:AlternateContent>
            </w:r>
            <w:r>
              <w:rPr>
                <w:color w:val="auto"/>
                <w:sz w:val="21"/>
              </w:rPr>
              <mc:AlternateContent>
                <mc:Choice Requires="wps">
                  <w:drawing>
                    <wp:anchor distT="0" distB="0" distL="114300" distR="114300" simplePos="0" relativeHeight="251664384" behindDoc="0" locked="0" layoutInCell="1" allowOverlap="1">
                      <wp:simplePos x="0" y="0"/>
                      <wp:positionH relativeFrom="column">
                        <wp:posOffset>2945130</wp:posOffset>
                      </wp:positionH>
                      <wp:positionV relativeFrom="paragraph">
                        <wp:posOffset>74930</wp:posOffset>
                      </wp:positionV>
                      <wp:extent cx="712470" cy="271145"/>
                      <wp:effectExtent l="4445" t="4445" r="6985" b="10160"/>
                      <wp:wrapNone/>
                      <wp:docPr id="8" name="文本框 198"/>
                      <wp:cNvGraphicFramePr/>
                      <a:graphic xmlns:a="http://schemas.openxmlformats.org/drawingml/2006/main">
                        <a:graphicData uri="http://schemas.microsoft.com/office/word/2010/wordprocessingShape">
                          <wps:wsp>
                            <wps:cNvSpPr txBox="1"/>
                            <wps:spPr>
                              <a:xfrm>
                                <a:off x="4204335" y="4234815"/>
                                <a:ext cx="712470"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DB1D2E2">
                                  <w:pPr>
                                    <w:jc w:val="center"/>
                                    <w:rPr>
                                      <w:szCs w:val="21"/>
                                    </w:rPr>
                                  </w:pPr>
                                  <w:r>
                                    <w:rPr>
                                      <w:rFonts w:hint="eastAsia"/>
                                      <w:szCs w:val="21"/>
                                    </w:rPr>
                                    <w:t>污水处理站</w:t>
                                  </w:r>
                                </w:p>
                              </w:txbxContent>
                            </wps:txbx>
                            <wps:bodyPr vert="horz" wrap="square" lIns="0" tIns="45720" rIns="0" bIns="45720" anchor="t" anchorCtr="0" upright="1"/>
                          </wps:wsp>
                        </a:graphicData>
                      </a:graphic>
                    </wp:anchor>
                  </w:drawing>
                </mc:Choice>
                <mc:Fallback>
                  <w:pict>
                    <v:shape id="文本框 198" o:spid="_x0000_s1026" o:spt="202" type="#_x0000_t202" style="position:absolute;left:0pt;margin-left:231.9pt;margin-top:5.9pt;height:21.35pt;width:56.1pt;z-index:251664384;mso-width-relative:page;mso-height-relative:page;" fillcolor="#FFFFFF" filled="t" stroked="t" coordsize="21600,21600" o:gfxdata="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dCKDttcAAAAJAQAADwAAAAAAAAAB&#10;ACAAAAAiAAAAZHJzL2Rvd25yZXYueG1sUEsBAhQAFAAAAAgAh07iQEuSoa5KAgAAogQAAA4AAAAA&#10;AAAAAQAgAAAAJgEAAGRycy9lMm9Eb2MueG1sUEsFBgAAAAAGAAYAWQEAAOIFAAAAAA==&#10;">
                      <v:fill on="t" focussize="0,0"/>
                      <v:stroke weight="0.5pt" color="#000000" joinstyle="miter"/>
                      <v:imagedata o:title=""/>
                      <o:lock v:ext="edit" aspectratio="f"/>
                      <v:textbox inset="0mm,1.27mm,0mm,1.27mm">
                        <w:txbxContent>
                          <w:p w14:paraId="5DB1D2E2">
                            <w:pPr>
                              <w:jc w:val="center"/>
                              <w:rPr>
                                <w:szCs w:val="21"/>
                              </w:rPr>
                            </w:pPr>
                            <w:r>
                              <w:rPr>
                                <w:rFonts w:hint="eastAsia"/>
                                <w:szCs w:val="21"/>
                              </w:rPr>
                              <w:t>污水处理站</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59264" behindDoc="0" locked="0" layoutInCell="1" allowOverlap="1">
                      <wp:simplePos x="0" y="0"/>
                      <wp:positionH relativeFrom="column">
                        <wp:posOffset>1005840</wp:posOffset>
                      </wp:positionH>
                      <wp:positionV relativeFrom="paragraph">
                        <wp:posOffset>259080</wp:posOffset>
                      </wp:positionV>
                      <wp:extent cx="3306445" cy="359410"/>
                      <wp:effectExtent l="0" t="0" r="0" b="0"/>
                      <wp:wrapNone/>
                      <wp:docPr id="2" name="文本框 4107"/>
                      <wp:cNvGraphicFramePr/>
                      <a:graphic xmlns:a="http://schemas.openxmlformats.org/drawingml/2006/main">
                        <a:graphicData uri="http://schemas.microsoft.com/office/word/2010/wordprocessingShape">
                          <wps:wsp>
                            <wps:cNvSpPr txBox="1"/>
                            <wps:spPr>
                              <a:xfrm>
                                <a:off x="0" y="0"/>
                                <a:ext cx="3306445" cy="359410"/>
                              </a:xfrm>
                              <a:prstGeom prst="rect">
                                <a:avLst/>
                              </a:prstGeom>
                              <a:noFill/>
                              <a:ln>
                                <a:noFill/>
                              </a:ln>
                            </wps:spPr>
                            <wps:txbx>
                              <w:txbxContent>
                                <w:p w14:paraId="16BE50DC">
                                  <w:pPr>
                                    <w:spacing w:line="440" w:lineRule="exact"/>
                                    <w:rPr>
                                      <w:rFonts w:hint="default" w:eastAsia="宋体"/>
                                      <w:b/>
                                      <w:sz w:val="24"/>
                                      <w:lang w:val="en-US" w:eastAsia="zh-CN"/>
                                    </w:rPr>
                                  </w:pPr>
                                  <w:r>
                                    <w:rPr>
                                      <w:b/>
                                      <w:sz w:val="24"/>
                                    </w:rPr>
                                    <w:t>图</w:t>
                                  </w:r>
                                  <w:r>
                                    <w:rPr>
                                      <w:rFonts w:hint="eastAsia"/>
                                      <w:b/>
                                      <w:sz w:val="24"/>
                                      <w:lang w:val="en-US" w:eastAsia="zh-CN"/>
                                    </w:rPr>
                                    <w:t xml:space="preserve">2-3 </w:t>
                                  </w:r>
                                  <w:r>
                                    <w:rPr>
                                      <w:b/>
                                      <w:sz w:val="24"/>
                                    </w:rPr>
                                    <w:t xml:space="preserve">   现有工程给排水水量平衡图</w:t>
                                  </w:r>
                                  <w:r>
                                    <w:rPr>
                                      <w:rFonts w:hint="eastAsia"/>
                                      <w:b/>
                                      <w:sz w:val="24"/>
                                      <w:lang w:val="en-US" w:eastAsia="zh-CN"/>
                                    </w:rPr>
                                    <w:t xml:space="preserve">   m</w:t>
                                  </w:r>
                                  <w:r>
                                    <w:rPr>
                                      <w:rFonts w:hint="eastAsia"/>
                                      <w:b/>
                                      <w:sz w:val="24"/>
                                      <w:vertAlign w:val="superscript"/>
                                      <w:lang w:val="en-US" w:eastAsia="zh-CN"/>
                                    </w:rPr>
                                    <w:t>3</w:t>
                                  </w:r>
                                  <w:r>
                                    <w:rPr>
                                      <w:rFonts w:hint="eastAsia"/>
                                      <w:b/>
                                      <w:sz w:val="24"/>
                                      <w:lang w:val="en-US" w:eastAsia="zh-CN"/>
                                    </w:rPr>
                                    <w:t>/d</w:t>
                                  </w:r>
                                </w:p>
                              </w:txbxContent>
                            </wps:txbx>
                            <wps:bodyPr vert="horz" wrap="square" anchor="t" anchorCtr="0" upright="1"/>
                          </wps:wsp>
                        </a:graphicData>
                      </a:graphic>
                    </wp:anchor>
                  </w:drawing>
                </mc:Choice>
                <mc:Fallback>
                  <w:pict>
                    <v:shape id="文本框 4107" o:spid="_x0000_s1026" o:spt="202" type="#_x0000_t202" style="position:absolute;left:0pt;margin-left:79.2pt;margin-top:20.4pt;height:28.3pt;width:260.35pt;z-index:251659264;mso-width-relative:page;mso-height-relative:page;" filled="f" stroked="f" coordsize="21600,21600" o:gfxdata="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n1GKbXAAAACQEAAA8AAAAAAAAAAQAgAAAAIgAAAGRy&#10;cy9kb3ducmV2LnhtbFBLAQIUABQAAAAIAIdO4kAbwIeqzQEAAIQDAAAOAAAAAAAAAAEAIAAAACYB&#10;AABkcnMvZTJvRG9jLnhtbFBLBQYAAAAABgAGAFkBAABlBQAAAAA=&#10;">
                      <v:fill on="f" focussize="0,0"/>
                      <v:stroke on="f"/>
                      <v:imagedata o:title=""/>
                      <o:lock v:ext="edit" aspectratio="f"/>
                      <v:textbox>
                        <w:txbxContent>
                          <w:p w14:paraId="16BE50DC">
                            <w:pPr>
                              <w:spacing w:line="440" w:lineRule="exact"/>
                              <w:rPr>
                                <w:rFonts w:hint="default" w:eastAsia="宋体"/>
                                <w:b/>
                                <w:sz w:val="24"/>
                                <w:lang w:val="en-US" w:eastAsia="zh-CN"/>
                              </w:rPr>
                            </w:pPr>
                            <w:r>
                              <w:rPr>
                                <w:b/>
                                <w:sz w:val="24"/>
                              </w:rPr>
                              <w:t>图</w:t>
                            </w:r>
                            <w:r>
                              <w:rPr>
                                <w:rFonts w:hint="eastAsia"/>
                                <w:b/>
                                <w:sz w:val="24"/>
                                <w:lang w:val="en-US" w:eastAsia="zh-CN"/>
                              </w:rPr>
                              <w:t xml:space="preserve">2-3 </w:t>
                            </w:r>
                            <w:r>
                              <w:rPr>
                                <w:b/>
                                <w:sz w:val="24"/>
                              </w:rPr>
                              <w:t xml:space="preserve">   现有工程给排水水量平衡图</w:t>
                            </w:r>
                            <w:r>
                              <w:rPr>
                                <w:rFonts w:hint="eastAsia"/>
                                <w:b/>
                                <w:sz w:val="24"/>
                                <w:lang w:val="en-US" w:eastAsia="zh-CN"/>
                              </w:rPr>
                              <w:t xml:space="preserve">   m</w:t>
                            </w:r>
                            <w:r>
                              <w:rPr>
                                <w:rFonts w:hint="eastAsia"/>
                                <w:b/>
                                <w:sz w:val="24"/>
                                <w:vertAlign w:val="superscript"/>
                                <w:lang w:val="en-US" w:eastAsia="zh-CN"/>
                              </w:rPr>
                              <w:t>3</w:t>
                            </w:r>
                            <w:r>
                              <w:rPr>
                                <w:rFonts w:hint="eastAsia"/>
                                <w:b/>
                                <w:sz w:val="24"/>
                                <w:lang w:val="en-US" w:eastAsia="zh-CN"/>
                              </w:rPr>
                              <w:t>/d</w:t>
                            </w:r>
                          </w:p>
                        </w:txbxContent>
                      </v:textbox>
                    </v:shape>
                  </w:pict>
                </mc:Fallback>
              </mc:AlternateContent>
            </w:r>
          </w:p>
          <w:p w14:paraId="2F4ACB4A">
            <w:pPr>
              <w:spacing w:line="440" w:lineRule="exact"/>
              <w:ind w:firstLine="420" w:firstLineChars="200"/>
              <w:rPr>
                <w:rFonts w:hint="default" w:ascii="Times New Roman" w:hAnsi="Times New Roman" w:cs="Times New Roman"/>
                <w:color w:val="auto"/>
              </w:rPr>
            </w:pPr>
          </w:p>
          <w:p w14:paraId="09E01E2D">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（2）供电</w:t>
            </w:r>
          </w:p>
          <w:p w14:paraId="5422229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用电由园区110kV变电站引入10kV单回电源，接入厂区变电室，用电负荷为三级负荷，工程设变电室1座，总容积为3200kVA。厂区低压配电线路采用放射、树干混合方式，埋地电缆敷设。生产车间采用低压配电屏直接向设备供电。现有工程年用电量为930万kWh，设100kVA备用柴油发电机一台，用于停电时紧急供电使用。</w:t>
            </w:r>
          </w:p>
          <w:p w14:paraId="4FE1BF2B">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（3）供热</w:t>
            </w:r>
          </w:p>
          <w:p w14:paraId="4C80F97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现有工程生产用热、沥青储罐保温用热由2台导热油炉提供。导热油炉采用煅烧车间烟气余热作为热源。</w:t>
            </w:r>
          </w:p>
          <w:p w14:paraId="37DB74E8">
            <w:pPr>
              <w:keepNext w:val="0"/>
              <w:keepLines w:val="0"/>
              <w:pageBreakBefore w:val="0"/>
              <w:widowControl w:val="0"/>
              <w:kinsoku/>
              <w:wordWrap/>
              <w:overflowPunct/>
              <w:topLinePunct w:val="0"/>
              <w:autoSpaceDE/>
              <w:autoSpaceDN/>
              <w:bidi w:val="0"/>
              <w:adjustRightInd w:val="0"/>
              <w:snapToGrid w:val="0"/>
              <w:spacing w:line="480" w:lineRule="exact"/>
              <w:ind w:firstLine="456" w:firstLineChars="200"/>
              <w:textAlignment w:val="auto"/>
              <w:rPr>
                <w:rFonts w:hint="default" w:ascii="Times New Roman" w:hAnsi="Times New Roman" w:cs="Times New Roman"/>
                <w:color w:val="auto"/>
                <w:spacing w:val="-6"/>
                <w:sz w:val="24"/>
                <w:szCs w:val="22"/>
              </w:rPr>
            </w:pPr>
            <w:r>
              <w:rPr>
                <w:rFonts w:hint="default" w:ascii="Times New Roman" w:hAnsi="Times New Roman" w:cs="Times New Roman"/>
                <w:color w:val="auto"/>
                <w:spacing w:val="-6"/>
                <w:sz w:val="24"/>
                <w:szCs w:val="22"/>
              </w:rPr>
              <w:t>煅烧炉出炉烟气温度为850-1000℃，含有大量余热，利用导热油炉回收烟气余热，以导热油为传热介质，把250℃左右的高温导热油分别由管道输送至各用热单位。</w:t>
            </w:r>
          </w:p>
          <w:p w14:paraId="5D887267">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（4）供气</w:t>
            </w:r>
          </w:p>
          <w:p w14:paraId="242A2C9D">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w:t>
            </w:r>
            <w:r>
              <w:rPr>
                <w:rFonts w:hint="eastAsia" w:ascii="Times New Roman" w:hAnsi="Times New Roman" w:cs="Times New Roman"/>
                <w:color w:val="auto"/>
                <w:sz w:val="24"/>
                <w:szCs w:val="22"/>
                <w:lang w:val="en-US" w:eastAsia="zh-CN"/>
              </w:rPr>
              <w:t>采用天然气加热，</w:t>
            </w:r>
            <w:r>
              <w:rPr>
                <w:rFonts w:hint="default" w:ascii="Times New Roman" w:hAnsi="Times New Roman" w:cs="Times New Roman"/>
                <w:color w:val="auto"/>
                <w:sz w:val="24"/>
                <w:szCs w:val="22"/>
                <w:lang w:eastAsia="zh-CN"/>
              </w:rPr>
              <w:t>经</w:t>
            </w:r>
            <w:r>
              <w:rPr>
                <w:rFonts w:hint="default" w:ascii="Times New Roman" w:hAnsi="Times New Roman" w:cs="Times New Roman"/>
                <w:color w:val="auto"/>
                <w:sz w:val="24"/>
                <w:szCs w:val="22"/>
              </w:rPr>
              <w:t>管道输送至厂区。</w:t>
            </w:r>
          </w:p>
          <w:p w14:paraId="4AF931C2">
            <w:pPr>
              <w:keepNext w:val="0"/>
              <w:keepLines w:val="0"/>
              <w:pageBreakBefore w:val="0"/>
              <w:widowControl w:val="0"/>
              <w:numPr>
                <w:ilvl w:val="0"/>
                <w:numId w:val="7"/>
              </w:numPr>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现有工程生产工艺流程及排污节点</w:t>
            </w:r>
          </w:p>
          <w:p w14:paraId="732464F7">
            <w:pPr>
              <w:pStyle w:val="6"/>
              <w:rPr>
                <w:rFonts w:hint="default" w:ascii="Times New Roman" w:hAnsi="Times New Roman" w:cs="Times New Roman"/>
                <w:color w:val="auto"/>
                <w:sz w:val="24"/>
                <w:szCs w:val="22"/>
              </w:rPr>
            </w:pPr>
            <w:r>
              <w:rPr>
                <w:rFonts w:hint="eastAsia" w:ascii="Times New Roman" w:hAnsi="Times New Roman" w:eastAsia="宋体" w:cs="Times New Roman"/>
                <w:b/>
                <w:bCs w:val="0"/>
                <w:color w:val="auto"/>
                <w:sz w:val="24"/>
                <w:highlight w:val="none"/>
                <w:lang w:eastAsia="zh-CN"/>
              </w:rPr>
              <w:drawing>
                <wp:anchor distT="0" distB="0" distL="114300" distR="114300" simplePos="0" relativeHeight="251712512" behindDoc="1" locked="0" layoutInCell="1" allowOverlap="1">
                  <wp:simplePos x="0" y="0"/>
                  <wp:positionH relativeFrom="column">
                    <wp:posOffset>140335</wp:posOffset>
                  </wp:positionH>
                  <wp:positionV relativeFrom="paragraph">
                    <wp:posOffset>117475</wp:posOffset>
                  </wp:positionV>
                  <wp:extent cx="5170805" cy="5648960"/>
                  <wp:effectExtent l="0" t="0" r="10795" b="8890"/>
                  <wp:wrapNone/>
                  <wp:docPr id="88" name="F360BE8B-6686-4F3D-AEAF-501FE73E4058-1" descr="C:/Users/Administrator/AppData/Local/Temp/最新工艺流程图.png最新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360BE8B-6686-4F3D-AEAF-501FE73E4058-1" descr="C:/Users/Administrator/AppData/Local/Temp/最新工艺流程图.png最新工艺流程图"/>
                          <pic:cNvPicPr>
                            <a:picLocks noChangeAspect="1"/>
                          </pic:cNvPicPr>
                        </pic:nvPicPr>
                        <pic:blipFill>
                          <a:blip r:embed="rId9"/>
                          <a:stretch>
                            <a:fillRect/>
                          </a:stretch>
                        </pic:blipFill>
                        <pic:spPr>
                          <a:xfrm>
                            <a:off x="0" y="0"/>
                            <a:ext cx="5170805" cy="5648960"/>
                          </a:xfrm>
                          <a:prstGeom prst="rect">
                            <a:avLst/>
                          </a:prstGeom>
                          <a:noFill/>
                          <a:ln>
                            <a:noFill/>
                          </a:ln>
                        </pic:spPr>
                      </pic:pic>
                    </a:graphicData>
                  </a:graphic>
                </wp:anchor>
              </w:drawing>
            </w:r>
          </w:p>
          <w:p w14:paraId="7AFBAC66">
            <w:pPr>
              <w:rPr>
                <w:rFonts w:hint="default" w:ascii="Times New Roman" w:hAnsi="Times New Roman" w:cs="Times New Roman"/>
                <w:color w:val="auto"/>
                <w:sz w:val="24"/>
                <w:szCs w:val="22"/>
              </w:rPr>
            </w:pPr>
          </w:p>
          <w:p w14:paraId="5E7F9FC4">
            <w:pPr>
              <w:pStyle w:val="8"/>
              <w:rPr>
                <w:rFonts w:hint="default" w:ascii="Times New Roman" w:hAnsi="Times New Roman" w:cs="Times New Roman"/>
                <w:color w:val="auto"/>
                <w:sz w:val="24"/>
                <w:szCs w:val="22"/>
              </w:rPr>
            </w:pPr>
          </w:p>
          <w:p w14:paraId="180AA291">
            <w:pPr>
              <w:pStyle w:val="6"/>
              <w:rPr>
                <w:rFonts w:hint="default" w:ascii="Times New Roman" w:hAnsi="Times New Roman" w:cs="Times New Roman"/>
                <w:color w:val="auto"/>
                <w:sz w:val="24"/>
                <w:szCs w:val="22"/>
              </w:rPr>
            </w:pPr>
          </w:p>
          <w:p w14:paraId="097B8C8E">
            <w:pPr>
              <w:rPr>
                <w:rFonts w:hint="default" w:ascii="Times New Roman" w:hAnsi="Times New Roman" w:cs="Times New Roman"/>
                <w:color w:val="auto"/>
                <w:sz w:val="24"/>
                <w:szCs w:val="22"/>
              </w:rPr>
            </w:pPr>
          </w:p>
          <w:p w14:paraId="1FC6AB48">
            <w:pPr>
              <w:pStyle w:val="8"/>
              <w:rPr>
                <w:rFonts w:hint="default" w:ascii="Times New Roman" w:hAnsi="Times New Roman" w:cs="Times New Roman"/>
                <w:color w:val="auto"/>
                <w:sz w:val="24"/>
                <w:szCs w:val="22"/>
              </w:rPr>
            </w:pPr>
          </w:p>
          <w:p w14:paraId="4C90EFE4">
            <w:pPr>
              <w:pStyle w:val="6"/>
              <w:rPr>
                <w:rFonts w:hint="default" w:ascii="Times New Roman" w:hAnsi="Times New Roman" w:cs="Times New Roman"/>
                <w:color w:val="auto"/>
                <w:sz w:val="24"/>
                <w:szCs w:val="22"/>
              </w:rPr>
            </w:pPr>
          </w:p>
          <w:p w14:paraId="3F4C3292">
            <w:pPr>
              <w:rPr>
                <w:rFonts w:hint="default" w:ascii="Times New Roman" w:hAnsi="Times New Roman" w:cs="Times New Roman"/>
                <w:color w:val="auto"/>
                <w:sz w:val="24"/>
                <w:szCs w:val="22"/>
              </w:rPr>
            </w:pPr>
          </w:p>
          <w:p w14:paraId="0797FD78">
            <w:pPr>
              <w:pStyle w:val="8"/>
              <w:rPr>
                <w:rFonts w:hint="default" w:ascii="Times New Roman" w:hAnsi="Times New Roman" w:cs="Times New Roman"/>
                <w:color w:val="auto"/>
                <w:sz w:val="24"/>
                <w:szCs w:val="22"/>
              </w:rPr>
            </w:pPr>
          </w:p>
          <w:p w14:paraId="72755829">
            <w:pPr>
              <w:pStyle w:val="6"/>
              <w:rPr>
                <w:rFonts w:hint="default" w:ascii="Times New Roman" w:hAnsi="Times New Roman" w:cs="Times New Roman"/>
                <w:color w:val="auto"/>
                <w:sz w:val="24"/>
                <w:szCs w:val="22"/>
              </w:rPr>
            </w:pPr>
          </w:p>
          <w:p w14:paraId="667A7323">
            <w:pPr>
              <w:rPr>
                <w:rFonts w:hint="default" w:ascii="Times New Roman" w:hAnsi="Times New Roman" w:cs="Times New Roman"/>
                <w:color w:val="auto"/>
                <w:sz w:val="24"/>
                <w:szCs w:val="22"/>
              </w:rPr>
            </w:pPr>
          </w:p>
          <w:p w14:paraId="7944E738">
            <w:pPr>
              <w:pStyle w:val="8"/>
              <w:rPr>
                <w:rFonts w:hint="default"/>
                <w:color w:val="auto"/>
              </w:rPr>
            </w:pPr>
          </w:p>
          <w:p w14:paraId="1B8F2124">
            <w:pPr>
              <w:pStyle w:val="8"/>
              <w:rPr>
                <w:rFonts w:hint="default" w:ascii="Times New Roman" w:hAnsi="Times New Roman" w:cs="Times New Roman"/>
                <w:color w:val="auto"/>
                <w:sz w:val="24"/>
                <w:szCs w:val="22"/>
              </w:rPr>
            </w:pPr>
          </w:p>
          <w:p w14:paraId="65BA20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rPr>
            </w:pPr>
          </w:p>
          <w:p w14:paraId="0402CA3A">
            <w:pPr>
              <w:spacing w:line="440" w:lineRule="exact"/>
              <w:ind w:firstLine="411" w:firstLineChars="196"/>
              <w:rPr>
                <w:rFonts w:hint="default" w:ascii="Times New Roman" w:hAnsi="Times New Roman" w:cs="Times New Roman"/>
                <w:color w:val="auto"/>
              </w:rPr>
            </w:pPr>
          </w:p>
          <w:p w14:paraId="55686450">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0CD6BD2A">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1AE9F2C1">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512C8114">
            <w:pPr>
              <w:keepNext w:val="0"/>
              <w:keepLines w:val="0"/>
              <w:pageBreakBefore w:val="0"/>
              <w:widowControl w:val="0"/>
              <w:kinsoku/>
              <w:wordWrap/>
              <w:overflowPunct/>
              <w:topLinePunct w:val="0"/>
              <w:autoSpaceDE/>
              <w:autoSpaceDN/>
              <w:bidi w:val="0"/>
              <w:spacing w:line="440" w:lineRule="exact"/>
              <w:ind w:firstLine="42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rPr>
              <mc:AlternateContent>
                <mc:Choice Requires="wps">
                  <w:drawing>
                    <wp:anchor distT="0" distB="0" distL="114300" distR="114300" simplePos="0" relativeHeight="251660288" behindDoc="0" locked="0" layoutInCell="1" allowOverlap="1">
                      <wp:simplePos x="0" y="0"/>
                      <wp:positionH relativeFrom="column">
                        <wp:posOffset>961390</wp:posOffset>
                      </wp:positionH>
                      <wp:positionV relativeFrom="paragraph">
                        <wp:posOffset>8890</wp:posOffset>
                      </wp:positionV>
                      <wp:extent cx="3305175" cy="276225"/>
                      <wp:effectExtent l="0" t="0" r="0" b="0"/>
                      <wp:wrapNone/>
                      <wp:docPr id="3" name="文本框 4151"/>
                      <wp:cNvGraphicFramePr/>
                      <a:graphic xmlns:a="http://schemas.openxmlformats.org/drawingml/2006/main">
                        <a:graphicData uri="http://schemas.microsoft.com/office/word/2010/wordprocessingShape">
                          <wps:wsp>
                            <wps:cNvSpPr txBox="1"/>
                            <wps:spPr>
                              <a:xfrm>
                                <a:off x="0" y="0"/>
                                <a:ext cx="3305175" cy="276225"/>
                              </a:xfrm>
                              <a:prstGeom prst="rect">
                                <a:avLst/>
                              </a:prstGeom>
                              <a:noFill/>
                              <a:ln>
                                <a:noFill/>
                              </a:ln>
                            </wps:spPr>
                            <wps:txbx>
                              <w:txbxContent>
                                <w:p w14:paraId="41FDFD12">
                                  <w:pPr>
                                    <w:jc w:val="center"/>
                                    <w:rPr>
                                      <w:b/>
                                      <w:sz w:val="24"/>
                                      <w:szCs w:val="24"/>
                                    </w:rPr>
                                  </w:pPr>
                                  <w:r>
                                    <w:rPr>
                                      <w:b/>
                                      <w:sz w:val="24"/>
                                      <w:szCs w:val="24"/>
                                    </w:rPr>
                                    <w:t>图</w:t>
                                  </w:r>
                                  <w:r>
                                    <w:rPr>
                                      <w:rFonts w:hint="eastAsia"/>
                                      <w:b/>
                                      <w:sz w:val="24"/>
                                      <w:szCs w:val="24"/>
                                      <w:lang w:val="en-US" w:eastAsia="zh-CN"/>
                                    </w:rPr>
                                    <w:t xml:space="preserve">2-4 </w:t>
                                  </w:r>
                                  <w:r>
                                    <w:rPr>
                                      <w:b/>
                                      <w:sz w:val="24"/>
                                      <w:szCs w:val="24"/>
                                    </w:rPr>
                                    <w:t xml:space="preserve">   现有工程</w:t>
                                  </w:r>
                                  <w:r>
                                    <w:rPr>
                                      <w:rFonts w:hint="eastAsia"/>
                                      <w:b/>
                                      <w:sz w:val="24"/>
                                      <w:szCs w:val="24"/>
                                      <w:lang w:val="en-US" w:eastAsia="zh-CN"/>
                                    </w:rPr>
                                    <w:t>生产</w:t>
                                  </w:r>
                                  <w:r>
                                    <w:rPr>
                                      <w:b/>
                                      <w:sz w:val="24"/>
                                      <w:szCs w:val="24"/>
                                    </w:rPr>
                                    <w:t>工艺流程示意图</w:t>
                                  </w:r>
                                </w:p>
                                <w:p w14:paraId="10B6C86E"/>
                              </w:txbxContent>
                            </wps:txbx>
                            <wps:bodyPr wrap="square" upright="1"/>
                          </wps:wsp>
                        </a:graphicData>
                      </a:graphic>
                    </wp:anchor>
                  </w:drawing>
                </mc:Choice>
                <mc:Fallback>
                  <w:pict>
                    <v:shape id="文本框 4151" o:spid="_x0000_s1026" o:spt="202" type="#_x0000_t202" style="position:absolute;left:0pt;margin-left:75.7pt;margin-top:0.7pt;height:21.75pt;width:260.25pt;z-index:251660288;mso-width-relative:page;mso-height-relative:page;" filled="f" stroked="f" coordsize="21600,21600" o:gfxdata="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cmiAL1QAAAAgBAAAPAAAAAAAAAAEAIAAAACIAAABkcnMvZG93bnJldi54bWxQSwECFAAU&#10;AAAACACHTuJACHj70rsBAABfAwAADgAAAAAAAAABACAAAAAkAQAAZHJzL2Uyb0RvYy54bWxQSwUG&#10;AAAAAAYABgBZAQAAUQUAAAAA&#10;">
                      <v:fill on="f" focussize="0,0"/>
                      <v:stroke on="f"/>
                      <v:imagedata o:title=""/>
                      <o:lock v:ext="edit" aspectratio="f"/>
                      <v:textbox>
                        <w:txbxContent>
                          <w:p w14:paraId="41FDFD12">
                            <w:pPr>
                              <w:jc w:val="center"/>
                              <w:rPr>
                                <w:b/>
                                <w:sz w:val="24"/>
                                <w:szCs w:val="24"/>
                              </w:rPr>
                            </w:pPr>
                            <w:r>
                              <w:rPr>
                                <w:b/>
                                <w:sz w:val="24"/>
                                <w:szCs w:val="24"/>
                              </w:rPr>
                              <w:t>图</w:t>
                            </w:r>
                            <w:r>
                              <w:rPr>
                                <w:rFonts w:hint="eastAsia"/>
                                <w:b/>
                                <w:sz w:val="24"/>
                                <w:szCs w:val="24"/>
                                <w:lang w:val="en-US" w:eastAsia="zh-CN"/>
                              </w:rPr>
                              <w:t xml:space="preserve">2-4 </w:t>
                            </w:r>
                            <w:r>
                              <w:rPr>
                                <w:b/>
                                <w:sz w:val="24"/>
                                <w:szCs w:val="24"/>
                              </w:rPr>
                              <w:t xml:space="preserve">   现有工程</w:t>
                            </w:r>
                            <w:r>
                              <w:rPr>
                                <w:rFonts w:hint="eastAsia"/>
                                <w:b/>
                                <w:sz w:val="24"/>
                                <w:szCs w:val="24"/>
                                <w:lang w:val="en-US" w:eastAsia="zh-CN"/>
                              </w:rPr>
                              <w:t>生产</w:t>
                            </w:r>
                            <w:r>
                              <w:rPr>
                                <w:b/>
                                <w:sz w:val="24"/>
                                <w:szCs w:val="24"/>
                              </w:rPr>
                              <w:t>工艺流程示意图</w:t>
                            </w:r>
                          </w:p>
                          <w:p w14:paraId="10B6C86E"/>
                        </w:txbxContent>
                      </v:textbox>
                    </v:shape>
                  </w:pict>
                </mc:Fallback>
              </mc:AlternateContent>
            </w:r>
          </w:p>
          <w:p w14:paraId="7A7BC17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现有工程采用石油焦为原料，经破碎工序处理后送至煅烧炉煅烧，出料经破碎、筛分、磨粉等工序处理，再与液体沥青在混捏锅中进行混捏，而后经过成型机振动成型，最后经焙烧为成品。</w:t>
            </w:r>
          </w:p>
          <w:p w14:paraId="0E9766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项目工艺流程见图</w:t>
            </w:r>
            <w:r>
              <w:rPr>
                <w:rFonts w:hint="eastAsia" w:ascii="Times New Roman" w:hAnsi="Times New Roman" w:cs="Times New Roman"/>
                <w:color w:val="auto"/>
                <w:sz w:val="24"/>
                <w:szCs w:val="22"/>
                <w:lang w:val="en-US" w:eastAsia="zh-CN"/>
              </w:rPr>
              <w:t>2-</w:t>
            </w:r>
            <w:r>
              <w:rPr>
                <w:rFonts w:hint="eastAsia" w:cs="Times New Roman"/>
                <w:color w:val="auto"/>
                <w:sz w:val="24"/>
                <w:szCs w:val="22"/>
                <w:lang w:val="en-US" w:eastAsia="zh-CN"/>
              </w:rPr>
              <w:t>4</w:t>
            </w:r>
            <w:r>
              <w:rPr>
                <w:rFonts w:hint="default" w:ascii="Times New Roman" w:hAnsi="Times New Roman" w:cs="Times New Roman"/>
                <w:color w:val="auto"/>
                <w:sz w:val="24"/>
                <w:szCs w:val="22"/>
              </w:rPr>
              <w:t>，排污节点分析见表</w:t>
            </w:r>
            <w:r>
              <w:rPr>
                <w:rFonts w:hint="eastAsia" w:ascii="Times New Roman" w:hAnsi="Times New Roman" w:cs="Times New Roman"/>
                <w:color w:val="auto"/>
                <w:sz w:val="24"/>
                <w:szCs w:val="22"/>
                <w:lang w:val="en-US" w:eastAsia="zh-CN"/>
              </w:rPr>
              <w:t>2-8</w:t>
            </w:r>
            <w:r>
              <w:rPr>
                <w:rFonts w:hint="default" w:ascii="Times New Roman" w:hAnsi="Times New Roman" w:cs="Times New Roman"/>
                <w:color w:val="auto"/>
                <w:sz w:val="24"/>
                <w:szCs w:val="22"/>
              </w:rPr>
              <w:t>。</w:t>
            </w:r>
          </w:p>
          <w:p w14:paraId="457B90D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5DE126E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40241C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2DE488D6">
            <w:pPr>
              <w:spacing w:line="440" w:lineRule="exact"/>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2-8 </w:t>
            </w:r>
            <w:r>
              <w:rPr>
                <w:rFonts w:hint="default" w:ascii="Times New Roman" w:hAnsi="Times New Roman" w:cs="Times New Roman"/>
                <w:b/>
                <w:bCs/>
                <w:color w:val="auto"/>
                <w:sz w:val="24"/>
                <w:szCs w:val="22"/>
              </w:rPr>
              <w:t xml:space="preserve">   现有工程生产排污节点一览表</w:t>
            </w:r>
          </w:p>
          <w:tbl>
            <w:tblPr>
              <w:tblStyle w:val="3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944"/>
              <w:gridCol w:w="1425"/>
              <w:gridCol w:w="1656"/>
              <w:gridCol w:w="923"/>
              <w:gridCol w:w="1994"/>
              <w:gridCol w:w="19"/>
              <w:gridCol w:w="1096"/>
            </w:tblGrid>
            <w:tr w14:paraId="4974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72" w:type="dxa"/>
                  <w:noWrap w:val="0"/>
                  <w:tcMar>
                    <w:top w:w="0" w:type="dxa"/>
                    <w:left w:w="28" w:type="dxa"/>
                    <w:bottom w:w="0" w:type="dxa"/>
                    <w:right w:w="28" w:type="dxa"/>
                  </w:tcMar>
                  <w:vAlign w:val="center"/>
                </w:tcPr>
                <w:p w14:paraId="13CED6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类型</w:t>
                  </w:r>
                </w:p>
              </w:tc>
              <w:tc>
                <w:tcPr>
                  <w:tcW w:w="2369" w:type="dxa"/>
                  <w:gridSpan w:val="2"/>
                  <w:noWrap w:val="0"/>
                  <w:tcMar>
                    <w:top w:w="0" w:type="dxa"/>
                    <w:left w:w="28" w:type="dxa"/>
                    <w:bottom w:w="0" w:type="dxa"/>
                    <w:right w:w="28" w:type="dxa"/>
                  </w:tcMar>
                  <w:vAlign w:val="center"/>
                </w:tcPr>
                <w:p w14:paraId="5442EB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排污节点</w:t>
                  </w:r>
                </w:p>
              </w:tc>
              <w:tc>
                <w:tcPr>
                  <w:tcW w:w="1656" w:type="dxa"/>
                  <w:noWrap w:val="0"/>
                  <w:tcMar>
                    <w:top w:w="0" w:type="dxa"/>
                    <w:left w:w="28" w:type="dxa"/>
                    <w:bottom w:w="0" w:type="dxa"/>
                    <w:right w:w="28" w:type="dxa"/>
                  </w:tcMar>
                  <w:vAlign w:val="center"/>
                </w:tcPr>
                <w:p w14:paraId="20E7CCA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主要污染物</w:t>
                  </w:r>
                </w:p>
              </w:tc>
              <w:tc>
                <w:tcPr>
                  <w:tcW w:w="923" w:type="dxa"/>
                  <w:noWrap w:val="0"/>
                  <w:tcMar>
                    <w:top w:w="0" w:type="dxa"/>
                    <w:left w:w="28" w:type="dxa"/>
                    <w:bottom w:w="0" w:type="dxa"/>
                    <w:right w:w="28" w:type="dxa"/>
                  </w:tcMar>
                  <w:vAlign w:val="center"/>
                </w:tcPr>
                <w:p w14:paraId="2AF090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产生特征</w:t>
                  </w:r>
                </w:p>
              </w:tc>
              <w:tc>
                <w:tcPr>
                  <w:tcW w:w="3109" w:type="dxa"/>
                  <w:gridSpan w:val="3"/>
                  <w:noWrap w:val="0"/>
                  <w:tcMar>
                    <w:top w:w="0" w:type="dxa"/>
                    <w:left w:w="28" w:type="dxa"/>
                    <w:bottom w:w="0" w:type="dxa"/>
                    <w:right w:w="28" w:type="dxa"/>
                  </w:tcMar>
                  <w:vAlign w:val="center"/>
                </w:tcPr>
                <w:p w14:paraId="5B18F47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治理措施</w:t>
                  </w:r>
                </w:p>
              </w:tc>
            </w:tr>
            <w:tr w14:paraId="45A4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2A11B4D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废气</w:t>
                  </w:r>
                </w:p>
              </w:tc>
              <w:tc>
                <w:tcPr>
                  <w:tcW w:w="2369" w:type="dxa"/>
                  <w:gridSpan w:val="2"/>
                  <w:noWrap w:val="0"/>
                  <w:tcMar>
                    <w:top w:w="0" w:type="dxa"/>
                    <w:left w:w="28" w:type="dxa"/>
                    <w:bottom w:w="0" w:type="dxa"/>
                    <w:right w:w="28" w:type="dxa"/>
                  </w:tcMar>
                  <w:vAlign w:val="center"/>
                </w:tcPr>
                <w:p w14:paraId="78827F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东线原料转运及预处理(破碎、转运废气)</w:t>
                  </w:r>
                </w:p>
              </w:tc>
              <w:tc>
                <w:tcPr>
                  <w:tcW w:w="1656" w:type="dxa"/>
                  <w:noWrap w:val="0"/>
                  <w:tcMar>
                    <w:top w:w="0" w:type="dxa"/>
                    <w:left w:w="28" w:type="dxa"/>
                    <w:bottom w:w="0" w:type="dxa"/>
                    <w:right w:w="28" w:type="dxa"/>
                  </w:tcMar>
                  <w:vAlign w:val="center"/>
                </w:tcPr>
                <w:p w14:paraId="599B6F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75D9BE7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0C8C4B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olor w:val="auto"/>
                      <w:sz w:val="21"/>
                      <w:szCs w:val="21"/>
                      <w:highlight w:val="none"/>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（DA047）</w:t>
                  </w:r>
                </w:p>
              </w:tc>
            </w:tr>
            <w:tr w14:paraId="46D5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CECECD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7BBAF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西线原料转运及预处理(破碎、转运废气)</w:t>
                  </w:r>
                </w:p>
              </w:tc>
              <w:tc>
                <w:tcPr>
                  <w:tcW w:w="1656" w:type="dxa"/>
                  <w:noWrap w:val="0"/>
                  <w:tcMar>
                    <w:top w:w="0" w:type="dxa"/>
                    <w:left w:w="28" w:type="dxa"/>
                    <w:bottom w:w="0" w:type="dxa"/>
                    <w:right w:w="28" w:type="dxa"/>
                  </w:tcMar>
                  <w:vAlign w:val="center"/>
                </w:tcPr>
                <w:p w14:paraId="3FDF80B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10EFB8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41AF4D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olor w:val="auto"/>
                      <w:sz w:val="21"/>
                      <w:szCs w:val="21"/>
                      <w:highlight w:val="none"/>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30</w:t>
                  </w:r>
                  <w:r>
                    <w:rPr>
                      <w:rFonts w:hint="default" w:ascii="Times New Roman" w:hAnsi="Times New Roman" w:cs="Times New Roman"/>
                      <w:color w:val="auto"/>
                    </w:rPr>
                    <w:t>m排气筒</w:t>
                  </w:r>
                  <w:r>
                    <w:rPr>
                      <w:rFonts w:hint="eastAsia" w:cs="Times New Roman"/>
                      <w:color w:val="auto"/>
                      <w:lang w:val="en-US" w:eastAsia="zh-CN"/>
                    </w:rPr>
                    <w:t>（DA045）</w:t>
                  </w:r>
                </w:p>
              </w:tc>
            </w:tr>
            <w:tr w14:paraId="26B0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C74831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7CD79CD6">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煅烧烟气</w:t>
                  </w:r>
                </w:p>
              </w:tc>
              <w:tc>
                <w:tcPr>
                  <w:tcW w:w="1656" w:type="dxa"/>
                  <w:noWrap w:val="0"/>
                  <w:tcMar>
                    <w:top w:w="0" w:type="dxa"/>
                    <w:left w:w="28" w:type="dxa"/>
                    <w:bottom w:w="0" w:type="dxa"/>
                    <w:right w:w="28" w:type="dxa"/>
                  </w:tcMar>
                  <w:vAlign w:val="center"/>
                </w:tcPr>
                <w:p w14:paraId="6DBD922C">
                  <w:pPr>
                    <w:pStyle w:val="67"/>
                    <w:keepNext w:val="0"/>
                    <w:keepLines w:val="0"/>
                    <w:pageBreakBefore w:val="0"/>
                    <w:widowControl w:val="0"/>
                    <w:kinsoku/>
                    <w:wordWrap/>
                    <w:overflowPunct/>
                    <w:topLinePunct w:val="0"/>
                    <w:autoSpaceDE/>
                    <w:autoSpaceDN/>
                    <w:bidi w:val="0"/>
                    <w:spacing w:beforeLines="0" w:afterLines="0" w:line="240" w:lineRule="auto"/>
                    <w:jc w:val="center"/>
                    <w:rPr>
                      <w:rFonts w:hint="eastAsia" w:ascii="Times New Roman" w:hAnsi="Times New Roman" w:eastAsia="宋体" w:cs="Times New Roman"/>
                      <w:color w:val="auto"/>
                      <w:vertAlign w:val="baseline"/>
                      <w:lang w:eastAsia="zh-CN"/>
                    </w:rPr>
                  </w:pPr>
                  <w:r>
                    <w:rPr>
                      <w:rFonts w:hint="eastAsia" w:ascii="Times New Roman" w:hAnsi="Times New Roman" w:cs="Times New Roman"/>
                      <w:color w:val="auto"/>
                      <w:lang w:val="en-US" w:eastAsia="zh-CN"/>
                    </w:rPr>
                    <w:t>氨、</w:t>
                  </w: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eastAsia" w:ascii="Times New Roman" w:cs="Times New Roman"/>
                      <w:color w:val="auto"/>
                      <w:vertAlign w:val="subscript"/>
                      <w:lang w:val="en-US" w:eastAsia="zh-CN"/>
                    </w:rPr>
                    <w:t>X</w:t>
                  </w:r>
                </w:p>
              </w:tc>
              <w:tc>
                <w:tcPr>
                  <w:tcW w:w="923" w:type="dxa"/>
                  <w:noWrap w:val="0"/>
                  <w:tcMar>
                    <w:top w:w="0" w:type="dxa"/>
                    <w:left w:w="28" w:type="dxa"/>
                    <w:bottom w:w="0" w:type="dxa"/>
                    <w:right w:w="28" w:type="dxa"/>
                  </w:tcMar>
                  <w:vAlign w:val="center"/>
                </w:tcPr>
                <w:p w14:paraId="42C5D378">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5F6FE9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lang w:val="en-US" w:eastAsia="zh-CN"/>
                    </w:rPr>
                  </w:pP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auto"/>
                      <w:lang w:val="en-US" w:eastAsia="zh-CN"/>
                    </w:rPr>
                    <w:t>排气筒（DA040）</w:t>
                  </w:r>
                </w:p>
              </w:tc>
            </w:tr>
            <w:tr w14:paraId="7461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FD2BC1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6545DF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焙烧烟气</w:t>
                  </w:r>
                </w:p>
              </w:tc>
              <w:tc>
                <w:tcPr>
                  <w:tcW w:w="1656" w:type="dxa"/>
                  <w:noWrap w:val="0"/>
                  <w:tcMar>
                    <w:top w:w="0" w:type="dxa"/>
                    <w:left w:w="28" w:type="dxa"/>
                    <w:bottom w:w="0" w:type="dxa"/>
                    <w:right w:w="28" w:type="dxa"/>
                  </w:tcMar>
                  <w:vAlign w:val="center"/>
                </w:tcPr>
                <w:p w14:paraId="07B01BF9">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eastAsia" w:ascii="Times New Roman" w:cs="Times New Roman"/>
                      <w:color w:val="auto"/>
                      <w:vertAlign w:val="subscript"/>
                      <w:lang w:val="en-US" w:eastAsia="zh-CN"/>
                    </w:rPr>
                    <w:t>X</w:t>
                  </w:r>
                  <w:r>
                    <w:rPr>
                      <w:rFonts w:hint="default" w:ascii="Times New Roman" w:hAnsi="Times New Roman" w:cs="Times New Roman"/>
                      <w:color w:val="auto"/>
                    </w:rPr>
                    <w:t>、沥青烟、苯并[a]芘</w:t>
                  </w:r>
                  <w:r>
                    <w:rPr>
                      <w:rFonts w:hint="eastAsia" w:cs="Times New Roman"/>
                      <w:color w:val="auto"/>
                      <w:lang w:eastAsia="zh-CN"/>
                    </w:rPr>
                    <w:t>、</w:t>
                  </w:r>
                  <w:r>
                    <w:rPr>
                      <w:rFonts w:hint="eastAsia" w:cs="Times New Roman"/>
                      <w:color w:val="auto"/>
                      <w:lang w:val="en-US" w:eastAsia="zh-CN"/>
                    </w:rPr>
                    <w:t>氨、</w:t>
                  </w:r>
                  <w:r>
                    <w:rPr>
                      <w:rStyle w:val="38"/>
                      <w:rFonts w:hint="eastAsia" w:ascii="宋体" w:hAnsi="宋体" w:eastAsia="宋体" w:cs="Times New Roman"/>
                      <w:color w:val="auto"/>
                      <w:kern w:val="2"/>
                      <w:sz w:val="21"/>
                      <w:lang w:val="en-US" w:eastAsia="zh-CN" w:bidi="ar-SA"/>
                    </w:rPr>
                    <w:t>氟化物</w:t>
                  </w:r>
                </w:p>
              </w:tc>
              <w:tc>
                <w:tcPr>
                  <w:tcW w:w="923" w:type="dxa"/>
                  <w:noWrap w:val="0"/>
                  <w:tcMar>
                    <w:top w:w="0" w:type="dxa"/>
                    <w:left w:w="28" w:type="dxa"/>
                    <w:bottom w:w="0" w:type="dxa"/>
                    <w:right w:w="28" w:type="dxa"/>
                  </w:tcMar>
                  <w:vAlign w:val="center"/>
                </w:tcPr>
                <w:p w14:paraId="081198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6D6E93B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cs="Times New Roman"/>
                      <w:color w:val="auto"/>
                      <w:lang w:val="en-US" w:eastAsia="zh-CN"/>
                    </w:rPr>
                    <w:t>低氮燃烧+SNCR尿素脱硝+</w:t>
                  </w:r>
                  <w:r>
                    <w:rPr>
                      <w:rFonts w:hint="default" w:ascii="Times New Roman" w:hAnsi="Times New Roman" w:cs="Times New Roman"/>
                      <w:color w:val="auto"/>
                    </w:rPr>
                    <w:t>喷淋+电捕焦油器+石灰-石膏法脱硫+湿式电除尘+</w:t>
                  </w:r>
                  <w:r>
                    <w:rPr>
                      <w:rFonts w:hint="eastAsia" w:cs="Times New Roman"/>
                      <w:color w:val="auto"/>
                      <w:lang w:val="en-US" w:eastAsia="zh-CN"/>
                    </w:rPr>
                    <w:t>除湿</w:t>
                  </w:r>
                  <w:r>
                    <w:rPr>
                      <w:rFonts w:hint="default" w:ascii="Times New Roman" w:hAnsi="Times New Roman" w:cs="Times New Roman"/>
                      <w:color w:val="auto"/>
                    </w:rPr>
                    <w:t>脱白+70m</w:t>
                  </w:r>
                  <w:r>
                    <w:rPr>
                      <w:rFonts w:hint="eastAsia" w:cs="Times New Roman"/>
                      <w:color w:val="auto"/>
                      <w:lang w:val="en-US" w:eastAsia="zh-CN"/>
                    </w:rPr>
                    <w:t>排气筒（DA057）</w:t>
                  </w:r>
                </w:p>
              </w:tc>
            </w:tr>
            <w:tr w14:paraId="631F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214F8A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79E47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一车间焙烧辅助工序废气</w:t>
                  </w:r>
                </w:p>
              </w:tc>
              <w:tc>
                <w:tcPr>
                  <w:tcW w:w="1656" w:type="dxa"/>
                  <w:noWrap w:val="0"/>
                  <w:tcMar>
                    <w:top w:w="0" w:type="dxa"/>
                    <w:left w:w="28" w:type="dxa"/>
                    <w:bottom w:w="0" w:type="dxa"/>
                    <w:right w:w="28" w:type="dxa"/>
                  </w:tcMar>
                  <w:vAlign w:val="center"/>
                </w:tcPr>
                <w:p w14:paraId="3C6EB15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B8C8A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0B1D67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（DA059）</w:t>
                  </w:r>
                </w:p>
              </w:tc>
            </w:tr>
            <w:tr w14:paraId="096B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160AC9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8E03471">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0"/>
                      <w:sz w:val="21"/>
                      <w:szCs w:val="21"/>
                      <w:shd w:val="clear" w:color="auto" w:fill="FFFFFF"/>
                    </w:rPr>
                    <w:t>二车间焙烧辅助工序废气</w:t>
                  </w:r>
                </w:p>
              </w:tc>
              <w:tc>
                <w:tcPr>
                  <w:tcW w:w="1656" w:type="dxa"/>
                  <w:noWrap w:val="0"/>
                  <w:tcMar>
                    <w:top w:w="0" w:type="dxa"/>
                    <w:left w:w="28" w:type="dxa"/>
                    <w:bottom w:w="0" w:type="dxa"/>
                    <w:right w:w="28" w:type="dxa"/>
                  </w:tcMar>
                  <w:vAlign w:val="center"/>
                </w:tcPr>
                <w:p w14:paraId="5E71D4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3F39B22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A68CA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（DA058）</w:t>
                  </w:r>
                </w:p>
              </w:tc>
            </w:tr>
            <w:tr w14:paraId="6007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9DEADA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FD3C19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Arial" w:hAnsi="Arial" w:cs="Arial"/>
                      <w:i w:val="0"/>
                      <w:iCs w:val="0"/>
                      <w:caps w:val="0"/>
                      <w:color w:val="auto"/>
                      <w:spacing w:val="0"/>
                      <w:sz w:val="21"/>
                      <w:szCs w:val="21"/>
                      <w:shd w:val="clear" w:color="auto" w:fill="FFFFFF"/>
                      <w:lang w:val="en-US" w:eastAsia="zh-CN"/>
                    </w:rPr>
                    <w:t>东</w:t>
                  </w:r>
                  <w:r>
                    <w:rPr>
                      <w:rFonts w:ascii="Arial" w:hAnsi="Arial" w:eastAsia="宋体" w:cs="Arial"/>
                      <w:i w:val="0"/>
                      <w:iCs w:val="0"/>
                      <w:caps w:val="0"/>
                      <w:color w:val="auto"/>
                      <w:spacing w:val="0"/>
                      <w:sz w:val="21"/>
                      <w:szCs w:val="21"/>
                      <w:shd w:val="clear" w:color="auto" w:fill="FFFFFF"/>
                    </w:rPr>
                    <w:t>线原料转运及预处理（排风废气）排气筒</w:t>
                  </w:r>
                </w:p>
              </w:tc>
              <w:tc>
                <w:tcPr>
                  <w:tcW w:w="1656" w:type="dxa"/>
                  <w:noWrap w:val="0"/>
                  <w:tcMar>
                    <w:top w:w="0" w:type="dxa"/>
                    <w:left w:w="28" w:type="dxa"/>
                    <w:bottom w:w="0" w:type="dxa"/>
                    <w:right w:w="28" w:type="dxa"/>
                  </w:tcMar>
                  <w:vAlign w:val="center"/>
                </w:tcPr>
                <w:p w14:paraId="52956A5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23E1313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87C74B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（DA049）</w:t>
                  </w:r>
                </w:p>
              </w:tc>
            </w:tr>
            <w:tr w14:paraId="143E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2D241F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06D658BE">
                  <w:pPr>
                    <w:keepNext w:val="0"/>
                    <w:keepLines w:val="0"/>
                    <w:pageBreakBefore w:val="0"/>
                    <w:kinsoku/>
                    <w:wordWrap/>
                    <w:overflowPunct/>
                    <w:topLinePunct w:val="0"/>
                    <w:autoSpaceDE/>
                    <w:autoSpaceDN/>
                    <w:bidi w:val="0"/>
                    <w:spacing w:line="240" w:lineRule="auto"/>
                    <w:jc w:val="center"/>
                    <w:rPr>
                      <w:rFonts w:hint="eastAsia" w:ascii="Arial" w:hAnsi="Arial" w:eastAsia="宋体" w:cs="Arial"/>
                      <w:i w:val="0"/>
                      <w:iCs w:val="0"/>
                      <w:caps w:val="0"/>
                      <w:color w:val="auto"/>
                      <w:spacing w:val="0"/>
                      <w:sz w:val="21"/>
                      <w:szCs w:val="21"/>
                      <w:shd w:val="clear" w:color="auto" w:fill="FFFFFF"/>
                      <w:lang w:val="en-US" w:eastAsia="zh-CN"/>
                    </w:rPr>
                  </w:pPr>
                  <w:r>
                    <w:rPr>
                      <w:rFonts w:ascii="Arial" w:hAnsi="Arial" w:eastAsia="宋体" w:cs="Arial"/>
                      <w:i w:val="0"/>
                      <w:iCs w:val="0"/>
                      <w:caps w:val="0"/>
                      <w:color w:val="auto"/>
                      <w:spacing w:val="0"/>
                      <w:sz w:val="21"/>
                      <w:szCs w:val="21"/>
                      <w:shd w:val="clear" w:color="auto" w:fill="FFFFFF"/>
                    </w:rPr>
                    <w:t>东线制糊成型</w:t>
                  </w:r>
                  <w:r>
                    <w:rPr>
                      <w:rFonts w:hint="eastAsia" w:ascii="Arial" w:hAnsi="Arial" w:eastAsia="宋体" w:cs="Arial"/>
                      <w:i w:val="0"/>
                      <w:iCs w:val="0"/>
                      <w:caps w:val="0"/>
                      <w:color w:val="auto"/>
                      <w:spacing w:val="0"/>
                      <w:sz w:val="21"/>
                      <w:szCs w:val="21"/>
                      <w:shd w:val="clear" w:color="auto" w:fill="FFFFFF"/>
                      <w:lang w:val="en-US" w:eastAsia="zh-CN"/>
                    </w:rPr>
                    <w:t>废气</w:t>
                  </w:r>
                </w:p>
              </w:tc>
              <w:tc>
                <w:tcPr>
                  <w:tcW w:w="1656" w:type="dxa"/>
                  <w:noWrap w:val="0"/>
                  <w:tcMar>
                    <w:top w:w="0" w:type="dxa"/>
                    <w:left w:w="28" w:type="dxa"/>
                    <w:bottom w:w="0" w:type="dxa"/>
                    <w:right w:w="28" w:type="dxa"/>
                  </w:tcMar>
                  <w:vAlign w:val="center"/>
                </w:tcPr>
                <w:p w14:paraId="00B1F60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802B4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2013" w:type="dxa"/>
                  <w:gridSpan w:val="2"/>
                  <w:noWrap w:val="0"/>
                  <w:tcMar>
                    <w:top w:w="0" w:type="dxa"/>
                    <w:left w:w="28" w:type="dxa"/>
                    <w:bottom w:w="0" w:type="dxa"/>
                    <w:right w:w="28" w:type="dxa"/>
                  </w:tcMar>
                  <w:vAlign w:val="center"/>
                </w:tcPr>
                <w:p w14:paraId="3CB2134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仓顶布袋除尘器</w:t>
                  </w:r>
                </w:p>
              </w:tc>
              <w:tc>
                <w:tcPr>
                  <w:tcW w:w="1096" w:type="dxa"/>
                  <w:vMerge w:val="restart"/>
                  <w:noWrap w:val="0"/>
                  <w:tcMar>
                    <w:top w:w="0" w:type="dxa"/>
                    <w:left w:w="28" w:type="dxa"/>
                    <w:bottom w:w="0" w:type="dxa"/>
                    <w:right w:w="28" w:type="dxa"/>
                  </w:tcMar>
                  <w:vAlign w:val="center"/>
                </w:tcPr>
                <w:p w14:paraId="2AC41A8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default" w:ascii="Times New Roman" w:hAnsi="Times New Roman" w:cs="Times New Roman"/>
                      <w:color w:val="auto"/>
                    </w:rPr>
                    <w:t>30m排气筒</w:t>
                  </w:r>
                  <w:r>
                    <w:rPr>
                      <w:rFonts w:hint="eastAsia" w:cs="Times New Roman"/>
                      <w:color w:val="auto"/>
                      <w:lang w:val="en-US" w:eastAsia="zh-CN"/>
                    </w:rPr>
                    <w:t>（DA044）</w:t>
                  </w:r>
                </w:p>
              </w:tc>
            </w:tr>
            <w:tr w14:paraId="17B2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1E44337">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A595F0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东线煅后料储运废气</w:t>
                  </w:r>
                </w:p>
              </w:tc>
              <w:tc>
                <w:tcPr>
                  <w:tcW w:w="1656" w:type="dxa"/>
                  <w:noWrap w:val="0"/>
                  <w:tcMar>
                    <w:top w:w="0" w:type="dxa"/>
                    <w:left w:w="28" w:type="dxa"/>
                    <w:bottom w:w="0" w:type="dxa"/>
                    <w:right w:w="28" w:type="dxa"/>
                  </w:tcMar>
                  <w:vAlign w:val="center"/>
                </w:tcPr>
                <w:p w14:paraId="160D7D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053A6A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2013" w:type="dxa"/>
                  <w:gridSpan w:val="2"/>
                  <w:noWrap w:val="0"/>
                  <w:tcMar>
                    <w:top w:w="0" w:type="dxa"/>
                    <w:left w:w="28" w:type="dxa"/>
                    <w:bottom w:w="0" w:type="dxa"/>
                    <w:right w:w="28" w:type="dxa"/>
                  </w:tcMar>
                  <w:vAlign w:val="center"/>
                </w:tcPr>
                <w:p w14:paraId="6C5BAF0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覆膜滤料布袋除尘器</w:t>
                  </w:r>
                </w:p>
              </w:tc>
              <w:tc>
                <w:tcPr>
                  <w:tcW w:w="1096" w:type="dxa"/>
                  <w:vMerge w:val="continue"/>
                  <w:noWrap w:val="0"/>
                  <w:tcMar>
                    <w:top w:w="0" w:type="dxa"/>
                    <w:left w:w="28" w:type="dxa"/>
                    <w:bottom w:w="0" w:type="dxa"/>
                    <w:right w:w="28" w:type="dxa"/>
                  </w:tcMar>
                  <w:vAlign w:val="center"/>
                </w:tcPr>
                <w:p w14:paraId="7E80A3F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p>
              </w:tc>
            </w:tr>
            <w:tr w14:paraId="4E1C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4576BD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443F4E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西线煅后料储运废气</w:t>
                  </w:r>
                </w:p>
              </w:tc>
              <w:tc>
                <w:tcPr>
                  <w:tcW w:w="1656" w:type="dxa"/>
                  <w:noWrap w:val="0"/>
                  <w:tcMar>
                    <w:top w:w="0" w:type="dxa"/>
                    <w:left w:w="28" w:type="dxa"/>
                    <w:bottom w:w="0" w:type="dxa"/>
                    <w:right w:w="28" w:type="dxa"/>
                  </w:tcMar>
                  <w:vAlign w:val="center"/>
                </w:tcPr>
                <w:p w14:paraId="18AA1E0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E1034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F307FE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ascii="Arial" w:hAnsi="Arial" w:eastAsia="宋体" w:cs="Arial"/>
                      <w:i w:val="0"/>
                      <w:iCs w:val="0"/>
                      <w:caps w:val="0"/>
                      <w:color w:val="auto"/>
                      <w:spacing w:val="0"/>
                      <w:sz w:val="21"/>
                      <w:szCs w:val="21"/>
                      <w:shd w:val="clear" w:color="auto" w:fill="FFFFFF"/>
                    </w:rPr>
                    <w:t>覆膜滤料布袋除尘器</w:t>
                  </w:r>
                  <w:r>
                    <w:rPr>
                      <w:rFonts w:hint="default" w:ascii="Times New Roman" w:hAnsi="Times New Roman" w:cs="Times New Roman"/>
                      <w:color w:val="auto"/>
                    </w:rPr>
                    <w:t>+30m排气筒</w:t>
                  </w:r>
                  <w:r>
                    <w:rPr>
                      <w:rFonts w:hint="eastAsia" w:cs="Times New Roman"/>
                      <w:color w:val="auto"/>
                      <w:lang w:val="en-US" w:eastAsia="zh-CN"/>
                    </w:rPr>
                    <w:t>（DA046）</w:t>
                  </w:r>
                </w:p>
              </w:tc>
            </w:tr>
            <w:tr w14:paraId="0F0F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01BC75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0457744">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东线中碎筛分废气</w:t>
                  </w:r>
                </w:p>
              </w:tc>
              <w:tc>
                <w:tcPr>
                  <w:tcW w:w="1656" w:type="dxa"/>
                  <w:noWrap w:val="0"/>
                  <w:tcMar>
                    <w:top w:w="0" w:type="dxa"/>
                    <w:left w:w="28" w:type="dxa"/>
                    <w:bottom w:w="0" w:type="dxa"/>
                    <w:right w:w="28" w:type="dxa"/>
                  </w:tcMar>
                  <w:vAlign w:val="center"/>
                </w:tcPr>
                <w:p w14:paraId="7EFCD64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70267C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06BEEB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（DA041）</w:t>
                  </w:r>
                </w:p>
              </w:tc>
            </w:tr>
            <w:tr w14:paraId="7309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DC63DC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A1CD018">
                  <w:pPr>
                    <w:keepNext w:val="0"/>
                    <w:keepLines w:val="0"/>
                    <w:pageBreakBefore w:val="0"/>
                    <w:kinsoku/>
                    <w:wordWrap/>
                    <w:overflowPunct/>
                    <w:topLinePunct w:val="0"/>
                    <w:autoSpaceDE/>
                    <w:autoSpaceDN/>
                    <w:bidi w:val="0"/>
                    <w:spacing w:line="240" w:lineRule="auto"/>
                    <w:jc w:val="center"/>
                    <w:rPr>
                      <w:rFonts w:hint="default" w:ascii="Arial" w:hAnsi="Arial" w:eastAsia="宋体"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成型车间应急排放废气</w:t>
                  </w:r>
                </w:p>
              </w:tc>
              <w:tc>
                <w:tcPr>
                  <w:tcW w:w="1656" w:type="dxa"/>
                  <w:noWrap w:val="0"/>
                  <w:tcMar>
                    <w:top w:w="0" w:type="dxa"/>
                    <w:left w:w="28" w:type="dxa"/>
                    <w:bottom w:w="0" w:type="dxa"/>
                    <w:right w:w="28" w:type="dxa"/>
                  </w:tcMar>
                  <w:vAlign w:val="center"/>
                </w:tcPr>
                <w:p w14:paraId="2C8085F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颗粒物</w:t>
                  </w:r>
                </w:p>
              </w:tc>
              <w:tc>
                <w:tcPr>
                  <w:tcW w:w="923" w:type="dxa"/>
                  <w:noWrap w:val="0"/>
                  <w:tcMar>
                    <w:top w:w="0" w:type="dxa"/>
                    <w:left w:w="28" w:type="dxa"/>
                    <w:bottom w:w="0" w:type="dxa"/>
                    <w:right w:w="28" w:type="dxa"/>
                  </w:tcMar>
                  <w:vAlign w:val="center"/>
                </w:tcPr>
                <w:p w14:paraId="602B0D4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应急状态</w:t>
                  </w:r>
                </w:p>
              </w:tc>
              <w:tc>
                <w:tcPr>
                  <w:tcW w:w="3109" w:type="dxa"/>
                  <w:gridSpan w:val="3"/>
                  <w:noWrap w:val="0"/>
                  <w:tcMar>
                    <w:top w:w="0" w:type="dxa"/>
                    <w:left w:w="28" w:type="dxa"/>
                    <w:bottom w:w="0" w:type="dxa"/>
                    <w:right w:w="28" w:type="dxa"/>
                  </w:tcMar>
                  <w:vAlign w:val="center"/>
                </w:tcPr>
                <w:p w14:paraId="1C080CB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Style w:val="38"/>
                      <w:rFonts w:hint="eastAsia" w:ascii="宋体" w:hAnsi="宋体" w:eastAsia="宋体" w:cs="Times New Roman"/>
                      <w:color w:val="auto"/>
                      <w:kern w:val="2"/>
                      <w:sz w:val="21"/>
                      <w:lang w:val="en-US" w:eastAsia="zh-CN" w:bidi="ar-SA"/>
                    </w:rPr>
                    <w:t>覆膜滤料布袋除尘器+</w:t>
                  </w:r>
                  <w:r>
                    <w:rPr>
                      <w:rStyle w:val="38"/>
                      <w:rFonts w:hint="default" w:ascii="Times New Roman" w:hAnsi="Times New Roman" w:eastAsia="宋体" w:cs="Times New Roman"/>
                      <w:color w:val="auto"/>
                      <w:kern w:val="2"/>
                      <w:sz w:val="21"/>
                      <w:lang w:val="en-US" w:eastAsia="zh-CN" w:bidi="ar-SA"/>
                    </w:rPr>
                    <w:t>40m</w:t>
                  </w:r>
                  <w:r>
                    <w:rPr>
                      <w:rFonts w:hint="default" w:ascii="Times New Roman" w:hAnsi="Times New Roman" w:cs="Times New Roman"/>
                      <w:color w:val="auto"/>
                    </w:rPr>
                    <w:t>排气筒</w:t>
                  </w:r>
                  <w:r>
                    <w:rPr>
                      <w:rFonts w:hint="eastAsia" w:cs="Times New Roman"/>
                      <w:color w:val="auto"/>
                      <w:lang w:val="en-US" w:eastAsia="zh-CN"/>
                    </w:rPr>
                    <w:t>（DA042）</w:t>
                  </w:r>
                </w:p>
              </w:tc>
            </w:tr>
            <w:tr w14:paraId="1699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91186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74C829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西线中碎筛分废气</w:t>
                  </w:r>
                </w:p>
              </w:tc>
              <w:tc>
                <w:tcPr>
                  <w:tcW w:w="1656" w:type="dxa"/>
                  <w:noWrap w:val="0"/>
                  <w:tcMar>
                    <w:top w:w="0" w:type="dxa"/>
                    <w:left w:w="28" w:type="dxa"/>
                    <w:bottom w:w="0" w:type="dxa"/>
                    <w:right w:w="28" w:type="dxa"/>
                  </w:tcMar>
                  <w:vAlign w:val="center"/>
                </w:tcPr>
                <w:p w14:paraId="0487B4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5CED2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D93980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（DA043）</w:t>
                  </w:r>
                </w:p>
              </w:tc>
            </w:tr>
            <w:tr w14:paraId="7419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088E5B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BD3471E">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返回料输送、返回料破碎、东线制粉、配料废气</w:t>
                  </w:r>
                </w:p>
              </w:tc>
              <w:tc>
                <w:tcPr>
                  <w:tcW w:w="1656" w:type="dxa"/>
                  <w:noWrap w:val="0"/>
                  <w:tcMar>
                    <w:top w:w="0" w:type="dxa"/>
                    <w:left w:w="28" w:type="dxa"/>
                    <w:bottom w:w="0" w:type="dxa"/>
                    <w:right w:w="28" w:type="dxa"/>
                  </w:tcMar>
                  <w:vAlign w:val="center"/>
                </w:tcPr>
                <w:p w14:paraId="47428A8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B10D8F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770857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（DA048）</w:t>
                  </w:r>
                </w:p>
              </w:tc>
            </w:tr>
            <w:tr w14:paraId="0C7F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CA2213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0B655F7">
                  <w:pPr>
                    <w:keepNext w:val="0"/>
                    <w:keepLines w:val="0"/>
                    <w:pageBreakBefore w:val="0"/>
                    <w:kinsoku/>
                    <w:wordWrap/>
                    <w:overflowPunct/>
                    <w:topLinePunct w:val="0"/>
                    <w:autoSpaceDE/>
                    <w:autoSpaceDN/>
                    <w:bidi w:val="0"/>
                    <w:spacing w:line="240" w:lineRule="auto"/>
                    <w:jc w:val="center"/>
                    <w:rPr>
                      <w:rFonts w:hint="default" w:ascii="Arial" w:hAnsi="Arial"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东线</w:t>
                  </w:r>
                  <w:r>
                    <w:rPr>
                      <w:rFonts w:ascii="Arial" w:hAnsi="Arial" w:eastAsia="宋体" w:cs="Arial"/>
                      <w:i w:val="0"/>
                      <w:iCs w:val="0"/>
                      <w:caps w:val="0"/>
                      <w:color w:val="auto"/>
                      <w:spacing w:val="0"/>
                      <w:sz w:val="21"/>
                      <w:szCs w:val="21"/>
                      <w:shd w:val="clear" w:color="auto" w:fill="FFFFFF"/>
                    </w:rPr>
                    <w:t>沥青储运废气</w:t>
                  </w:r>
                </w:p>
              </w:tc>
              <w:tc>
                <w:tcPr>
                  <w:tcW w:w="1656" w:type="dxa"/>
                  <w:noWrap w:val="0"/>
                  <w:tcMar>
                    <w:top w:w="0" w:type="dxa"/>
                    <w:left w:w="28" w:type="dxa"/>
                    <w:bottom w:w="0" w:type="dxa"/>
                    <w:right w:w="28" w:type="dxa"/>
                  </w:tcMar>
                  <w:vAlign w:val="center"/>
                </w:tcPr>
                <w:p w14:paraId="4617DA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苯并[a]芘</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颗粒物、沥青烟</w:t>
                  </w:r>
                </w:p>
              </w:tc>
              <w:tc>
                <w:tcPr>
                  <w:tcW w:w="923" w:type="dxa"/>
                  <w:noWrap w:val="0"/>
                  <w:tcMar>
                    <w:top w:w="0" w:type="dxa"/>
                    <w:left w:w="28" w:type="dxa"/>
                    <w:bottom w:w="0" w:type="dxa"/>
                    <w:right w:w="28" w:type="dxa"/>
                  </w:tcMar>
                  <w:vAlign w:val="center"/>
                </w:tcPr>
                <w:p w14:paraId="129A44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Arial" w:hAnsi="Arial" w:cs="Arial"/>
                      <w:i w:val="0"/>
                      <w:iCs w:val="0"/>
                      <w:caps w:val="0"/>
                      <w:color w:val="auto"/>
                      <w:spacing w:val="0"/>
                      <w:sz w:val="21"/>
                      <w:szCs w:val="21"/>
                      <w:shd w:val="clear" w:color="auto" w:fill="FFFFFF"/>
                      <w:lang w:val="en-US" w:eastAsia="zh-CN"/>
                    </w:rPr>
                    <w:t>应急状态</w:t>
                  </w:r>
                </w:p>
              </w:tc>
              <w:tc>
                <w:tcPr>
                  <w:tcW w:w="3109" w:type="dxa"/>
                  <w:gridSpan w:val="3"/>
                  <w:noWrap w:val="0"/>
                  <w:tcMar>
                    <w:top w:w="0" w:type="dxa"/>
                    <w:left w:w="28" w:type="dxa"/>
                    <w:bottom w:w="0" w:type="dxa"/>
                    <w:right w:w="28" w:type="dxa"/>
                  </w:tcMar>
                  <w:vAlign w:val="center"/>
                </w:tcPr>
                <w:p w14:paraId="0393B7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（DA055）</w:t>
                  </w:r>
                </w:p>
              </w:tc>
            </w:tr>
            <w:tr w14:paraId="4751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B1CF27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EA5BF14">
                  <w:pPr>
                    <w:keepNext w:val="0"/>
                    <w:keepLines w:val="0"/>
                    <w:pageBreakBefore w:val="0"/>
                    <w:kinsoku/>
                    <w:wordWrap/>
                    <w:overflowPunct/>
                    <w:topLinePunct w:val="0"/>
                    <w:autoSpaceDE/>
                    <w:autoSpaceDN/>
                    <w:bidi w:val="0"/>
                    <w:spacing w:line="240" w:lineRule="auto"/>
                    <w:jc w:val="center"/>
                    <w:rPr>
                      <w:rFonts w:hint="eastAsia" w:ascii="Arial" w:hAnsi="Arial"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西线</w:t>
                  </w:r>
                  <w:r>
                    <w:rPr>
                      <w:rFonts w:ascii="Arial" w:hAnsi="Arial" w:eastAsia="宋体" w:cs="Arial"/>
                      <w:i w:val="0"/>
                      <w:iCs w:val="0"/>
                      <w:caps w:val="0"/>
                      <w:color w:val="auto"/>
                      <w:spacing w:val="0"/>
                      <w:sz w:val="21"/>
                      <w:szCs w:val="21"/>
                      <w:shd w:val="clear" w:color="auto" w:fill="FFFFFF"/>
                    </w:rPr>
                    <w:t>沥青储运废气</w:t>
                  </w:r>
                </w:p>
              </w:tc>
              <w:tc>
                <w:tcPr>
                  <w:tcW w:w="1656" w:type="dxa"/>
                  <w:noWrap w:val="0"/>
                  <w:tcMar>
                    <w:top w:w="0" w:type="dxa"/>
                    <w:left w:w="28" w:type="dxa"/>
                    <w:bottom w:w="0" w:type="dxa"/>
                    <w:right w:w="28" w:type="dxa"/>
                  </w:tcMar>
                  <w:vAlign w:val="center"/>
                </w:tcPr>
                <w:p w14:paraId="4ABF104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苯并[a]芘</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颗粒物、沥青烟</w:t>
                  </w:r>
                </w:p>
              </w:tc>
              <w:tc>
                <w:tcPr>
                  <w:tcW w:w="923" w:type="dxa"/>
                  <w:noWrap w:val="0"/>
                  <w:tcMar>
                    <w:top w:w="0" w:type="dxa"/>
                    <w:left w:w="28" w:type="dxa"/>
                    <w:bottom w:w="0" w:type="dxa"/>
                    <w:right w:w="28" w:type="dxa"/>
                  </w:tcMar>
                  <w:vAlign w:val="center"/>
                </w:tcPr>
                <w:p w14:paraId="27B2D3C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Arial" w:hAnsi="Arial" w:cs="Arial"/>
                      <w:i w:val="0"/>
                      <w:iCs w:val="0"/>
                      <w:caps w:val="0"/>
                      <w:color w:val="auto"/>
                      <w:spacing w:val="0"/>
                      <w:sz w:val="21"/>
                      <w:szCs w:val="21"/>
                      <w:shd w:val="clear" w:color="auto" w:fill="FFFFFF"/>
                      <w:lang w:val="en-US" w:eastAsia="zh-CN"/>
                    </w:rPr>
                    <w:t>应急状态</w:t>
                  </w:r>
                </w:p>
              </w:tc>
              <w:tc>
                <w:tcPr>
                  <w:tcW w:w="3109" w:type="dxa"/>
                  <w:gridSpan w:val="3"/>
                  <w:noWrap w:val="0"/>
                  <w:tcMar>
                    <w:top w:w="0" w:type="dxa"/>
                    <w:left w:w="28" w:type="dxa"/>
                    <w:bottom w:w="0" w:type="dxa"/>
                    <w:right w:w="28" w:type="dxa"/>
                  </w:tcMar>
                  <w:vAlign w:val="center"/>
                </w:tcPr>
                <w:p w14:paraId="34761D7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（DA056）</w:t>
                  </w:r>
                </w:p>
              </w:tc>
            </w:tr>
            <w:tr w14:paraId="5EE8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34712B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0E142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西线制粉、配料废气</w:t>
                  </w:r>
                </w:p>
              </w:tc>
              <w:tc>
                <w:tcPr>
                  <w:tcW w:w="1656" w:type="dxa"/>
                  <w:noWrap w:val="0"/>
                  <w:tcMar>
                    <w:top w:w="0" w:type="dxa"/>
                    <w:left w:w="28" w:type="dxa"/>
                    <w:bottom w:w="0" w:type="dxa"/>
                    <w:right w:w="28" w:type="dxa"/>
                  </w:tcMar>
                  <w:vAlign w:val="center"/>
                </w:tcPr>
                <w:p w14:paraId="2A952F8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17CCE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DE3049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（DA054）</w:t>
                  </w:r>
                </w:p>
              </w:tc>
            </w:tr>
            <w:tr w14:paraId="20EC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4F71E5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0B7CF58">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食堂油烟废气</w:t>
                  </w:r>
                </w:p>
              </w:tc>
              <w:tc>
                <w:tcPr>
                  <w:tcW w:w="1656" w:type="dxa"/>
                  <w:noWrap w:val="0"/>
                  <w:tcMar>
                    <w:top w:w="0" w:type="dxa"/>
                    <w:left w:w="28" w:type="dxa"/>
                    <w:bottom w:w="0" w:type="dxa"/>
                    <w:right w:w="28" w:type="dxa"/>
                  </w:tcMar>
                  <w:vAlign w:val="center"/>
                </w:tcPr>
                <w:p w14:paraId="08BEC5F4">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油烟</w:t>
                  </w:r>
                </w:p>
              </w:tc>
              <w:tc>
                <w:tcPr>
                  <w:tcW w:w="923" w:type="dxa"/>
                  <w:noWrap w:val="0"/>
                  <w:tcMar>
                    <w:top w:w="0" w:type="dxa"/>
                    <w:left w:w="28" w:type="dxa"/>
                    <w:bottom w:w="0" w:type="dxa"/>
                    <w:right w:w="28" w:type="dxa"/>
                  </w:tcMar>
                  <w:vAlign w:val="center"/>
                </w:tcPr>
                <w:p w14:paraId="0071D1B9">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722F6B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油烟净化器+</w:t>
                  </w:r>
                  <w:r>
                    <w:rPr>
                      <w:rFonts w:hint="eastAsia" w:cs="Times New Roman"/>
                      <w:color w:val="auto"/>
                      <w:lang w:val="en-US" w:eastAsia="zh-CN"/>
                    </w:rPr>
                    <w:t>16</w:t>
                  </w:r>
                  <w:r>
                    <w:rPr>
                      <w:rFonts w:hint="default" w:ascii="Times New Roman" w:hAnsi="Times New Roman" w:cs="Times New Roman"/>
                      <w:color w:val="auto"/>
                    </w:rPr>
                    <w:t>m排气筒</w:t>
                  </w:r>
                  <w:r>
                    <w:rPr>
                      <w:rFonts w:hint="eastAsia" w:cs="Times New Roman"/>
                      <w:color w:val="auto"/>
                      <w:lang w:val="en-US" w:eastAsia="zh-CN"/>
                    </w:rPr>
                    <w:t>（DA060）</w:t>
                  </w:r>
                </w:p>
              </w:tc>
            </w:tr>
            <w:tr w14:paraId="054C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88FE5A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4A1383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脱硫浆液制备上料废气</w:t>
                  </w:r>
                </w:p>
              </w:tc>
              <w:tc>
                <w:tcPr>
                  <w:tcW w:w="1656" w:type="dxa"/>
                  <w:noWrap w:val="0"/>
                  <w:tcMar>
                    <w:top w:w="0" w:type="dxa"/>
                    <w:left w:w="28" w:type="dxa"/>
                    <w:bottom w:w="0" w:type="dxa"/>
                    <w:right w:w="28" w:type="dxa"/>
                  </w:tcMar>
                  <w:vAlign w:val="center"/>
                </w:tcPr>
                <w:p w14:paraId="47A9E5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0B62CE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DFA585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15</w:t>
                  </w:r>
                  <w:r>
                    <w:rPr>
                      <w:rFonts w:hint="default" w:ascii="Times New Roman" w:hAnsi="Times New Roman" w:cs="Times New Roman"/>
                      <w:color w:val="auto"/>
                    </w:rPr>
                    <w:t>m排气筒</w:t>
                  </w:r>
                  <w:r>
                    <w:rPr>
                      <w:rFonts w:hint="eastAsia" w:cs="Times New Roman"/>
                      <w:color w:val="auto"/>
                      <w:lang w:val="en-US" w:eastAsia="zh-CN"/>
                    </w:rPr>
                    <w:t>（DA052）</w:t>
                  </w:r>
                </w:p>
              </w:tc>
            </w:tr>
            <w:tr w14:paraId="313A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49B1CC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2B47EC3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hint="eastAsia" w:ascii="Arial" w:hAnsi="Arial" w:cs="Arial"/>
                      <w:i w:val="0"/>
                      <w:iCs w:val="0"/>
                      <w:caps w:val="0"/>
                      <w:color w:val="auto"/>
                      <w:spacing w:val="0"/>
                      <w:sz w:val="21"/>
                      <w:szCs w:val="21"/>
                      <w:shd w:val="clear" w:color="auto" w:fill="FFFFFF"/>
                      <w:lang w:val="en-US" w:eastAsia="zh-CN"/>
                    </w:rPr>
                    <w:t>西</w:t>
                  </w:r>
                  <w:r>
                    <w:rPr>
                      <w:rFonts w:ascii="Arial" w:hAnsi="Arial" w:eastAsia="宋体" w:cs="Arial"/>
                      <w:i w:val="0"/>
                      <w:iCs w:val="0"/>
                      <w:caps w:val="0"/>
                      <w:color w:val="auto"/>
                      <w:spacing w:val="0"/>
                      <w:sz w:val="21"/>
                      <w:szCs w:val="21"/>
                      <w:shd w:val="clear" w:color="auto" w:fill="FFFFFF"/>
                    </w:rPr>
                    <w:t>线原料转运及预处理（排风废气）排气筒</w:t>
                  </w:r>
                </w:p>
              </w:tc>
              <w:tc>
                <w:tcPr>
                  <w:tcW w:w="1656" w:type="dxa"/>
                  <w:noWrap w:val="0"/>
                  <w:tcMar>
                    <w:top w:w="0" w:type="dxa"/>
                    <w:left w:w="28" w:type="dxa"/>
                    <w:bottom w:w="0" w:type="dxa"/>
                    <w:right w:w="28" w:type="dxa"/>
                  </w:tcMar>
                  <w:vAlign w:val="center"/>
                </w:tcPr>
                <w:p w14:paraId="17BC9A4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59944B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00C598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（DA053）</w:t>
                  </w:r>
                </w:p>
              </w:tc>
            </w:tr>
            <w:tr w14:paraId="50DE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E1FA39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C46168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原料转运及预处理（侧翻卸车机、水平、在倾斜角布控输送机转运）废气</w:t>
                  </w:r>
                </w:p>
              </w:tc>
              <w:tc>
                <w:tcPr>
                  <w:tcW w:w="1656" w:type="dxa"/>
                  <w:noWrap w:val="0"/>
                  <w:tcMar>
                    <w:top w:w="0" w:type="dxa"/>
                    <w:left w:w="28" w:type="dxa"/>
                    <w:bottom w:w="0" w:type="dxa"/>
                    <w:right w:w="28" w:type="dxa"/>
                  </w:tcMar>
                  <w:vAlign w:val="center"/>
                </w:tcPr>
                <w:p w14:paraId="5818C8E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EC889E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ED117A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15</w:t>
                  </w:r>
                  <w:r>
                    <w:rPr>
                      <w:rFonts w:hint="default" w:ascii="Times New Roman" w:hAnsi="Times New Roman" w:cs="Times New Roman"/>
                      <w:color w:val="auto"/>
                    </w:rPr>
                    <w:t>m排气筒</w:t>
                  </w:r>
                  <w:r>
                    <w:rPr>
                      <w:rFonts w:hint="eastAsia" w:cs="Times New Roman"/>
                      <w:color w:val="auto"/>
                      <w:lang w:val="en-US" w:eastAsia="zh-CN"/>
                    </w:rPr>
                    <w:t>（DA050）</w:t>
                  </w:r>
                </w:p>
              </w:tc>
            </w:tr>
            <w:tr w14:paraId="56C7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53AF1A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F2F1F2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原料转运及预处理(破碎、地下皮带转运）废气</w:t>
                  </w:r>
                </w:p>
              </w:tc>
              <w:tc>
                <w:tcPr>
                  <w:tcW w:w="1656" w:type="dxa"/>
                  <w:noWrap w:val="0"/>
                  <w:tcMar>
                    <w:top w:w="0" w:type="dxa"/>
                    <w:left w:w="28" w:type="dxa"/>
                    <w:bottom w:w="0" w:type="dxa"/>
                    <w:right w:w="28" w:type="dxa"/>
                  </w:tcMar>
                  <w:vAlign w:val="center"/>
                </w:tcPr>
                <w:p w14:paraId="2ADE0B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5D87B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98FCCF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布袋除尘器</w:t>
                  </w:r>
                  <w:r>
                    <w:rPr>
                      <w:rFonts w:hint="default" w:ascii="Times New Roman" w:hAnsi="Times New Roman" w:eastAsia="宋体" w:cs="Times New Roman"/>
                      <w:color w:val="auto"/>
                      <w:lang w:val="en-US" w:eastAsia="zh-CN"/>
                    </w:rPr>
                    <w:t>+</w:t>
                  </w:r>
                  <w:r>
                    <w:rPr>
                      <w:rFonts w:hint="eastAsia" w:cs="Times New Roman"/>
                      <w:color w:val="auto"/>
                      <w:lang w:val="en-US" w:eastAsia="zh-CN"/>
                    </w:rPr>
                    <w:t>15</w:t>
                  </w:r>
                  <w:r>
                    <w:rPr>
                      <w:rFonts w:hint="default" w:ascii="Times New Roman" w:hAnsi="Times New Roman" w:eastAsia="宋体" w:cs="Times New Roman"/>
                      <w:color w:val="auto"/>
                      <w:lang w:val="en-US" w:eastAsia="zh-CN"/>
                    </w:rPr>
                    <w:t>m排气筒</w:t>
                  </w:r>
                  <w:r>
                    <w:rPr>
                      <w:rFonts w:hint="eastAsia" w:cs="Times New Roman"/>
                      <w:color w:val="auto"/>
                      <w:lang w:val="en-US" w:eastAsia="zh-CN"/>
                    </w:rPr>
                    <w:t>（DA051）</w:t>
                  </w:r>
                </w:p>
              </w:tc>
            </w:tr>
            <w:tr w14:paraId="39FE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1CF833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266FBA1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default" w:ascii="Times New Roman" w:hAnsi="Times New Roman" w:eastAsia="宋体" w:cs="Times New Roman"/>
                      <w:color w:val="auto"/>
                      <w:spacing w:val="-11"/>
                      <w:lang w:val="en-US" w:eastAsia="zh-CN"/>
                    </w:rPr>
                    <w:t>机加工开槽工序废气</w:t>
                  </w:r>
                </w:p>
              </w:tc>
              <w:tc>
                <w:tcPr>
                  <w:tcW w:w="1656" w:type="dxa"/>
                  <w:noWrap w:val="0"/>
                  <w:tcMar>
                    <w:top w:w="0" w:type="dxa"/>
                    <w:left w:w="28" w:type="dxa"/>
                    <w:bottom w:w="0" w:type="dxa"/>
                    <w:right w:w="28" w:type="dxa"/>
                  </w:tcMar>
                  <w:vAlign w:val="center"/>
                </w:tcPr>
                <w:p w14:paraId="62B84BE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0F267BC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1994" w:type="dxa"/>
                  <w:noWrap w:val="0"/>
                  <w:tcMar>
                    <w:top w:w="0" w:type="dxa"/>
                    <w:left w:w="28" w:type="dxa"/>
                    <w:bottom w:w="0" w:type="dxa"/>
                    <w:right w:w="28" w:type="dxa"/>
                  </w:tcMar>
                  <w:vAlign w:val="center"/>
                </w:tcPr>
                <w:p w14:paraId="4DB7752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覆膜滤料布袋除尘器</w:t>
                  </w:r>
                </w:p>
              </w:tc>
              <w:tc>
                <w:tcPr>
                  <w:tcW w:w="1115" w:type="dxa"/>
                  <w:gridSpan w:val="2"/>
                  <w:vMerge w:val="restart"/>
                  <w:noWrap w:val="0"/>
                  <w:tcMar>
                    <w:top w:w="0" w:type="dxa"/>
                    <w:left w:w="28" w:type="dxa"/>
                    <w:bottom w:w="0" w:type="dxa"/>
                    <w:right w:w="28" w:type="dxa"/>
                  </w:tcMar>
                  <w:vAlign w:val="center"/>
                </w:tcPr>
                <w:p w14:paraId="5527DB0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21m排气筒</w:t>
                  </w:r>
                  <w:r>
                    <w:rPr>
                      <w:rFonts w:hint="eastAsia" w:cs="Times New Roman"/>
                      <w:color w:val="auto"/>
                      <w:lang w:val="en-US" w:eastAsia="zh-CN"/>
                    </w:rPr>
                    <w:t>（DA039）</w:t>
                  </w:r>
                </w:p>
              </w:tc>
            </w:tr>
            <w:tr w14:paraId="1034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D04109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C6474D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缓冲仓废气</w:t>
                  </w:r>
                </w:p>
              </w:tc>
              <w:tc>
                <w:tcPr>
                  <w:tcW w:w="1656" w:type="dxa"/>
                  <w:noWrap w:val="0"/>
                  <w:tcMar>
                    <w:top w:w="0" w:type="dxa"/>
                    <w:left w:w="28" w:type="dxa"/>
                    <w:bottom w:w="0" w:type="dxa"/>
                    <w:right w:w="28" w:type="dxa"/>
                  </w:tcMar>
                  <w:vAlign w:val="center"/>
                </w:tcPr>
                <w:p w14:paraId="205672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DC811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1994" w:type="dxa"/>
                  <w:noWrap w:val="0"/>
                  <w:tcMar>
                    <w:top w:w="0" w:type="dxa"/>
                    <w:left w:w="28" w:type="dxa"/>
                    <w:bottom w:w="0" w:type="dxa"/>
                    <w:right w:w="28" w:type="dxa"/>
                  </w:tcMar>
                  <w:vAlign w:val="center"/>
                </w:tcPr>
                <w:p w14:paraId="2A3EE52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仓顶</w:t>
                  </w:r>
                  <w:r>
                    <w:rPr>
                      <w:rFonts w:hint="eastAsia" w:ascii="Times New Roman" w:hAnsi="Times New Roman" w:eastAsia="宋体" w:cs="Times New Roman"/>
                      <w:color w:val="auto"/>
                      <w:lang w:val="en-US" w:eastAsia="zh-CN"/>
                    </w:rPr>
                    <w:t>布袋</w:t>
                  </w:r>
                  <w:r>
                    <w:rPr>
                      <w:rFonts w:hint="default" w:ascii="Times New Roman" w:hAnsi="Times New Roman" w:eastAsia="宋体" w:cs="Times New Roman"/>
                      <w:color w:val="auto"/>
                      <w:lang w:val="en-US" w:eastAsia="zh-CN"/>
                    </w:rPr>
                    <w:t>除尘器</w:t>
                  </w:r>
                </w:p>
              </w:tc>
              <w:tc>
                <w:tcPr>
                  <w:tcW w:w="1115" w:type="dxa"/>
                  <w:gridSpan w:val="2"/>
                  <w:vMerge w:val="continue"/>
                  <w:noWrap w:val="0"/>
                  <w:tcMar>
                    <w:top w:w="0" w:type="dxa"/>
                    <w:left w:w="28" w:type="dxa"/>
                    <w:bottom w:w="0" w:type="dxa"/>
                    <w:right w:w="28" w:type="dxa"/>
                  </w:tcMar>
                  <w:vAlign w:val="center"/>
                </w:tcPr>
                <w:p w14:paraId="31B109F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p>
              </w:tc>
            </w:tr>
            <w:tr w14:paraId="4764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7032BAB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废水</w:t>
                  </w:r>
                </w:p>
              </w:tc>
              <w:tc>
                <w:tcPr>
                  <w:tcW w:w="944" w:type="dxa"/>
                  <w:noWrap w:val="0"/>
                  <w:tcMar>
                    <w:top w:w="0" w:type="dxa"/>
                    <w:left w:w="28" w:type="dxa"/>
                    <w:bottom w:w="0" w:type="dxa"/>
                    <w:right w:w="28" w:type="dxa"/>
                  </w:tcMar>
                  <w:vAlign w:val="center"/>
                </w:tcPr>
                <w:p w14:paraId="61E35F2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20"/>
                      <w:kern w:val="2"/>
                      <w:sz w:val="21"/>
                      <w:szCs w:val="24"/>
                      <w:lang w:val="en-US" w:eastAsia="zh-CN" w:bidi="ar-SA"/>
                    </w:rPr>
                  </w:pPr>
                  <w:r>
                    <w:rPr>
                      <w:rFonts w:hint="default" w:ascii="Times New Roman" w:hAnsi="Times New Roman" w:cs="Times New Roman"/>
                      <w:color w:val="auto"/>
                      <w:spacing w:val="0"/>
                      <w:sz w:val="21"/>
                    </w:rPr>
                    <w:t>脱白</w:t>
                  </w:r>
                </w:p>
              </w:tc>
              <w:tc>
                <w:tcPr>
                  <w:tcW w:w="1425" w:type="dxa"/>
                  <w:noWrap w:val="0"/>
                  <w:tcMar>
                    <w:top w:w="0" w:type="dxa"/>
                    <w:left w:w="28" w:type="dxa"/>
                    <w:bottom w:w="0" w:type="dxa"/>
                    <w:right w:w="28" w:type="dxa"/>
                  </w:tcMar>
                  <w:vAlign w:val="center"/>
                </w:tcPr>
                <w:p w14:paraId="3338D10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冷凝水</w:t>
                  </w:r>
                </w:p>
              </w:tc>
              <w:tc>
                <w:tcPr>
                  <w:tcW w:w="1656" w:type="dxa"/>
                  <w:noWrap w:val="0"/>
                  <w:tcMar>
                    <w:top w:w="0" w:type="dxa"/>
                    <w:left w:w="28" w:type="dxa"/>
                    <w:bottom w:w="0" w:type="dxa"/>
                    <w:right w:w="28" w:type="dxa"/>
                  </w:tcMar>
                  <w:vAlign w:val="center"/>
                </w:tcPr>
                <w:p w14:paraId="5B059C2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pH值</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r>
                    <w:rPr>
                      <w:rFonts w:hint="eastAsia" w:ascii="Times New Roman" w:hAnsi="Times New Roman" w:cs="Times New Roman"/>
                      <w:color w:val="auto"/>
                      <w:lang w:eastAsia="zh-CN"/>
                    </w:rPr>
                    <w:t>、</w:t>
                  </w:r>
                  <w:r>
                    <w:rPr>
                      <w:rFonts w:hint="default" w:ascii="Times New Roman" w:hAnsi="Times New Roman" w:cs="Times New Roman"/>
                      <w:color w:val="auto"/>
                    </w:rPr>
                    <w:t>氟化物</w:t>
                  </w:r>
                  <w:r>
                    <w:rPr>
                      <w:rFonts w:hint="eastAsia" w:ascii="Times New Roman" w:hAnsi="Times New Roman" w:cs="Times New Roman"/>
                      <w:color w:val="auto"/>
                      <w:lang w:eastAsia="zh-CN"/>
                    </w:rPr>
                    <w:t>、</w:t>
                  </w:r>
                  <w:r>
                    <w:rPr>
                      <w:rFonts w:hint="default" w:ascii="Times New Roman" w:hAnsi="Times New Roman" w:cs="Times New Roman"/>
                      <w:color w:val="auto"/>
                    </w:rPr>
                    <w:t>石油类</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p>
              </w:tc>
              <w:tc>
                <w:tcPr>
                  <w:tcW w:w="923" w:type="dxa"/>
                  <w:noWrap w:val="0"/>
                  <w:tcMar>
                    <w:top w:w="0" w:type="dxa"/>
                    <w:left w:w="28" w:type="dxa"/>
                    <w:bottom w:w="0" w:type="dxa"/>
                    <w:right w:w="28" w:type="dxa"/>
                  </w:tcMar>
                  <w:vAlign w:val="center"/>
                </w:tcPr>
                <w:p w14:paraId="37DF713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32AD24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Style w:val="38"/>
                      <w:rFonts w:ascii="宋体" w:hAnsi="宋体" w:eastAsia="宋体" w:cs="Times New Roman"/>
                      <w:color w:val="auto"/>
                      <w:kern w:val="2"/>
                      <w:sz w:val="21"/>
                      <w:szCs w:val="22"/>
                    </w:rPr>
                    <w:t>一部分直接回用于煅烧段脱硫脱硝用水，一部分进中水处理站处理后回用，不外排</w:t>
                  </w:r>
                </w:p>
              </w:tc>
            </w:tr>
            <w:tr w14:paraId="7613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26B7C8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5093421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hint="default" w:ascii="Times New Roman" w:hAnsi="Times New Roman" w:cs="Times New Roman"/>
                      <w:color w:val="auto"/>
                      <w:spacing w:val="0"/>
                      <w:sz w:val="21"/>
                    </w:rPr>
                    <w:t>煅烧工序</w:t>
                  </w:r>
                </w:p>
              </w:tc>
              <w:tc>
                <w:tcPr>
                  <w:tcW w:w="1425" w:type="dxa"/>
                  <w:noWrap w:val="0"/>
                  <w:tcMar>
                    <w:top w:w="0" w:type="dxa"/>
                    <w:left w:w="28" w:type="dxa"/>
                    <w:bottom w:w="0" w:type="dxa"/>
                    <w:right w:w="28" w:type="dxa"/>
                  </w:tcMar>
                  <w:vAlign w:val="center"/>
                </w:tcPr>
                <w:p w14:paraId="663D353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0"/>
                      <w:sz w:val="21"/>
                    </w:rPr>
                    <w:t>循环冷却水</w:t>
                  </w:r>
                </w:p>
              </w:tc>
              <w:tc>
                <w:tcPr>
                  <w:tcW w:w="1656" w:type="dxa"/>
                  <w:noWrap w:val="0"/>
                  <w:tcMar>
                    <w:top w:w="0" w:type="dxa"/>
                    <w:left w:w="28" w:type="dxa"/>
                    <w:bottom w:w="0" w:type="dxa"/>
                    <w:right w:w="28" w:type="dxa"/>
                  </w:tcMar>
                  <w:vAlign w:val="center"/>
                </w:tcPr>
                <w:p w14:paraId="463921B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pH值</w:t>
                  </w:r>
                </w:p>
              </w:tc>
              <w:tc>
                <w:tcPr>
                  <w:tcW w:w="923" w:type="dxa"/>
                  <w:noWrap w:val="0"/>
                  <w:tcMar>
                    <w:top w:w="0" w:type="dxa"/>
                    <w:left w:w="28" w:type="dxa"/>
                    <w:bottom w:w="0" w:type="dxa"/>
                    <w:right w:w="28" w:type="dxa"/>
                  </w:tcMar>
                  <w:vAlign w:val="center"/>
                </w:tcPr>
                <w:p w14:paraId="0C01A6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17F2A8F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经煅烧冷却水循环系统冷却后循环使用，不外排</w:t>
                  </w:r>
                </w:p>
              </w:tc>
            </w:tr>
            <w:tr w14:paraId="32F0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77C570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02BAF36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0"/>
                      <w:sz w:val="21"/>
                      <w:lang w:val="en-US" w:eastAsia="zh-CN"/>
                    </w:rPr>
                  </w:pPr>
                  <w:r>
                    <w:rPr>
                      <w:rFonts w:ascii="Arial" w:hAnsi="Arial" w:eastAsia="宋体" w:cs="Arial"/>
                      <w:i w:val="0"/>
                      <w:iCs w:val="0"/>
                      <w:caps w:val="0"/>
                      <w:color w:val="auto"/>
                      <w:spacing w:val="0"/>
                      <w:sz w:val="21"/>
                      <w:szCs w:val="21"/>
                      <w:shd w:val="clear" w:color="auto" w:fill="FFFFFF"/>
                    </w:rPr>
                    <w:t>碳块冷却</w:t>
                  </w:r>
                  <w:r>
                    <w:rPr>
                      <w:rFonts w:hint="eastAsia" w:ascii="Arial" w:hAnsi="Arial" w:eastAsia="宋体" w:cs="Arial"/>
                      <w:i w:val="0"/>
                      <w:iCs w:val="0"/>
                      <w:caps w:val="0"/>
                      <w:color w:val="auto"/>
                      <w:spacing w:val="0"/>
                      <w:sz w:val="21"/>
                      <w:szCs w:val="21"/>
                      <w:shd w:val="clear" w:color="auto" w:fill="FFFFFF"/>
                      <w:lang w:val="en-US" w:eastAsia="zh-CN"/>
                    </w:rPr>
                    <w:t>工序、反渗透</w:t>
                  </w:r>
                </w:p>
              </w:tc>
              <w:tc>
                <w:tcPr>
                  <w:tcW w:w="1425" w:type="dxa"/>
                  <w:noWrap w:val="0"/>
                  <w:tcMar>
                    <w:top w:w="0" w:type="dxa"/>
                    <w:left w:w="28" w:type="dxa"/>
                    <w:bottom w:w="0" w:type="dxa"/>
                    <w:right w:w="28" w:type="dxa"/>
                  </w:tcMar>
                  <w:vAlign w:val="center"/>
                </w:tcPr>
                <w:p w14:paraId="3889C75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ascii="Arial" w:hAnsi="Arial" w:eastAsia="宋体" w:cs="Arial"/>
                      <w:i w:val="0"/>
                      <w:iCs w:val="0"/>
                      <w:caps w:val="0"/>
                      <w:color w:val="auto"/>
                      <w:spacing w:val="0"/>
                      <w:sz w:val="21"/>
                      <w:szCs w:val="21"/>
                      <w:shd w:val="clear" w:color="auto" w:fill="FFFFFF"/>
                    </w:rPr>
                    <w:t>碳块冷却循环水</w:t>
                  </w:r>
                  <w:r>
                    <w:rPr>
                      <w:rFonts w:hint="eastAsia" w:ascii="Arial" w:hAnsi="Arial" w:eastAsia="宋体" w:cs="Arial"/>
                      <w:i w:val="0"/>
                      <w:iCs w:val="0"/>
                      <w:caps w:val="0"/>
                      <w:color w:val="auto"/>
                      <w:spacing w:val="0"/>
                      <w:sz w:val="21"/>
                      <w:szCs w:val="21"/>
                      <w:shd w:val="clear" w:color="auto" w:fill="FFFFFF"/>
                      <w:lang w:eastAsia="zh-CN"/>
                    </w:rPr>
                    <w:t>、</w:t>
                  </w:r>
                  <w:r>
                    <w:rPr>
                      <w:rFonts w:ascii="Arial" w:hAnsi="Arial" w:eastAsia="宋体" w:cs="Arial"/>
                      <w:i w:val="0"/>
                      <w:iCs w:val="0"/>
                      <w:caps w:val="0"/>
                      <w:color w:val="auto"/>
                      <w:spacing w:val="0"/>
                      <w:sz w:val="21"/>
                      <w:szCs w:val="21"/>
                      <w:shd w:val="clear" w:color="auto" w:fill="FFFFFF"/>
                    </w:rPr>
                    <w:t>热电车间</w:t>
                  </w:r>
                  <w:r>
                    <w:rPr>
                      <w:rFonts w:hint="default" w:ascii="Times New Roman" w:hAnsi="Times New Roman" w:eastAsia="宋体" w:cs="Times New Roman"/>
                      <w:i w:val="0"/>
                      <w:iCs w:val="0"/>
                      <w:caps w:val="0"/>
                      <w:color w:val="auto"/>
                      <w:spacing w:val="0"/>
                      <w:sz w:val="21"/>
                      <w:szCs w:val="21"/>
                      <w:shd w:val="clear" w:color="auto" w:fill="FFFFFF"/>
                    </w:rPr>
                    <w:t>EDI产生的</w:t>
                  </w:r>
                  <w:r>
                    <w:rPr>
                      <w:rFonts w:ascii="Arial" w:hAnsi="Arial" w:eastAsia="宋体" w:cs="Arial"/>
                      <w:i w:val="0"/>
                      <w:iCs w:val="0"/>
                      <w:caps w:val="0"/>
                      <w:color w:val="auto"/>
                      <w:spacing w:val="0"/>
                      <w:sz w:val="21"/>
                      <w:szCs w:val="21"/>
                      <w:shd w:val="clear" w:color="auto" w:fill="FFFFFF"/>
                    </w:rPr>
                    <w:t>反渗透浓水</w:t>
                  </w:r>
                </w:p>
              </w:tc>
              <w:tc>
                <w:tcPr>
                  <w:tcW w:w="1656" w:type="dxa"/>
                  <w:noWrap w:val="0"/>
                  <w:tcMar>
                    <w:top w:w="0" w:type="dxa"/>
                    <w:left w:w="28" w:type="dxa"/>
                    <w:bottom w:w="0" w:type="dxa"/>
                    <w:right w:w="28" w:type="dxa"/>
                  </w:tcMar>
                  <w:vAlign w:val="center"/>
                </w:tcPr>
                <w:p w14:paraId="0B77F1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pH值</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石油类</w:t>
                  </w:r>
                  <w:r>
                    <w:rPr>
                      <w:rFonts w:hint="eastAsia" w:ascii="Times New Roman" w:hAnsi="Times New Roman" w:cs="Times New Roman"/>
                      <w:color w:val="auto"/>
                      <w:lang w:eastAsia="zh-CN"/>
                    </w:rPr>
                    <w:t>、</w:t>
                  </w:r>
                  <w:r>
                    <w:rPr>
                      <w:rFonts w:hint="default" w:ascii="Times New Roman" w:hAnsi="Times New Roman" w:cs="Times New Roman"/>
                      <w:color w:val="auto"/>
                    </w:rPr>
                    <w:t>氟化物</w:t>
                  </w:r>
                </w:p>
              </w:tc>
              <w:tc>
                <w:tcPr>
                  <w:tcW w:w="923" w:type="dxa"/>
                  <w:noWrap w:val="0"/>
                  <w:tcMar>
                    <w:top w:w="0" w:type="dxa"/>
                    <w:left w:w="28" w:type="dxa"/>
                    <w:bottom w:w="0" w:type="dxa"/>
                    <w:right w:w="28" w:type="dxa"/>
                  </w:tcMar>
                  <w:vAlign w:val="center"/>
                </w:tcPr>
                <w:p w14:paraId="6FD307E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70D5A65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经</w:t>
                  </w:r>
                  <w:r>
                    <w:rPr>
                      <w:rFonts w:hint="default" w:ascii="Times New Roman" w:hAnsi="Times New Roman" w:cs="Times New Roman"/>
                      <w:color w:val="auto"/>
                    </w:rPr>
                    <w:t>成型车间生阳极冷却水设施</w:t>
                  </w:r>
                  <w:r>
                    <w:rPr>
                      <w:rFonts w:hint="eastAsia" w:cs="Times New Roman"/>
                      <w:color w:val="auto"/>
                      <w:lang w:val="en-US" w:eastAsia="zh-CN"/>
                    </w:rPr>
                    <w:t>冷却</w:t>
                  </w:r>
                  <w:r>
                    <w:rPr>
                      <w:rFonts w:hint="eastAsia" w:ascii="Times New Roman" w:hAnsi="Times New Roman" w:cs="Times New Roman"/>
                      <w:color w:val="auto"/>
                      <w:lang w:val="en-US" w:eastAsia="zh-CN"/>
                    </w:rPr>
                    <w:t>后循环使用，不外排</w:t>
                  </w:r>
                </w:p>
              </w:tc>
            </w:tr>
            <w:tr w14:paraId="571B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ABB0C9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7DEBE55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0"/>
                      <w:sz w:val="21"/>
                      <w:lang w:val="en-US" w:eastAsia="zh-CN"/>
                    </w:rPr>
                  </w:pPr>
                  <w:r>
                    <w:rPr>
                      <w:rFonts w:ascii="Arial" w:hAnsi="Arial" w:eastAsia="宋体" w:cs="Arial"/>
                      <w:i w:val="0"/>
                      <w:iCs w:val="0"/>
                      <w:caps w:val="0"/>
                      <w:color w:val="auto"/>
                      <w:spacing w:val="0"/>
                      <w:sz w:val="21"/>
                      <w:szCs w:val="21"/>
                      <w:shd w:val="clear" w:color="auto" w:fill="FFFFFF"/>
                    </w:rPr>
                    <w:t>喷淋</w:t>
                  </w:r>
                  <w:r>
                    <w:rPr>
                      <w:rFonts w:hint="eastAsia" w:ascii="Arial" w:hAnsi="Arial" w:eastAsia="宋体" w:cs="Arial"/>
                      <w:i w:val="0"/>
                      <w:iCs w:val="0"/>
                      <w:caps w:val="0"/>
                      <w:color w:val="auto"/>
                      <w:spacing w:val="0"/>
                      <w:sz w:val="21"/>
                      <w:szCs w:val="21"/>
                      <w:shd w:val="clear" w:color="auto" w:fill="FFFFFF"/>
                      <w:lang w:val="en-US" w:eastAsia="zh-CN"/>
                    </w:rPr>
                    <w:t>塔</w:t>
                  </w:r>
                </w:p>
              </w:tc>
              <w:tc>
                <w:tcPr>
                  <w:tcW w:w="1425" w:type="dxa"/>
                  <w:noWrap w:val="0"/>
                  <w:tcMar>
                    <w:top w:w="0" w:type="dxa"/>
                    <w:left w:w="28" w:type="dxa"/>
                    <w:bottom w:w="0" w:type="dxa"/>
                    <w:right w:w="28" w:type="dxa"/>
                  </w:tcMar>
                  <w:vAlign w:val="center"/>
                </w:tcPr>
                <w:p w14:paraId="221936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ascii="Arial" w:hAnsi="Arial" w:eastAsia="宋体" w:cs="Arial"/>
                      <w:i w:val="0"/>
                      <w:iCs w:val="0"/>
                      <w:caps w:val="0"/>
                      <w:color w:val="auto"/>
                      <w:spacing w:val="0"/>
                      <w:sz w:val="21"/>
                      <w:szCs w:val="21"/>
                      <w:shd w:val="clear" w:color="auto" w:fill="FFFFFF"/>
                    </w:rPr>
                    <w:t>喷淋废水</w:t>
                  </w:r>
                </w:p>
              </w:tc>
              <w:tc>
                <w:tcPr>
                  <w:tcW w:w="1656" w:type="dxa"/>
                  <w:noWrap w:val="0"/>
                  <w:tcMar>
                    <w:top w:w="0" w:type="dxa"/>
                    <w:left w:w="28" w:type="dxa"/>
                    <w:bottom w:w="0" w:type="dxa"/>
                    <w:right w:w="28" w:type="dxa"/>
                  </w:tcMar>
                  <w:vAlign w:val="center"/>
                </w:tcPr>
                <w:p w14:paraId="2E82A79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i w:val="0"/>
                      <w:iCs w:val="0"/>
                      <w:caps w:val="0"/>
                      <w:color w:val="auto"/>
                      <w:spacing w:val="0"/>
                      <w:sz w:val="21"/>
                      <w:szCs w:val="21"/>
                      <w:shd w:val="clear" w:color="auto" w:fill="FFFFFF"/>
                    </w:rPr>
                  </w:pPr>
                  <w:r>
                    <w:rPr>
                      <w:rFonts w:hint="default" w:ascii="Times New Roman" w:hAnsi="Times New Roman" w:eastAsia="宋体" w:cs="Times New Roman"/>
                      <w:i w:val="0"/>
                      <w:iCs w:val="0"/>
                      <w:caps w:val="0"/>
                      <w:color w:val="auto"/>
                      <w:spacing w:val="0"/>
                      <w:sz w:val="21"/>
                      <w:szCs w:val="21"/>
                      <w:shd w:val="clear" w:color="auto" w:fill="FFFFFF"/>
                      <w:lang w:eastAsia="zh-CN"/>
                    </w:rPr>
                    <w:t>COD</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pH值</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SS</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氨氮</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总磷</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BOD</w:t>
                  </w:r>
                  <w:r>
                    <w:rPr>
                      <w:rFonts w:hint="default" w:ascii="Times New Roman" w:hAnsi="Times New Roman" w:eastAsia="宋体" w:cs="Times New Roman"/>
                      <w:i w:val="0"/>
                      <w:iCs w:val="0"/>
                      <w:caps w:val="0"/>
                      <w:color w:val="auto"/>
                      <w:spacing w:val="0"/>
                      <w:sz w:val="21"/>
                      <w:szCs w:val="21"/>
                      <w:shd w:val="clear" w:color="auto" w:fill="FFFFFF"/>
                      <w:vertAlign w:val="subscript"/>
                      <w:lang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石油类</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氟化物</w:t>
                  </w:r>
                </w:p>
              </w:tc>
              <w:tc>
                <w:tcPr>
                  <w:tcW w:w="923" w:type="dxa"/>
                  <w:noWrap w:val="0"/>
                  <w:tcMar>
                    <w:top w:w="0" w:type="dxa"/>
                    <w:left w:w="28" w:type="dxa"/>
                    <w:bottom w:w="0" w:type="dxa"/>
                    <w:right w:w="28" w:type="dxa"/>
                  </w:tcMar>
                  <w:vAlign w:val="center"/>
                </w:tcPr>
                <w:p w14:paraId="7BCA13A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5E89615">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经喷淋塔循环水处理设施治理后循环使用，不外排</w:t>
                  </w:r>
                </w:p>
              </w:tc>
            </w:tr>
            <w:tr w14:paraId="6BAD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3F93A6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6814ECDE">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0"/>
                      <w:sz w:val="21"/>
                      <w:lang w:val="en-US" w:eastAsia="zh-CN"/>
                    </w:rPr>
                  </w:pPr>
                  <w:r>
                    <w:rPr>
                      <w:rFonts w:hint="eastAsia" w:ascii="Times New Roman" w:hAnsi="Times New Roman" w:cs="Times New Roman"/>
                      <w:color w:val="auto"/>
                      <w:spacing w:val="0"/>
                      <w:sz w:val="21"/>
                      <w:lang w:val="en-US" w:eastAsia="zh-CN"/>
                    </w:rPr>
                    <w:t>各车间</w:t>
                  </w:r>
                </w:p>
              </w:tc>
              <w:tc>
                <w:tcPr>
                  <w:tcW w:w="1425" w:type="dxa"/>
                  <w:noWrap w:val="0"/>
                  <w:tcMar>
                    <w:top w:w="0" w:type="dxa"/>
                    <w:left w:w="28" w:type="dxa"/>
                    <w:bottom w:w="0" w:type="dxa"/>
                    <w:right w:w="28" w:type="dxa"/>
                  </w:tcMar>
                  <w:vAlign w:val="center"/>
                </w:tcPr>
                <w:p w14:paraId="325463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ascii="Arial" w:hAnsi="Arial" w:eastAsia="宋体" w:cs="Arial"/>
                      <w:i w:val="0"/>
                      <w:iCs w:val="0"/>
                      <w:caps w:val="0"/>
                      <w:color w:val="auto"/>
                      <w:spacing w:val="0"/>
                      <w:sz w:val="21"/>
                      <w:szCs w:val="21"/>
                      <w:shd w:val="clear" w:color="auto" w:fill="FFFFFF"/>
                    </w:rPr>
                    <w:t>冲洗废水（地面、车辆等</w:t>
                  </w:r>
                </w:p>
              </w:tc>
              <w:tc>
                <w:tcPr>
                  <w:tcW w:w="1656" w:type="dxa"/>
                  <w:noWrap w:val="0"/>
                  <w:tcMar>
                    <w:top w:w="0" w:type="dxa"/>
                    <w:left w:w="28" w:type="dxa"/>
                    <w:bottom w:w="0" w:type="dxa"/>
                    <w:right w:w="28" w:type="dxa"/>
                  </w:tcMar>
                  <w:vAlign w:val="center"/>
                </w:tcPr>
                <w:p w14:paraId="1B2F629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i w:val="0"/>
                      <w:iCs w:val="0"/>
                      <w:caps w:val="0"/>
                      <w:color w:val="auto"/>
                      <w:spacing w:val="0"/>
                      <w:sz w:val="21"/>
                      <w:szCs w:val="21"/>
                      <w:shd w:val="clear" w:color="auto" w:fill="FFFFFF"/>
                      <w:lang w:eastAsia="zh-CN"/>
                    </w:rPr>
                  </w:pPr>
                  <w:r>
                    <w:rPr>
                      <w:rFonts w:hint="default" w:ascii="Times New Roman" w:hAnsi="Times New Roman" w:eastAsia="宋体" w:cs="Times New Roman"/>
                      <w:i w:val="0"/>
                      <w:iCs w:val="0"/>
                      <w:caps w:val="0"/>
                      <w:color w:val="auto"/>
                      <w:spacing w:val="0"/>
                      <w:sz w:val="21"/>
                      <w:szCs w:val="21"/>
                      <w:shd w:val="clear" w:color="auto" w:fill="FFFFFF"/>
                      <w:lang w:eastAsia="zh-CN"/>
                    </w:rPr>
                    <w:t>COD</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氨氮</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总磷</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pH值</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BOD</w:t>
                  </w:r>
                  <w:r>
                    <w:rPr>
                      <w:rFonts w:hint="default" w:ascii="Times New Roman" w:hAnsi="Times New Roman" w:eastAsia="宋体" w:cs="Times New Roman"/>
                      <w:i w:val="0"/>
                      <w:iCs w:val="0"/>
                      <w:caps w:val="0"/>
                      <w:color w:val="auto"/>
                      <w:spacing w:val="0"/>
                      <w:sz w:val="21"/>
                      <w:szCs w:val="21"/>
                      <w:shd w:val="clear" w:color="auto" w:fill="FFFFFF"/>
                      <w:vertAlign w:val="subscript"/>
                      <w:lang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石油类</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氟化物</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SS</w:t>
                  </w:r>
                </w:p>
              </w:tc>
              <w:tc>
                <w:tcPr>
                  <w:tcW w:w="923" w:type="dxa"/>
                  <w:noWrap w:val="0"/>
                  <w:tcMar>
                    <w:top w:w="0" w:type="dxa"/>
                    <w:left w:w="28" w:type="dxa"/>
                    <w:bottom w:w="0" w:type="dxa"/>
                    <w:right w:w="28" w:type="dxa"/>
                  </w:tcMar>
                  <w:vAlign w:val="center"/>
                </w:tcPr>
                <w:p w14:paraId="1FCDB96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B119D9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经沉淀池沉淀后循环使用过，不外排</w:t>
                  </w:r>
                </w:p>
              </w:tc>
            </w:tr>
            <w:tr w14:paraId="3F7D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1691215">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752DECE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0"/>
                      <w:sz w:val="21"/>
                      <w:lang w:val="en-US" w:eastAsia="zh-CN"/>
                    </w:rPr>
                  </w:pPr>
                  <w:r>
                    <w:rPr>
                      <w:rFonts w:hint="eastAsia" w:ascii="Times New Roman" w:hAnsi="Times New Roman" w:cs="Times New Roman"/>
                      <w:color w:val="auto"/>
                      <w:spacing w:val="0"/>
                      <w:sz w:val="21"/>
                      <w:lang w:val="en-US" w:eastAsia="zh-CN"/>
                    </w:rPr>
                    <w:t>职工生活</w:t>
                  </w:r>
                </w:p>
              </w:tc>
              <w:tc>
                <w:tcPr>
                  <w:tcW w:w="1425" w:type="dxa"/>
                  <w:noWrap w:val="0"/>
                  <w:tcMar>
                    <w:top w:w="0" w:type="dxa"/>
                    <w:left w:w="28" w:type="dxa"/>
                    <w:bottom w:w="0" w:type="dxa"/>
                    <w:right w:w="28" w:type="dxa"/>
                  </w:tcMar>
                  <w:vAlign w:val="center"/>
                </w:tcPr>
                <w:p w14:paraId="759AFF2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生活污水</w:t>
                  </w:r>
                </w:p>
              </w:tc>
              <w:tc>
                <w:tcPr>
                  <w:tcW w:w="1656" w:type="dxa"/>
                  <w:noWrap w:val="0"/>
                  <w:tcMar>
                    <w:top w:w="0" w:type="dxa"/>
                    <w:left w:w="28" w:type="dxa"/>
                    <w:bottom w:w="0" w:type="dxa"/>
                    <w:right w:w="28" w:type="dxa"/>
                  </w:tcMar>
                  <w:vAlign w:val="center"/>
                </w:tcPr>
                <w:p w14:paraId="39A2494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p>
              </w:tc>
              <w:tc>
                <w:tcPr>
                  <w:tcW w:w="923" w:type="dxa"/>
                  <w:noWrap w:val="0"/>
                  <w:tcMar>
                    <w:top w:w="0" w:type="dxa"/>
                    <w:left w:w="28" w:type="dxa"/>
                    <w:bottom w:w="0" w:type="dxa"/>
                    <w:right w:w="28" w:type="dxa"/>
                  </w:tcMar>
                  <w:vAlign w:val="center"/>
                </w:tcPr>
                <w:p w14:paraId="4419617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A22C5D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ascii="Arial" w:hAnsi="Arial" w:eastAsia="宋体" w:cs="Arial"/>
                      <w:i w:val="0"/>
                      <w:iCs w:val="0"/>
                      <w:caps w:val="0"/>
                      <w:color w:val="auto"/>
                      <w:spacing w:val="0"/>
                      <w:sz w:val="21"/>
                      <w:szCs w:val="21"/>
                      <w:shd w:val="clear" w:color="auto" w:fill="FFFFFF"/>
                      <w:lang w:val="en-US" w:eastAsia="zh-CN"/>
                    </w:rPr>
                    <w:t>经厂区污水处理站处理后用于厂区泼洒抑尘</w:t>
                  </w:r>
                </w:p>
              </w:tc>
            </w:tr>
            <w:tr w14:paraId="4566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353A8C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44" w:type="dxa"/>
                  <w:vMerge w:val="restart"/>
                  <w:noWrap w:val="0"/>
                  <w:tcMar>
                    <w:top w:w="0" w:type="dxa"/>
                    <w:left w:w="28" w:type="dxa"/>
                    <w:bottom w:w="0" w:type="dxa"/>
                    <w:right w:w="28" w:type="dxa"/>
                  </w:tcMar>
                  <w:vAlign w:val="center"/>
                </w:tcPr>
                <w:p w14:paraId="0507D52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煅烧车间</w:t>
                  </w:r>
                </w:p>
              </w:tc>
              <w:tc>
                <w:tcPr>
                  <w:tcW w:w="1425" w:type="dxa"/>
                  <w:noWrap w:val="0"/>
                  <w:tcMar>
                    <w:top w:w="0" w:type="dxa"/>
                    <w:left w:w="28" w:type="dxa"/>
                    <w:bottom w:w="0" w:type="dxa"/>
                    <w:right w:w="28" w:type="dxa"/>
                  </w:tcMar>
                  <w:vAlign w:val="center"/>
                </w:tcPr>
                <w:p w14:paraId="74938D4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抓斗天车</w:t>
                  </w:r>
                </w:p>
              </w:tc>
              <w:tc>
                <w:tcPr>
                  <w:tcW w:w="1656" w:type="dxa"/>
                  <w:noWrap w:val="0"/>
                  <w:tcMar>
                    <w:top w:w="0" w:type="dxa"/>
                    <w:left w:w="28" w:type="dxa"/>
                    <w:bottom w:w="0" w:type="dxa"/>
                    <w:right w:w="28" w:type="dxa"/>
                  </w:tcMar>
                  <w:vAlign w:val="center"/>
                </w:tcPr>
                <w:p w14:paraId="18792C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6AF68A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restart"/>
                  <w:noWrap w:val="0"/>
                  <w:tcMar>
                    <w:top w:w="0" w:type="dxa"/>
                    <w:left w:w="28" w:type="dxa"/>
                    <w:bottom w:w="0" w:type="dxa"/>
                    <w:right w:w="28" w:type="dxa"/>
                  </w:tcMar>
                  <w:vAlign w:val="center"/>
                </w:tcPr>
                <w:p w14:paraId="1BC0E26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w:t>
                  </w:r>
                  <w:r>
                    <w:rPr>
                      <w:rFonts w:hint="eastAsia" w:cs="Times New Roman"/>
                      <w:color w:val="auto"/>
                      <w:lang w:val="en-US" w:eastAsia="zh-CN"/>
                    </w:rPr>
                    <w:t>安装隔声罩</w:t>
                  </w:r>
                  <w:r>
                    <w:rPr>
                      <w:rFonts w:hint="default" w:ascii="Times New Roman" w:hAnsi="Times New Roman" w:cs="Times New Roman"/>
                      <w:color w:val="auto"/>
                    </w:rPr>
                    <w:t>，厂房隔声</w:t>
                  </w:r>
                </w:p>
              </w:tc>
            </w:tr>
            <w:tr w14:paraId="00B8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B90E72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DACB1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5B3573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布料小车</w:t>
                  </w:r>
                </w:p>
              </w:tc>
              <w:tc>
                <w:tcPr>
                  <w:tcW w:w="1656" w:type="dxa"/>
                  <w:noWrap w:val="0"/>
                  <w:tcMar>
                    <w:top w:w="0" w:type="dxa"/>
                    <w:left w:w="28" w:type="dxa"/>
                    <w:bottom w:w="0" w:type="dxa"/>
                    <w:right w:w="28" w:type="dxa"/>
                  </w:tcMar>
                  <w:vAlign w:val="center"/>
                </w:tcPr>
                <w:p w14:paraId="4B5E60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45BFC99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2BB17C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0DC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97637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AB440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3B0E41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出料机</w:t>
                  </w:r>
                </w:p>
              </w:tc>
              <w:tc>
                <w:tcPr>
                  <w:tcW w:w="1656" w:type="dxa"/>
                  <w:noWrap w:val="0"/>
                  <w:tcMar>
                    <w:top w:w="0" w:type="dxa"/>
                    <w:left w:w="28" w:type="dxa"/>
                    <w:bottom w:w="0" w:type="dxa"/>
                    <w:right w:w="28" w:type="dxa"/>
                  </w:tcMar>
                  <w:vAlign w:val="center"/>
                </w:tcPr>
                <w:p w14:paraId="4E9F056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396E00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9EB56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051E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FA097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0EBF33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成型车间</w:t>
                  </w:r>
                </w:p>
              </w:tc>
              <w:tc>
                <w:tcPr>
                  <w:tcW w:w="1425" w:type="dxa"/>
                  <w:noWrap w:val="0"/>
                  <w:tcMar>
                    <w:top w:w="0" w:type="dxa"/>
                    <w:left w:w="28" w:type="dxa"/>
                    <w:bottom w:w="0" w:type="dxa"/>
                    <w:right w:w="28" w:type="dxa"/>
                  </w:tcMar>
                  <w:vAlign w:val="center"/>
                </w:tcPr>
                <w:p w14:paraId="41C433A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鄂式破碎机</w:t>
                  </w:r>
                </w:p>
              </w:tc>
              <w:tc>
                <w:tcPr>
                  <w:tcW w:w="1656" w:type="dxa"/>
                  <w:noWrap w:val="0"/>
                  <w:tcMar>
                    <w:top w:w="0" w:type="dxa"/>
                    <w:left w:w="28" w:type="dxa"/>
                    <w:bottom w:w="0" w:type="dxa"/>
                    <w:right w:w="28" w:type="dxa"/>
                  </w:tcMar>
                  <w:vAlign w:val="center"/>
                </w:tcPr>
                <w:p w14:paraId="0AF6A8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4EEF62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1EB718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0064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D01FAB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6AE98F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E31494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高压制粉机</w:t>
                  </w:r>
                </w:p>
              </w:tc>
              <w:tc>
                <w:tcPr>
                  <w:tcW w:w="1656" w:type="dxa"/>
                  <w:shd w:val="clear" w:color="auto" w:fill="auto"/>
                  <w:noWrap w:val="0"/>
                  <w:tcMar>
                    <w:top w:w="0" w:type="dxa"/>
                    <w:left w:w="28" w:type="dxa"/>
                    <w:bottom w:w="0" w:type="dxa"/>
                    <w:right w:w="28" w:type="dxa"/>
                  </w:tcMar>
                  <w:vAlign w:val="center"/>
                </w:tcPr>
                <w:p w14:paraId="65C6F6F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6EF2DF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0CA4F17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2AD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B9356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3722A7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04C20B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反击式破碎机</w:t>
                  </w:r>
                </w:p>
              </w:tc>
              <w:tc>
                <w:tcPr>
                  <w:tcW w:w="1656" w:type="dxa"/>
                  <w:shd w:val="clear" w:color="auto" w:fill="auto"/>
                  <w:noWrap w:val="0"/>
                  <w:tcMar>
                    <w:top w:w="0" w:type="dxa"/>
                    <w:left w:w="28" w:type="dxa"/>
                    <w:bottom w:w="0" w:type="dxa"/>
                    <w:right w:w="28" w:type="dxa"/>
                  </w:tcMar>
                  <w:vAlign w:val="center"/>
                </w:tcPr>
                <w:p w14:paraId="67F0A84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4F7989B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006B6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613E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07665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EAA78A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shd w:val="clear" w:color="auto" w:fill="auto"/>
                  <w:noWrap w:val="0"/>
                  <w:tcMar>
                    <w:top w:w="0" w:type="dxa"/>
                    <w:left w:w="28" w:type="dxa"/>
                    <w:bottom w:w="0" w:type="dxa"/>
                    <w:right w:w="28" w:type="dxa"/>
                  </w:tcMar>
                  <w:vAlign w:val="center"/>
                </w:tcPr>
                <w:p w14:paraId="35AE07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振动筛</w:t>
                  </w:r>
                </w:p>
              </w:tc>
              <w:tc>
                <w:tcPr>
                  <w:tcW w:w="1656" w:type="dxa"/>
                  <w:shd w:val="clear" w:color="auto" w:fill="auto"/>
                  <w:noWrap w:val="0"/>
                  <w:tcMar>
                    <w:top w:w="0" w:type="dxa"/>
                    <w:left w:w="28" w:type="dxa"/>
                    <w:bottom w:w="0" w:type="dxa"/>
                    <w:right w:w="28" w:type="dxa"/>
                  </w:tcMar>
                  <w:vAlign w:val="center"/>
                </w:tcPr>
                <w:p w14:paraId="007A57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0DCA635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5B1EFF4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BCD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82B3EA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F0C9F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248C110">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锤式破碎机</w:t>
                  </w:r>
                </w:p>
              </w:tc>
              <w:tc>
                <w:tcPr>
                  <w:tcW w:w="1656" w:type="dxa"/>
                  <w:shd w:val="clear" w:color="auto" w:fill="auto"/>
                  <w:noWrap w:val="0"/>
                  <w:tcMar>
                    <w:top w:w="0" w:type="dxa"/>
                    <w:left w:w="28" w:type="dxa"/>
                    <w:bottom w:w="0" w:type="dxa"/>
                    <w:right w:w="28" w:type="dxa"/>
                  </w:tcMar>
                  <w:vAlign w:val="center"/>
                </w:tcPr>
                <w:p w14:paraId="5D16A00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65B756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0BEF5E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4CF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9467D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165032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B646B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电磁振动给料机</w:t>
                  </w:r>
                </w:p>
              </w:tc>
              <w:tc>
                <w:tcPr>
                  <w:tcW w:w="1656" w:type="dxa"/>
                  <w:shd w:val="clear" w:color="auto" w:fill="auto"/>
                  <w:noWrap w:val="0"/>
                  <w:tcMar>
                    <w:top w:w="0" w:type="dxa"/>
                    <w:left w:w="28" w:type="dxa"/>
                    <w:bottom w:w="0" w:type="dxa"/>
                    <w:right w:w="28" w:type="dxa"/>
                  </w:tcMar>
                  <w:vAlign w:val="center"/>
                </w:tcPr>
                <w:p w14:paraId="4E237C6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1A529CB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125466E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4C3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3744A5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2AE8C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D9A2E78">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对辊破</w:t>
                  </w:r>
                </w:p>
              </w:tc>
              <w:tc>
                <w:tcPr>
                  <w:tcW w:w="1656" w:type="dxa"/>
                  <w:shd w:val="clear" w:color="auto" w:fill="auto"/>
                  <w:noWrap w:val="0"/>
                  <w:tcMar>
                    <w:top w:w="0" w:type="dxa"/>
                    <w:left w:w="28" w:type="dxa"/>
                    <w:bottom w:w="0" w:type="dxa"/>
                    <w:right w:w="28" w:type="dxa"/>
                  </w:tcMar>
                  <w:vAlign w:val="center"/>
                </w:tcPr>
                <w:p w14:paraId="250B4B7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A96184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71901CF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6A6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2CEEA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90661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2C0CD85">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混捏机</w:t>
                  </w:r>
                </w:p>
              </w:tc>
              <w:tc>
                <w:tcPr>
                  <w:tcW w:w="1656" w:type="dxa"/>
                  <w:shd w:val="clear" w:color="auto" w:fill="auto"/>
                  <w:noWrap w:val="0"/>
                  <w:tcMar>
                    <w:top w:w="0" w:type="dxa"/>
                    <w:left w:w="28" w:type="dxa"/>
                    <w:bottom w:w="0" w:type="dxa"/>
                    <w:right w:w="28" w:type="dxa"/>
                  </w:tcMar>
                  <w:vAlign w:val="center"/>
                </w:tcPr>
                <w:p w14:paraId="0FFBF91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0F63EC4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13E383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370A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C8C9C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83716D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C59E84F">
                  <w:pPr>
                    <w:keepNext w:val="0"/>
                    <w:keepLines w:val="0"/>
                    <w:pageBreakBefore w:val="0"/>
                    <w:kinsoku/>
                    <w:wordWrap/>
                    <w:overflowPunct/>
                    <w:topLinePunct w:val="0"/>
                    <w:autoSpaceDE/>
                    <w:autoSpaceDN/>
                    <w:bidi w:val="0"/>
                    <w:spacing w:line="240" w:lineRule="auto"/>
                    <w:jc w:val="center"/>
                    <w:rPr>
                      <w:rFonts w:hint="eastAsia" w:cs="Times New Roman"/>
                      <w:color w:val="auto"/>
                      <w:spacing w:val="-11"/>
                      <w:lang w:val="en-US" w:eastAsia="zh-CN"/>
                    </w:rPr>
                  </w:pPr>
                  <w:r>
                    <w:rPr>
                      <w:rFonts w:hint="default" w:ascii="Times New Roman" w:hAnsi="Times New Roman" w:cs="Times New Roman"/>
                      <w:color w:val="auto"/>
                      <w:spacing w:val="-11"/>
                    </w:rPr>
                    <w:t>成型机</w:t>
                  </w:r>
                </w:p>
              </w:tc>
              <w:tc>
                <w:tcPr>
                  <w:tcW w:w="1656" w:type="dxa"/>
                  <w:noWrap w:val="0"/>
                  <w:tcMar>
                    <w:top w:w="0" w:type="dxa"/>
                    <w:left w:w="28" w:type="dxa"/>
                    <w:bottom w:w="0" w:type="dxa"/>
                    <w:right w:w="28" w:type="dxa"/>
                  </w:tcMar>
                  <w:vAlign w:val="center"/>
                </w:tcPr>
                <w:p w14:paraId="3209BA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6F46557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3E40EBF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5226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958FAA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BC0532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53728A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磨粉机</w:t>
                  </w:r>
                </w:p>
              </w:tc>
              <w:tc>
                <w:tcPr>
                  <w:tcW w:w="1656" w:type="dxa"/>
                  <w:noWrap w:val="0"/>
                  <w:tcMar>
                    <w:top w:w="0" w:type="dxa"/>
                    <w:left w:w="28" w:type="dxa"/>
                    <w:bottom w:w="0" w:type="dxa"/>
                    <w:right w:w="28" w:type="dxa"/>
                  </w:tcMar>
                  <w:vAlign w:val="center"/>
                </w:tcPr>
                <w:p w14:paraId="4340663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126ADD2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eastAsia="zh-CN"/>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0FF6DD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D00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51EF3D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474502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4E35CB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风机</w:t>
                  </w:r>
                </w:p>
              </w:tc>
              <w:tc>
                <w:tcPr>
                  <w:tcW w:w="1656" w:type="dxa"/>
                  <w:noWrap w:val="0"/>
                  <w:tcMar>
                    <w:top w:w="0" w:type="dxa"/>
                    <w:left w:w="28" w:type="dxa"/>
                    <w:bottom w:w="0" w:type="dxa"/>
                    <w:right w:w="28" w:type="dxa"/>
                  </w:tcMar>
                  <w:vAlign w:val="center"/>
                </w:tcPr>
                <w:p w14:paraId="1EBBDE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3B44C0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1EB57A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43E6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0769F1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2049A7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焙烧车间</w:t>
                  </w:r>
                </w:p>
              </w:tc>
              <w:tc>
                <w:tcPr>
                  <w:tcW w:w="1425" w:type="dxa"/>
                  <w:noWrap w:val="0"/>
                  <w:tcMar>
                    <w:top w:w="0" w:type="dxa"/>
                    <w:left w:w="28" w:type="dxa"/>
                    <w:bottom w:w="0" w:type="dxa"/>
                    <w:right w:w="28" w:type="dxa"/>
                  </w:tcMar>
                  <w:vAlign w:val="center"/>
                </w:tcPr>
                <w:p w14:paraId="561F0AD5">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cs="Times New Roman"/>
                      <w:color w:val="auto"/>
                      <w:spacing w:val="-11"/>
                      <w:lang w:val="en-US" w:eastAsia="zh-CN"/>
                    </w:rPr>
                    <w:t>空压机</w:t>
                  </w:r>
                </w:p>
              </w:tc>
              <w:tc>
                <w:tcPr>
                  <w:tcW w:w="1656" w:type="dxa"/>
                  <w:noWrap w:val="0"/>
                  <w:tcMar>
                    <w:top w:w="0" w:type="dxa"/>
                    <w:left w:w="28" w:type="dxa"/>
                    <w:bottom w:w="0" w:type="dxa"/>
                    <w:right w:w="28" w:type="dxa"/>
                  </w:tcMar>
                  <w:vAlign w:val="center"/>
                </w:tcPr>
                <w:p w14:paraId="14C783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1685ED4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3EF5D2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AB2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53C69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B7D2E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493DB0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开槽机</w:t>
                  </w:r>
                </w:p>
              </w:tc>
              <w:tc>
                <w:tcPr>
                  <w:tcW w:w="1656" w:type="dxa"/>
                  <w:shd w:val="clear" w:color="auto" w:fill="auto"/>
                  <w:noWrap w:val="0"/>
                  <w:tcMar>
                    <w:top w:w="0" w:type="dxa"/>
                    <w:left w:w="28" w:type="dxa"/>
                    <w:bottom w:w="0" w:type="dxa"/>
                    <w:right w:w="28" w:type="dxa"/>
                  </w:tcMar>
                  <w:vAlign w:val="center"/>
                </w:tcPr>
                <w:p w14:paraId="4F21A73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5719424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2F55BB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874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F2ADBA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EE803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1A4DC09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吸料天车</w:t>
                  </w:r>
                </w:p>
              </w:tc>
              <w:tc>
                <w:tcPr>
                  <w:tcW w:w="1656" w:type="dxa"/>
                  <w:shd w:val="clear" w:color="auto" w:fill="auto"/>
                  <w:noWrap w:val="0"/>
                  <w:tcMar>
                    <w:top w:w="0" w:type="dxa"/>
                    <w:left w:w="28" w:type="dxa"/>
                    <w:bottom w:w="0" w:type="dxa"/>
                    <w:right w:w="28" w:type="dxa"/>
                  </w:tcMar>
                  <w:vAlign w:val="center"/>
                </w:tcPr>
                <w:p w14:paraId="5C3626D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1D2183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41EDE1C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5E4A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A14BE0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339DA4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辅助及环保设备</w:t>
                  </w:r>
                </w:p>
              </w:tc>
              <w:tc>
                <w:tcPr>
                  <w:tcW w:w="1425" w:type="dxa"/>
                  <w:noWrap w:val="0"/>
                  <w:tcMar>
                    <w:top w:w="0" w:type="dxa"/>
                    <w:left w:w="28" w:type="dxa"/>
                    <w:bottom w:w="0" w:type="dxa"/>
                    <w:right w:w="28" w:type="dxa"/>
                  </w:tcMar>
                  <w:vAlign w:val="center"/>
                </w:tcPr>
                <w:p w14:paraId="138779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风机</w:t>
                  </w:r>
                </w:p>
              </w:tc>
              <w:tc>
                <w:tcPr>
                  <w:tcW w:w="1656" w:type="dxa"/>
                  <w:noWrap w:val="0"/>
                  <w:tcMar>
                    <w:top w:w="0" w:type="dxa"/>
                    <w:left w:w="28" w:type="dxa"/>
                    <w:bottom w:w="0" w:type="dxa"/>
                    <w:right w:w="28" w:type="dxa"/>
                  </w:tcMar>
                  <w:vAlign w:val="center"/>
                </w:tcPr>
                <w:p w14:paraId="01F82A8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07F6F6A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3A96F5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651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EA6DF1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11D8A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D79C54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泵类</w:t>
                  </w:r>
                </w:p>
              </w:tc>
              <w:tc>
                <w:tcPr>
                  <w:tcW w:w="1656" w:type="dxa"/>
                  <w:noWrap w:val="0"/>
                  <w:tcMar>
                    <w:top w:w="0" w:type="dxa"/>
                    <w:left w:w="28" w:type="dxa"/>
                    <w:bottom w:w="0" w:type="dxa"/>
                    <w:right w:w="28" w:type="dxa"/>
                  </w:tcMar>
                  <w:vAlign w:val="center"/>
                </w:tcPr>
                <w:p w14:paraId="042D30A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5DE8A4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4EB37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4BD3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118D5A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固废</w:t>
                  </w:r>
                </w:p>
              </w:tc>
              <w:tc>
                <w:tcPr>
                  <w:tcW w:w="944" w:type="dxa"/>
                  <w:noWrap w:val="0"/>
                  <w:tcMar>
                    <w:top w:w="0" w:type="dxa"/>
                    <w:left w:w="28" w:type="dxa"/>
                    <w:bottom w:w="0" w:type="dxa"/>
                    <w:right w:w="28" w:type="dxa"/>
                  </w:tcMar>
                  <w:vAlign w:val="center"/>
                </w:tcPr>
                <w:p w14:paraId="2366B1B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冷却池</w:t>
                  </w:r>
                </w:p>
              </w:tc>
              <w:tc>
                <w:tcPr>
                  <w:tcW w:w="1425" w:type="dxa"/>
                  <w:noWrap w:val="0"/>
                  <w:tcMar>
                    <w:top w:w="0" w:type="dxa"/>
                    <w:left w:w="28" w:type="dxa"/>
                    <w:bottom w:w="0" w:type="dxa"/>
                    <w:right w:w="28" w:type="dxa"/>
                  </w:tcMar>
                  <w:vAlign w:val="center"/>
                </w:tcPr>
                <w:p w14:paraId="6F294E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直冷水池</w:t>
                  </w:r>
                </w:p>
              </w:tc>
              <w:tc>
                <w:tcPr>
                  <w:tcW w:w="1656" w:type="dxa"/>
                  <w:noWrap w:val="0"/>
                  <w:tcMar>
                    <w:top w:w="0" w:type="dxa"/>
                    <w:left w:w="28" w:type="dxa"/>
                    <w:bottom w:w="0" w:type="dxa"/>
                    <w:right w:w="28" w:type="dxa"/>
                  </w:tcMar>
                  <w:vAlign w:val="center"/>
                </w:tcPr>
                <w:p w14:paraId="226C038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油渣</w:t>
                  </w:r>
                </w:p>
              </w:tc>
              <w:tc>
                <w:tcPr>
                  <w:tcW w:w="923" w:type="dxa"/>
                  <w:noWrap w:val="0"/>
                  <w:tcMar>
                    <w:top w:w="0" w:type="dxa"/>
                    <w:left w:w="28" w:type="dxa"/>
                    <w:bottom w:w="0" w:type="dxa"/>
                    <w:right w:w="28" w:type="dxa"/>
                  </w:tcMar>
                  <w:vAlign w:val="center"/>
                </w:tcPr>
                <w:p w14:paraId="341E0D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6ACE1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r>
            <w:tr w14:paraId="59B7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29F36F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6D5AE7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原料库</w:t>
                  </w:r>
                </w:p>
              </w:tc>
              <w:tc>
                <w:tcPr>
                  <w:tcW w:w="1425" w:type="dxa"/>
                  <w:noWrap w:val="0"/>
                  <w:tcMar>
                    <w:top w:w="0" w:type="dxa"/>
                    <w:left w:w="28" w:type="dxa"/>
                    <w:bottom w:w="0" w:type="dxa"/>
                    <w:right w:w="28" w:type="dxa"/>
                  </w:tcMar>
                  <w:vAlign w:val="center"/>
                </w:tcPr>
                <w:p w14:paraId="6347A8B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除尘系统</w:t>
                  </w:r>
                </w:p>
              </w:tc>
              <w:tc>
                <w:tcPr>
                  <w:tcW w:w="1656" w:type="dxa"/>
                  <w:noWrap w:val="0"/>
                  <w:tcMar>
                    <w:top w:w="0" w:type="dxa"/>
                    <w:left w:w="28" w:type="dxa"/>
                    <w:bottom w:w="0" w:type="dxa"/>
                    <w:right w:w="28" w:type="dxa"/>
                  </w:tcMar>
                  <w:vAlign w:val="center"/>
                </w:tcPr>
                <w:p w14:paraId="0573AF9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除尘灰</w:t>
                  </w:r>
                </w:p>
              </w:tc>
              <w:tc>
                <w:tcPr>
                  <w:tcW w:w="923" w:type="dxa"/>
                  <w:noWrap w:val="0"/>
                  <w:tcMar>
                    <w:top w:w="0" w:type="dxa"/>
                    <w:left w:w="28" w:type="dxa"/>
                    <w:bottom w:w="0" w:type="dxa"/>
                    <w:right w:w="28" w:type="dxa"/>
                  </w:tcMar>
                  <w:vAlign w:val="center"/>
                </w:tcPr>
                <w:p w14:paraId="4944548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798B63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作为原料送煅烧车间</w:t>
                  </w:r>
                  <w:r>
                    <w:rPr>
                      <w:rFonts w:hint="eastAsia" w:cs="Times New Roman"/>
                      <w:color w:val="auto"/>
                      <w:lang w:val="en-US" w:eastAsia="zh-CN"/>
                    </w:rPr>
                    <w:t>和成型车间</w:t>
                  </w:r>
                </w:p>
              </w:tc>
            </w:tr>
            <w:tr w14:paraId="40AE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7E726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5A45BBC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煅烧车间</w:t>
                  </w:r>
                </w:p>
              </w:tc>
              <w:tc>
                <w:tcPr>
                  <w:tcW w:w="1425" w:type="dxa"/>
                  <w:noWrap w:val="0"/>
                  <w:tcMar>
                    <w:top w:w="0" w:type="dxa"/>
                    <w:left w:w="28" w:type="dxa"/>
                    <w:bottom w:w="0" w:type="dxa"/>
                    <w:right w:w="28" w:type="dxa"/>
                  </w:tcMar>
                  <w:vAlign w:val="center"/>
                </w:tcPr>
                <w:p w14:paraId="6A60ACF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煅烧炉</w:t>
                  </w:r>
                </w:p>
              </w:tc>
              <w:tc>
                <w:tcPr>
                  <w:tcW w:w="1656" w:type="dxa"/>
                  <w:noWrap w:val="0"/>
                  <w:tcMar>
                    <w:top w:w="0" w:type="dxa"/>
                    <w:left w:w="28" w:type="dxa"/>
                    <w:bottom w:w="0" w:type="dxa"/>
                    <w:right w:w="28" w:type="dxa"/>
                  </w:tcMar>
                  <w:vAlign w:val="center"/>
                </w:tcPr>
                <w:p w14:paraId="7560CDA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废耐火材料</w:t>
                  </w:r>
                </w:p>
              </w:tc>
              <w:tc>
                <w:tcPr>
                  <w:tcW w:w="923" w:type="dxa"/>
                  <w:noWrap w:val="0"/>
                  <w:tcMar>
                    <w:top w:w="0" w:type="dxa"/>
                    <w:left w:w="28" w:type="dxa"/>
                    <w:bottom w:w="0" w:type="dxa"/>
                    <w:right w:w="28" w:type="dxa"/>
                  </w:tcMar>
                  <w:vAlign w:val="center"/>
                </w:tcPr>
                <w:p w14:paraId="495151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645A69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耐火材料厂家回收</w:t>
                  </w:r>
                </w:p>
              </w:tc>
            </w:tr>
            <w:tr w14:paraId="748A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157E85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555C5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532E21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1656" w:type="dxa"/>
                  <w:noWrap w:val="0"/>
                  <w:tcMar>
                    <w:top w:w="0" w:type="dxa"/>
                    <w:left w:w="28" w:type="dxa"/>
                    <w:bottom w:w="0" w:type="dxa"/>
                    <w:right w:w="28" w:type="dxa"/>
                  </w:tcMar>
                  <w:vAlign w:val="center"/>
                </w:tcPr>
                <w:p w14:paraId="4045DA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石灰渣、</w:t>
                  </w:r>
                  <w:r>
                    <w:rPr>
                      <w:rFonts w:hint="default" w:ascii="Times New Roman" w:hAnsi="Times New Roman" w:cs="Times New Roman"/>
                      <w:color w:val="auto"/>
                    </w:rPr>
                    <w:t>脱硫石膏</w:t>
                  </w:r>
                </w:p>
              </w:tc>
              <w:tc>
                <w:tcPr>
                  <w:tcW w:w="923" w:type="dxa"/>
                  <w:noWrap w:val="0"/>
                  <w:tcMar>
                    <w:top w:w="0" w:type="dxa"/>
                    <w:left w:w="28" w:type="dxa"/>
                    <w:bottom w:w="0" w:type="dxa"/>
                    <w:right w:w="28" w:type="dxa"/>
                  </w:tcMar>
                  <w:vAlign w:val="center"/>
                </w:tcPr>
                <w:p w14:paraId="1A69B7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685307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外售综合利用</w:t>
                  </w:r>
                </w:p>
              </w:tc>
            </w:tr>
            <w:tr w14:paraId="037E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B6F2F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BE375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63A5DE4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1656" w:type="dxa"/>
                  <w:noWrap w:val="0"/>
                  <w:tcMar>
                    <w:top w:w="0" w:type="dxa"/>
                    <w:left w:w="28" w:type="dxa"/>
                    <w:bottom w:w="0" w:type="dxa"/>
                    <w:right w:w="28" w:type="dxa"/>
                  </w:tcMar>
                  <w:vAlign w:val="center"/>
                </w:tcPr>
                <w:p w14:paraId="18FCF36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除尘灰</w:t>
                  </w:r>
                </w:p>
              </w:tc>
              <w:tc>
                <w:tcPr>
                  <w:tcW w:w="923" w:type="dxa"/>
                  <w:noWrap w:val="0"/>
                  <w:tcMar>
                    <w:top w:w="0" w:type="dxa"/>
                    <w:left w:w="28" w:type="dxa"/>
                    <w:bottom w:w="0" w:type="dxa"/>
                    <w:right w:w="28" w:type="dxa"/>
                  </w:tcMar>
                  <w:vAlign w:val="center"/>
                </w:tcPr>
                <w:p w14:paraId="7D0691C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2797049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收集后回用于生产</w:t>
                  </w:r>
                </w:p>
              </w:tc>
            </w:tr>
            <w:tr w14:paraId="7D8B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697C91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9832A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成型车间</w:t>
                  </w:r>
                </w:p>
              </w:tc>
              <w:tc>
                <w:tcPr>
                  <w:tcW w:w="1425" w:type="dxa"/>
                  <w:noWrap w:val="0"/>
                  <w:tcMar>
                    <w:top w:w="0" w:type="dxa"/>
                    <w:left w:w="28" w:type="dxa"/>
                    <w:bottom w:w="0" w:type="dxa"/>
                    <w:right w:w="28" w:type="dxa"/>
                  </w:tcMar>
                  <w:vAlign w:val="center"/>
                </w:tcPr>
                <w:p w14:paraId="4875B6C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冷却工序</w:t>
                  </w:r>
                </w:p>
              </w:tc>
              <w:tc>
                <w:tcPr>
                  <w:tcW w:w="1656" w:type="dxa"/>
                  <w:noWrap w:val="0"/>
                  <w:tcMar>
                    <w:top w:w="0" w:type="dxa"/>
                    <w:left w:w="28" w:type="dxa"/>
                    <w:bottom w:w="0" w:type="dxa"/>
                    <w:right w:w="28" w:type="dxa"/>
                  </w:tcMar>
                  <w:vAlign w:val="center"/>
                </w:tcPr>
                <w:p w14:paraId="31633F3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废生坯</w:t>
                  </w:r>
                </w:p>
              </w:tc>
              <w:tc>
                <w:tcPr>
                  <w:tcW w:w="923" w:type="dxa"/>
                  <w:noWrap w:val="0"/>
                  <w:tcMar>
                    <w:top w:w="0" w:type="dxa"/>
                    <w:left w:w="28" w:type="dxa"/>
                    <w:bottom w:w="0" w:type="dxa"/>
                    <w:right w:w="28" w:type="dxa"/>
                  </w:tcMar>
                  <w:vAlign w:val="center"/>
                </w:tcPr>
                <w:p w14:paraId="49898F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E197E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送成型车间破碎后回用</w:t>
                  </w:r>
                </w:p>
              </w:tc>
            </w:tr>
            <w:tr w14:paraId="185E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BF60DD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6208E1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3960446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废气治理设施</w:t>
                  </w:r>
                </w:p>
              </w:tc>
              <w:tc>
                <w:tcPr>
                  <w:tcW w:w="1656" w:type="dxa"/>
                  <w:noWrap w:val="0"/>
                  <w:tcMar>
                    <w:top w:w="0" w:type="dxa"/>
                    <w:left w:w="28" w:type="dxa"/>
                    <w:bottom w:w="0" w:type="dxa"/>
                    <w:right w:w="28" w:type="dxa"/>
                  </w:tcMar>
                  <w:vAlign w:val="center"/>
                </w:tcPr>
                <w:p w14:paraId="28DCBEB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除尘灰、废布袋</w:t>
                  </w:r>
                </w:p>
              </w:tc>
              <w:tc>
                <w:tcPr>
                  <w:tcW w:w="923" w:type="dxa"/>
                  <w:noWrap w:val="0"/>
                  <w:tcMar>
                    <w:top w:w="0" w:type="dxa"/>
                    <w:left w:w="28" w:type="dxa"/>
                    <w:bottom w:w="0" w:type="dxa"/>
                    <w:right w:w="28" w:type="dxa"/>
                  </w:tcMar>
                  <w:vAlign w:val="center"/>
                </w:tcPr>
                <w:p w14:paraId="222AF31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6F29EA8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除尘灰收集后回用生产，废布袋收集后外售</w:t>
                  </w:r>
                </w:p>
              </w:tc>
            </w:tr>
            <w:tr w14:paraId="7077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5B57C0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494A51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焙烧车间</w:t>
                  </w:r>
                </w:p>
              </w:tc>
              <w:tc>
                <w:tcPr>
                  <w:tcW w:w="1425" w:type="dxa"/>
                  <w:noWrap w:val="0"/>
                  <w:tcMar>
                    <w:top w:w="0" w:type="dxa"/>
                    <w:left w:w="28" w:type="dxa"/>
                    <w:bottom w:w="0" w:type="dxa"/>
                    <w:right w:w="28" w:type="dxa"/>
                  </w:tcMar>
                  <w:vAlign w:val="center"/>
                </w:tcPr>
                <w:p w14:paraId="517139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装/出炉</w:t>
                  </w:r>
                  <w:r>
                    <w:rPr>
                      <w:rFonts w:hint="default" w:ascii="Times New Roman" w:hAnsi="Times New Roman" w:cs="Times New Roman"/>
                      <w:color w:val="auto"/>
                      <w:spacing w:val="-11"/>
                    </w:rPr>
                    <w:t>工序</w:t>
                  </w:r>
                </w:p>
              </w:tc>
              <w:tc>
                <w:tcPr>
                  <w:tcW w:w="1656" w:type="dxa"/>
                  <w:noWrap w:val="0"/>
                  <w:tcMar>
                    <w:top w:w="0" w:type="dxa"/>
                    <w:left w:w="28" w:type="dxa"/>
                    <w:bottom w:w="0" w:type="dxa"/>
                    <w:right w:w="28" w:type="dxa"/>
                  </w:tcMar>
                  <w:vAlign w:val="center"/>
                </w:tcPr>
                <w:p w14:paraId="3FB323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废</w:t>
                  </w:r>
                  <w:r>
                    <w:rPr>
                      <w:rFonts w:hint="default" w:ascii="Times New Roman" w:hAnsi="Times New Roman" w:cs="Times New Roman"/>
                      <w:color w:val="auto"/>
                    </w:rPr>
                    <w:t>冶金焦</w:t>
                  </w:r>
                </w:p>
              </w:tc>
              <w:tc>
                <w:tcPr>
                  <w:tcW w:w="923" w:type="dxa"/>
                  <w:noWrap w:val="0"/>
                  <w:tcMar>
                    <w:top w:w="0" w:type="dxa"/>
                    <w:left w:w="28" w:type="dxa"/>
                    <w:bottom w:w="0" w:type="dxa"/>
                    <w:right w:w="28" w:type="dxa"/>
                  </w:tcMar>
                  <w:vAlign w:val="center"/>
                </w:tcPr>
                <w:p w14:paraId="5D86D4C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763F3F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收集后回用于生产</w:t>
                  </w:r>
                </w:p>
              </w:tc>
            </w:tr>
            <w:tr w14:paraId="6370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E6C197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2709F9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13BFD05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检验工序</w:t>
                  </w:r>
                </w:p>
              </w:tc>
              <w:tc>
                <w:tcPr>
                  <w:tcW w:w="1656" w:type="dxa"/>
                  <w:noWrap w:val="0"/>
                  <w:tcMar>
                    <w:top w:w="0" w:type="dxa"/>
                    <w:left w:w="28" w:type="dxa"/>
                    <w:bottom w:w="0" w:type="dxa"/>
                    <w:right w:w="28" w:type="dxa"/>
                  </w:tcMar>
                  <w:vAlign w:val="center"/>
                </w:tcPr>
                <w:p w14:paraId="4A6FE1F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pacing w:val="-20"/>
                      <w:sz w:val="21"/>
                    </w:rPr>
                    <w:t>废阳极</w:t>
                  </w:r>
                  <w:r>
                    <w:rPr>
                      <w:rFonts w:hint="eastAsia" w:cs="Times New Roman"/>
                      <w:color w:val="auto"/>
                      <w:spacing w:val="-20"/>
                      <w:sz w:val="21"/>
                      <w:lang w:eastAsia="zh-CN"/>
                    </w:rPr>
                    <w:t>（</w:t>
                  </w:r>
                  <w:r>
                    <w:rPr>
                      <w:rFonts w:hint="eastAsia" w:cs="Times New Roman"/>
                      <w:color w:val="auto"/>
                      <w:spacing w:val="-20"/>
                      <w:sz w:val="21"/>
                      <w:lang w:val="en-US" w:eastAsia="zh-CN"/>
                    </w:rPr>
                    <w:t>不合格品）</w:t>
                  </w:r>
                </w:p>
              </w:tc>
              <w:tc>
                <w:tcPr>
                  <w:tcW w:w="923" w:type="dxa"/>
                  <w:noWrap w:val="0"/>
                  <w:tcMar>
                    <w:top w:w="0" w:type="dxa"/>
                    <w:left w:w="28" w:type="dxa"/>
                    <w:bottom w:w="0" w:type="dxa"/>
                    <w:right w:w="28" w:type="dxa"/>
                  </w:tcMar>
                  <w:vAlign w:val="center"/>
                </w:tcPr>
                <w:p w14:paraId="1A411E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2D112AC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送成型车间破碎后回用</w:t>
                  </w:r>
                </w:p>
              </w:tc>
            </w:tr>
            <w:tr w14:paraId="4EA0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96B625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091332E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5F289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焙烧炉</w:t>
                  </w:r>
                </w:p>
              </w:tc>
              <w:tc>
                <w:tcPr>
                  <w:tcW w:w="1656" w:type="dxa"/>
                  <w:noWrap w:val="0"/>
                  <w:tcMar>
                    <w:top w:w="0" w:type="dxa"/>
                    <w:left w:w="28" w:type="dxa"/>
                    <w:bottom w:w="0" w:type="dxa"/>
                    <w:right w:w="28" w:type="dxa"/>
                  </w:tcMar>
                  <w:vAlign w:val="center"/>
                </w:tcPr>
                <w:p w14:paraId="22A3FAE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废耐火材料</w:t>
                  </w:r>
                </w:p>
              </w:tc>
              <w:tc>
                <w:tcPr>
                  <w:tcW w:w="923" w:type="dxa"/>
                  <w:noWrap w:val="0"/>
                  <w:tcMar>
                    <w:top w:w="0" w:type="dxa"/>
                    <w:left w:w="28" w:type="dxa"/>
                    <w:bottom w:w="0" w:type="dxa"/>
                    <w:right w:w="28" w:type="dxa"/>
                  </w:tcMar>
                  <w:vAlign w:val="center"/>
                </w:tcPr>
                <w:p w14:paraId="0F88180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0EA47D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Style w:val="38"/>
                      <w:rFonts w:hint="eastAsia" w:ascii="宋体" w:hAnsi="宋体" w:eastAsia="宋体" w:cs="宋体"/>
                      <w:color w:val="auto"/>
                      <w:kern w:val="2"/>
                      <w:sz w:val="21"/>
                      <w:szCs w:val="21"/>
                      <w:lang w:val="en-US" w:eastAsia="zh-CN" w:bidi="ar-SA"/>
                    </w:rPr>
                    <w:t>外售综合利用</w:t>
                  </w:r>
                </w:p>
              </w:tc>
            </w:tr>
            <w:tr w14:paraId="68A0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5CA70B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B7CBD3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1AFB7C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开槽机</w:t>
                  </w:r>
                </w:p>
              </w:tc>
              <w:tc>
                <w:tcPr>
                  <w:tcW w:w="1656" w:type="dxa"/>
                  <w:noWrap w:val="0"/>
                  <w:tcMar>
                    <w:top w:w="0" w:type="dxa"/>
                    <w:left w:w="28" w:type="dxa"/>
                    <w:bottom w:w="0" w:type="dxa"/>
                    <w:right w:w="28" w:type="dxa"/>
                  </w:tcMar>
                  <w:vAlign w:val="center"/>
                </w:tcPr>
                <w:p w14:paraId="55EE0F8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槽渣</w:t>
                  </w:r>
                </w:p>
              </w:tc>
              <w:tc>
                <w:tcPr>
                  <w:tcW w:w="923" w:type="dxa"/>
                  <w:noWrap w:val="0"/>
                  <w:tcMar>
                    <w:top w:w="0" w:type="dxa"/>
                    <w:left w:w="28" w:type="dxa"/>
                    <w:bottom w:w="0" w:type="dxa"/>
                    <w:right w:w="28" w:type="dxa"/>
                  </w:tcMar>
                  <w:vAlign w:val="center"/>
                </w:tcPr>
                <w:p w14:paraId="7618DD9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18D951DA">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回用至配料工序作为原料使用</w:t>
                  </w:r>
                </w:p>
              </w:tc>
            </w:tr>
            <w:tr w14:paraId="7C9B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2F8EF4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4A6A4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96B0E80">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喷淋塔冷却水沉淀池</w:t>
                  </w:r>
                </w:p>
              </w:tc>
              <w:tc>
                <w:tcPr>
                  <w:tcW w:w="1656" w:type="dxa"/>
                  <w:noWrap w:val="0"/>
                  <w:tcMar>
                    <w:top w:w="0" w:type="dxa"/>
                    <w:left w:w="28" w:type="dxa"/>
                    <w:bottom w:w="0" w:type="dxa"/>
                    <w:right w:w="28" w:type="dxa"/>
                  </w:tcMar>
                  <w:vAlign w:val="center"/>
                </w:tcPr>
                <w:p w14:paraId="616115FB">
                  <w:pPr>
                    <w:keepNext w:val="0"/>
                    <w:keepLines w:val="0"/>
                    <w:pageBreakBefore w:val="0"/>
                    <w:kinsoku/>
                    <w:wordWrap/>
                    <w:overflowPunct/>
                    <w:topLinePunct w:val="0"/>
                    <w:autoSpaceDE/>
                    <w:autoSpaceDN/>
                    <w:bidi w:val="0"/>
                    <w:spacing w:line="240" w:lineRule="auto"/>
                    <w:jc w:val="center"/>
                    <w:rPr>
                      <w:rFonts w:hint="default" w:cs="Times New Roman"/>
                      <w:color w:val="auto"/>
                      <w:lang w:val="en-US" w:eastAsia="zh-CN"/>
                    </w:rPr>
                  </w:pPr>
                  <w:r>
                    <w:rPr>
                      <w:rFonts w:hint="eastAsia" w:cs="Times New Roman"/>
                      <w:color w:val="auto"/>
                      <w:lang w:val="en-US" w:eastAsia="zh-CN"/>
                    </w:rPr>
                    <w:t>灰渣</w:t>
                  </w:r>
                </w:p>
              </w:tc>
              <w:tc>
                <w:tcPr>
                  <w:tcW w:w="923" w:type="dxa"/>
                  <w:noWrap w:val="0"/>
                  <w:tcMar>
                    <w:top w:w="0" w:type="dxa"/>
                    <w:left w:w="28" w:type="dxa"/>
                    <w:bottom w:w="0" w:type="dxa"/>
                    <w:right w:w="28" w:type="dxa"/>
                  </w:tcMar>
                  <w:vAlign w:val="center"/>
                </w:tcPr>
                <w:p w14:paraId="7B641B55">
                  <w:pPr>
                    <w:keepNext w:val="0"/>
                    <w:keepLines w:val="0"/>
                    <w:pageBreakBefore w:val="0"/>
                    <w:kinsoku/>
                    <w:wordWrap/>
                    <w:overflowPunct/>
                    <w:topLinePunct w:val="0"/>
                    <w:autoSpaceDE/>
                    <w:autoSpaceDN/>
                    <w:bidi w:val="0"/>
                    <w:spacing w:line="240" w:lineRule="auto"/>
                    <w:jc w:val="center"/>
                    <w:rPr>
                      <w:rFonts w:hint="default"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35D0273C">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作为焙烧炉填充料使用</w:t>
                  </w:r>
                </w:p>
              </w:tc>
            </w:tr>
            <w:tr w14:paraId="4319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86A327F">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EEE261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C8926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3B6FD46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pacing w:val="-11"/>
                    </w:rPr>
                    <w:t>脱硫石膏</w:t>
                  </w:r>
                </w:p>
              </w:tc>
              <w:tc>
                <w:tcPr>
                  <w:tcW w:w="923" w:type="dxa"/>
                  <w:noWrap w:val="0"/>
                  <w:tcMar>
                    <w:top w:w="0" w:type="dxa"/>
                    <w:left w:w="28" w:type="dxa"/>
                    <w:bottom w:w="0" w:type="dxa"/>
                    <w:right w:w="28" w:type="dxa"/>
                  </w:tcMar>
                  <w:vAlign w:val="center"/>
                </w:tcPr>
                <w:p w14:paraId="14416F9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39016D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外售综合利用</w:t>
                  </w:r>
                </w:p>
              </w:tc>
            </w:tr>
            <w:tr w14:paraId="57C4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66DC30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C07DF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55B57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47B2D5E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923" w:type="dxa"/>
                  <w:noWrap w:val="0"/>
                  <w:tcMar>
                    <w:top w:w="0" w:type="dxa"/>
                    <w:left w:w="28" w:type="dxa"/>
                    <w:bottom w:w="0" w:type="dxa"/>
                    <w:right w:w="28" w:type="dxa"/>
                  </w:tcMar>
                  <w:vAlign w:val="center"/>
                </w:tcPr>
                <w:p w14:paraId="5424F7D8">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995121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Style w:val="38"/>
                      <w:rFonts w:hint="eastAsia" w:ascii="宋体" w:hAnsi="宋体" w:eastAsia="宋体" w:cs="宋体"/>
                      <w:color w:val="auto"/>
                      <w:kern w:val="2"/>
                      <w:sz w:val="21"/>
                      <w:szCs w:val="21"/>
                      <w:lang w:val="en-US" w:eastAsia="zh-CN" w:bidi="ar-SA"/>
                    </w:rPr>
                    <w:t>作为焙烧炉填充料使用</w:t>
                  </w:r>
                </w:p>
              </w:tc>
            </w:tr>
            <w:tr w14:paraId="3BF0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100740F">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33BBE8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D4167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61345D4B">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cs="Times New Roman"/>
                      <w:color w:val="auto"/>
                      <w:spacing w:val="-11"/>
                      <w:lang w:val="en-US" w:eastAsia="zh-CN"/>
                    </w:rPr>
                    <w:t>废焦油</w:t>
                  </w:r>
                </w:p>
              </w:tc>
              <w:tc>
                <w:tcPr>
                  <w:tcW w:w="923" w:type="dxa"/>
                  <w:noWrap w:val="0"/>
                  <w:tcMar>
                    <w:top w:w="0" w:type="dxa"/>
                    <w:left w:w="28" w:type="dxa"/>
                    <w:bottom w:w="0" w:type="dxa"/>
                    <w:right w:w="28" w:type="dxa"/>
                  </w:tcMar>
                  <w:vAlign w:val="center"/>
                </w:tcPr>
                <w:p w14:paraId="697CF676">
                  <w:pPr>
                    <w:keepNext w:val="0"/>
                    <w:keepLines w:val="0"/>
                    <w:pageBreakBefore w:val="0"/>
                    <w:kinsoku/>
                    <w:wordWrap/>
                    <w:overflowPunct/>
                    <w:topLinePunct w:val="0"/>
                    <w:autoSpaceDE/>
                    <w:autoSpaceDN/>
                    <w:bidi w:val="0"/>
                    <w:spacing w:line="240" w:lineRule="auto"/>
                    <w:jc w:val="center"/>
                    <w:rPr>
                      <w:rFonts w:hint="eastAsia"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5D18F729">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Fonts w:hint="default" w:ascii="Times New Roman" w:hAnsi="Times New Roman" w:cs="Times New Roman"/>
                      <w:color w:val="auto"/>
                    </w:rPr>
                    <w:t>送资质单位处理</w:t>
                  </w:r>
                </w:p>
              </w:tc>
            </w:tr>
            <w:tr w14:paraId="1621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F2200A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94750C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中水处理系统</w:t>
                  </w:r>
                </w:p>
              </w:tc>
              <w:tc>
                <w:tcPr>
                  <w:tcW w:w="1425" w:type="dxa"/>
                  <w:noWrap w:val="0"/>
                  <w:tcMar>
                    <w:top w:w="0" w:type="dxa"/>
                    <w:left w:w="28" w:type="dxa"/>
                    <w:bottom w:w="0" w:type="dxa"/>
                    <w:right w:w="28" w:type="dxa"/>
                  </w:tcMar>
                  <w:vAlign w:val="center"/>
                </w:tcPr>
                <w:p w14:paraId="3656428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三效蒸发器</w:t>
                  </w:r>
                </w:p>
              </w:tc>
              <w:tc>
                <w:tcPr>
                  <w:tcW w:w="1656" w:type="dxa"/>
                  <w:noWrap w:val="0"/>
                  <w:tcMar>
                    <w:top w:w="0" w:type="dxa"/>
                    <w:left w:w="28" w:type="dxa"/>
                    <w:bottom w:w="0" w:type="dxa"/>
                    <w:right w:w="28" w:type="dxa"/>
                  </w:tcMar>
                  <w:vAlign w:val="center"/>
                </w:tcPr>
                <w:p w14:paraId="7E3D46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结晶盐</w:t>
                  </w:r>
                </w:p>
              </w:tc>
              <w:tc>
                <w:tcPr>
                  <w:tcW w:w="923" w:type="dxa"/>
                  <w:noWrap w:val="0"/>
                  <w:tcMar>
                    <w:top w:w="0" w:type="dxa"/>
                    <w:left w:w="28" w:type="dxa"/>
                    <w:bottom w:w="0" w:type="dxa"/>
                    <w:right w:w="28" w:type="dxa"/>
                  </w:tcMar>
                  <w:vAlign w:val="center"/>
                </w:tcPr>
                <w:p w14:paraId="05FDFF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EAB58B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外售</w:t>
                  </w:r>
                  <w:r>
                    <w:rPr>
                      <w:rFonts w:hint="eastAsia" w:cs="Times New Roman"/>
                      <w:color w:val="auto"/>
                      <w:lang w:val="en-US" w:eastAsia="zh-CN"/>
                    </w:rPr>
                    <w:t>综合利用</w:t>
                  </w:r>
                </w:p>
              </w:tc>
            </w:tr>
            <w:tr w14:paraId="4FA4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074B15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9D458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EC654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多介质过滤器</w:t>
                  </w:r>
                </w:p>
              </w:tc>
              <w:tc>
                <w:tcPr>
                  <w:tcW w:w="1656" w:type="dxa"/>
                  <w:noWrap w:val="0"/>
                  <w:tcMar>
                    <w:top w:w="0" w:type="dxa"/>
                    <w:left w:w="28" w:type="dxa"/>
                    <w:bottom w:w="0" w:type="dxa"/>
                    <w:right w:w="28" w:type="dxa"/>
                  </w:tcMar>
                  <w:vAlign w:val="center"/>
                </w:tcPr>
                <w:p w14:paraId="556462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废滤芯</w:t>
                  </w:r>
                </w:p>
              </w:tc>
              <w:tc>
                <w:tcPr>
                  <w:tcW w:w="923" w:type="dxa"/>
                  <w:noWrap w:val="0"/>
                  <w:tcMar>
                    <w:top w:w="0" w:type="dxa"/>
                    <w:left w:w="28" w:type="dxa"/>
                    <w:bottom w:w="0" w:type="dxa"/>
                    <w:right w:w="28" w:type="dxa"/>
                  </w:tcMar>
                  <w:vAlign w:val="center"/>
                </w:tcPr>
                <w:p w14:paraId="49144B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F91820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厂家回收</w:t>
                  </w:r>
                </w:p>
              </w:tc>
            </w:tr>
            <w:tr w14:paraId="7998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75BC56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99699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CCD7C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离子交换树脂</w:t>
                  </w:r>
                </w:p>
              </w:tc>
              <w:tc>
                <w:tcPr>
                  <w:tcW w:w="1656" w:type="dxa"/>
                  <w:noWrap w:val="0"/>
                  <w:tcMar>
                    <w:top w:w="0" w:type="dxa"/>
                    <w:left w:w="28" w:type="dxa"/>
                    <w:bottom w:w="0" w:type="dxa"/>
                    <w:right w:w="28" w:type="dxa"/>
                  </w:tcMar>
                  <w:vAlign w:val="center"/>
                </w:tcPr>
                <w:p w14:paraId="0076962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废树脂</w:t>
                  </w:r>
                </w:p>
              </w:tc>
              <w:tc>
                <w:tcPr>
                  <w:tcW w:w="923" w:type="dxa"/>
                  <w:noWrap w:val="0"/>
                  <w:tcMar>
                    <w:top w:w="0" w:type="dxa"/>
                    <w:left w:w="28" w:type="dxa"/>
                    <w:bottom w:w="0" w:type="dxa"/>
                    <w:right w:w="28" w:type="dxa"/>
                  </w:tcMar>
                  <w:vAlign w:val="center"/>
                </w:tcPr>
                <w:p w14:paraId="2BEB467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458541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厂家回收</w:t>
                  </w:r>
                </w:p>
              </w:tc>
            </w:tr>
            <w:tr w14:paraId="074B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742B60E">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CD19B3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B8F22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cs="Times New Roman"/>
                      <w:color w:val="auto"/>
                      <w:spacing w:val="-11"/>
                      <w:lang w:val="en-US" w:eastAsia="zh-CN"/>
                    </w:rPr>
                    <w:t>在线监测</w:t>
                  </w:r>
                </w:p>
              </w:tc>
              <w:tc>
                <w:tcPr>
                  <w:tcW w:w="1656" w:type="dxa"/>
                  <w:noWrap w:val="0"/>
                  <w:tcMar>
                    <w:top w:w="0" w:type="dxa"/>
                    <w:left w:w="28" w:type="dxa"/>
                    <w:bottom w:w="0" w:type="dxa"/>
                    <w:right w:w="28" w:type="dxa"/>
                  </w:tcMar>
                  <w:vAlign w:val="center"/>
                </w:tcPr>
                <w:p w14:paraId="700299A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废液</w:t>
                  </w:r>
                </w:p>
              </w:tc>
              <w:tc>
                <w:tcPr>
                  <w:tcW w:w="923" w:type="dxa"/>
                  <w:noWrap w:val="0"/>
                  <w:tcMar>
                    <w:top w:w="0" w:type="dxa"/>
                    <w:left w:w="28" w:type="dxa"/>
                    <w:bottom w:w="0" w:type="dxa"/>
                    <w:right w:w="28" w:type="dxa"/>
                  </w:tcMar>
                  <w:vAlign w:val="center"/>
                </w:tcPr>
                <w:p w14:paraId="55A417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D2F85E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r>
            <w:tr w14:paraId="409F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6F665B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589C8CB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cs="Times New Roman"/>
                      <w:color w:val="auto"/>
                      <w:lang w:val="en-US" w:eastAsia="zh-CN"/>
                    </w:rPr>
                    <w:t>废水处理设施</w:t>
                  </w:r>
                </w:p>
              </w:tc>
              <w:tc>
                <w:tcPr>
                  <w:tcW w:w="1425" w:type="dxa"/>
                  <w:noWrap w:val="0"/>
                  <w:tcMar>
                    <w:top w:w="0" w:type="dxa"/>
                    <w:left w:w="28" w:type="dxa"/>
                    <w:bottom w:w="0" w:type="dxa"/>
                    <w:right w:w="28" w:type="dxa"/>
                  </w:tcMar>
                  <w:vAlign w:val="center"/>
                </w:tcPr>
                <w:p w14:paraId="1B624AD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cs="Times New Roman"/>
                      <w:color w:val="auto"/>
                      <w:spacing w:val="-11"/>
                      <w:lang w:val="en-US" w:eastAsia="zh-CN"/>
                    </w:rPr>
                    <w:t>生活污水站</w:t>
                  </w:r>
                </w:p>
              </w:tc>
              <w:tc>
                <w:tcPr>
                  <w:tcW w:w="1656" w:type="dxa"/>
                  <w:noWrap w:val="0"/>
                  <w:tcMar>
                    <w:top w:w="0" w:type="dxa"/>
                    <w:left w:w="28" w:type="dxa"/>
                    <w:bottom w:w="0" w:type="dxa"/>
                    <w:right w:w="28" w:type="dxa"/>
                  </w:tcMar>
                  <w:vAlign w:val="center"/>
                </w:tcPr>
                <w:p w14:paraId="2F024D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cs="Times New Roman"/>
                      <w:color w:val="auto"/>
                      <w:lang w:val="en-US" w:eastAsia="zh-CN"/>
                    </w:rPr>
                    <w:t>污泥</w:t>
                  </w:r>
                </w:p>
              </w:tc>
              <w:tc>
                <w:tcPr>
                  <w:tcW w:w="923" w:type="dxa"/>
                  <w:noWrap w:val="0"/>
                  <w:tcMar>
                    <w:top w:w="0" w:type="dxa"/>
                    <w:left w:w="28" w:type="dxa"/>
                    <w:bottom w:w="0" w:type="dxa"/>
                    <w:right w:w="28" w:type="dxa"/>
                  </w:tcMar>
                  <w:vAlign w:val="center"/>
                </w:tcPr>
                <w:p w14:paraId="2CCB7BF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61891EE">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cs="Times New Roman"/>
                      <w:color w:val="auto"/>
                      <w:lang w:val="en-US" w:eastAsia="zh-CN"/>
                    </w:rPr>
                  </w:pPr>
                  <w:r>
                    <w:rPr>
                      <w:rStyle w:val="38"/>
                      <w:rFonts w:hint="eastAsia" w:ascii="宋体" w:hAnsi="宋体" w:eastAsia="宋体" w:cs="宋体"/>
                      <w:color w:val="auto"/>
                      <w:kern w:val="2"/>
                      <w:sz w:val="21"/>
                      <w:szCs w:val="21"/>
                      <w:lang w:val="en-US" w:eastAsia="zh-CN" w:bidi="ar-SA"/>
                    </w:rPr>
                    <w:t>委托有资质单位处置</w:t>
                  </w:r>
                </w:p>
              </w:tc>
            </w:tr>
            <w:tr w14:paraId="6B01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760066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457B79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生产设备</w:t>
                  </w:r>
                </w:p>
              </w:tc>
              <w:tc>
                <w:tcPr>
                  <w:tcW w:w="1425" w:type="dxa"/>
                  <w:noWrap w:val="0"/>
                  <w:tcMar>
                    <w:top w:w="0" w:type="dxa"/>
                    <w:left w:w="28" w:type="dxa"/>
                    <w:bottom w:w="0" w:type="dxa"/>
                    <w:right w:w="28" w:type="dxa"/>
                  </w:tcMar>
                  <w:vAlign w:val="center"/>
                </w:tcPr>
                <w:p w14:paraId="10A173C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lang w:val="en-US" w:eastAsia="zh-CN"/>
                    </w:rPr>
                    <w:t>设备检修</w:t>
                  </w:r>
                </w:p>
              </w:tc>
              <w:tc>
                <w:tcPr>
                  <w:tcW w:w="1656" w:type="dxa"/>
                  <w:noWrap w:val="0"/>
                  <w:tcMar>
                    <w:top w:w="0" w:type="dxa"/>
                    <w:left w:w="28" w:type="dxa"/>
                    <w:bottom w:w="0" w:type="dxa"/>
                    <w:right w:w="28" w:type="dxa"/>
                  </w:tcMar>
                  <w:vAlign w:val="center"/>
                </w:tcPr>
                <w:p w14:paraId="440086AB">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废机油</w:t>
                  </w:r>
                </w:p>
              </w:tc>
              <w:tc>
                <w:tcPr>
                  <w:tcW w:w="923" w:type="dxa"/>
                  <w:noWrap w:val="0"/>
                  <w:tcMar>
                    <w:top w:w="0" w:type="dxa"/>
                    <w:left w:w="28" w:type="dxa"/>
                    <w:bottom w:w="0" w:type="dxa"/>
                    <w:right w:w="28" w:type="dxa"/>
                  </w:tcMar>
                  <w:vAlign w:val="center"/>
                </w:tcPr>
                <w:p w14:paraId="1101E690">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6196E1C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随产随清，交由资质单位处置</w:t>
                  </w:r>
                </w:p>
              </w:tc>
            </w:tr>
            <w:tr w14:paraId="21C1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C452D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D323434">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p>
              </w:tc>
              <w:tc>
                <w:tcPr>
                  <w:tcW w:w="1425" w:type="dxa"/>
                  <w:noWrap w:val="0"/>
                  <w:tcMar>
                    <w:top w:w="0" w:type="dxa"/>
                    <w:left w:w="28" w:type="dxa"/>
                    <w:bottom w:w="0" w:type="dxa"/>
                    <w:right w:w="28" w:type="dxa"/>
                  </w:tcMar>
                  <w:vAlign w:val="center"/>
                </w:tcPr>
                <w:p w14:paraId="0FF7B1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lang w:val="en-US" w:eastAsia="zh-CN"/>
                    </w:rPr>
                    <w:t>设备检修</w:t>
                  </w:r>
                </w:p>
              </w:tc>
              <w:tc>
                <w:tcPr>
                  <w:tcW w:w="1656" w:type="dxa"/>
                  <w:noWrap w:val="0"/>
                  <w:tcMar>
                    <w:top w:w="0" w:type="dxa"/>
                    <w:left w:w="28" w:type="dxa"/>
                    <w:bottom w:w="0" w:type="dxa"/>
                    <w:right w:w="28" w:type="dxa"/>
                  </w:tcMar>
                  <w:vAlign w:val="center"/>
                </w:tcPr>
                <w:p w14:paraId="41ECB17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废油桶</w:t>
                  </w:r>
                </w:p>
              </w:tc>
              <w:tc>
                <w:tcPr>
                  <w:tcW w:w="923" w:type="dxa"/>
                  <w:noWrap w:val="0"/>
                  <w:tcMar>
                    <w:top w:w="0" w:type="dxa"/>
                    <w:left w:w="28" w:type="dxa"/>
                    <w:bottom w:w="0" w:type="dxa"/>
                    <w:right w:w="28" w:type="dxa"/>
                  </w:tcMar>
                  <w:vAlign w:val="center"/>
                </w:tcPr>
                <w:p w14:paraId="15856F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35E57B6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随产随清，交由资质单位处置</w:t>
                  </w:r>
                </w:p>
              </w:tc>
            </w:tr>
          </w:tbl>
          <w:p w14:paraId="79A4EFDA">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4、现有工程污染源及达标情况</w:t>
            </w:r>
          </w:p>
          <w:p w14:paraId="148912F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eastAsia" w:ascii="Times New Roman" w:hAnsi="Times New Roman" w:cs="Times New Roman"/>
                <w:color w:val="auto"/>
                <w:sz w:val="24"/>
                <w:szCs w:val="22"/>
                <w:lang w:val="en-US" w:eastAsia="zh-CN"/>
              </w:rPr>
              <w:t>现有工程烟气排放情况参考</w:t>
            </w:r>
            <w:r>
              <w:rPr>
                <w:rFonts w:hint="eastAsia" w:ascii="Times New Roman" w:hAnsi="Times New Roman" w:cs="Times New Roman"/>
                <w:color w:val="auto"/>
                <w:sz w:val="24"/>
                <w:szCs w:val="22"/>
                <w:lang w:eastAsia="zh-CN"/>
              </w:rPr>
              <w:t>河北润峰环境检测服务有限公司出具的</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自行监测（半年测）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2025年9月16日，RFJC自行监测[2025]H099号</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废气在线比对（季测）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RFJC在线检[2025]G175号、RFJC在线检[2025]G176号</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自行监测季测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2025年12月25日，RFJC自行监测[2025]J176号</w:t>
            </w:r>
            <w:r>
              <w:rPr>
                <w:rFonts w:hint="default" w:ascii="Times New Roman" w:hAnsi="Times New Roman" w:cs="Times New Roman"/>
                <w:color w:val="auto"/>
                <w:sz w:val="24"/>
                <w:szCs w:val="22"/>
              </w:rPr>
              <w:t>），生产废气执行《铝工业污染物排放标准》(GB25465</w:t>
            </w:r>
            <w:r>
              <w:rPr>
                <w:rFonts w:hint="eastAsia" w:ascii="Times New Roman" w:hAnsi="Times New Roman" w:cs="Times New Roman"/>
                <w:color w:val="auto"/>
                <w:sz w:val="24"/>
                <w:szCs w:val="22"/>
                <w:lang w:val="en-US" w:eastAsia="zh-CN"/>
              </w:rPr>
              <w:t>-</w:t>
            </w:r>
            <w:r>
              <w:rPr>
                <w:rFonts w:hint="default" w:ascii="Times New Roman" w:hAnsi="Times New Roman" w:cs="Times New Roman"/>
                <w:color w:val="auto"/>
                <w:sz w:val="24"/>
                <w:szCs w:val="22"/>
              </w:rPr>
              <w:t>2010)及修改单大气污染物特别排放限值；苯并[a]芘排放执行《大气污染物综合排放标准》(GB16297-1996)表2标准。氨有组织排放及无组织排放执行《恶臭污染物排放标准》（GB14554-93）表1及表2的排放标准。具体污染源排放及达标情况见表</w:t>
            </w:r>
            <w:r>
              <w:rPr>
                <w:rFonts w:hint="eastAsia" w:ascii="Times New Roman" w:hAnsi="Times New Roman" w:cs="Times New Roman"/>
                <w:color w:val="auto"/>
                <w:sz w:val="24"/>
                <w:szCs w:val="22"/>
                <w:lang w:val="en-US" w:eastAsia="zh-CN"/>
              </w:rPr>
              <w:t>2-9</w:t>
            </w:r>
            <w:r>
              <w:rPr>
                <w:rFonts w:hint="default" w:ascii="Times New Roman" w:hAnsi="Times New Roman" w:cs="Times New Roman"/>
                <w:color w:val="auto"/>
                <w:sz w:val="24"/>
                <w:szCs w:val="22"/>
              </w:rPr>
              <w:t>。</w:t>
            </w:r>
          </w:p>
          <w:p w14:paraId="6E94D6A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762FFFE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3E3F851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5B458CC0">
            <w:pPr>
              <w:spacing w:line="440" w:lineRule="exact"/>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2-9  </w:t>
            </w:r>
            <w:r>
              <w:rPr>
                <w:rFonts w:hint="default" w:ascii="Times New Roman" w:hAnsi="Times New Roman" w:cs="Times New Roman"/>
                <w:b/>
                <w:bCs/>
                <w:color w:val="auto"/>
                <w:sz w:val="24"/>
                <w:szCs w:val="22"/>
              </w:rPr>
              <w:t xml:space="preserve">  现有工程</w:t>
            </w:r>
            <w:r>
              <w:rPr>
                <w:rFonts w:hint="eastAsia" w:ascii="Times New Roman" w:hAnsi="Times New Roman" w:cs="Times New Roman"/>
                <w:b/>
                <w:bCs/>
                <w:color w:val="auto"/>
                <w:sz w:val="24"/>
                <w:szCs w:val="22"/>
                <w:lang w:val="en-US" w:eastAsia="zh-CN"/>
              </w:rPr>
              <w:t>污染物</w:t>
            </w:r>
            <w:r>
              <w:rPr>
                <w:rFonts w:hint="default" w:ascii="Times New Roman" w:hAnsi="Times New Roman" w:cs="Times New Roman"/>
                <w:b/>
                <w:bCs/>
                <w:color w:val="auto"/>
                <w:sz w:val="24"/>
                <w:szCs w:val="22"/>
              </w:rPr>
              <w:t>排放情况一览表</w:t>
            </w:r>
          </w:p>
          <w:tbl>
            <w:tblPr>
              <w:tblStyle w:val="3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44"/>
              <w:gridCol w:w="1868"/>
              <w:gridCol w:w="942"/>
              <w:gridCol w:w="792"/>
              <w:gridCol w:w="977"/>
              <w:gridCol w:w="1179"/>
              <w:gridCol w:w="2054"/>
              <w:gridCol w:w="473"/>
            </w:tblGrid>
            <w:tr w14:paraId="761A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noWrap w:val="0"/>
                  <w:vAlign w:val="center"/>
                </w:tcPr>
                <w:p w14:paraId="07CAB58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类型</w:t>
                  </w:r>
                </w:p>
              </w:tc>
              <w:tc>
                <w:tcPr>
                  <w:tcW w:w="1868" w:type="dxa"/>
                  <w:noWrap w:val="0"/>
                  <w:vAlign w:val="center"/>
                </w:tcPr>
                <w:p w14:paraId="6E543C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排污节点</w:t>
                  </w:r>
                </w:p>
              </w:tc>
              <w:tc>
                <w:tcPr>
                  <w:tcW w:w="942" w:type="dxa"/>
                  <w:noWrap w:val="0"/>
                  <w:vAlign w:val="center"/>
                </w:tcPr>
                <w:p w14:paraId="46B44AC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主要污染物</w:t>
                  </w:r>
                </w:p>
              </w:tc>
              <w:tc>
                <w:tcPr>
                  <w:tcW w:w="792" w:type="dxa"/>
                  <w:noWrap w:val="0"/>
                  <w:vAlign w:val="center"/>
                </w:tcPr>
                <w:p w14:paraId="20CAA87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排放浓度mg/m</w:t>
                  </w:r>
                  <w:r>
                    <w:rPr>
                      <w:rFonts w:hint="default" w:ascii="Times New Roman" w:hAnsi="Times New Roman" w:cs="Times New Roman"/>
                      <w:color w:val="auto"/>
                      <w:spacing w:val="-11"/>
                      <w:vertAlign w:val="superscript"/>
                    </w:rPr>
                    <w:t>3</w:t>
                  </w:r>
                </w:p>
              </w:tc>
              <w:tc>
                <w:tcPr>
                  <w:tcW w:w="977" w:type="dxa"/>
                  <w:noWrap w:val="0"/>
                  <w:vAlign w:val="center"/>
                </w:tcPr>
                <w:p w14:paraId="41F9D8C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排放速率kg/h</w:t>
                  </w:r>
                </w:p>
              </w:tc>
              <w:tc>
                <w:tcPr>
                  <w:tcW w:w="1179" w:type="dxa"/>
                  <w:noWrap w:val="0"/>
                  <w:vAlign w:val="center"/>
                </w:tcPr>
                <w:p w14:paraId="751F61B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标准浓度mg/m</w:t>
                  </w:r>
                  <w:r>
                    <w:rPr>
                      <w:rFonts w:hint="default" w:ascii="Times New Roman" w:hAnsi="Times New Roman" w:cs="Times New Roman"/>
                      <w:color w:val="auto"/>
                      <w:spacing w:val="-11"/>
                      <w:vertAlign w:val="superscript"/>
                    </w:rPr>
                    <w:t>3</w:t>
                  </w:r>
                </w:p>
              </w:tc>
              <w:tc>
                <w:tcPr>
                  <w:tcW w:w="2054" w:type="dxa"/>
                  <w:noWrap w:val="0"/>
                  <w:vAlign w:val="center"/>
                </w:tcPr>
                <w:p w14:paraId="32A9E56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治理措施</w:t>
                  </w:r>
                </w:p>
              </w:tc>
              <w:tc>
                <w:tcPr>
                  <w:tcW w:w="473" w:type="dxa"/>
                  <w:noWrap w:val="0"/>
                  <w:vAlign w:val="center"/>
                </w:tcPr>
                <w:p w14:paraId="521C3C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是否达标</w:t>
                  </w:r>
                </w:p>
              </w:tc>
            </w:tr>
            <w:tr w14:paraId="49B7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5A0FD1C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废气</w:t>
                  </w:r>
                </w:p>
              </w:tc>
              <w:tc>
                <w:tcPr>
                  <w:tcW w:w="1868" w:type="dxa"/>
                  <w:noWrap w:val="0"/>
                  <w:vAlign w:val="center"/>
                </w:tcPr>
                <w:p w14:paraId="4A12E0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spacing w:val="-11"/>
                    </w:rPr>
                    <w:t>东线原料转运及预处理(破碎、转运废气)</w:t>
                  </w:r>
                </w:p>
              </w:tc>
              <w:tc>
                <w:tcPr>
                  <w:tcW w:w="942" w:type="dxa"/>
                  <w:noWrap w:val="0"/>
                  <w:vAlign w:val="center"/>
                </w:tcPr>
                <w:p w14:paraId="4969E7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663842A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516C658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0.019</w:t>
                  </w:r>
                </w:p>
              </w:tc>
              <w:tc>
                <w:tcPr>
                  <w:tcW w:w="1179" w:type="dxa"/>
                  <w:noWrap w:val="0"/>
                  <w:vAlign w:val="center"/>
                </w:tcPr>
                <w:p w14:paraId="20847A7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492A4C5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color w:val="auto"/>
                      <w:spacing w:val="-11"/>
                      <w:sz w:val="21"/>
                      <w:szCs w:val="21"/>
                      <w:highlight w:val="none"/>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（DA047）</w:t>
                  </w:r>
                </w:p>
              </w:tc>
              <w:tc>
                <w:tcPr>
                  <w:tcW w:w="473" w:type="dxa"/>
                  <w:noWrap w:val="0"/>
                  <w:vAlign w:val="center"/>
                </w:tcPr>
                <w:p w14:paraId="452750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56D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496118E">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5AAB8A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西线原料转运及预处理(破碎、转运废气)</w:t>
                  </w:r>
                </w:p>
              </w:tc>
              <w:tc>
                <w:tcPr>
                  <w:tcW w:w="942" w:type="dxa"/>
                  <w:noWrap w:val="0"/>
                  <w:vAlign w:val="center"/>
                </w:tcPr>
                <w:p w14:paraId="121A1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61D54F7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noWrap w:val="0"/>
                  <w:vAlign w:val="center"/>
                </w:tcPr>
                <w:p w14:paraId="45B149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0.021</w:t>
                  </w:r>
                </w:p>
              </w:tc>
              <w:tc>
                <w:tcPr>
                  <w:tcW w:w="1179" w:type="dxa"/>
                  <w:noWrap w:val="0"/>
                  <w:vAlign w:val="center"/>
                </w:tcPr>
                <w:p w14:paraId="09E033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67DD306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color w:val="auto"/>
                      <w:spacing w:val="-11"/>
                      <w:sz w:val="21"/>
                      <w:szCs w:val="21"/>
                      <w:highlight w:val="none"/>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30</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（DA045）</w:t>
                  </w:r>
                </w:p>
              </w:tc>
              <w:tc>
                <w:tcPr>
                  <w:tcW w:w="473" w:type="dxa"/>
                  <w:noWrap w:val="0"/>
                  <w:vAlign w:val="center"/>
                </w:tcPr>
                <w:p w14:paraId="7C7EC10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257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3E67BB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C2F33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煅烧烟气</w:t>
                  </w:r>
                </w:p>
              </w:tc>
              <w:tc>
                <w:tcPr>
                  <w:tcW w:w="942" w:type="dxa"/>
                  <w:noWrap w:val="0"/>
                  <w:vAlign w:val="center"/>
                </w:tcPr>
                <w:p w14:paraId="491206D1">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颗粒物</w:t>
                  </w:r>
                </w:p>
              </w:tc>
              <w:tc>
                <w:tcPr>
                  <w:tcW w:w="792" w:type="dxa"/>
                  <w:noWrap w:val="0"/>
                  <w:vAlign w:val="center"/>
                </w:tcPr>
                <w:p w14:paraId="7A02356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1.4</w:t>
                  </w:r>
                </w:p>
              </w:tc>
              <w:tc>
                <w:tcPr>
                  <w:tcW w:w="977" w:type="dxa"/>
                  <w:noWrap w:val="0"/>
                  <w:vAlign w:val="center"/>
                </w:tcPr>
                <w:p w14:paraId="02DA21B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0.168</w:t>
                  </w:r>
                </w:p>
              </w:tc>
              <w:tc>
                <w:tcPr>
                  <w:tcW w:w="1179" w:type="dxa"/>
                  <w:noWrap w:val="0"/>
                  <w:vAlign w:val="center"/>
                </w:tcPr>
                <w:p w14:paraId="1C92C88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10mg/m</w:t>
                  </w:r>
                  <w:r>
                    <w:rPr>
                      <w:rFonts w:hint="default" w:ascii="Times New Roman" w:hAnsi="Times New Roman" w:cs="Times New Roman"/>
                      <w:color w:val="auto"/>
                      <w:spacing w:val="-11"/>
                      <w:highlight w:val="none"/>
                      <w:vertAlign w:val="superscript"/>
                    </w:rPr>
                    <w:t>3</w:t>
                  </w:r>
                </w:p>
              </w:tc>
              <w:tc>
                <w:tcPr>
                  <w:tcW w:w="2054" w:type="dxa"/>
                  <w:vMerge w:val="restart"/>
                  <w:noWrap w:val="0"/>
                  <w:vAlign w:val="center"/>
                </w:tcPr>
                <w:p w14:paraId="2849910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FF0000"/>
                      <w:lang w:val="en-US" w:eastAsia="zh-CN"/>
                    </w:rPr>
                    <w:t>排气筒（DA040）</w:t>
                  </w:r>
                </w:p>
              </w:tc>
              <w:tc>
                <w:tcPr>
                  <w:tcW w:w="473" w:type="dxa"/>
                  <w:vMerge w:val="restart"/>
                  <w:noWrap w:val="0"/>
                  <w:vAlign w:val="center"/>
                </w:tcPr>
                <w:p w14:paraId="26761F4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5F0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9E8B1A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32EE907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B124EE">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SO</w:t>
                  </w:r>
                  <w:r>
                    <w:rPr>
                      <w:rFonts w:hint="default" w:ascii="Times New Roman" w:hAnsi="Times New Roman" w:cs="Times New Roman"/>
                      <w:color w:val="auto"/>
                      <w:spacing w:val="-11"/>
                      <w:highlight w:val="none"/>
                      <w:vertAlign w:val="subscript"/>
                    </w:rPr>
                    <w:t>2</w:t>
                  </w:r>
                </w:p>
              </w:tc>
              <w:tc>
                <w:tcPr>
                  <w:tcW w:w="792" w:type="dxa"/>
                  <w:noWrap w:val="0"/>
                  <w:vAlign w:val="center"/>
                </w:tcPr>
                <w:p w14:paraId="201BB0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6</w:t>
                  </w:r>
                </w:p>
              </w:tc>
              <w:tc>
                <w:tcPr>
                  <w:tcW w:w="977" w:type="dxa"/>
                  <w:noWrap w:val="0"/>
                  <w:vAlign w:val="center"/>
                </w:tcPr>
                <w:p w14:paraId="66882C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0.72</w:t>
                  </w:r>
                </w:p>
              </w:tc>
              <w:tc>
                <w:tcPr>
                  <w:tcW w:w="1179" w:type="dxa"/>
                  <w:noWrap w:val="0"/>
                  <w:vAlign w:val="center"/>
                </w:tcPr>
                <w:p w14:paraId="034F05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100mg/m</w:t>
                  </w:r>
                  <w:r>
                    <w:rPr>
                      <w:rFonts w:hint="default" w:ascii="Times New Roman" w:hAnsi="Times New Roman" w:cs="Times New Roman"/>
                      <w:color w:val="auto"/>
                      <w:spacing w:val="-11"/>
                      <w:highlight w:val="none"/>
                      <w:vertAlign w:val="superscript"/>
                    </w:rPr>
                    <w:t>3</w:t>
                  </w:r>
                </w:p>
              </w:tc>
              <w:tc>
                <w:tcPr>
                  <w:tcW w:w="2054" w:type="dxa"/>
                  <w:vMerge w:val="continue"/>
                  <w:noWrap w:val="0"/>
                  <w:vAlign w:val="center"/>
                </w:tcPr>
                <w:p w14:paraId="2E0CF6E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106AA1E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552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1B15AC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7B0FDD8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1CBD5997">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NO</w:t>
                  </w:r>
                  <w:r>
                    <w:rPr>
                      <w:rFonts w:hint="default" w:ascii="Times New Roman" w:hAnsi="Times New Roman" w:cs="Times New Roman"/>
                      <w:color w:val="auto"/>
                      <w:spacing w:val="-11"/>
                      <w:highlight w:val="none"/>
                      <w:vertAlign w:val="subscript"/>
                    </w:rPr>
                    <w:t>2</w:t>
                  </w:r>
                </w:p>
              </w:tc>
              <w:tc>
                <w:tcPr>
                  <w:tcW w:w="792" w:type="dxa"/>
                  <w:noWrap w:val="0"/>
                  <w:vAlign w:val="center"/>
                </w:tcPr>
                <w:p w14:paraId="53E460F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22</w:t>
                  </w:r>
                </w:p>
              </w:tc>
              <w:tc>
                <w:tcPr>
                  <w:tcW w:w="977" w:type="dxa"/>
                  <w:noWrap w:val="0"/>
                  <w:vAlign w:val="center"/>
                </w:tcPr>
                <w:p w14:paraId="115110E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2.64</w:t>
                  </w:r>
                </w:p>
              </w:tc>
              <w:tc>
                <w:tcPr>
                  <w:tcW w:w="1179" w:type="dxa"/>
                  <w:noWrap w:val="0"/>
                  <w:vAlign w:val="center"/>
                </w:tcPr>
                <w:p w14:paraId="670AF7C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100mg/m</w:t>
                  </w:r>
                  <w:r>
                    <w:rPr>
                      <w:rFonts w:hint="default" w:ascii="Times New Roman" w:hAnsi="Times New Roman" w:cs="Times New Roman"/>
                      <w:color w:val="auto"/>
                      <w:spacing w:val="-11"/>
                      <w:highlight w:val="none"/>
                      <w:vertAlign w:val="superscript"/>
                    </w:rPr>
                    <w:t>3</w:t>
                  </w:r>
                </w:p>
              </w:tc>
              <w:tc>
                <w:tcPr>
                  <w:tcW w:w="2054" w:type="dxa"/>
                  <w:vMerge w:val="continue"/>
                  <w:noWrap w:val="0"/>
                  <w:vAlign w:val="center"/>
                </w:tcPr>
                <w:p w14:paraId="265E367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21E7DC7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5ED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7F9982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DE1F13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4540D995">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氨</w:t>
                  </w:r>
                </w:p>
              </w:tc>
              <w:tc>
                <w:tcPr>
                  <w:tcW w:w="792" w:type="dxa"/>
                  <w:noWrap w:val="0"/>
                  <w:vAlign w:val="center"/>
                </w:tcPr>
                <w:p w14:paraId="474DF5A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0.45</w:t>
                  </w:r>
                </w:p>
              </w:tc>
              <w:tc>
                <w:tcPr>
                  <w:tcW w:w="977" w:type="dxa"/>
                  <w:noWrap w:val="0"/>
                  <w:vAlign w:val="center"/>
                </w:tcPr>
                <w:p w14:paraId="2684543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0.054</w:t>
                  </w:r>
                </w:p>
              </w:tc>
              <w:tc>
                <w:tcPr>
                  <w:tcW w:w="1179" w:type="dxa"/>
                  <w:noWrap w:val="0"/>
                  <w:vAlign w:val="center"/>
                </w:tcPr>
                <w:p w14:paraId="7020566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75kg/h</w:t>
                  </w:r>
                </w:p>
              </w:tc>
              <w:tc>
                <w:tcPr>
                  <w:tcW w:w="2054" w:type="dxa"/>
                  <w:vMerge w:val="continue"/>
                  <w:noWrap w:val="0"/>
                  <w:vAlign w:val="center"/>
                </w:tcPr>
                <w:p w14:paraId="6CA917F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3DF68D1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DB4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F3BEB8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AF3B42">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r>
                    <w:rPr>
                      <w:rFonts w:hint="default" w:ascii="Times New Roman" w:hAnsi="Times New Roman" w:cs="Times New Roman"/>
                      <w:color w:val="auto"/>
                      <w:spacing w:val="-11"/>
                    </w:rPr>
                    <w:t>焙烧烟气</w:t>
                  </w:r>
                </w:p>
              </w:tc>
              <w:tc>
                <w:tcPr>
                  <w:tcW w:w="942" w:type="dxa"/>
                  <w:noWrap w:val="0"/>
                  <w:vAlign w:val="center"/>
                </w:tcPr>
                <w:p w14:paraId="51697C2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8EDAFE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3.1</w:t>
                  </w:r>
                </w:p>
              </w:tc>
              <w:tc>
                <w:tcPr>
                  <w:tcW w:w="977" w:type="dxa"/>
                  <w:noWrap w:val="0"/>
                  <w:vAlign w:val="center"/>
                </w:tcPr>
                <w:p w14:paraId="4D9940C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0.31</w:t>
                  </w:r>
                </w:p>
              </w:tc>
              <w:tc>
                <w:tcPr>
                  <w:tcW w:w="1179" w:type="dxa"/>
                  <w:noWrap w:val="0"/>
                  <w:vAlign w:val="center"/>
                </w:tcPr>
                <w:p w14:paraId="2CD4CAC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06B975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cs="Times New Roman"/>
                      <w:color w:val="auto"/>
                      <w:lang w:val="en-US" w:eastAsia="zh-CN"/>
                    </w:rPr>
                    <w:t>低氮燃烧+SNCR尿素脱硝+</w:t>
                  </w:r>
                  <w:r>
                    <w:rPr>
                      <w:rFonts w:hint="default" w:ascii="Times New Roman" w:hAnsi="Times New Roman" w:cs="Times New Roman"/>
                      <w:color w:val="auto"/>
                    </w:rPr>
                    <w:t>喷淋+电捕焦油器+石灰-石膏法脱硫+湿式电除尘+</w:t>
                  </w:r>
                  <w:r>
                    <w:rPr>
                      <w:rFonts w:hint="eastAsia" w:cs="Times New Roman"/>
                      <w:color w:val="auto"/>
                      <w:lang w:val="en-US" w:eastAsia="zh-CN"/>
                    </w:rPr>
                    <w:t>除湿</w:t>
                  </w:r>
                  <w:r>
                    <w:rPr>
                      <w:rFonts w:hint="default" w:ascii="Times New Roman" w:hAnsi="Times New Roman" w:cs="Times New Roman"/>
                      <w:color w:val="auto"/>
                    </w:rPr>
                    <w:t>脱白+70m</w:t>
                  </w:r>
                  <w:r>
                    <w:rPr>
                      <w:rFonts w:hint="eastAsia" w:cs="Times New Roman"/>
                      <w:color w:val="FF0000"/>
                      <w:lang w:val="en-US" w:eastAsia="zh-CN"/>
                    </w:rPr>
                    <w:t>排气筒（DA057）</w:t>
                  </w:r>
                </w:p>
              </w:tc>
              <w:tc>
                <w:tcPr>
                  <w:tcW w:w="473" w:type="dxa"/>
                  <w:vMerge w:val="restart"/>
                  <w:noWrap w:val="0"/>
                  <w:vAlign w:val="center"/>
                </w:tcPr>
                <w:p w14:paraId="000CA8B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36C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5" w:hRule="atLeast"/>
                <w:jc w:val="center"/>
              </w:trPr>
              <w:tc>
                <w:tcPr>
                  <w:tcW w:w="244" w:type="dxa"/>
                  <w:vMerge w:val="continue"/>
                  <w:noWrap w:val="0"/>
                  <w:vAlign w:val="center"/>
                </w:tcPr>
                <w:p w14:paraId="5B796D0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1692B5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65264A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SO</w:t>
                  </w:r>
                  <w:r>
                    <w:rPr>
                      <w:rFonts w:hint="default" w:ascii="Times New Roman" w:hAnsi="Times New Roman" w:cs="Times New Roman"/>
                      <w:color w:val="auto"/>
                      <w:spacing w:val="-11"/>
                      <w:vertAlign w:val="subscript"/>
                    </w:rPr>
                    <w:t>2</w:t>
                  </w:r>
                </w:p>
              </w:tc>
              <w:tc>
                <w:tcPr>
                  <w:tcW w:w="792" w:type="dxa"/>
                  <w:noWrap w:val="0"/>
                  <w:vAlign w:val="center"/>
                </w:tcPr>
                <w:p w14:paraId="189CACA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8</w:t>
                  </w:r>
                </w:p>
              </w:tc>
              <w:tc>
                <w:tcPr>
                  <w:tcW w:w="977" w:type="dxa"/>
                  <w:noWrap w:val="0"/>
                  <w:vAlign w:val="center"/>
                </w:tcPr>
                <w:p w14:paraId="62D96F6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0.8</w:t>
                  </w:r>
                </w:p>
              </w:tc>
              <w:tc>
                <w:tcPr>
                  <w:tcW w:w="1179" w:type="dxa"/>
                  <w:noWrap w:val="0"/>
                  <w:vAlign w:val="center"/>
                </w:tcPr>
                <w:p w14:paraId="3484B98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4BDBCA9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010C14C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6CFC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875348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ACE078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6B902B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NO</w:t>
                  </w:r>
                  <w:r>
                    <w:rPr>
                      <w:rFonts w:hint="default" w:ascii="Times New Roman" w:hAnsi="Times New Roman" w:cs="Times New Roman"/>
                      <w:color w:val="auto"/>
                      <w:spacing w:val="-11"/>
                      <w:vertAlign w:val="subscript"/>
                    </w:rPr>
                    <w:t>2</w:t>
                  </w:r>
                </w:p>
              </w:tc>
              <w:tc>
                <w:tcPr>
                  <w:tcW w:w="792" w:type="dxa"/>
                  <w:noWrap w:val="0"/>
                  <w:vAlign w:val="center"/>
                </w:tcPr>
                <w:p w14:paraId="782B217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20</w:t>
                  </w:r>
                </w:p>
              </w:tc>
              <w:tc>
                <w:tcPr>
                  <w:tcW w:w="977" w:type="dxa"/>
                  <w:noWrap w:val="0"/>
                  <w:vAlign w:val="center"/>
                </w:tcPr>
                <w:p w14:paraId="0DE7E1C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2.0</w:t>
                  </w:r>
                </w:p>
              </w:tc>
              <w:tc>
                <w:tcPr>
                  <w:tcW w:w="1179" w:type="dxa"/>
                  <w:noWrap w:val="0"/>
                  <w:vAlign w:val="center"/>
                </w:tcPr>
                <w:p w14:paraId="0AA16B4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73D1111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67D9A6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AF7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DCB7E9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51309B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462CF20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氨</w:t>
                  </w:r>
                </w:p>
              </w:tc>
              <w:tc>
                <w:tcPr>
                  <w:tcW w:w="792" w:type="dxa"/>
                  <w:noWrap w:val="0"/>
                  <w:vAlign w:val="center"/>
                </w:tcPr>
                <w:p w14:paraId="5755DC8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kern w:val="2"/>
                      <w:sz w:val="21"/>
                      <w:szCs w:val="24"/>
                      <w:lang w:val="en-US" w:eastAsia="zh-CN" w:bidi="ar-SA"/>
                    </w:rPr>
                    <w:t>1.58</w:t>
                  </w:r>
                </w:p>
              </w:tc>
              <w:tc>
                <w:tcPr>
                  <w:tcW w:w="977" w:type="dxa"/>
                  <w:noWrap w:val="0"/>
                  <w:vAlign w:val="center"/>
                </w:tcPr>
                <w:p w14:paraId="795B4E1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kern w:val="2"/>
                      <w:sz w:val="21"/>
                      <w:szCs w:val="24"/>
                      <w:lang w:val="en-US" w:eastAsia="zh-CN" w:bidi="ar-SA"/>
                    </w:rPr>
                    <w:t>0.158</w:t>
                  </w:r>
                </w:p>
              </w:tc>
              <w:tc>
                <w:tcPr>
                  <w:tcW w:w="1179" w:type="dxa"/>
                  <w:noWrap w:val="0"/>
                  <w:vAlign w:val="center"/>
                </w:tcPr>
                <w:p w14:paraId="42040FA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75kg/h</w:t>
                  </w:r>
                </w:p>
              </w:tc>
              <w:tc>
                <w:tcPr>
                  <w:tcW w:w="2054" w:type="dxa"/>
                  <w:vMerge w:val="continue"/>
                  <w:noWrap w:val="0"/>
                  <w:vAlign w:val="center"/>
                </w:tcPr>
                <w:p w14:paraId="1EE5327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19E87A9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045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0" w:hRule="atLeast"/>
                <w:jc w:val="center"/>
              </w:trPr>
              <w:tc>
                <w:tcPr>
                  <w:tcW w:w="244" w:type="dxa"/>
                  <w:vMerge w:val="continue"/>
                  <w:noWrap w:val="0"/>
                  <w:vAlign w:val="center"/>
                </w:tcPr>
                <w:p w14:paraId="4C24CFAB">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08D5903">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57A979A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氟化物</w:t>
                  </w:r>
                </w:p>
              </w:tc>
              <w:tc>
                <w:tcPr>
                  <w:tcW w:w="792" w:type="dxa"/>
                  <w:noWrap w:val="0"/>
                  <w:vAlign w:val="center"/>
                </w:tcPr>
                <w:p w14:paraId="24C079C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0.78</w:t>
                  </w:r>
                </w:p>
              </w:tc>
              <w:tc>
                <w:tcPr>
                  <w:tcW w:w="977" w:type="dxa"/>
                  <w:noWrap w:val="0"/>
                  <w:vAlign w:val="center"/>
                </w:tcPr>
                <w:p w14:paraId="6E6439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0.96</w:t>
                  </w:r>
                </w:p>
              </w:tc>
              <w:tc>
                <w:tcPr>
                  <w:tcW w:w="1179" w:type="dxa"/>
                  <w:noWrap w:val="0"/>
                  <w:vAlign w:val="center"/>
                </w:tcPr>
                <w:p w14:paraId="7E1FE0C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3.0</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70AC8B3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7EA580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7C0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2B06F3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F1F21F9">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3991C7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沥青烟</w:t>
                  </w:r>
                </w:p>
              </w:tc>
              <w:tc>
                <w:tcPr>
                  <w:tcW w:w="792" w:type="dxa"/>
                  <w:noWrap w:val="0"/>
                  <w:vAlign w:val="center"/>
                </w:tcPr>
                <w:p w14:paraId="0813AD2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3.9</w:t>
                  </w:r>
                </w:p>
              </w:tc>
              <w:tc>
                <w:tcPr>
                  <w:tcW w:w="977" w:type="dxa"/>
                  <w:noWrap w:val="0"/>
                  <w:vAlign w:val="center"/>
                </w:tcPr>
                <w:p w14:paraId="25DB76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0.409</w:t>
                  </w:r>
                </w:p>
              </w:tc>
              <w:tc>
                <w:tcPr>
                  <w:tcW w:w="1179" w:type="dxa"/>
                  <w:noWrap w:val="0"/>
                  <w:vAlign w:val="center"/>
                </w:tcPr>
                <w:p w14:paraId="6745F81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20mg/m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6258EE3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34C201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4BCE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CC008D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2D7B7A6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36322D2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苯并[a]芘</w:t>
                  </w:r>
                </w:p>
              </w:tc>
              <w:tc>
                <w:tcPr>
                  <w:tcW w:w="792" w:type="dxa"/>
                  <w:noWrap w:val="0"/>
                  <w:vAlign w:val="center"/>
                </w:tcPr>
                <w:p w14:paraId="6152C2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0.000061</w:t>
                  </w:r>
                </w:p>
              </w:tc>
              <w:tc>
                <w:tcPr>
                  <w:tcW w:w="977" w:type="dxa"/>
                  <w:noWrap w:val="0"/>
                  <w:vAlign w:val="center"/>
                </w:tcPr>
                <w:p w14:paraId="4CEF2EA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0.00000694</w:t>
                  </w:r>
                </w:p>
              </w:tc>
              <w:tc>
                <w:tcPr>
                  <w:tcW w:w="1179" w:type="dxa"/>
                  <w:noWrap w:val="0"/>
                  <w:vAlign w:val="center"/>
                </w:tcPr>
                <w:p w14:paraId="68FC770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0.001</w:t>
                  </w:r>
                  <w:r>
                    <w:rPr>
                      <w:rFonts w:hint="eastAsia" w:ascii="Times New Roman" w:hAnsi="Times New Roman" w:cs="Times New Roman"/>
                      <w:color w:val="auto"/>
                      <w:spacing w:val="-11"/>
                      <w:lang w:val="en-US" w:eastAsia="zh-CN"/>
                    </w:rPr>
                    <w:t>5</w:t>
                  </w:r>
                  <w:r>
                    <w:rPr>
                      <w:rFonts w:hint="default" w:ascii="Times New Roman" w:hAnsi="Times New Roman" w:cs="Times New Roman"/>
                      <w:color w:val="auto"/>
                      <w:spacing w:val="-11"/>
                    </w:rPr>
                    <w:t>kg/h；0.0003mg/m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1689062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31C80AA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5FF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E5D24E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9F2B9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一车间焙烧辅助工序废气</w:t>
                  </w:r>
                </w:p>
              </w:tc>
              <w:tc>
                <w:tcPr>
                  <w:tcW w:w="942" w:type="dxa"/>
                  <w:noWrap w:val="0"/>
                  <w:vAlign w:val="center"/>
                </w:tcPr>
                <w:p w14:paraId="1C50AD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69AF39A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31CDBE5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0.00523</w:t>
                  </w:r>
                </w:p>
              </w:tc>
              <w:tc>
                <w:tcPr>
                  <w:tcW w:w="1179" w:type="dxa"/>
                  <w:noWrap w:val="0"/>
                  <w:vAlign w:val="center"/>
                </w:tcPr>
                <w:p w14:paraId="60FA9B3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5F98D0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（DA059）</w:t>
                  </w:r>
                </w:p>
              </w:tc>
              <w:tc>
                <w:tcPr>
                  <w:tcW w:w="473" w:type="dxa"/>
                  <w:noWrap w:val="0"/>
                  <w:vAlign w:val="center"/>
                </w:tcPr>
                <w:p w14:paraId="639E07D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是</w:t>
                  </w:r>
                </w:p>
              </w:tc>
            </w:tr>
            <w:tr w14:paraId="4A20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1AB937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3CCF3A">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二车间焙烧辅助工序废气</w:t>
                  </w:r>
                </w:p>
              </w:tc>
              <w:tc>
                <w:tcPr>
                  <w:tcW w:w="942" w:type="dxa"/>
                  <w:noWrap w:val="0"/>
                  <w:vAlign w:val="center"/>
                </w:tcPr>
                <w:p w14:paraId="2CCB84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8C5FBD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noWrap w:val="0"/>
                  <w:vAlign w:val="center"/>
                </w:tcPr>
                <w:p w14:paraId="1154781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0.00646</w:t>
                  </w:r>
                </w:p>
              </w:tc>
              <w:tc>
                <w:tcPr>
                  <w:tcW w:w="1179" w:type="dxa"/>
                  <w:noWrap w:val="0"/>
                  <w:vAlign w:val="center"/>
                </w:tcPr>
                <w:p w14:paraId="670095C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12B7805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（DA058）</w:t>
                  </w:r>
                </w:p>
              </w:tc>
              <w:tc>
                <w:tcPr>
                  <w:tcW w:w="473" w:type="dxa"/>
                  <w:noWrap w:val="0"/>
                  <w:vAlign w:val="center"/>
                </w:tcPr>
                <w:p w14:paraId="18391E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是</w:t>
                  </w:r>
                </w:p>
              </w:tc>
            </w:tr>
            <w:tr w14:paraId="16FA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DFC098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23AC9E5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eastAsia" w:ascii="Arial" w:hAnsi="Arial" w:eastAsia="宋体" w:cs="Arial"/>
                      <w:i w:val="0"/>
                      <w:iCs w:val="0"/>
                      <w:caps w:val="0"/>
                      <w:color w:val="auto"/>
                      <w:spacing w:val="-11"/>
                      <w:sz w:val="21"/>
                      <w:szCs w:val="21"/>
                      <w:shd w:val="clear" w:color="auto" w:fill="FFFFFF"/>
                      <w:lang w:val="en-US" w:eastAsia="zh-CN"/>
                    </w:rPr>
                    <w:t>东</w:t>
                  </w:r>
                  <w:r>
                    <w:rPr>
                      <w:rFonts w:ascii="Arial" w:hAnsi="Arial" w:eastAsia="宋体" w:cs="Arial"/>
                      <w:i w:val="0"/>
                      <w:iCs w:val="0"/>
                      <w:caps w:val="0"/>
                      <w:color w:val="auto"/>
                      <w:spacing w:val="-11"/>
                      <w:sz w:val="21"/>
                      <w:szCs w:val="21"/>
                      <w:shd w:val="clear" w:color="auto" w:fill="FFFFFF"/>
                    </w:rPr>
                    <w:t>线原料转运及预处理（排风废气）排气筒</w:t>
                  </w:r>
                </w:p>
              </w:tc>
              <w:tc>
                <w:tcPr>
                  <w:tcW w:w="942" w:type="dxa"/>
                  <w:noWrap w:val="0"/>
                  <w:vAlign w:val="center"/>
                </w:tcPr>
                <w:p w14:paraId="0B3013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751FC3E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1A07FB7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0.026</w:t>
                  </w:r>
                </w:p>
              </w:tc>
              <w:tc>
                <w:tcPr>
                  <w:tcW w:w="1179" w:type="dxa"/>
                  <w:noWrap w:val="0"/>
                  <w:vAlign w:val="center"/>
                </w:tcPr>
                <w:p w14:paraId="039607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vertAlign w:val="superscript"/>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57B2D29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eastAsia="zh-CN"/>
                    </w:rPr>
                    <w:t>布袋除尘器</w:t>
                  </w:r>
                  <w:r>
                    <w:rPr>
                      <w:rFonts w:hint="eastAsia" w:cs="Times New Roman"/>
                      <w:color w:val="auto"/>
                      <w:spacing w:val="-11"/>
                      <w:lang w:val="en-US" w:eastAsia="zh-CN"/>
                    </w:rPr>
                    <w:t>+</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（DA049）</w:t>
                  </w:r>
                </w:p>
              </w:tc>
              <w:tc>
                <w:tcPr>
                  <w:tcW w:w="473" w:type="dxa"/>
                  <w:noWrap w:val="0"/>
                  <w:vAlign w:val="center"/>
                </w:tcPr>
                <w:p w14:paraId="20C60EC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B71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508785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196F3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西线原料转运及预处理（排风废气）排气筒</w:t>
                  </w:r>
                </w:p>
              </w:tc>
              <w:tc>
                <w:tcPr>
                  <w:tcW w:w="942" w:type="dxa"/>
                  <w:noWrap w:val="0"/>
                  <w:vAlign w:val="center"/>
                </w:tcPr>
                <w:p w14:paraId="6D26B9B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7E0BB1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105627D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0.024</w:t>
                  </w:r>
                </w:p>
              </w:tc>
              <w:tc>
                <w:tcPr>
                  <w:tcW w:w="1179" w:type="dxa"/>
                  <w:noWrap w:val="0"/>
                  <w:vAlign w:val="center"/>
                </w:tcPr>
                <w:p w14:paraId="2AE0572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878BFC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（DA053）</w:t>
                  </w:r>
                </w:p>
              </w:tc>
              <w:tc>
                <w:tcPr>
                  <w:tcW w:w="473" w:type="dxa"/>
                  <w:noWrap w:val="0"/>
                  <w:vAlign w:val="center"/>
                </w:tcPr>
                <w:p w14:paraId="1CACF6C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F80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A01904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4E3E102">
                  <w:pPr>
                    <w:keepNext w:val="0"/>
                    <w:keepLines w:val="0"/>
                    <w:pageBreakBefore w:val="0"/>
                    <w:kinsoku/>
                    <w:wordWrap/>
                    <w:overflowPunct/>
                    <w:topLinePunct w:val="0"/>
                    <w:autoSpaceDE/>
                    <w:autoSpaceDN/>
                    <w:bidi w:val="0"/>
                    <w:spacing w:line="240" w:lineRule="auto"/>
                    <w:jc w:val="center"/>
                    <w:rPr>
                      <w:rFonts w:hint="eastAsia"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东线制糊成型</w:t>
                  </w:r>
                  <w:r>
                    <w:rPr>
                      <w:rFonts w:hint="eastAsia" w:ascii="Arial" w:hAnsi="Arial" w:eastAsia="宋体" w:cs="Arial"/>
                      <w:i w:val="0"/>
                      <w:iCs w:val="0"/>
                      <w:caps w:val="0"/>
                      <w:color w:val="auto"/>
                      <w:spacing w:val="-11"/>
                      <w:sz w:val="21"/>
                      <w:szCs w:val="21"/>
                      <w:shd w:val="clear" w:color="auto" w:fill="FFFFFF"/>
                      <w:lang w:val="en-US" w:eastAsia="zh-CN"/>
                    </w:rPr>
                    <w:t>废气</w:t>
                  </w:r>
                </w:p>
              </w:tc>
              <w:tc>
                <w:tcPr>
                  <w:tcW w:w="942" w:type="dxa"/>
                  <w:vMerge w:val="restart"/>
                  <w:noWrap w:val="0"/>
                  <w:vAlign w:val="center"/>
                </w:tcPr>
                <w:p w14:paraId="22208D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vMerge w:val="restart"/>
                  <w:noWrap w:val="0"/>
                  <w:vAlign w:val="center"/>
                </w:tcPr>
                <w:p w14:paraId="694803A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vMerge w:val="restart"/>
                  <w:noWrap w:val="0"/>
                  <w:vAlign w:val="center"/>
                </w:tcPr>
                <w:p w14:paraId="1C25D17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0.012</w:t>
                  </w:r>
                </w:p>
              </w:tc>
              <w:tc>
                <w:tcPr>
                  <w:tcW w:w="1179" w:type="dxa"/>
                  <w:vMerge w:val="restart"/>
                  <w:noWrap w:val="0"/>
                  <w:vAlign w:val="center"/>
                </w:tcPr>
                <w:p w14:paraId="7ADA60A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vertAlign w:val="superscript"/>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7FEAA2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val="en-US" w:eastAsia="zh-CN"/>
                    </w:rPr>
                    <w:t>布袋除尘器</w:t>
                  </w:r>
                  <w:r>
                    <w:rPr>
                      <w:rFonts w:hint="eastAsia" w:cs="Times New Roman"/>
                      <w:color w:val="auto"/>
                      <w:spacing w:val="-11"/>
                      <w:lang w:val="en-US" w:eastAsia="zh-CN"/>
                    </w:rPr>
                    <w:t>+</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（DA044）</w:t>
                  </w:r>
                </w:p>
              </w:tc>
              <w:tc>
                <w:tcPr>
                  <w:tcW w:w="473" w:type="dxa"/>
                  <w:vMerge w:val="restart"/>
                  <w:noWrap w:val="0"/>
                  <w:vAlign w:val="center"/>
                </w:tcPr>
                <w:p w14:paraId="119E099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18B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579127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44903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东线煅后料储运废气</w:t>
                  </w:r>
                </w:p>
              </w:tc>
              <w:tc>
                <w:tcPr>
                  <w:tcW w:w="942" w:type="dxa"/>
                  <w:vMerge w:val="continue"/>
                  <w:noWrap w:val="0"/>
                  <w:vAlign w:val="center"/>
                </w:tcPr>
                <w:p w14:paraId="2EC7158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792" w:type="dxa"/>
                  <w:vMerge w:val="continue"/>
                  <w:noWrap w:val="0"/>
                  <w:vAlign w:val="center"/>
                </w:tcPr>
                <w:p w14:paraId="1F2A0B3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977" w:type="dxa"/>
                  <w:vMerge w:val="continue"/>
                  <w:noWrap w:val="0"/>
                  <w:vAlign w:val="center"/>
                </w:tcPr>
                <w:p w14:paraId="6DAFD32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1179" w:type="dxa"/>
                  <w:vMerge w:val="continue"/>
                  <w:noWrap w:val="0"/>
                  <w:vAlign w:val="center"/>
                </w:tcPr>
                <w:p w14:paraId="172530D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2054" w:type="dxa"/>
                  <w:vMerge w:val="continue"/>
                  <w:noWrap w:val="0"/>
                  <w:vAlign w:val="center"/>
                </w:tcPr>
                <w:p w14:paraId="282CEF5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1ABE86E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D3F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C8318F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5C3683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西线煅后料储运废气</w:t>
                  </w:r>
                </w:p>
              </w:tc>
              <w:tc>
                <w:tcPr>
                  <w:tcW w:w="942" w:type="dxa"/>
                  <w:noWrap w:val="0"/>
                  <w:vAlign w:val="center"/>
                </w:tcPr>
                <w:p w14:paraId="561B359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1A491C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noWrap w:val="0"/>
                  <w:vAlign w:val="center"/>
                </w:tcPr>
                <w:p w14:paraId="4D77D2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0.011</w:t>
                  </w:r>
                </w:p>
              </w:tc>
              <w:tc>
                <w:tcPr>
                  <w:tcW w:w="1179" w:type="dxa"/>
                  <w:noWrap w:val="0"/>
                  <w:vAlign w:val="center"/>
                </w:tcPr>
                <w:p w14:paraId="1DAD8A2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621ED1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覆膜滤料布袋除尘器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（DA046）</w:t>
                  </w:r>
                </w:p>
              </w:tc>
              <w:tc>
                <w:tcPr>
                  <w:tcW w:w="473" w:type="dxa"/>
                  <w:noWrap w:val="0"/>
                  <w:vAlign w:val="center"/>
                </w:tcPr>
                <w:p w14:paraId="0190F32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9F1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871B2F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0BB20D7">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东线中碎筛分废气</w:t>
                  </w:r>
                </w:p>
              </w:tc>
              <w:tc>
                <w:tcPr>
                  <w:tcW w:w="942" w:type="dxa"/>
                  <w:noWrap w:val="0"/>
                  <w:vAlign w:val="center"/>
                </w:tcPr>
                <w:p w14:paraId="5DE14D2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7CC4B48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5A8F720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0.0078</w:t>
                  </w:r>
                </w:p>
              </w:tc>
              <w:tc>
                <w:tcPr>
                  <w:tcW w:w="1179" w:type="dxa"/>
                  <w:noWrap w:val="0"/>
                  <w:vAlign w:val="center"/>
                </w:tcPr>
                <w:p w14:paraId="6AE0614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30D6EF1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（DA041）</w:t>
                  </w:r>
                </w:p>
              </w:tc>
              <w:tc>
                <w:tcPr>
                  <w:tcW w:w="473" w:type="dxa"/>
                  <w:noWrap w:val="0"/>
                  <w:vAlign w:val="center"/>
                </w:tcPr>
                <w:p w14:paraId="2D4F783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D06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19FE6A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1218B3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西线中碎筛分废气</w:t>
                  </w:r>
                </w:p>
              </w:tc>
              <w:tc>
                <w:tcPr>
                  <w:tcW w:w="942" w:type="dxa"/>
                  <w:noWrap w:val="0"/>
                  <w:vAlign w:val="center"/>
                </w:tcPr>
                <w:p w14:paraId="3C0AC7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42D34CB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1.6</w:t>
                  </w:r>
                </w:p>
              </w:tc>
              <w:tc>
                <w:tcPr>
                  <w:tcW w:w="977" w:type="dxa"/>
                  <w:noWrap w:val="0"/>
                  <w:vAlign w:val="center"/>
                </w:tcPr>
                <w:p w14:paraId="49FDA08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0.00749</w:t>
                  </w:r>
                </w:p>
              </w:tc>
              <w:tc>
                <w:tcPr>
                  <w:tcW w:w="1179" w:type="dxa"/>
                  <w:noWrap w:val="0"/>
                  <w:vAlign w:val="center"/>
                </w:tcPr>
                <w:p w14:paraId="506529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6DC95E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（DA043）</w:t>
                  </w:r>
                </w:p>
              </w:tc>
              <w:tc>
                <w:tcPr>
                  <w:tcW w:w="473" w:type="dxa"/>
                  <w:noWrap w:val="0"/>
                  <w:vAlign w:val="center"/>
                </w:tcPr>
                <w:p w14:paraId="5C6D9A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6DF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EE86F0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0E57FC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返回料输送、返回料破碎、东线制粉、配料废气</w:t>
                  </w:r>
                </w:p>
              </w:tc>
              <w:tc>
                <w:tcPr>
                  <w:tcW w:w="942" w:type="dxa"/>
                  <w:noWrap w:val="0"/>
                  <w:vAlign w:val="center"/>
                </w:tcPr>
                <w:p w14:paraId="5FB2C4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04453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4A357F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0.012</w:t>
                  </w:r>
                </w:p>
              </w:tc>
              <w:tc>
                <w:tcPr>
                  <w:tcW w:w="1179" w:type="dxa"/>
                  <w:noWrap w:val="0"/>
                  <w:vAlign w:val="center"/>
                </w:tcPr>
                <w:p w14:paraId="1B9281A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0F2985F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（DA048）</w:t>
                  </w:r>
                </w:p>
              </w:tc>
              <w:tc>
                <w:tcPr>
                  <w:tcW w:w="473" w:type="dxa"/>
                  <w:noWrap w:val="0"/>
                  <w:vAlign w:val="center"/>
                </w:tcPr>
                <w:p w14:paraId="149703D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85C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402900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11B133B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r>
                    <w:rPr>
                      <w:rFonts w:ascii="Arial" w:hAnsi="Arial" w:eastAsia="宋体" w:cs="Arial"/>
                      <w:i w:val="0"/>
                      <w:iCs w:val="0"/>
                      <w:caps w:val="0"/>
                      <w:color w:val="auto"/>
                      <w:spacing w:val="-11"/>
                      <w:sz w:val="21"/>
                      <w:szCs w:val="21"/>
                      <w:shd w:val="clear" w:color="auto" w:fill="FFFFFF"/>
                    </w:rPr>
                    <w:t>西线</w:t>
                  </w:r>
                  <w:r>
                    <w:rPr>
                      <w:rFonts w:hint="eastAsia" w:ascii="Arial" w:hAnsi="Arial" w:eastAsia="宋体" w:cs="Arial"/>
                      <w:i w:val="0"/>
                      <w:iCs w:val="0"/>
                      <w:caps w:val="0"/>
                      <w:color w:val="auto"/>
                      <w:spacing w:val="-11"/>
                      <w:sz w:val="21"/>
                      <w:szCs w:val="21"/>
                      <w:shd w:val="clear" w:color="auto" w:fill="FFFFFF"/>
                      <w:lang w:val="en-US" w:eastAsia="zh-CN"/>
                    </w:rPr>
                    <w:t>配料、</w:t>
                  </w:r>
                  <w:r>
                    <w:rPr>
                      <w:rFonts w:ascii="Arial" w:hAnsi="Arial" w:eastAsia="宋体" w:cs="Arial"/>
                      <w:i w:val="0"/>
                      <w:iCs w:val="0"/>
                      <w:caps w:val="0"/>
                      <w:color w:val="auto"/>
                      <w:spacing w:val="-11"/>
                      <w:sz w:val="21"/>
                      <w:szCs w:val="21"/>
                      <w:shd w:val="clear" w:color="auto" w:fill="FFFFFF"/>
                    </w:rPr>
                    <w:t>混捏成型、沥青储运废气</w:t>
                  </w:r>
                </w:p>
              </w:tc>
              <w:tc>
                <w:tcPr>
                  <w:tcW w:w="942" w:type="dxa"/>
                  <w:noWrap w:val="0"/>
                  <w:vAlign w:val="center"/>
                </w:tcPr>
                <w:p w14:paraId="5F0C1D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DBC92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1.6</w:t>
                  </w:r>
                </w:p>
              </w:tc>
              <w:tc>
                <w:tcPr>
                  <w:tcW w:w="977" w:type="dxa"/>
                  <w:noWrap w:val="0"/>
                  <w:vAlign w:val="center"/>
                </w:tcPr>
                <w:p w14:paraId="3172BE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0.038</w:t>
                  </w:r>
                </w:p>
              </w:tc>
              <w:tc>
                <w:tcPr>
                  <w:tcW w:w="1179" w:type="dxa"/>
                  <w:noWrap w:val="0"/>
                  <w:vAlign w:val="center"/>
                </w:tcPr>
                <w:p w14:paraId="502CC15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C27D5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cs="Times New Roman"/>
                      <w:color w:val="auto"/>
                      <w:lang w:val="en-US" w:eastAsia="zh-CN"/>
                    </w:rPr>
                    <w:t>燃烧炉燃烧+</w:t>
                  </w: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FF0000"/>
                      <w:lang w:val="en-US" w:eastAsia="zh-CN"/>
                    </w:rPr>
                    <w:t>排气筒（DA040）</w:t>
                  </w:r>
                </w:p>
              </w:tc>
              <w:tc>
                <w:tcPr>
                  <w:tcW w:w="473" w:type="dxa"/>
                  <w:vMerge w:val="restart"/>
                  <w:noWrap w:val="0"/>
                  <w:vAlign w:val="center"/>
                </w:tcPr>
                <w:p w14:paraId="3E2CB29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406E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63B3FA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4862BA8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791D35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沥青烟</w:t>
                  </w:r>
                </w:p>
              </w:tc>
              <w:tc>
                <w:tcPr>
                  <w:tcW w:w="792" w:type="dxa"/>
                  <w:noWrap w:val="0"/>
                  <w:vAlign w:val="center"/>
                </w:tcPr>
                <w:p w14:paraId="7314CC9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6.1</w:t>
                  </w:r>
                </w:p>
              </w:tc>
              <w:tc>
                <w:tcPr>
                  <w:tcW w:w="977" w:type="dxa"/>
                  <w:noWrap w:val="0"/>
                  <w:vAlign w:val="center"/>
                </w:tcPr>
                <w:p w14:paraId="35B9396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0.141</w:t>
                  </w:r>
                </w:p>
              </w:tc>
              <w:tc>
                <w:tcPr>
                  <w:tcW w:w="1179" w:type="dxa"/>
                  <w:noWrap w:val="0"/>
                  <w:vAlign w:val="center"/>
                </w:tcPr>
                <w:p w14:paraId="1953B1B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20mg/m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45AB623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4C5D00E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7601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65DF37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32AB1E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5A807CF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苯并[a]芘</w:t>
                  </w:r>
                </w:p>
              </w:tc>
              <w:tc>
                <w:tcPr>
                  <w:tcW w:w="792" w:type="dxa"/>
                  <w:noWrap w:val="0"/>
                  <w:vAlign w:val="center"/>
                </w:tcPr>
                <w:p w14:paraId="4010795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0.000051</w:t>
                  </w:r>
                </w:p>
              </w:tc>
              <w:tc>
                <w:tcPr>
                  <w:tcW w:w="977" w:type="dxa"/>
                  <w:noWrap w:val="0"/>
                  <w:vAlign w:val="center"/>
                </w:tcPr>
                <w:p w14:paraId="37AF0E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0.00000117</w:t>
                  </w:r>
                </w:p>
              </w:tc>
              <w:tc>
                <w:tcPr>
                  <w:tcW w:w="1179" w:type="dxa"/>
                  <w:noWrap w:val="0"/>
                  <w:vAlign w:val="center"/>
                </w:tcPr>
                <w:p w14:paraId="4E2E529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0.00</w:t>
                  </w:r>
                  <w:r>
                    <w:rPr>
                      <w:rFonts w:hint="eastAsia" w:ascii="Times New Roman" w:hAnsi="Times New Roman" w:cs="Times New Roman"/>
                      <w:color w:val="auto"/>
                      <w:spacing w:val="-11"/>
                      <w:lang w:val="en-US" w:eastAsia="zh-CN"/>
                    </w:rPr>
                    <w:t>029</w:t>
                  </w:r>
                  <w:r>
                    <w:rPr>
                      <w:rFonts w:hint="default" w:ascii="Times New Roman" w:hAnsi="Times New Roman" w:cs="Times New Roman"/>
                      <w:color w:val="auto"/>
                      <w:spacing w:val="-11"/>
                    </w:rPr>
                    <w:t>kg/h；0.0003mg/m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26C3599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70002D8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1FAD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A4B1D4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9B4A14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西线制粉、配料废气</w:t>
                  </w:r>
                </w:p>
              </w:tc>
              <w:tc>
                <w:tcPr>
                  <w:tcW w:w="942" w:type="dxa"/>
                  <w:noWrap w:val="0"/>
                  <w:vAlign w:val="center"/>
                </w:tcPr>
                <w:p w14:paraId="0371CBA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7B6406D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1E2716F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0.010</w:t>
                  </w:r>
                </w:p>
              </w:tc>
              <w:tc>
                <w:tcPr>
                  <w:tcW w:w="1179" w:type="dxa"/>
                  <w:noWrap w:val="0"/>
                  <w:vAlign w:val="center"/>
                </w:tcPr>
                <w:p w14:paraId="41AC7FE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B9A3E8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（DA054）</w:t>
                  </w:r>
                </w:p>
              </w:tc>
              <w:tc>
                <w:tcPr>
                  <w:tcW w:w="473" w:type="dxa"/>
                  <w:noWrap w:val="0"/>
                  <w:vAlign w:val="center"/>
                </w:tcPr>
                <w:p w14:paraId="4341573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B49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03A93B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62A9EB9">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食堂油烟废气</w:t>
                  </w:r>
                </w:p>
              </w:tc>
              <w:tc>
                <w:tcPr>
                  <w:tcW w:w="942" w:type="dxa"/>
                  <w:noWrap w:val="0"/>
                  <w:vAlign w:val="center"/>
                </w:tcPr>
                <w:p w14:paraId="42E2E19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highlight w:val="none"/>
                      <w:lang w:val="en-US" w:eastAsia="zh-CN" w:bidi="ar-SA"/>
                    </w:rPr>
                  </w:pPr>
                  <w:r>
                    <w:rPr>
                      <w:rFonts w:hint="eastAsia" w:ascii="Times New Roman" w:hAnsi="Times New Roman" w:cs="Times New Roman"/>
                      <w:color w:val="auto"/>
                      <w:spacing w:val="-11"/>
                      <w:highlight w:val="none"/>
                      <w:lang w:val="en-US" w:eastAsia="zh-CN"/>
                    </w:rPr>
                    <w:t>油烟</w:t>
                  </w:r>
                </w:p>
              </w:tc>
              <w:tc>
                <w:tcPr>
                  <w:tcW w:w="792" w:type="dxa"/>
                  <w:noWrap w:val="0"/>
                  <w:vAlign w:val="center"/>
                </w:tcPr>
                <w:p w14:paraId="0873695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0.4</w:t>
                  </w:r>
                </w:p>
              </w:tc>
              <w:tc>
                <w:tcPr>
                  <w:tcW w:w="977" w:type="dxa"/>
                  <w:noWrap w:val="0"/>
                  <w:vAlign w:val="center"/>
                </w:tcPr>
                <w:p w14:paraId="75091E4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w:t>
                  </w:r>
                </w:p>
              </w:tc>
              <w:tc>
                <w:tcPr>
                  <w:tcW w:w="1179" w:type="dxa"/>
                  <w:noWrap w:val="0"/>
                  <w:vAlign w:val="center"/>
                </w:tcPr>
                <w:p w14:paraId="3E6C55C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3AED961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油烟净化器+</w:t>
                  </w:r>
                  <w:r>
                    <w:rPr>
                      <w:rFonts w:hint="eastAsia" w:cs="Times New Roman"/>
                      <w:color w:val="auto"/>
                      <w:spacing w:val="-11"/>
                      <w:lang w:val="en-US" w:eastAsia="zh-CN"/>
                    </w:rPr>
                    <w:t>16</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（DA060）</w:t>
                  </w:r>
                </w:p>
              </w:tc>
              <w:tc>
                <w:tcPr>
                  <w:tcW w:w="473" w:type="dxa"/>
                  <w:noWrap w:val="0"/>
                  <w:vAlign w:val="center"/>
                </w:tcPr>
                <w:p w14:paraId="381FBC0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F55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640F8B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43CDC98">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脱硫浆液制备上料废气</w:t>
                  </w:r>
                </w:p>
              </w:tc>
              <w:tc>
                <w:tcPr>
                  <w:tcW w:w="942" w:type="dxa"/>
                  <w:noWrap w:val="0"/>
                  <w:vAlign w:val="center"/>
                </w:tcPr>
                <w:p w14:paraId="61F316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302D6C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4FE9E00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0.00259</w:t>
                  </w:r>
                </w:p>
              </w:tc>
              <w:tc>
                <w:tcPr>
                  <w:tcW w:w="1179" w:type="dxa"/>
                  <w:noWrap w:val="0"/>
                  <w:vAlign w:val="center"/>
                </w:tcPr>
                <w:p w14:paraId="168830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42FBA20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（DA052）</w:t>
                  </w:r>
                </w:p>
              </w:tc>
              <w:tc>
                <w:tcPr>
                  <w:tcW w:w="473" w:type="dxa"/>
                  <w:noWrap w:val="0"/>
                  <w:vAlign w:val="center"/>
                </w:tcPr>
                <w:p w14:paraId="7465E43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F5A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2EEC81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A3F92D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原料转运及预处理（侧翻卸车机、水平、在倾斜角布控输送机转运）废气</w:t>
                  </w:r>
                </w:p>
              </w:tc>
              <w:tc>
                <w:tcPr>
                  <w:tcW w:w="942" w:type="dxa"/>
                  <w:noWrap w:val="0"/>
                  <w:vAlign w:val="center"/>
                </w:tcPr>
                <w:p w14:paraId="3A714A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54A4762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217D78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0.055</w:t>
                  </w:r>
                </w:p>
              </w:tc>
              <w:tc>
                <w:tcPr>
                  <w:tcW w:w="1179" w:type="dxa"/>
                  <w:noWrap w:val="0"/>
                  <w:vAlign w:val="center"/>
                </w:tcPr>
                <w:p w14:paraId="257C2A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3EA9CE7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（DA050）</w:t>
                  </w:r>
                </w:p>
              </w:tc>
              <w:tc>
                <w:tcPr>
                  <w:tcW w:w="473" w:type="dxa"/>
                  <w:noWrap w:val="0"/>
                  <w:vAlign w:val="center"/>
                </w:tcPr>
                <w:p w14:paraId="037744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4810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F04906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5D5955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7"/>
                      <w:sz w:val="21"/>
                      <w:szCs w:val="21"/>
                      <w:shd w:val="clear" w:color="auto" w:fill="FFFFFF"/>
                    </w:rPr>
                    <w:t>原料转运及预处理(破碎、地下皮带转运</w:t>
                  </w:r>
                  <w:r>
                    <w:rPr>
                      <w:rFonts w:hint="eastAsia" w:ascii="Arial" w:hAnsi="Arial" w:eastAsia="宋体" w:cs="Arial"/>
                      <w:i w:val="0"/>
                      <w:iCs w:val="0"/>
                      <w:caps w:val="0"/>
                      <w:color w:val="auto"/>
                      <w:spacing w:val="-17"/>
                      <w:sz w:val="21"/>
                      <w:szCs w:val="21"/>
                      <w:shd w:val="clear" w:color="auto" w:fill="FFFFFF"/>
                      <w:lang w:val="en-US" w:eastAsia="zh-CN"/>
                    </w:rPr>
                    <w:t>)</w:t>
                  </w:r>
                  <w:r>
                    <w:rPr>
                      <w:rFonts w:ascii="Arial" w:hAnsi="Arial" w:eastAsia="宋体" w:cs="Arial"/>
                      <w:i w:val="0"/>
                      <w:iCs w:val="0"/>
                      <w:caps w:val="0"/>
                      <w:color w:val="auto"/>
                      <w:spacing w:val="-17"/>
                      <w:sz w:val="21"/>
                      <w:szCs w:val="21"/>
                      <w:shd w:val="clear" w:color="auto" w:fill="FFFFFF"/>
                    </w:rPr>
                    <w:t>废气</w:t>
                  </w:r>
                </w:p>
              </w:tc>
              <w:tc>
                <w:tcPr>
                  <w:tcW w:w="942" w:type="dxa"/>
                  <w:noWrap w:val="0"/>
                  <w:vAlign w:val="center"/>
                </w:tcPr>
                <w:p w14:paraId="1C1D4F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61A09A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noWrap w:val="0"/>
                  <w:vAlign w:val="center"/>
                </w:tcPr>
                <w:p w14:paraId="69CF0BD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0.00919</w:t>
                  </w:r>
                </w:p>
              </w:tc>
              <w:tc>
                <w:tcPr>
                  <w:tcW w:w="1179" w:type="dxa"/>
                  <w:noWrap w:val="0"/>
                  <w:vAlign w:val="center"/>
                </w:tcPr>
                <w:p w14:paraId="0B11850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EA08AE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（DA051）</w:t>
                  </w:r>
                </w:p>
              </w:tc>
              <w:tc>
                <w:tcPr>
                  <w:tcW w:w="473" w:type="dxa"/>
                  <w:noWrap w:val="0"/>
                  <w:vAlign w:val="center"/>
                </w:tcPr>
                <w:p w14:paraId="6CD7A9C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538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26DD1F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2BA834C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eastAsia="宋体" w:cs="Times New Roman"/>
                      <w:color w:val="auto"/>
                      <w:spacing w:val="-11"/>
                      <w:lang w:val="en-US" w:eastAsia="zh-CN"/>
                    </w:rPr>
                    <w:t>机加工开槽工序废气</w:t>
                  </w:r>
                </w:p>
              </w:tc>
              <w:tc>
                <w:tcPr>
                  <w:tcW w:w="942" w:type="dxa"/>
                  <w:vMerge w:val="restart"/>
                  <w:noWrap w:val="0"/>
                  <w:vAlign w:val="center"/>
                </w:tcPr>
                <w:p w14:paraId="6F57C49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vMerge w:val="restart"/>
                  <w:noWrap w:val="0"/>
                  <w:vAlign w:val="center"/>
                </w:tcPr>
                <w:p w14:paraId="29A82B3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vMerge w:val="restart"/>
                  <w:noWrap w:val="0"/>
                  <w:vAlign w:val="center"/>
                </w:tcPr>
                <w:p w14:paraId="60BFC8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0.020</w:t>
                  </w:r>
                </w:p>
              </w:tc>
              <w:tc>
                <w:tcPr>
                  <w:tcW w:w="1179" w:type="dxa"/>
                  <w:vMerge w:val="restart"/>
                  <w:noWrap w:val="0"/>
                  <w:vAlign w:val="center"/>
                </w:tcPr>
                <w:p w14:paraId="515AD94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62B78E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default" w:ascii="Times New Roman" w:hAnsi="Times New Roman" w:eastAsia="宋体" w:cs="Times New Roman"/>
                      <w:color w:val="auto"/>
                      <w:spacing w:val="-11"/>
                      <w:lang w:val="en-US" w:eastAsia="zh-CN"/>
                    </w:rPr>
                    <w:t>布袋除尘器</w:t>
                  </w:r>
                  <w:r>
                    <w:rPr>
                      <w:rFonts w:hint="eastAsia" w:cs="Times New Roman"/>
                      <w:color w:val="auto"/>
                      <w:spacing w:val="-11"/>
                      <w:lang w:val="en-US" w:eastAsia="zh-CN"/>
                    </w:rPr>
                    <w:t>+</w:t>
                  </w:r>
                  <w:r>
                    <w:rPr>
                      <w:rFonts w:hint="default" w:ascii="Times New Roman" w:hAnsi="Times New Roman" w:eastAsia="宋体" w:cs="Times New Roman"/>
                      <w:color w:val="auto"/>
                      <w:spacing w:val="-11"/>
                      <w:sz w:val="22"/>
                      <w:szCs w:val="22"/>
                      <w:lang w:val="en-US" w:eastAsia="zh-CN"/>
                    </w:rPr>
                    <w:t>21m</w:t>
                  </w:r>
                  <w:r>
                    <w:rPr>
                      <w:rFonts w:hint="default" w:ascii="Times New Roman" w:hAnsi="Times New Roman" w:eastAsia="宋体" w:cs="Times New Roman"/>
                      <w:color w:val="FF0000"/>
                      <w:spacing w:val="-11"/>
                      <w:sz w:val="22"/>
                      <w:szCs w:val="22"/>
                      <w:lang w:val="en-US" w:eastAsia="zh-CN"/>
                    </w:rPr>
                    <w:t>排气筒</w:t>
                  </w:r>
                  <w:r>
                    <w:rPr>
                      <w:rFonts w:hint="eastAsia" w:cs="Times New Roman"/>
                      <w:color w:val="FF0000"/>
                      <w:lang w:val="en-US" w:eastAsia="zh-CN"/>
                    </w:rPr>
                    <w:t>（DA039）</w:t>
                  </w:r>
                </w:p>
              </w:tc>
              <w:tc>
                <w:tcPr>
                  <w:tcW w:w="473" w:type="dxa"/>
                  <w:vMerge w:val="restart"/>
                  <w:noWrap w:val="0"/>
                  <w:vAlign w:val="center"/>
                </w:tcPr>
                <w:p w14:paraId="14F97C3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091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1DC94B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CB1AC7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lang w:val="en-US" w:eastAsia="zh-CN"/>
                    </w:rPr>
                    <w:t>缓冲仓废气</w:t>
                  </w:r>
                </w:p>
              </w:tc>
              <w:tc>
                <w:tcPr>
                  <w:tcW w:w="942" w:type="dxa"/>
                  <w:vMerge w:val="continue"/>
                  <w:noWrap w:val="0"/>
                  <w:vAlign w:val="center"/>
                </w:tcPr>
                <w:p w14:paraId="4E67F6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792" w:type="dxa"/>
                  <w:vMerge w:val="continue"/>
                  <w:noWrap w:val="0"/>
                  <w:vAlign w:val="center"/>
                </w:tcPr>
                <w:p w14:paraId="53CE8F5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977" w:type="dxa"/>
                  <w:vMerge w:val="continue"/>
                  <w:noWrap w:val="0"/>
                  <w:vAlign w:val="center"/>
                </w:tcPr>
                <w:p w14:paraId="03255A8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1179" w:type="dxa"/>
                  <w:vMerge w:val="continue"/>
                  <w:noWrap w:val="0"/>
                  <w:vAlign w:val="center"/>
                </w:tcPr>
                <w:p w14:paraId="44C5941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2054" w:type="dxa"/>
                  <w:vMerge w:val="continue"/>
                  <w:noWrap w:val="0"/>
                  <w:vAlign w:val="center"/>
                </w:tcPr>
                <w:p w14:paraId="652DAB1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4A55017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1E9F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0" w:hRule="atLeast"/>
                <w:jc w:val="center"/>
              </w:trPr>
              <w:tc>
                <w:tcPr>
                  <w:tcW w:w="244" w:type="dxa"/>
                  <w:vMerge w:val="continue"/>
                  <w:noWrap w:val="0"/>
                  <w:vAlign w:val="center"/>
                </w:tcPr>
                <w:p w14:paraId="57FDA47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B75338D">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ascii="Times New Roman" w:hAnsi="Times New Roman" w:cs="Times New Roman"/>
                      <w:color w:val="auto"/>
                      <w:spacing w:val="-11"/>
                      <w:lang w:eastAsia="zh-CN"/>
                    </w:rPr>
                    <w:t>厂界无组织</w:t>
                  </w:r>
                </w:p>
              </w:tc>
              <w:tc>
                <w:tcPr>
                  <w:tcW w:w="942" w:type="dxa"/>
                  <w:noWrap w:val="0"/>
                  <w:vAlign w:val="center"/>
                </w:tcPr>
                <w:p w14:paraId="5F1C086D">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氨</w:t>
                  </w:r>
                </w:p>
              </w:tc>
              <w:tc>
                <w:tcPr>
                  <w:tcW w:w="1769" w:type="dxa"/>
                  <w:gridSpan w:val="2"/>
                  <w:noWrap w:val="0"/>
                  <w:vAlign w:val="center"/>
                </w:tcPr>
                <w:p w14:paraId="65D8FE2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0.15</w:t>
                  </w:r>
                </w:p>
              </w:tc>
              <w:tc>
                <w:tcPr>
                  <w:tcW w:w="1179" w:type="dxa"/>
                  <w:noWrap w:val="0"/>
                  <w:vAlign w:val="center"/>
                </w:tcPr>
                <w:p w14:paraId="62F12D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1.5mg/m</w:t>
                  </w:r>
                  <w:r>
                    <w:rPr>
                      <w:rFonts w:hint="default" w:ascii="Times New Roman" w:hAnsi="Times New Roman" w:cs="Times New Roman"/>
                      <w:color w:val="auto"/>
                      <w:spacing w:val="-11"/>
                      <w:vertAlign w:val="superscript"/>
                    </w:rPr>
                    <w:t>3</w:t>
                  </w:r>
                </w:p>
              </w:tc>
              <w:tc>
                <w:tcPr>
                  <w:tcW w:w="2054" w:type="dxa"/>
                  <w:noWrap w:val="0"/>
                  <w:vAlign w:val="center"/>
                </w:tcPr>
                <w:p w14:paraId="73C8EAF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restart"/>
                  <w:noWrap w:val="0"/>
                  <w:vAlign w:val="center"/>
                </w:tcPr>
                <w:p w14:paraId="65A22F8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6370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7F9034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400226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6149A2FE">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苯并[a]芘</w:t>
                  </w:r>
                </w:p>
              </w:tc>
              <w:tc>
                <w:tcPr>
                  <w:tcW w:w="1769" w:type="dxa"/>
                  <w:gridSpan w:val="2"/>
                  <w:noWrap w:val="0"/>
                  <w:vAlign w:val="center"/>
                </w:tcPr>
                <w:p w14:paraId="34D49F4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eastAsia" w:ascii="Times New Roman" w:hAnsi="Times New Roman" w:cs="Times New Roman"/>
                      <w:color w:val="auto"/>
                      <w:spacing w:val="-11"/>
                      <w:kern w:val="2"/>
                      <w:sz w:val="21"/>
                      <w:lang w:val="en-US" w:eastAsia="zh-CN" w:bidi="ar-SA"/>
                    </w:rPr>
                    <w:t>未检出</w:t>
                  </w:r>
                </w:p>
              </w:tc>
              <w:tc>
                <w:tcPr>
                  <w:tcW w:w="1179" w:type="dxa"/>
                  <w:noWrap w:val="0"/>
                  <w:vAlign w:val="center"/>
                </w:tcPr>
                <w:p w14:paraId="75B0798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eastAsia" w:ascii="Times New Roman" w:hAnsi="Times New Roman" w:cs="Times New Roman"/>
                      <w:color w:val="auto"/>
                      <w:spacing w:val="-11"/>
                      <w:lang w:val="en-US" w:eastAsia="zh-CN"/>
                    </w:rPr>
                    <w:t>0.00001</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1236D78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32DA9D0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2D42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C316CB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4C123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4E79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spacing w:val="-11"/>
                      <w:lang w:val="en-US" w:eastAsia="zh-CN"/>
                    </w:rPr>
                    <w:t>二氧化硫</w:t>
                  </w:r>
                </w:p>
              </w:tc>
              <w:tc>
                <w:tcPr>
                  <w:tcW w:w="1769" w:type="dxa"/>
                  <w:gridSpan w:val="2"/>
                  <w:noWrap w:val="0"/>
                  <w:vAlign w:val="center"/>
                </w:tcPr>
                <w:p w14:paraId="6ED8BBA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0.033</w:t>
                  </w:r>
                </w:p>
              </w:tc>
              <w:tc>
                <w:tcPr>
                  <w:tcW w:w="1179" w:type="dxa"/>
                  <w:noWrap w:val="0"/>
                  <w:vAlign w:val="center"/>
                </w:tcPr>
                <w:p w14:paraId="0303CAA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0.5</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598E031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w:t>
                  </w:r>
                </w:p>
              </w:tc>
              <w:tc>
                <w:tcPr>
                  <w:tcW w:w="473" w:type="dxa"/>
                  <w:vMerge w:val="continue"/>
                  <w:noWrap w:val="0"/>
                  <w:vAlign w:val="center"/>
                </w:tcPr>
                <w:p w14:paraId="454A303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163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7BBA81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753CDE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FD82E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eastAsia="zh-CN"/>
                    </w:rPr>
                    <w:t>颗粒物</w:t>
                  </w:r>
                </w:p>
              </w:tc>
              <w:tc>
                <w:tcPr>
                  <w:tcW w:w="1769" w:type="dxa"/>
                  <w:gridSpan w:val="2"/>
                  <w:noWrap w:val="0"/>
                  <w:vAlign w:val="center"/>
                </w:tcPr>
                <w:p w14:paraId="5CE34E1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0.419</w:t>
                  </w:r>
                </w:p>
              </w:tc>
              <w:tc>
                <w:tcPr>
                  <w:tcW w:w="1179" w:type="dxa"/>
                  <w:noWrap w:val="0"/>
                  <w:vAlign w:val="center"/>
                </w:tcPr>
                <w:p w14:paraId="68073C0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1.</w:t>
                  </w:r>
                  <w:r>
                    <w:rPr>
                      <w:rFonts w:hint="eastAsia" w:ascii="Times New Roman" w:hAnsi="Times New Roman" w:cs="Times New Roman"/>
                      <w:color w:val="auto"/>
                      <w:spacing w:val="-11"/>
                      <w:lang w:val="en-US" w:eastAsia="zh-CN"/>
                    </w:rPr>
                    <w:t>0</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2214B38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608BBF9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48F1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62E03F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C387E6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09B9581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eastAsia="zh-CN"/>
                    </w:rPr>
                    <w:t>氟化物</w:t>
                  </w:r>
                </w:p>
              </w:tc>
              <w:tc>
                <w:tcPr>
                  <w:tcW w:w="1769" w:type="dxa"/>
                  <w:gridSpan w:val="2"/>
                  <w:noWrap w:val="0"/>
                  <w:vAlign w:val="center"/>
                </w:tcPr>
                <w:p w14:paraId="4F9ABAB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0.0016</w:t>
                  </w:r>
                </w:p>
              </w:tc>
              <w:tc>
                <w:tcPr>
                  <w:tcW w:w="1179" w:type="dxa"/>
                  <w:noWrap w:val="0"/>
                  <w:vAlign w:val="center"/>
                </w:tcPr>
                <w:p w14:paraId="7C5796B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val="en-US" w:eastAsia="zh-CN"/>
                    </w:rPr>
                    <w:t>0.02</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773469A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496E0C1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F33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D82B75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855A4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F7922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硫化氢</w:t>
                  </w:r>
                </w:p>
              </w:tc>
              <w:tc>
                <w:tcPr>
                  <w:tcW w:w="1769" w:type="dxa"/>
                  <w:gridSpan w:val="2"/>
                  <w:noWrap w:val="0"/>
                  <w:vAlign w:val="center"/>
                </w:tcPr>
                <w:p w14:paraId="1277DA1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0.008</w:t>
                  </w:r>
                </w:p>
              </w:tc>
              <w:tc>
                <w:tcPr>
                  <w:tcW w:w="1179" w:type="dxa"/>
                  <w:noWrap w:val="0"/>
                  <w:vAlign w:val="center"/>
                </w:tcPr>
                <w:p w14:paraId="059198B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0.06</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6BC1D24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spacing w:val="-11"/>
                    </w:rPr>
                    <w:t>--</w:t>
                  </w:r>
                </w:p>
              </w:tc>
              <w:tc>
                <w:tcPr>
                  <w:tcW w:w="473" w:type="dxa"/>
                  <w:vMerge w:val="continue"/>
                  <w:noWrap w:val="0"/>
                  <w:vAlign w:val="center"/>
                </w:tcPr>
                <w:p w14:paraId="07BE8B3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181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DEA57C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2C96D8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050FDF1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臭气浓度</w:t>
                  </w:r>
                </w:p>
              </w:tc>
              <w:tc>
                <w:tcPr>
                  <w:tcW w:w="1769" w:type="dxa"/>
                  <w:gridSpan w:val="2"/>
                  <w:noWrap w:val="0"/>
                  <w:vAlign w:val="center"/>
                </w:tcPr>
                <w:p w14:paraId="7053478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＜10</w:t>
                  </w:r>
                </w:p>
              </w:tc>
              <w:tc>
                <w:tcPr>
                  <w:tcW w:w="1179" w:type="dxa"/>
                  <w:noWrap w:val="0"/>
                  <w:vAlign w:val="center"/>
                </w:tcPr>
                <w:p w14:paraId="26ECE2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20无量纲</w:t>
                  </w:r>
                </w:p>
              </w:tc>
              <w:tc>
                <w:tcPr>
                  <w:tcW w:w="2054" w:type="dxa"/>
                  <w:noWrap w:val="0"/>
                  <w:vAlign w:val="center"/>
                </w:tcPr>
                <w:p w14:paraId="0DA7D06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val="en-US" w:eastAsia="zh-CN"/>
                    </w:rPr>
                  </w:pPr>
                  <w:r>
                    <w:rPr>
                      <w:rFonts w:hint="default" w:ascii="Times New Roman" w:hAnsi="Times New Roman" w:cs="Times New Roman"/>
                      <w:color w:val="auto"/>
                      <w:spacing w:val="-11"/>
                    </w:rPr>
                    <w:t>--</w:t>
                  </w:r>
                </w:p>
              </w:tc>
              <w:tc>
                <w:tcPr>
                  <w:tcW w:w="473" w:type="dxa"/>
                  <w:vMerge w:val="continue"/>
                  <w:noWrap w:val="0"/>
                  <w:vAlign w:val="center"/>
                </w:tcPr>
                <w:p w14:paraId="1F28B41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770D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455807B7">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废水</w:t>
                  </w:r>
                </w:p>
              </w:tc>
              <w:tc>
                <w:tcPr>
                  <w:tcW w:w="1868" w:type="dxa"/>
                  <w:noWrap w:val="0"/>
                  <w:vAlign w:val="center"/>
                </w:tcPr>
                <w:p w14:paraId="2D7BE78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排污水</w:t>
                  </w:r>
                </w:p>
              </w:tc>
              <w:tc>
                <w:tcPr>
                  <w:tcW w:w="942" w:type="dxa"/>
                  <w:noWrap w:val="0"/>
                  <w:vAlign w:val="center"/>
                </w:tcPr>
                <w:p w14:paraId="45E0F1F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SS</w:t>
                  </w:r>
                </w:p>
              </w:tc>
              <w:tc>
                <w:tcPr>
                  <w:tcW w:w="2948" w:type="dxa"/>
                  <w:gridSpan w:val="3"/>
                  <w:noWrap w:val="0"/>
                  <w:vAlign w:val="center"/>
                </w:tcPr>
                <w:p w14:paraId="69954C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不外排</w:t>
                  </w:r>
                </w:p>
              </w:tc>
              <w:tc>
                <w:tcPr>
                  <w:tcW w:w="2054" w:type="dxa"/>
                  <w:noWrap w:val="0"/>
                  <w:vAlign w:val="center"/>
                </w:tcPr>
                <w:p w14:paraId="47CA943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用于直冷水池补水</w:t>
                  </w:r>
                </w:p>
              </w:tc>
              <w:tc>
                <w:tcPr>
                  <w:tcW w:w="473" w:type="dxa"/>
                  <w:noWrap w:val="0"/>
                  <w:vAlign w:val="center"/>
                </w:tcPr>
                <w:p w14:paraId="3800920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7F0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jc w:val="center"/>
              </w:trPr>
              <w:tc>
                <w:tcPr>
                  <w:tcW w:w="244" w:type="dxa"/>
                  <w:vMerge w:val="continue"/>
                  <w:noWrap w:val="0"/>
                  <w:vAlign w:val="center"/>
                </w:tcPr>
                <w:p w14:paraId="307811F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18D89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生活污水</w:t>
                  </w:r>
                  <w:r>
                    <w:rPr>
                      <w:rFonts w:hint="eastAsia" w:ascii="Times New Roman" w:hAnsi="Times New Roman" w:cs="Times New Roman"/>
                      <w:color w:val="auto"/>
                      <w:spacing w:val="-11"/>
                      <w:lang w:eastAsia="zh-CN"/>
                    </w:rPr>
                    <w:t>处理站</w:t>
                  </w:r>
                </w:p>
              </w:tc>
              <w:tc>
                <w:tcPr>
                  <w:tcW w:w="942" w:type="dxa"/>
                  <w:noWrap w:val="0"/>
                  <w:vAlign w:val="center"/>
                </w:tcPr>
                <w:p w14:paraId="7DA4D77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pH</w:t>
                  </w:r>
                </w:p>
              </w:tc>
              <w:tc>
                <w:tcPr>
                  <w:tcW w:w="1769" w:type="dxa"/>
                  <w:gridSpan w:val="2"/>
                  <w:noWrap w:val="0"/>
                  <w:vAlign w:val="center"/>
                </w:tcPr>
                <w:p w14:paraId="113E1EC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7.8-8.0</w:t>
                  </w:r>
                </w:p>
              </w:tc>
              <w:tc>
                <w:tcPr>
                  <w:tcW w:w="1179" w:type="dxa"/>
                  <w:noWrap w:val="0"/>
                  <w:vAlign w:val="center"/>
                </w:tcPr>
                <w:p w14:paraId="4AB6379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cs="Times New Roman"/>
                      <w:color w:val="auto"/>
                      <w:spacing w:val="-11"/>
                      <w:lang w:val="en-US" w:eastAsia="zh-CN"/>
                    </w:rPr>
                    <w:t>6.0-6.9</w:t>
                  </w:r>
                </w:p>
              </w:tc>
              <w:tc>
                <w:tcPr>
                  <w:tcW w:w="2054" w:type="dxa"/>
                  <w:vMerge w:val="restart"/>
                  <w:noWrap w:val="0"/>
                  <w:vAlign w:val="center"/>
                </w:tcPr>
                <w:p w14:paraId="19198F0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回用于</w:t>
                  </w:r>
                  <w:r>
                    <w:rPr>
                      <w:rFonts w:hint="eastAsia" w:cs="Times New Roman"/>
                      <w:color w:val="auto"/>
                      <w:spacing w:val="-11"/>
                      <w:lang w:val="en-US" w:eastAsia="zh-CN"/>
                    </w:rPr>
                    <w:t>洒水抑尘</w:t>
                  </w:r>
                  <w:r>
                    <w:rPr>
                      <w:rFonts w:hint="default" w:ascii="Times New Roman" w:hAnsi="Times New Roman" w:cs="Times New Roman"/>
                      <w:color w:val="auto"/>
                      <w:spacing w:val="-11"/>
                      <w:lang w:eastAsia="zh-CN"/>
                    </w:rPr>
                    <w:t>、绿化</w:t>
                  </w:r>
                </w:p>
              </w:tc>
              <w:tc>
                <w:tcPr>
                  <w:tcW w:w="473" w:type="dxa"/>
                  <w:vMerge w:val="restart"/>
                  <w:noWrap w:val="0"/>
                  <w:vAlign w:val="center"/>
                </w:tcPr>
                <w:p w14:paraId="519FEC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是</w:t>
                  </w:r>
                </w:p>
              </w:tc>
            </w:tr>
            <w:tr w14:paraId="47EE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244" w:type="dxa"/>
                  <w:vMerge w:val="continue"/>
                  <w:noWrap w:val="0"/>
                  <w:vAlign w:val="center"/>
                </w:tcPr>
                <w:p w14:paraId="766D77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1868" w:type="dxa"/>
                  <w:vMerge w:val="continue"/>
                  <w:noWrap w:val="0"/>
                  <w:vAlign w:val="center"/>
                </w:tcPr>
                <w:p w14:paraId="192BE7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5151393A">
                  <w:pPr>
                    <w:pStyle w:val="29"/>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cs="Times New Roman"/>
                      <w:color w:val="auto"/>
                      <w:spacing w:val="-11"/>
                      <w:lang w:val="en-US" w:eastAsia="zh-CN"/>
                    </w:rPr>
                  </w:pPr>
                  <w:r>
                    <w:rPr>
                      <w:rFonts w:hint="default" w:ascii="Times New Roman" w:hAnsi="Times New Roman" w:cs="Times New Roman"/>
                      <w:color w:val="auto"/>
                      <w:spacing w:val="-11"/>
                      <w:lang w:val="en-US" w:eastAsia="zh-CN"/>
                    </w:rPr>
                    <w:t>COD</w:t>
                  </w:r>
                </w:p>
              </w:tc>
              <w:tc>
                <w:tcPr>
                  <w:tcW w:w="1769" w:type="dxa"/>
                  <w:gridSpan w:val="2"/>
                  <w:noWrap w:val="0"/>
                  <w:vAlign w:val="center"/>
                </w:tcPr>
                <w:p w14:paraId="726FCA9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4</w:t>
                  </w:r>
                </w:p>
              </w:tc>
              <w:tc>
                <w:tcPr>
                  <w:tcW w:w="1179" w:type="dxa"/>
                  <w:noWrap w:val="0"/>
                  <w:vAlign w:val="center"/>
                </w:tcPr>
                <w:p w14:paraId="60254C9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50mg/L</w:t>
                  </w:r>
                </w:p>
              </w:tc>
              <w:tc>
                <w:tcPr>
                  <w:tcW w:w="2054" w:type="dxa"/>
                  <w:vMerge w:val="continue"/>
                  <w:noWrap w:val="0"/>
                  <w:vAlign w:val="center"/>
                </w:tcPr>
                <w:p w14:paraId="6946430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1B117D5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0D2F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4" w:type="dxa"/>
                  <w:vMerge w:val="continue"/>
                  <w:noWrap w:val="0"/>
                  <w:vAlign w:val="center"/>
                </w:tcPr>
                <w:p w14:paraId="28FCD54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1868" w:type="dxa"/>
                  <w:vMerge w:val="continue"/>
                  <w:noWrap w:val="0"/>
                  <w:vAlign w:val="center"/>
                </w:tcPr>
                <w:p w14:paraId="038C43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412DB6F7">
                  <w:pPr>
                    <w:pStyle w:val="29"/>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cs="Times New Roman"/>
                      <w:color w:val="auto"/>
                      <w:spacing w:val="-11"/>
                    </w:rPr>
                  </w:pPr>
                  <w:r>
                    <w:rPr>
                      <w:rFonts w:hint="default" w:ascii="Times New Roman" w:hAnsi="Times New Roman" w:cs="Times New Roman"/>
                      <w:color w:val="auto"/>
                      <w:spacing w:val="-11"/>
                      <w:lang w:val="en-US" w:eastAsia="zh-CN"/>
                    </w:rPr>
                    <w:t>SS</w:t>
                  </w:r>
                </w:p>
              </w:tc>
              <w:tc>
                <w:tcPr>
                  <w:tcW w:w="1769" w:type="dxa"/>
                  <w:gridSpan w:val="2"/>
                  <w:noWrap w:val="0"/>
                  <w:vAlign w:val="center"/>
                </w:tcPr>
                <w:p w14:paraId="7E5F926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6</w:t>
                  </w:r>
                </w:p>
              </w:tc>
              <w:tc>
                <w:tcPr>
                  <w:tcW w:w="1179" w:type="dxa"/>
                  <w:noWrap w:val="0"/>
                  <w:vAlign w:val="center"/>
                </w:tcPr>
                <w:p w14:paraId="0DEC616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10mg/L</w:t>
                  </w:r>
                </w:p>
              </w:tc>
              <w:tc>
                <w:tcPr>
                  <w:tcW w:w="2054" w:type="dxa"/>
                  <w:vMerge w:val="continue"/>
                  <w:noWrap w:val="0"/>
                  <w:vAlign w:val="center"/>
                </w:tcPr>
                <w:p w14:paraId="1B06F9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3351B76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7DC8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 w:hRule="atLeast"/>
                <w:jc w:val="center"/>
              </w:trPr>
              <w:tc>
                <w:tcPr>
                  <w:tcW w:w="244" w:type="dxa"/>
                  <w:vMerge w:val="continue"/>
                  <w:noWrap w:val="0"/>
                  <w:vAlign w:val="center"/>
                </w:tcPr>
                <w:p w14:paraId="3A57B30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1868" w:type="dxa"/>
                  <w:vMerge w:val="continue"/>
                  <w:noWrap w:val="0"/>
                  <w:vAlign w:val="center"/>
                </w:tcPr>
                <w:p w14:paraId="79052CD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942" w:type="dxa"/>
                  <w:noWrap w:val="0"/>
                  <w:vAlign w:val="center"/>
                </w:tcPr>
                <w:p w14:paraId="41F00BE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val="en-US" w:eastAsia="zh-CN"/>
                    </w:rPr>
                    <w:t>氨氮</w:t>
                  </w:r>
                </w:p>
              </w:tc>
              <w:tc>
                <w:tcPr>
                  <w:tcW w:w="1769" w:type="dxa"/>
                  <w:gridSpan w:val="2"/>
                  <w:noWrap w:val="0"/>
                  <w:vAlign w:val="center"/>
                </w:tcPr>
                <w:p w14:paraId="01AA5D9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0.069</w:t>
                  </w:r>
                </w:p>
              </w:tc>
              <w:tc>
                <w:tcPr>
                  <w:tcW w:w="1179" w:type="dxa"/>
                  <w:noWrap w:val="0"/>
                  <w:vAlign w:val="center"/>
                </w:tcPr>
                <w:p w14:paraId="57746E0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10mg/L</w:t>
                  </w:r>
                </w:p>
              </w:tc>
              <w:tc>
                <w:tcPr>
                  <w:tcW w:w="2054" w:type="dxa"/>
                  <w:vMerge w:val="continue"/>
                  <w:noWrap w:val="0"/>
                  <w:vAlign w:val="center"/>
                </w:tcPr>
                <w:p w14:paraId="4D61511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7B8EC0C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1430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4" w:type="dxa"/>
                  <w:vMerge w:val="continue"/>
                  <w:noWrap w:val="0"/>
                  <w:vAlign w:val="center"/>
                </w:tcPr>
                <w:p w14:paraId="0EEF638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1868" w:type="dxa"/>
                  <w:vMerge w:val="continue"/>
                  <w:noWrap w:val="0"/>
                  <w:vAlign w:val="center"/>
                </w:tcPr>
                <w:p w14:paraId="721041F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942" w:type="dxa"/>
                  <w:noWrap w:val="0"/>
                  <w:vAlign w:val="center"/>
                </w:tcPr>
                <w:p w14:paraId="0C1678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default" w:ascii="Times New Roman" w:hAnsi="Times New Roman" w:cs="Times New Roman"/>
                      <w:color w:val="auto"/>
                      <w:spacing w:val="-11"/>
                      <w:lang w:val="en-US" w:eastAsia="zh-CN"/>
                    </w:rPr>
                    <w:t>BOD</w:t>
                  </w:r>
                  <w:r>
                    <w:rPr>
                      <w:rFonts w:hint="default" w:ascii="Times New Roman" w:hAnsi="Times New Roman" w:cs="Times New Roman"/>
                      <w:color w:val="auto"/>
                      <w:spacing w:val="-11"/>
                      <w:vertAlign w:val="subscript"/>
                      <w:lang w:val="en-US" w:eastAsia="zh-CN"/>
                    </w:rPr>
                    <w:t>5</w:t>
                  </w:r>
                </w:p>
              </w:tc>
              <w:tc>
                <w:tcPr>
                  <w:tcW w:w="1769" w:type="dxa"/>
                  <w:gridSpan w:val="2"/>
                  <w:noWrap w:val="0"/>
                  <w:vAlign w:val="center"/>
                </w:tcPr>
                <w:p w14:paraId="1C563CF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1179" w:type="dxa"/>
                  <w:noWrap w:val="0"/>
                  <w:vAlign w:val="center"/>
                </w:tcPr>
                <w:p w14:paraId="0F9CAF7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15mg/L</w:t>
                  </w:r>
                </w:p>
              </w:tc>
              <w:tc>
                <w:tcPr>
                  <w:tcW w:w="2054" w:type="dxa"/>
                  <w:vMerge w:val="continue"/>
                  <w:noWrap w:val="0"/>
                  <w:vAlign w:val="center"/>
                </w:tcPr>
                <w:p w14:paraId="57ABD5A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79B36B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1E2F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noWrap w:val="0"/>
                  <w:vAlign w:val="center"/>
                </w:tcPr>
                <w:p w14:paraId="0032CCD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噪声</w:t>
                  </w:r>
                </w:p>
              </w:tc>
              <w:tc>
                <w:tcPr>
                  <w:tcW w:w="1868" w:type="dxa"/>
                  <w:noWrap w:val="0"/>
                  <w:vAlign w:val="center"/>
                </w:tcPr>
                <w:p w14:paraId="4A9C74E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鄂式破碎机、振动筛、磨粉机、混捏锅、成型机及风机等设备</w:t>
                  </w:r>
                </w:p>
              </w:tc>
              <w:tc>
                <w:tcPr>
                  <w:tcW w:w="942" w:type="dxa"/>
                  <w:noWrap w:val="0"/>
                  <w:vAlign w:val="center"/>
                </w:tcPr>
                <w:p w14:paraId="0862D2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噪声</w:t>
                  </w:r>
                </w:p>
              </w:tc>
              <w:tc>
                <w:tcPr>
                  <w:tcW w:w="1769" w:type="dxa"/>
                  <w:gridSpan w:val="2"/>
                  <w:noWrap w:val="0"/>
                  <w:vAlign w:val="center"/>
                </w:tcPr>
                <w:p w14:paraId="565D6CD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昼间：</w:t>
                  </w:r>
                  <w:r>
                    <w:rPr>
                      <w:rFonts w:hint="eastAsia" w:ascii="Times New Roman" w:hAnsi="Times New Roman" w:cs="Times New Roman"/>
                      <w:color w:val="auto"/>
                      <w:spacing w:val="-11"/>
                      <w:lang w:val="en-US" w:eastAsia="zh-CN"/>
                    </w:rPr>
                    <w:t>56.7</w:t>
                  </w:r>
                  <w:r>
                    <w:rPr>
                      <w:rFonts w:hint="default" w:ascii="Times New Roman" w:hAnsi="Times New Roman" w:cs="Times New Roman"/>
                      <w:color w:val="auto"/>
                      <w:spacing w:val="-11"/>
                    </w:rPr>
                    <w:t>dB(A)</w:t>
                  </w:r>
                  <w:r>
                    <w:rPr>
                      <w:rFonts w:hint="eastAsia" w:ascii="Times New Roman" w:hAnsi="Times New Roman" w:cs="Times New Roman"/>
                      <w:color w:val="auto"/>
                      <w:spacing w:val="-11"/>
                      <w:lang w:val="en-US" w:eastAsia="zh-CN"/>
                    </w:rPr>
                    <w:t xml:space="preserve"> </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61.7</w:t>
                  </w:r>
                  <w:r>
                    <w:rPr>
                      <w:rFonts w:hint="default" w:ascii="Times New Roman" w:hAnsi="Times New Roman" w:cs="Times New Roman"/>
                      <w:color w:val="auto"/>
                      <w:spacing w:val="-11"/>
                    </w:rPr>
                    <w:t>dB(A)；夜间：</w:t>
                  </w:r>
                  <w:r>
                    <w:rPr>
                      <w:rFonts w:hint="eastAsia" w:ascii="Times New Roman" w:hAnsi="Times New Roman" w:cs="Times New Roman"/>
                      <w:color w:val="auto"/>
                      <w:spacing w:val="-11"/>
                      <w:lang w:val="en-US" w:eastAsia="zh-CN"/>
                    </w:rPr>
                    <w:t>50.8</w:t>
                  </w:r>
                  <w:r>
                    <w:rPr>
                      <w:rFonts w:hint="default" w:ascii="Times New Roman" w:hAnsi="Times New Roman" w:cs="Times New Roman"/>
                      <w:color w:val="auto"/>
                      <w:spacing w:val="-11"/>
                    </w:rPr>
                    <w:t>dB(A)~</w:t>
                  </w:r>
                  <w:r>
                    <w:rPr>
                      <w:rFonts w:hint="eastAsia" w:ascii="Times New Roman" w:hAnsi="Times New Roman" w:cs="Times New Roman"/>
                      <w:color w:val="auto"/>
                      <w:spacing w:val="-11"/>
                      <w:lang w:val="en-US" w:eastAsia="zh-CN"/>
                    </w:rPr>
                    <w:t>52.8</w:t>
                  </w:r>
                  <w:r>
                    <w:rPr>
                      <w:rFonts w:hint="default" w:ascii="Times New Roman" w:hAnsi="Times New Roman" w:cs="Times New Roman"/>
                      <w:color w:val="auto"/>
                      <w:spacing w:val="-11"/>
                    </w:rPr>
                    <w:t>dB(A)</w:t>
                  </w:r>
                </w:p>
              </w:tc>
              <w:tc>
                <w:tcPr>
                  <w:tcW w:w="1179" w:type="dxa"/>
                  <w:noWrap w:val="0"/>
                  <w:vAlign w:val="center"/>
                </w:tcPr>
                <w:p w14:paraId="03A94E5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昼间</w:t>
                  </w:r>
                  <w:r>
                    <w:rPr>
                      <w:rFonts w:hint="default" w:ascii="Times New Roman" w:hAnsi="Times New Roman" w:cs="Times New Roman"/>
                      <w:color w:val="auto"/>
                      <w:spacing w:val="-11"/>
                    </w:rPr>
                    <w:cr/>
                  </w:r>
                  <w:r>
                    <w:rPr>
                      <w:rFonts w:hint="default" w:ascii="Times New Roman" w:hAnsi="Times New Roman" w:cs="Times New Roman"/>
                      <w:color w:val="auto"/>
                      <w:spacing w:val="-11"/>
                    </w:rPr>
                    <w:t>：65dB(A)；夜间：55</w:t>
                  </w:r>
                  <w:r>
                    <w:rPr>
                      <w:rFonts w:hint="default" w:ascii="Times New Roman" w:hAnsi="Times New Roman" w:cs="Times New Roman"/>
                      <w:color w:val="auto"/>
                      <w:spacing w:val="-11"/>
                    </w:rPr>
                    <w:cr/>
                  </w:r>
                  <w:r>
                    <w:rPr>
                      <w:rFonts w:hint="default" w:ascii="Times New Roman" w:hAnsi="Times New Roman" w:cs="Times New Roman"/>
                      <w:color w:val="auto"/>
                      <w:spacing w:val="-11"/>
                    </w:rPr>
                    <w:t>B(A)</w:t>
                  </w:r>
                </w:p>
              </w:tc>
              <w:tc>
                <w:tcPr>
                  <w:tcW w:w="2054" w:type="dxa"/>
                  <w:noWrap w:val="0"/>
                  <w:vAlign w:val="center"/>
                </w:tcPr>
                <w:p w14:paraId="6F3735A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w:t>
                  </w:r>
                  <w:r>
                    <w:rPr>
                      <w:rFonts w:hint="eastAsia" w:cs="Times New Roman"/>
                      <w:color w:val="auto"/>
                      <w:lang w:val="en-US" w:eastAsia="zh-CN"/>
                    </w:rPr>
                    <w:t>安装隔声罩</w:t>
                  </w:r>
                  <w:r>
                    <w:rPr>
                      <w:rFonts w:hint="default" w:ascii="Times New Roman" w:hAnsi="Times New Roman" w:cs="Times New Roman"/>
                      <w:color w:val="auto"/>
                    </w:rPr>
                    <w:t>，厂房隔声</w:t>
                  </w:r>
                </w:p>
              </w:tc>
              <w:tc>
                <w:tcPr>
                  <w:tcW w:w="473" w:type="dxa"/>
                  <w:noWrap w:val="0"/>
                  <w:vAlign w:val="center"/>
                </w:tcPr>
                <w:p w14:paraId="6AC5C81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88A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47906C4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r>
                    <w:rPr>
                      <w:rFonts w:hint="default" w:ascii="Times New Roman" w:hAnsi="Times New Roman" w:cs="Times New Roman"/>
                      <w:color w:val="auto"/>
                      <w:spacing w:val="-11"/>
                    </w:rPr>
                    <w:t>固废</w:t>
                  </w:r>
                </w:p>
              </w:tc>
              <w:tc>
                <w:tcPr>
                  <w:tcW w:w="1868" w:type="dxa"/>
                  <w:noWrap w:val="0"/>
                  <w:vAlign w:val="center"/>
                </w:tcPr>
                <w:p w14:paraId="3F0268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直冷水池</w:t>
                  </w:r>
                </w:p>
              </w:tc>
              <w:tc>
                <w:tcPr>
                  <w:tcW w:w="942" w:type="dxa"/>
                  <w:noWrap w:val="0"/>
                  <w:vAlign w:val="center"/>
                </w:tcPr>
                <w:p w14:paraId="37352C1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油渣</w:t>
                  </w:r>
                </w:p>
              </w:tc>
              <w:tc>
                <w:tcPr>
                  <w:tcW w:w="1769" w:type="dxa"/>
                  <w:gridSpan w:val="2"/>
                  <w:noWrap w:val="0"/>
                  <w:vAlign w:val="center"/>
                </w:tcPr>
                <w:p w14:paraId="56954E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restart"/>
                  <w:noWrap w:val="0"/>
                  <w:vAlign w:val="center"/>
                </w:tcPr>
                <w:p w14:paraId="0903D5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妥善处置或综合利用送资质单位处理</w:t>
                  </w:r>
                </w:p>
              </w:tc>
              <w:tc>
                <w:tcPr>
                  <w:tcW w:w="2054" w:type="dxa"/>
                  <w:noWrap w:val="0"/>
                  <w:vAlign w:val="center"/>
                </w:tcPr>
                <w:p w14:paraId="3468FD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送资质单位处理</w:t>
                  </w:r>
                </w:p>
              </w:tc>
              <w:tc>
                <w:tcPr>
                  <w:tcW w:w="473" w:type="dxa"/>
                  <w:vMerge w:val="restart"/>
                  <w:noWrap w:val="0"/>
                  <w:vAlign w:val="center"/>
                </w:tcPr>
                <w:p w14:paraId="075F62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491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tcBorders>
                    <w:bottom w:val="single" w:color="auto" w:sz="4" w:space="0"/>
                  </w:tcBorders>
                  <w:noWrap w:val="0"/>
                  <w:vAlign w:val="center"/>
                </w:tcPr>
                <w:p w14:paraId="0060444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tcBorders>
                    <w:bottom w:val="single" w:color="auto" w:sz="4" w:space="0"/>
                  </w:tcBorders>
                  <w:noWrap w:val="0"/>
                  <w:vAlign w:val="center"/>
                </w:tcPr>
                <w:p w14:paraId="74798AF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除尘系统</w:t>
                  </w:r>
                </w:p>
              </w:tc>
              <w:tc>
                <w:tcPr>
                  <w:tcW w:w="942" w:type="dxa"/>
                  <w:tcBorders>
                    <w:bottom w:val="single" w:color="auto" w:sz="4" w:space="0"/>
                  </w:tcBorders>
                  <w:noWrap w:val="0"/>
                  <w:vAlign w:val="center"/>
                </w:tcPr>
                <w:p w14:paraId="2616181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1515C1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2FD069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tcBorders>
                    <w:bottom w:val="single" w:color="auto" w:sz="4" w:space="0"/>
                  </w:tcBorders>
                  <w:noWrap w:val="0"/>
                  <w:vAlign w:val="center"/>
                </w:tcPr>
                <w:p w14:paraId="6EC7F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作为原料送煅烧车间</w:t>
                  </w:r>
                </w:p>
              </w:tc>
              <w:tc>
                <w:tcPr>
                  <w:tcW w:w="473" w:type="dxa"/>
                  <w:vMerge w:val="continue"/>
                  <w:noWrap w:val="0"/>
                  <w:vAlign w:val="center"/>
                </w:tcPr>
                <w:p w14:paraId="761DDFE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15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tcBorders>
                    <w:bottom w:val="single" w:color="auto" w:sz="4" w:space="0"/>
                  </w:tcBorders>
                  <w:noWrap w:val="0"/>
                  <w:vAlign w:val="center"/>
                </w:tcPr>
                <w:p w14:paraId="437523E1">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tcBorders>
                    <w:bottom w:val="single" w:color="auto" w:sz="4" w:space="0"/>
                  </w:tcBorders>
                  <w:noWrap w:val="0"/>
                  <w:vAlign w:val="center"/>
                </w:tcPr>
                <w:p w14:paraId="2FE60F9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原料包装</w:t>
                  </w:r>
                </w:p>
              </w:tc>
              <w:tc>
                <w:tcPr>
                  <w:tcW w:w="942" w:type="dxa"/>
                  <w:tcBorders>
                    <w:bottom w:val="single" w:color="auto" w:sz="4" w:space="0"/>
                  </w:tcBorders>
                  <w:noWrap w:val="0"/>
                  <w:vAlign w:val="center"/>
                </w:tcPr>
                <w:p w14:paraId="207C208D">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废包装袋</w:t>
                  </w:r>
                </w:p>
              </w:tc>
              <w:tc>
                <w:tcPr>
                  <w:tcW w:w="1769" w:type="dxa"/>
                  <w:gridSpan w:val="2"/>
                  <w:noWrap w:val="0"/>
                  <w:vAlign w:val="center"/>
                </w:tcPr>
                <w:p w14:paraId="158959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7186B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tcBorders>
                    <w:bottom w:val="single" w:color="auto" w:sz="4" w:space="0"/>
                  </w:tcBorders>
                  <w:noWrap w:val="0"/>
                  <w:vAlign w:val="center"/>
                </w:tcPr>
                <w:p w14:paraId="6AFB38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外售综合利用</w:t>
                  </w:r>
                </w:p>
              </w:tc>
              <w:tc>
                <w:tcPr>
                  <w:tcW w:w="473" w:type="dxa"/>
                  <w:vMerge w:val="continue"/>
                  <w:noWrap w:val="0"/>
                  <w:vAlign w:val="center"/>
                </w:tcPr>
                <w:p w14:paraId="51E8F5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E20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B61CAD5">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325218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煅烧炉</w:t>
                  </w:r>
                </w:p>
              </w:tc>
              <w:tc>
                <w:tcPr>
                  <w:tcW w:w="942" w:type="dxa"/>
                  <w:noWrap w:val="0"/>
                  <w:vAlign w:val="center"/>
                </w:tcPr>
                <w:p w14:paraId="52213E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废耐火材料</w:t>
                  </w:r>
                </w:p>
              </w:tc>
              <w:tc>
                <w:tcPr>
                  <w:tcW w:w="1769" w:type="dxa"/>
                  <w:gridSpan w:val="2"/>
                  <w:noWrap w:val="0"/>
                  <w:vAlign w:val="center"/>
                </w:tcPr>
                <w:p w14:paraId="4D008FE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5C9043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258CDF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耐火材料厂家回收</w:t>
                  </w:r>
                </w:p>
              </w:tc>
              <w:tc>
                <w:tcPr>
                  <w:tcW w:w="473" w:type="dxa"/>
                  <w:vMerge w:val="continue"/>
                  <w:noWrap w:val="0"/>
                  <w:vAlign w:val="center"/>
                </w:tcPr>
                <w:p w14:paraId="4F2B57B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46B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6CA2E6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C0454E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942" w:type="dxa"/>
                  <w:noWrap w:val="0"/>
                  <w:vAlign w:val="center"/>
                </w:tcPr>
                <w:p w14:paraId="11B203C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石灰渣、</w:t>
                  </w:r>
                  <w:r>
                    <w:rPr>
                      <w:rFonts w:hint="default" w:ascii="Times New Roman" w:hAnsi="Times New Roman" w:cs="Times New Roman"/>
                      <w:color w:val="auto"/>
                      <w:spacing w:val="-11"/>
                    </w:rPr>
                    <w:t>脱硫石膏</w:t>
                  </w:r>
                </w:p>
              </w:tc>
              <w:tc>
                <w:tcPr>
                  <w:tcW w:w="1769" w:type="dxa"/>
                  <w:gridSpan w:val="2"/>
                  <w:noWrap w:val="0"/>
                  <w:vAlign w:val="center"/>
                </w:tcPr>
                <w:p w14:paraId="3FE4542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48452A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4236582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EE95FD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65D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F17331D">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E806E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942" w:type="dxa"/>
                  <w:noWrap w:val="0"/>
                  <w:vAlign w:val="center"/>
                </w:tcPr>
                <w:p w14:paraId="32A151A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0AE5DBE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A91BD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BE34F4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lang w:val="en-US" w:eastAsia="zh-CN"/>
                    </w:rPr>
                    <w:t>收集后回用于生产</w:t>
                  </w:r>
                </w:p>
              </w:tc>
              <w:tc>
                <w:tcPr>
                  <w:tcW w:w="473" w:type="dxa"/>
                  <w:vMerge w:val="continue"/>
                  <w:noWrap w:val="0"/>
                  <w:vAlign w:val="center"/>
                </w:tcPr>
                <w:p w14:paraId="412398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4EE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5B9E31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E4B13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冷却工序</w:t>
                  </w:r>
                </w:p>
              </w:tc>
              <w:tc>
                <w:tcPr>
                  <w:tcW w:w="942" w:type="dxa"/>
                  <w:noWrap w:val="0"/>
                  <w:vAlign w:val="center"/>
                </w:tcPr>
                <w:p w14:paraId="58DCAD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废生坯</w:t>
                  </w:r>
                </w:p>
              </w:tc>
              <w:tc>
                <w:tcPr>
                  <w:tcW w:w="1769" w:type="dxa"/>
                  <w:gridSpan w:val="2"/>
                  <w:noWrap w:val="0"/>
                  <w:vAlign w:val="center"/>
                </w:tcPr>
                <w:p w14:paraId="776865F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29B2226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036500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送成型车间破碎后回用</w:t>
                  </w:r>
                </w:p>
              </w:tc>
              <w:tc>
                <w:tcPr>
                  <w:tcW w:w="473" w:type="dxa"/>
                  <w:vMerge w:val="continue"/>
                  <w:noWrap w:val="0"/>
                  <w:vAlign w:val="center"/>
                </w:tcPr>
                <w:p w14:paraId="38386BE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674B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C97804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F4B76D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装/出炉</w:t>
                  </w:r>
                  <w:r>
                    <w:rPr>
                      <w:rFonts w:hint="default" w:ascii="Times New Roman" w:hAnsi="Times New Roman" w:cs="Times New Roman"/>
                      <w:color w:val="auto"/>
                      <w:spacing w:val="-11"/>
                    </w:rPr>
                    <w:t>工序</w:t>
                  </w:r>
                </w:p>
              </w:tc>
              <w:tc>
                <w:tcPr>
                  <w:tcW w:w="942" w:type="dxa"/>
                  <w:noWrap w:val="0"/>
                  <w:vAlign w:val="center"/>
                </w:tcPr>
                <w:p w14:paraId="7F64A4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废</w:t>
                  </w:r>
                  <w:r>
                    <w:rPr>
                      <w:rFonts w:hint="default" w:ascii="Times New Roman" w:hAnsi="Times New Roman" w:cs="Times New Roman"/>
                      <w:color w:val="auto"/>
                    </w:rPr>
                    <w:t>冶金焦</w:t>
                  </w:r>
                </w:p>
              </w:tc>
              <w:tc>
                <w:tcPr>
                  <w:tcW w:w="1769" w:type="dxa"/>
                  <w:gridSpan w:val="2"/>
                  <w:noWrap w:val="0"/>
                  <w:vAlign w:val="center"/>
                </w:tcPr>
                <w:p w14:paraId="0C69809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0182D03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04E4B8A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lang w:val="en-US" w:eastAsia="zh-CN"/>
                    </w:rPr>
                    <w:t>收集后回用于生产</w:t>
                  </w:r>
                </w:p>
              </w:tc>
              <w:tc>
                <w:tcPr>
                  <w:tcW w:w="473" w:type="dxa"/>
                  <w:vMerge w:val="continue"/>
                  <w:noWrap w:val="0"/>
                  <w:vAlign w:val="center"/>
                </w:tcPr>
                <w:p w14:paraId="589AC2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12A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DF4D1D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40E29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检验工序</w:t>
                  </w:r>
                </w:p>
              </w:tc>
              <w:tc>
                <w:tcPr>
                  <w:tcW w:w="942" w:type="dxa"/>
                  <w:noWrap w:val="0"/>
                  <w:vAlign w:val="center"/>
                </w:tcPr>
                <w:p w14:paraId="1591C2D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20"/>
                      <w:sz w:val="21"/>
                    </w:rPr>
                    <w:t>废阳极</w:t>
                  </w:r>
                  <w:r>
                    <w:rPr>
                      <w:rFonts w:hint="eastAsia" w:cs="Times New Roman"/>
                      <w:color w:val="auto"/>
                      <w:spacing w:val="-20"/>
                      <w:sz w:val="21"/>
                      <w:lang w:eastAsia="zh-CN"/>
                    </w:rPr>
                    <w:t>（</w:t>
                  </w:r>
                  <w:r>
                    <w:rPr>
                      <w:rFonts w:hint="eastAsia" w:cs="Times New Roman"/>
                      <w:color w:val="auto"/>
                      <w:spacing w:val="-20"/>
                      <w:sz w:val="21"/>
                      <w:lang w:val="en-US" w:eastAsia="zh-CN"/>
                    </w:rPr>
                    <w:t>不合格品）</w:t>
                  </w:r>
                </w:p>
              </w:tc>
              <w:tc>
                <w:tcPr>
                  <w:tcW w:w="1769" w:type="dxa"/>
                  <w:gridSpan w:val="2"/>
                  <w:noWrap w:val="0"/>
                  <w:vAlign w:val="center"/>
                </w:tcPr>
                <w:p w14:paraId="5B6EB3A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0669F9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2E3990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送成型车间破碎后回用</w:t>
                  </w:r>
                </w:p>
              </w:tc>
              <w:tc>
                <w:tcPr>
                  <w:tcW w:w="473" w:type="dxa"/>
                  <w:vMerge w:val="continue"/>
                  <w:noWrap w:val="0"/>
                  <w:vAlign w:val="center"/>
                </w:tcPr>
                <w:p w14:paraId="2E5B4E7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40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EDBD19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409678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焙烧炉</w:t>
                  </w:r>
                </w:p>
              </w:tc>
              <w:tc>
                <w:tcPr>
                  <w:tcW w:w="942" w:type="dxa"/>
                  <w:noWrap w:val="0"/>
                  <w:vAlign w:val="center"/>
                </w:tcPr>
                <w:p w14:paraId="7D39E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废耐火材料</w:t>
                  </w:r>
                </w:p>
              </w:tc>
              <w:tc>
                <w:tcPr>
                  <w:tcW w:w="1769" w:type="dxa"/>
                  <w:gridSpan w:val="2"/>
                  <w:noWrap w:val="0"/>
                  <w:vAlign w:val="center"/>
                </w:tcPr>
                <w:p w14:paraId="6FC306C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49BE8A9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359956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FD1DAB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120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77C235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B2C641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开槽机</w:t>
                  </w:r>
                </w:p>
              </w:tc>
              <w:tc>
                <w:tcPr>
                  <w:tcW w:w="942" w:type="dxa"/>
                  <w:noWrap w:val="0"/>
                  <w:vAlign w:val="center"/>
                </w:tcPr>
                <w:p w14:paraId="222F58F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槽渣</w:t>
                  </w:r>
                </w:p>
              </w:tc>
              <w:tc>
                <w:tcPr>
                  <w:tcW w:w="1769" w:type="dxa"/>
                  <w:gridSpan w:val="2"/>
                  <w:noWrap w:val="0"/>
                  <w:vAlign w:val="center"/>
                </w:tcPr>
                <w:p w14:paraId="5AA76F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A2C789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shd w:val="clear" w:color="auto" w:fill="auto"/>
                  <w:noWrap w:val="0"/>
                  <w:vAlign w:val="center"/>
                </w:tcPr>
                <w:p w14:paraId="50588405">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回用至配料工序作为原料使用</w:t>
                  </w:r>
                </w:p>
              </w:tc>
              <w:tc>
                <w:tcPr>
                  <w:tcW w:w="473" w:type="dxa"/>
                  <w:vMerge w:val="continue"/>
                  <w:noWrap w:val="0"/>
                  <w:vAlign w:val="center"/>
                </w:tcPr>
                <w:p w14:paraId="501E94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1EED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D69B78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EBBC4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喷淋塔冷却水沉淀池</w:t>
                  </w:r>
                </w:p>
              </w:tc>
              <w:tc>
                <w:tcPr>
                  <w:tcW w:w="942" w:type="dxa"/>
                  <w:noWrap w:val="0"/>
                  <w:vAlign w:val="center"/>
                </w:tcPr>
                <w:p w14:paraId="5536608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灰渣</w:t>
                  </w:r>
                </w:p>
              </w:tc>
              <w:tc>
                <w:tcPr>
                  <w:tcW w:w="1769" w:type="dxa"/>
                  <w:gridSpan w:val="2"/>
                  <w:noWrap w:val="0"/>
                  <w:vAlign w:val="center"/>
                </w:tcPr>
                <w:p w14:paraId="0D8B42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52F64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shd w:val="clear" w:color="auto" w:fill="auto"/>
                  <w:noWrap w:val="0"/>
                  <w:vAlign w:val="center"/>
                </w:tcPr>
                <w:p w14:paraId="657ABFAC">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作为焙烧炉填充料使用</w:t>
                  </w:r>
                </w:p>
              </w:tc>
              <w:tc>
                <w:tcPr>
                  <w:tcW w:w="473" w:type="dxa"/>
                  <w:vMerge w:val="continue"/>
                  <w:noWrap w:val="0"/>
                  <w:vAlign w:val="center"/>
                </w:tcPr>
                <w:p w14:paraId="4042BC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7B9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DD8B48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DDD1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942" w:type="dxa"/>
                  <w:noWrap w:val="0"/>
                  <w:vAlign w:val="center"/>
                </w:tcPr>
                <w:p w14:paraId="3B7EEB9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石灰渣、</w:t>
                  </w:r>
                  <w:r>
                    <w:rPr>
                      <w:rFonts w:hint="default" w:ascii="Times New Roman" w:hAnsi="Times New Roman" w:cs="Times New Roman"/>
                      <w:color w:val="auto"/>
                      <w:spacing w:val="-11"/>
                    </w:rPr>
                    <w:t>脱硫石膏</w:t>
                  </w:r>
                </w:p>
              </w:tc>
              <w:tc>
                <w:tcPr>
                  <w:tcW w:w="1769" w:type="dxa"/>
                  <w:gridSpan w:val="2"/>
                  <w:noWrap w:val="0"/>
                  <w:vAlign w:val="center"/>
                </w:tcPr>
                <w:p w14:paraId="16FDBA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D943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5AD0622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389D6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3711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C529D8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C933AF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942" w:type="dxa"/>
                  <w:noWrap w:val="0"/>
                  <w:vAlign w:val="center"/>
                </w:tcPr>
                <w:p w14:paraId="5CD46CA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1E66CE9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E6B2D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10B4E0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Style w:val="38"/>
                      <w:rFonts w:hint="eastAsia" w:ascii="宋体" w:hAnsi="宋体" w:eastAsia="宋体" w:cs="宋体"/>
                      <w:color w:val="auto"/>
                      <w:kern w:val="2"/>
                      <w:sz w:val="21"/>
                      <w:szCs w:val="21"/>
                      <w:lang w:val="en-US" w:eastAsia="zh-CN" w:bidi="ar-SA"/>
                    </w:rPr>
                    <w:t>作为焙烧炉填充料使用</w:t>
                  </w:r>
                </w:p>
              </w:tc>
              <w:tc>
                <w:tcPr>
                  <w:tcW w:w="473" w:type="dxa"/>
                  <w:vMerge w:val="continue"/>
                  <w:noWrap w:val="0"/>
                  <w:vAlign w:val="center"/>
                </w:tcPr>
                <w:p w14:paraId="39BE285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912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A3CC86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1E7F3D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焙烧烟气净化系统</w:t>
                  </w:r>
                </w:p>
              </w:tc>
              <w:tc>
                <w:tcPr>
                  <w:tcW w:w="942" w:type="dxa"/>
                  <w:noWrap w:val="0"/>
                  <w:vAlign w:val="center"/>
                </w:tcPr>
                <w:p w14:paraId="3C72F03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废焦油</w:t>
                  </w:r>
                </w:p>
              </w:tc>
              <w:tc>
                <w:tcPr>
                  <w:tcW w:w="1769" w:type="dxa"/>
                  <w:gridSpan w:val="2"/>
                  <w:noWrap w:val="0"/>
                  <w:vAlign w:val="center"/>
                </w:tcPr>
                <w:p w14:paraId="2CE9486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间断</w:t>
                  </w:r>
                </w:p>
              </w:tc>
              <w:tc>
                <w:tcPr>
                  <w:tcW w:w="1179" w:type="dxa"/>
                  <w:vMerge w:val="continue"/>
                  <w:noWrap w:val="0"/>
                  <w:vAlign w:val="center"/>
                </w:tcPr>
                <w:p w14:paraId="5DDAA9F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5BDC0FC">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Fonts w:hint="default" w:ascii="Times New Roman" w:hAnsi="Times New Roman" w:cs="Times New Roman"/>
                      <w:color w:val="auto"/>
                      <w:spacing w:val="-11"/>
                    </w:rPr>
                    <w:t>送资质单位处理</w:t>
                  </w:r>
                </w:p>
              </w:tc>
              <w:tc>
                <w:tcPr>
                  <w:tcW w:w="473" w:type="dxa"/>
                  <w:vMerge w:val="continue"/>
                  <w:noWrap w:val="0"/>
                  <w:vAlign w:val="center"/>
                </w:tcPr>
                <w:p w14:paraId="2D7EDB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78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09F130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2469B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在线监测</w:t>
                  </w:r>
                </w:p>
              </w:tc>
              <w:tc>
                <w:tcPr>
                  <w:tcW w:w="942" w:type="dxa"/>
                  <w:noWrap w:val="0"/>
                  <w:vAlign w:val="center"/>
                </w:tcPr>
                <w:p w14:paraId="479F68E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废液</w:t>
                  </w:r>
                </w:p>
              </w:tc>
              <w:tc>
                <w:tcPr>
                  <w:tcW w:w="1769" w:type="dxa"/>
                  <w:gridSpan w:val="2"/>
                  <w:noWrap w:val="0"/>
                  <w:vAlign w:val="center"/>
                </w:tcPr>
                <w:p w14:paraId="03FAC5E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2C713C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4BF9E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送资质单位处理</w:t>
                  </w:r>
                </w:p>
              </w:tc>
              <w:tc>
                <w:tcPr>
                  <w:tcW w:w="473" w:type="dxa"/>
                  <w:vMerge w:val="continue"/>
                  <w:noWrap w:val="0"/>
                  <w:vAlign w:val="center"/>
                </w:tcPr>
                <w:p w14:paraId="6A1E0C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7EE1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1EB77D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D3E4AC1">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三效蒸发器</w:t>
                  </w:r>
                </w:p>
              </w:tc>
              <w:tc>
                <w:tcPr>
                  <w:tcW w:w="942" w:type="dxa"/>
                  <w:noWrap w:val="0"/>
                  <w:vAlign w:val="center"/>
                </w:tcPr>
                <w:p w14:paraId="39998404">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结晶盐</w:t>
                  </w:r>
                </w:p>
              </w:tc>
              <w:tc>
                <w:tcPr>
                  <w:tcW w:w="1769" w:type="dxa"/>
                  <w:gridSpan w:val="2"/>
                  <w:noWrap w:val="0"/>
                  <w:vAlign w:val="center"/>
                </w:tcPr>
                <w:p w14:paraId="6CBE294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D4FDEE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478447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收集后外售</w:t>
                  </w:r>
                </w:p>
              </w:tc>
              <w:tc>
                <w:tcPr>
                  <w:tcW w:w="473" w:type="dxa"/>
                  <w:vMerge w:val="continue"/>
                  <w:noWrap w:val="0"/>
                  <w:vAlign w:val="center"/>
                </w:tcPr>
                <w:p w14:paraId="60ACB0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B47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21575B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3F8E09A">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多介质过滤器</w:t>
                  </w:r>
                </w:p>
              </w:tc>
              <w:tc>
                <w:tcPr>
                  <w:tcW w:w="942" w:type="dxa"/>
                  <w:noWrap w:val="0"/>
                  <w:vAlign w:val="center"/>
                </w:tcPr>
                <w:p w14:paraId="2DA4947C">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废滤芯</w:t>
                  </w:r>
                </w:p>
              </w:tc>
              <w:tc>
                <w:tcPr>
                  <w:tcW w:w="1769" w:type="dxa"/>
                  <w:gridSpan w:val="2"/>
                  <w:noWrap w:val="0"/>
                  <w:vAlign w:val="center"/>
                </w:tcPr>
                <w:p w14:paraId="09607E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821CA2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CE02F0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厂家回收</w:t>
                  </w:r>
                </w:p>
              </w:tc>
              <w:tc>
                <w:tcPr>
                  <w:tcW w:w="473" w:type="dxa"/>
                  <w:vMerge w:val="continue"/>
                  <w:noWrap w:val="0"/>
                  <w:vAlign w:val="center"/>
                </w:tcPr>
                <w:p w14:paraId="2CDF9F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1565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1F0440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5592776">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离子交换树脂</w:t>
                  </w:r>
                </w:p>
              </w:tc>
              <w:tc>
                <w:tcPr>
                  <w:tcW w:w="942" w:type="dxa"/>
                  <w:noWrap w:val="0"/>
                  <w:vAlign w:val="center"/>
                </w:tcPr>
                <w:p w14:paraId="278FA2EE">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废树脂</w:t>
                  </w:r>
                </w:p>
              </w:tc>
              <w:tc>
                <w:tcPr>
                  <w:tcW w:w="1769" w:type="dxa"/>
                  <w:gridSpan w:val="2"/>
                  <w:noWrap w:val="0"/>
                  <w:vAlign w:val="center"/>
                </w:tcPr>
                <w:p w14:paraId="21B40F5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47F0FBA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CF43E5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厂家回收</w:t>
                  </w:r>
                </w:p>
              </w:tc>
              <w:tc>
                <w:tcPr>
                  <w:tcW w:w="473" w:type="dxa"/>
                  <w:vMerge w:val="continue"/>
                  <w:noWrap w:val="0"/>
                  <w:vAlign w:val="center"/>
                </w:tcPr>
                <w:p w14:paraId="27C4B8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D09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34E855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BE0815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制粉工序废气净化设施</w:t>
                  </w:r>
                </w:p>
              </w:tc>
              <w:tc>
                <w:tcPr>
                  <w:tcW w:w="942" w:type="dxa"/>
                  <w:noWrap w:val="0"/>
                  <w:vAlign w:val="center"/>
                </w:tcPr>
                <w:p w14:paraId="0F63BBAA">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除尘灰</w:t>
                  </w:r>
                </w:p>
              </w:tc>
              <w:tc>
                <w:tcPr>
                  <w:tcW w:w="1769" w:type="dxa"/>
                  <w:gridSpan w:val="2"/>
                  <w:noWrap w:val="0"/>
                  <w:vAlign w:val="center"/>
                </w:tcPr>
                <w:p w14:paraId="0BD3B9B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1ADF911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2E443ED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收集后返回生产</w:t>
                  </w:r>
                </w:p>
              </w:tc>
              <w:tc>
                <w:tcPr>
                  <w:tcW w:w="473" w:type="dxa"/>
                  <w:vMerge w:val="continue"/>
                  <w:noWrap w:val="0"/>
                  <w:vAlign w:val="center"/>
                </w:tcPr>
                <w:p w14:paraId="32B5E0B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88D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8360AD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0E5B7255">
                  <w:pPr>
                    <w:keepNext w:val="0"/>
                    <w:keepLines w:val="0"/>
                    <w:pageBreakBefore w:val="0"/>
                    <w:kinsoku/>
                    <w:wordWrap/>
                    <w:overflowPunct/>
                    <w:topLinePunct w:val="0"/>
                    <w:autoSpaceDE/>
                    <w:autoSpaceDN/>
                    <w:bidi w:val="0"/>
                    <w:spacing w:line="240" w:lineRule="auto"/>
                    <w:jc w:val="center"/>
                    <w:rPr>
                      <w:rFonts w:hint="eastAsia" w:cs="Times New Roman"/>
                      <w:color w:val="auto"/>
                      <w:spacing w:val="-11"/>
                      <w:lang w:val="en-US" w:eastAsia="zh-CN"/>
                    </w:rPr>
                  </w:pPr>
                </w:p>
              </w:tc>
              <w:tc>
                <w:tcPr>
                  <w:tcW w:w="942" w:type="dxa"/>
                  <w:noWrap w:val="0"/>
                  <w:vAlign w:val="center"/>
                </w:tcPr>
                <w:p w14:paraId="0AC8BC2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废布袋</w:t>
                  </w:r>
                </w:p>
              </w:tc>
              <w:tc>
                <w:tcPr>
                  <w:tcW w:w="1769" w:type="dxa"/>
                  <w:gridSpan w:val="2"/>
                  <w:noWrap w:val="0"/>
                  <w:vAlign w:val="center"/>
                </w:tcPr>
                <w:p w14:paraId="1679486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77F4969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277D52E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rPr>
                    <w:t>收集后外售</w:t>
                  </w:r>
                </w:p>
              </w:tc>
              <w:tc>
                <w:tcPr>
                  <w:tcW w:w="473" w:type="dxa"/>
                  <w:vMerge w:val="continue"/>
                  <w:noWrap w:val="0"/>
                  <w:vAlign w:val="center"/>
                </w:tcPr>
                <w:p w14:paraId="591C62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E11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18B527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3EAE0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污水处理站</w:t>
                  </w:r>
                </w:p>
              </w:tc>
              <w:tc>
                <w:tcPr>
                  <w:tcW w:w="942" w:type="dxa"/>
                  <w:noWrap w:val="0"/>
                  <w:vAlign w:val="center"/>
                </w:tcPr>
                <w:p w14:paraId="1713E38E">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污泥</w:t>
                  </w:r>
                </w:p>
              </w:tc>
              <w:tc>
                <w:tcPr>
                  <w:tcW w:w="1769" w:type="dxa"/>
                  <w:gridSpan w:val="2"/>
                  <w:noWrap w:val="0"/>
                  <w:vAlign w:val="center"/>
                </w:tcPr>
                <w:p w14:paraId="01AA01D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08EC899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9C82AF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rPr>
                    <w:t>送资质单位处理</w:t>
                  </w:r>
                </w:p>
              </w:tc>
              <w:tc>
                <w:tcPr>
                  <w:tcW w:w="473" w:type="dxa"/>
                  <w:vMerge w:val="continue"/>
                  <w:noWrap w:val="0"/>
                  <w:vAlign w:val="center"/>
                </w:tcPr>
                <w:p w14:paraId="2B24F26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46F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081075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4F9F8FD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cs="Times New Roman"/>
                      <w:color w:val="auto"/>
                      <w:spacing w:val="-11"/>
                      <w:lang w:val="en-US" w:eastAsia="zh-CN"/>
                    </w:rPr>
                    <w:t>设备检修</w:t>
                  </w:r>
                </w:p>
              </w:tc>
              <w:tc>
                <w:tcPr>
                  <w:tcW w:w="942" w:type="dxa"/>
                  <w:noWrap w:val="0"/>
                  <w:vAlign w:val="center"/>
                </w:tcPr>
                <w:p w14:paraId="2F95814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废机油</w:t>
                  </w:r>
                </w:p>
              </w:tc>
              <w:tc>
                <w:tcPr>
                  <w:tcW w:w="1769" w:type="dxa"/>
                  <w:gridSpan w:val="2"/>
                  <w:noWrap w:val="0"/>
                  <w:vAlign w:val="center"/>
                </w:tcPr>
                <w:p w14:paraId="152C0C7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0D5E82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11D0773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送资质单位处理</w:t>
                  </w:r>
                </w:p>
              </w:tc>
              <w:tc>
                <w:tcPr>
                  <w:tcW w:w="473" w:type="dxa"/>
                  <w:vMerge w:val="continue"/>
                  <w:noWrap w:val="0"/>
                  <w:vAlign w:val="center"/>
                </w:tcPr>
                <w:p w14:paraId="7E78A58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8A9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7BAC1F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002144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lang w:val="en-US" w:eastAsia="zh-CN"/>
                    </w:rPr>
                  </w:pPr>
                </w:p>
              </w:tc>
              <w:tc>
                <w:tcPr>
                  <w:tcW w:w="942" w:type="dxa"/>
                  <w:noWrap w:val="0"/>
                  <w:vAlign w:val="center"/>
                </w:tcPr>
                <w:p w14:paraId="45B07B79">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废油桶</w:t>
                  </w:r>
                </w:p>
              </w:tc>
              <w:tc>
                <w:tcPr>
                  <w:tcW w:w="1769" w:type="dxa"/>
                  <w:gridSpan w:val="2"/>
                  <w:noWrap w:val="0"/>
                  <w:vAlign w:val="center"/>
                </w:tcPr>
                <w:p w14:paraId="79403F2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50DCCDA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05819A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c>
                <w:tcPr>
                  <w:tcW w:w="473" w:type="dxa"/>
                  <w:vMerge w:val="continue"/>
                  <w:noWrap w:val="0"/>
                  <w:vAlign w:val="center"/>
                </w:tcPr>
                <w:p w14:paraId="2AEBBA3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388A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64A475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55B3A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职工生活</w:t>
                  </w:r>
                </w:p>
              </w:tc>
              <w:tc>
                <w:tcPr>
                  <w:tcW w:w="942" w:type="dxa"/>
                  <w:noWrap w:val="0"/>
                  <w:vAlign w:val="center"/>
                </w:tcPr>
                <w:p w14:paraId="2D0003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生活垃圾</w:t>
                  </w:r>
                </w:p>
              </w:tc>
              <w:tc>
                <w:tcPr>
                  <w:tcW w:w="1769" w:type="dxa"/>
                  <w:gridSpan w:val="2"/>
                  <w:noWrap w:val="0"/>
                  <w:vAlign w:val="center"/>
                </w:tcPr>
                <w:p w14:paraId="42BF974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798609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39C91B6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当地环卫部门统一处置</w:t>
                  </w:r>
                </w:p>
              </w:tc>
              <w:tc>
                <w:tcPr>
                  <w:tcW w:w="473" w:type="dxa"/>
                  <w:vMerge w:val="continue"/>
                  <w:noWrap w:val="0"/>
                  <w:vAlign w:val="center"/>
                </w:tcPr>
                <w:p w14:paraId="3BADFDF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bl>
          <w:p w14:paraId="2C7DBE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根据检测报告可知，现有工程产生的废水、废气、噪声等污染物均能够达标排放，固体废物均得到合理的处置。</w:t>
            </w:r>
          </w:p>
          <w:p w14:paraId="33BFD86D">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eastAsia" w:cs="Times New Roman"/>
                <w:color w:val="auto"/>
                <w:sz w:val="24"/>
                <w:szCs w:val="22"/>
                <w:lang w:val="en-US" w:eastAsia="zh-CN"/>
              </w:rPr>
              <w:t>5</w:t>
            </w:r>
            <w:r>
              <w:rPr>
                <w:rFonts w:hint="default" w:ascii="Times New Roman" w:hAnsi="Times New Roman" w:cs="Times New Roman"/>
                <w:color w:val="auto"/>
                <w:sz w:val="24"/>
                <w:szCs w:val="22"/>
              </w:rPr>
              <w:t>、现有工程总量控制指标</w:t>
            </w:r>
          </w:p>
          <w:p w14:paraId="5C50441E">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FF0000"/>
                <w:highlight w:val="none"/>
                <w:lang w:val="en-US" w:eastAsia="zh-CN"/>
              </w:rPr>
              <w:t>根据现有</w:t>
            </w:r>
            <w:r>
              <w:rPr>
                <w:rFonts w:hint="eastAsia" w:cs="Times New Roman"/>
                <w:color w:val="FF0000"/>
                <w:highlight w:val="none"/>
                <w:lang w:val="en-US" w:eastAsia="zh-CN"/>
              </w:rPr>
              <w:t>项目排污权交易文件（见附件）</w:t>
            </w:r>
            <w:r>
              <w:rPr>
                <w:rFonts w:hint="default" w:ascii="Times New Roman" w:hAnsi="Times New Roman" w:eastAsia="宋体" w:cs="Times New Roman"/>
                <w:color w:val="FF0000"/>
                <w:highlight w:val="none"/>
                <w:lang w:val="en-US" w:eastAsia="zh-CN"/>
              </w:rPr>
              <w:t>，</w:t>
            </w:r>
            <w:r>
              <w:rPr>
                <w:rFonts w:hint="eastAsia" w:cs="Times New Roman"/>
                <w:color w:val="auto"/>
                <w:highlight w:val="none"/>
                <w:lang w:val="en-US" w:eastAsia="zh-CN"/>
              </w:rPr>
              <w:t>可知，</w:t>
            </w:r>
            <w:r>
              <w:rPr>
                <w:rFonts w:hint="default" w:ascii="Times New Roman" w:hAnsi="Times New Roman" w:eastAsia="宋体" w:cs="Times New Roman"/>
                <w:color w:val="auto"/>
                <w:highlight w:val="none"/>
                <w:lang w:val="en-US" w:eastAsia="zh-CN"/>
              </w:rPr>
              <w:t>现有工程总量</w:t>
            </w:r>
            <w:r>
              <w:rPr>
                <w:rFonts w:hint="eastAsia" w:cs="Times New Roman"/>
                <w:color w:val="auto"/>
                <w:highlight w:val="none"/>
                <w:lang w:val="en-US" w:eastAsia="zh-CN"/>
              </w:rPr>
              <w:t>许可</w:t>
            </w:r>
            <w:r>
              <w:rPr>
                <w:rFonts w:hint="default" w:ascii="Times New Roman" w:hAnsi="Times New Roman" w:eastAsia="宋体" w:cs="Times New Roman"/>
                <w:color w:val="auto"/>
                <w:highlight w:val="none"/>
                <w:lang w:val="en-US" w:eastAsia="zh-CN"/>
              </w:rPr>
              <w:t>控制指标为：COD：0t/a，氨氮：0t/a，SO</w:t>
            </w:r>
            <w:r>
              <w:rPr>
                <w:rFonts w:hint="default" w:ascii="Times New Roman" w:hAnsi="Times New Roman" w:eastAsia="宋体" w:cs="Times New Roman"/>
                <w:color w:val="auto"/>
                <w:highlight w:val="none"/>
                <w:vertAlign w:val="subscript"/>
                <w:lang w:val="en-US" w:eastAsia="zh-CN"/>
              </w:rPr>
              <w:t>2</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123.840</w:t>
            </w:r>
            <w:r>
              <w:rPr>
                <w:rFonts w:hint="default" w:ascii="Times New Roman" w:hAnsi="Times New Roman" w:eastAsia="宋体" w:cs="Times New Roman"/>
                <w:color w:val="auto"/>
                <w:highlight w:val="none"/>
                <w:lang w:val="en-US" w:eastAsia="zh-CN"/>
              </w:rPr>
              <w:t>t/a，NOx：</w:t>
            </w:r>
            <w:r>
              <w:rPr>
                <w:rFonts w:hint="eastAsia" w:ascii="Times New Roman" w:hAnsi="Times New Roman" w:eastAsia="宋体" w:cs="Times New Roman"/>
                <w:color w:val="auto"/>
                <w:highlight w:val="none"/>
                <w:lang w:val="en-US" w:eastAsia="zh-CN"/>
              </w:rPr>
              <w:t>123.840</w:t>
            </w:r>
            <w:r>
              <w:rPr>
                <w:rFonts w:hint="default" w:ascii="Times New Roman" w:hAnsi="Times New Roman" w:eastAsia="宋体" w:cs="Times New Roman"/>
                <w:color w:val="auto"/>
                <w:highlight w:val="none"/>
                <w:lang w:val="en-US" w:eastAsia="zh-CN"/>
              </w:rPr>
              <w:t>t/a。</w:t>
            </w:r>
          </w:p>
          <w:p w14:paraId="5C04DA1F">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eastAsia" w:cs="Times New Roman"/>
                <w:color w:val="auto"/>
                <w:sz w:val="24"/>
                <w:szCs w:val="22"/>
                <w:lang w:val="en-US" w:eastAsia="zh-CN"/>
              </w:rPr>
              <w:t>6</w:t>
            </w:r>
            <w:r>
              <w:rPr>
                <w:rFonts w:hint="default" w:ascii="Times New Roman" w:hAnsi="Times New Roman" w:cs="Times New Roman"/>
                <w:color w:val="auto"/>
                <w:sz w:val="24"/>
                <w:szCs w:val="22"/>
              </w:rPr>
              <w:t>、现有工程存在的环保问题</w:t>
            </w:r>
          </w:p>
          <w:p w14:paraId="77A5AC31">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eastAsia" w:cs="Times New Roman"/>
                <w:color w:val="auto"/>
                <w:highlight w:val="none"/>
                <w:lang w:val="en-US" w:eastAsia="zh-CN"/>
              </w:rPr>
            </w:pPr>
            <w:r>
              <w:rPr>
                <w:rFonts w:ascii="宋体" w:hAnsi="宋体" w:eastAsia="宋体" w:cs="宋体"/>
                <w:color w:val="auto"/>
                <w:sz w:val="24"/>
                <w:szCs w:val="24"/>
              </w:rPr>
              <w:t>现有工程主要环保问题：</w:t>
            </w:r>
            <w:r>
              <w:rPr>
                <w:rFonts w:hint="eastAsia" w:cs="Times New Roman"/>
                <w:color w:val="auto"/>
                <w:highlight w:val="none"/>
                <w:lang w:val="en-US" w:eastAsia="zh-CN"/>
              </w:rPr>
              <w:t>根据现场情况，企业生产</w:t>
            </w:r>
            <w:r>
              <w:rPr>
                <w:rFonts w:ascii="宋体" w:hAnsi="宋体" w:eastAsia="宋体" w:cs="宋体"/>
                <w:color w:val="auto"/>
                <w:sz w:val="24"/>
                <w:szCs w:val="24"/>
              </w:rPr>
              <w:t>物料</w:t>
            </w:r>
            <w:r>
              <w:rPr>
                <w:rFonts w:hint="eastAsia" w:ascii="宋体" w:hAnsi="宋体" w:eastAsia="宋体" w:cs="宋体"/>
                <w:color w:val="auto"/>
                <w:sz w:val="24"/>
                <w:szCs w:val="24"/>
                <w:lang w:val="en-US" w:eastAsia="zh-CN"/>
              </w:rPr>
              <w:t>多</w:t>
            </w:r>
            <w:r>
              <w:rPr>
                <w:rFonts w:ascii="宋体" w:hAnsi="宋体" w:eastAsia="宋体" w:cs="宋体"/>
                <w:color w:val="auto"/>
                <w:sz w:val="24"/>
                <w:szCs w:val="24"/>
              </w:rPr>
              <w:t>属于干性物料，筛分、磨粉及输送环节部分设备接口密封不严，存在粉尘</w:t>
            </w:r>
            <w:r>
              <w:rPr>
                <w:rFonts w:hint="eastAsia" w:ascii="宋体" w:hAnsi="宋体" w:eastAsia="宋体" w:cs="宋体"/>
                <w:color w:val="auto"/>
                <w:sz w:val="24"/>
                <w:szCs w:val="24"/>
                <w:lang w:val="en-US" w:eastAsia="zh-CN"/>
              </w:rPr>
              <w:t>逸散现象</w:t>
            </w:r>
            <w:r>
              <w:rPr>
                <w:rFonts w:ascii="宋体" w:hAnsi="宋体" w:eastAsia="宋体" w:cs="宋体"/>
                <w:color w:val="auto"/>
                <w:sz w:val="24"/>
                <w:szCs w:val="24"/>
              </w:rPr>
              <w:t>；车间地面及设备周边存在粉尘堆积；部分产尘点位密闭集气效果不足，存在无组织颗粒物超标风险。</w:t>
            </w:r>
          </w:p>
          <w:p w14:paraId="2B8B2827">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整改措施：</w:t>
            </w:r>
            <w:r>
              <w:rPr>
                <w:rFonts w:ascii="宋体" w:hAnsi="宋体" w:eastAsia="宋体" w:cs="宋体"/>
                <w:color w:val="auto"/>
                <w:sz w:val="24"/>
                <w:szCs w:val="24"/>
              </w:rPr>
              <w:t>对筛分、磨粉、输送管路、料仓等全部漏尘点位开展排查整改，更换老化密封件，检修口、法兰缝隙做好密闭密封；严禁干式清扫，采用负压吸尘、湿式擦拭方式清理地面积尘，定期保洁；优化筛分、料仓呼吸口等点位集气密闭措施，保障除尘设施与生产设备同步运行；建立跑冒滴漏日常巡检及维护台账，加强设备运维管理；定期开展厂界无组织颗粒物监测，确保无组织排放达标。</w:t>
            </w:r>
          </w:p>
        </w:tc>
      </w:tr>
    </w:tbl>
    <w:p w14:paraId="70927D1C">
      <w:pPr>
        <w:pStyle w:val="31"/>
        <w:shd w:val="clear" w:color="auto" w:fill="auto"/>
        <w:jc w:val="center"/>
        <w:rPr>
          <w:rFonts w:hint="default" w:ascii="Times New Roman" w:hAnsi="Times New Roman" w:eastAsia="黑体" w:cs="Times New Roman"/>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02AF020">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三、区域环境质量现状、环境保护目标及评价标准</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443"/>
      </w:tblGrid>
      <w:tr w14:paraId="5D42E6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55" w:hRule="atLeast"/>
          <w:jc w:val="center"/>
        </w:trPr>
        <w:tc>
          <w:tcPr>
            <w:tcW w:w="616" w:type="dxa"/>
            <w:noWrap w:val="0"/>
            <w:vAlign w:val="center"/>
          </w:tcPr>
          <w:p w14:paraId="261B5CAC">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区域</w:t>
            </w:r>
          </w:p>
          <w:p w14:paraId="7189D59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14:paraId="0C772113">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质量</w:t>
            </w:r>
          </w:p>
          <w:p w14:paraId="140EAC13">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现状</w:t>
            </w:r>
          </w:p>
        </w:tc>
        <w:tc>
          <w:tcPr>
            <w:tcW w:w="8443" w:type="dxa"/>
            <w:noWrap w:val="0"/>
            <w:vAlign w:val="top"/>
          </w:tcPr>
          <w:p w14:paraId="3A871720">
            <w:pPr>
              <w:keepNext w:val="0"/>
              <w:keepLines w:val="0"/>
              <w:pageBreakBefore w:val="0"/>
              <w:widowControl w:val="0"/>
              <w:shd w:val="clear" w:color="auto" w:fill="auto"/>
              <w:kinsoku/>
              <w:wordWrap/>
              <w:overflowPunct/>
              <w:topLinePunct w:val="0"/>
              <w:autoSpaceDN/>
              <w:bidi w:val="0"/>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1、环境空气质量现状</w:t>
            </w:r>
          </w:p>
          <w:p w14:paraId="5B106F6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lang w:val="en-US" w:eastAsia="zh-CN"/>
              </w:rPr>
              <w:t>常规污染物</w:t>
            </w:r>
          </w:p>
          <w:p w14:paraId="20A00C01">
            <w:pPr>
              <w:keepNext w:val="0"/>
              <w:keepLines w:val="0"/>
              <w:pageBreakBefore w:val="0"/>
              <w:widowControl w:val="0"/>
              <w:suppressLineNumbers w:val="0"/>
              <w:kinsoku/>
              <w:wordWrap/>
              <w:overflowPunct/>
              <w:topLinePunct w:val="0"/>
              <w:autoSpaceDE w:val="0"/>
              <w:autoSpaceDN/>
              <w:bidi w:val="0"/>
              <w:adjustRightInd/>
              <w:snapToGrid/>
              <w:spacing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根据</w:t>
            </w:r>
            <w:r>
              <w:rPr>
                <w:rFonts w:hint="default" w:ascii="Times New Roman" w:hAnsi="Times New Roman" w:eastAsia="宋体" w:cs="Times New Roman"/>
                <w:color w:val="auto"/>
                <w:sz w:val="24"/>
                <w:szCs w:val="24"/>
              </w:rPr>
              <w:t>《环境空气质量标准》（GB3095-20</w:t>
            </w:r>
            <w:r>
              <w:rPr>
                <w:rFonts w:hint="eastAsia" w:ascii="Times New Roman" w:hAnsi="Times New Roman" w:eastAsia="宋体" w:cs="Times New Roman"/>
                <w:color w:val="auto"/>
                <w:sz w:val="24"/>
                <w:szCs w:val="24"/>
                <w:lang w:val="en-US" w:eastAsia="zh-CN"/>
              </w:rPr>
              <w:t>26</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中相关规定，本项目所在区域为二类环境空气质量功能区</w:t>
            </w:r>
            <w:r>
              <w:rPr>
                <w:rFonts w:hint="default" w:ascii="Times New Roman" w:hAnsi="Times New Roman" w:eastAsia="宋体" w:cs="Times New Roman"/>
                <w:color w:val="auto"/>
                <w:sz w:val="24"/>
                <w:szCs w:val="24"/>
              </w:rPr>
              <w:t>。</w:t>
            </w:r>
          </w:p>
          <w:p w14:paraId="2428E62B">
            <w:pPr>
              <w:keepNext w:val="0"/>
              <w:keepLines w:val="0"/>
              <w:pageBreakBefore w:val="0"/>
              <w:widowControl w:val="0"/>
              <w:suppressLineNumbers w:val="0"/>
              <w:kinsoku/>
              <w:wordWrap/>
              <w:overflowPunct/>
              <w:topLinePunct w:val="0"/>
              <w:autoSpaceDN/>
              <w:bidi w:val="0"/>
              <w:adjustRightInd/>
              <w:spacing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szCs w:val="28"/>
              </w:rPr>
            </w:pPr>
            <w:r>
              <w:rPr>
                <w:rFonts w:hint="default" w:ascii="Times New Roman" w:hAnsi="Times New Roman" w:eastAsia="宋体" w:cs="Times New Roman"/>
                <w:bCs/>
                <w:color w:val="auto"/>
                <w:sz w:val="24"/>
                <w:szCs w:val="28"/>
              </w:rPr>
              <w:t>根据《石家庄市生态环境状况公报（2024年）》中相关数据进行判定。</w:t>
            </w:r>
          </w:p>
          <w:p w14:paraId="24698C3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40" w:lineRule="exact"/>
              <w:ind w:left="0" w:right="0"/>
              <w:jc w:val="center"/>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表3-1     区域环境空气质量现状评价表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51"/>
              <w:gridCol w:w="3070"/>
              <w:gridCol w:w="1204"/>
              <w:gridCol w:w="1204"/>
              <w:gridCol w:w="881"/>
              <w:gridCol w:w="904"/>
            </w:tblGrid>
            <w:tr w14:paraId="7245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79" w:type="pct"/>
                  <w:vMerge w:val="restart"/>
                  <w:noWrap w:val="0"/>
                  <w:vAlign w:val="center"/>
                </w:tcPr>
                <w:p w14:paraId="18B39BFD">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污染物</w:t>
                  </w:r>
                </w:p>
              </w:tc>
              <w:tc>
                <w:tcPr>
                  <w:tcW w:w="1869" w:type="pct"/>
                  <w:vMerge w:val="restart"/>
                  <w:noWrap w:val="0"/>
                  <w:vAlign w:val="center"/>
                </w:tcPr>
                <w:p w14:paraId="30BAD599">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年评价指标</w:t>
                  </w:r>
                </w:p>
              </w:tc>
              <w:tc>
                <w:tcPr>
                  <w:tcW w:w="733" w:type="pct"/>
                  <w:vMerge w:val="restart"/>
                  <w:noWrap w:val="0"/>
                  <w:vAlign w:val="center"/>
                </w:tcPr>
                <w:p w14:paraId="6340E621">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现状浓度</w:t>
                  </w:r>
                </w:p>
              </w:tc>
              <w:tc>
                <w:tcPr>
                  <w:tcW w:w="1818" w:type="pct"/>
                  <w:gridSpan w:val="3"/>
                  <w:noWrap w:val="0"/>
                  <w:vAlign w:val="center"/>
                </w:tcPr>
                <w:p w14:paraId="5C0E6543">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GB3095-20</w:t>
                  </w:r>
                  <w:r>
                    <w:rPr>
                      <w:rFonts w:hint="eastAsia" w:ascii="Times New Roman" w:hAnsi="Times New Roman" w:eastAsia="宋体" w:cs="Times New Roman"/>
                      <w:color w:val="auto"/>
                      <w:szCs w:val="21"/>
                      <w:highlight w:val="none"/>
                      <w:lang w:val="en-US" w:eastAsia="zh-CN"/>
                    </w:rPr>
                    <w:t>26</w:t>
                  </w:r>
                </w:p>
              </w:tc>
            </w:tr>
            <w:tr w14:paraId="4192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79" w:type="pct"/>
                  <w:vMerge w:val="continue"/>
                  <w:noWrap w:val="0"/>
                  <w:vAlign w:val="center"/>
                </w:tcPr>
                <w:p w14:paraId="205BAA94">
                  <w:pPr>
                    <w:jc w:val="center"/>
                    <w:rPr>
                      <w:color w:val="auto"/>
                    </w:rPr>
                  </w:pPr>
                </w:p>
              </w:tc>
              <w:tc>
                <w:tcPr>
                  <w:tcW w:w="1869" w:type="pct"/>
                  <w:vMerge w:val="continue"/>
                  <w:noWrap w:val="0"/>
                  <w:vAlign w:val="center"/>
                </w:tcPr>
                <w:p w14:paraId="7D5139E4">
                  <w:pPr>
                    <w:jc w:val="center"/>
                    <w:rPr>
                      <w:color w:val="auto"/>
                    </w:rPr>
                  </w:pPr>
                </w:p>
              </w:tc>
              <w:tc>
                <w:tcPr>
                  <w:tcW w:w="733" w:type="pct"/>
                  <w:vMerge w:val="continue"/>
                  <w:noWrap w:val="0"/>
                  <w:vAlign w:val="center"/>
                </w:tcPr>
                <w:p w14:paraId="16D3EFF8">
                  <w:pPr>
                    <w:jc w:val="center"/>
                    <w:rPr>
                      <w:color w:val="auto"/>
                    </w:rPr>
                  </w:pPr>
                </w:p>
              </w:tc>
              <w:tc>
                <w:tcPr>
                  <w:tcW w:w="733" w:type="pct"/>
                  <w:noWrap w:val="0"/>
                  <w:vAlign w:val="center"/>
                </w:tcPr>
                <w:p w14:paraId="20B88EC5">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标准值</w:t>
                  </w:r>
                  <w:r>
                    <w:rPr>
                      <w:rFonts w:hint="eastAsia" w:ascii="Times New Roman" w:hAnsi="Times New Roman" w:eastAsia="宋体" w:cs="Times New Roman"/>
                      <w:color w:val="auto"/>
                      <w:szCs w:val="21"/>
                      <w:highlight w:val="none"/>
                      <w:lang w:val="en-US" w:eastAsia="zh-CN"/>
                    </w:rPr>
                    <w:t>*</w:t>
                  </w:r>
                </w:p>
              </w:tc>
              <w:tc>
                <w:tcPr>
                  <w:tcW w:w="536" w:type="pct"/>
                  <w:noWrap w:val="0"/>
                  <w:vAlign w:val="center"/>
                </w:tcPr>
                <w:p w14:paraId="218B52D7">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占标率/%</w:t>
                  </w:r>
                </w:p>
              </w:tc>
              <w:tc>
                <w:tcPr>
                  <w:tcW w:w="547" w:type="pct"/>
                  <w:noWrap w:val="0"/>
                  <w:vAlign w:val="center"/>
                </w:tcPr>
                <w:p w14:paraId="584E7190">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达标情况</w:t>
                  </w:r>
                </w:p>
              </w:tc>
            </w:tr>
            <w:tr w14:paraId="58CA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4035490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PM</w:t>
                  </w:r>
                  <w:r>
                    <w:rPr>
                      <w:rFonts w:hint="default" w:ascii="Times New Roman" w:hAnsi="Times New Roman" w:eastAsia="宋体" w:cs="Times New Roman"/>
                      <w:color w:val="auto"/>
                      <w:szCs w:val="21"/>
                      <w:highlight w:val="none"/>
                      <w:vertAlign w:val="subscript"/>
                      <w:lang w:eastAsia="zh-CN"/>
                    </w:rPr>
                    <w:t>10</w:t>
                  </w:r>
                </w:p>
              </w:tc>
              <w:tc>
                <w:tcPr>
                  <w:tcW w:w="1869" w:type="pct"/>
                  <w:noWrap w:val="0"/>
                  <w:vAlign w:val="center"/>
                </w:tcPr>
                <w:p w14:paraId="4D81E7B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2A1A60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78</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3CA80F6C">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w:t>
                  </w:r>
                  <w:r>
                    <w:rPr>
                      <w:rFonts w:hint="default" w:ascii="Times New Roman" w:hAnsi="Times New Roman" w:eastAsia="宋体" w:cs="Times New Roman"/>
                      <w:color w:val="auto"/>
                      <w:szCs w:val="21"/>
                      <w:highlight w:val="none"/>
                      <w:lang w:val="en-US" w:eastAsia="zh-CN"/>
                    </w:rPr>
                    <w:t>μg/m</w:t>
                  </w:r>
                  <w:r>
                    <w:rPr>
                      <w:rFonts w:hint="default" w:ascii="Times New Roman" w:hAnsi="Times New Roman" w:eastAsia="宋体" w:cs="Times New Roman"/>
                      <w:color w:val="auto"/>
                      <w:szCs w:val="21"/>
                      <w:highlight w:val="none"/>
                      <w:vertAlign w:val="superscript"/>
                      <w:lang w:val="en-US" w:eastAsia="zh-CN"/>
                    </w:rPr>
                    <w:t>3</w:t>
                  </w:r>
                </w:p>
              </w:tc>
              <w:tc>
                <w:tcPr>
                  <w:tcW w:w="536" w:type="pct"/>
                  <w:noWrap w:val="0"/>
                  <w:vAlign w:val="center"/>
                </w:tcPr>
                <w:p w14:paraId="26D4427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130</w:t>
                  </w:r>
                </w:p>
              </w:tc>
              <w:tc>
                <w:tcPr>
                  <w:tcW w:w="547" w:type="pct"/>
                  <w:noWrap w:val="0"/>
                  <w:vAlign w:val="center"/>
                </w:tcPr>
                <w:p w14:paraId="45A6B16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089B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0CD9E85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PM</w:t>
                  </w:r>
                  <w:r>
                    <w:rPr>
                      <w:rFonts w:hint="default" w:ascii="Times New Roman" w:hAnsi="Times New Roman" w:eastAsia="宋体" w:cs="Times New Roman"/>
                      <w:color w:val="auto"/>
                      <w:szCs w:val="21"/>
                      <w:highlight w:val="none"/>
                      <w:vertAlign w:val="subscript"/>
                      <w:lang w:eastAsia="zh-CN"/>
                    </w:rPr>
                    <w:t>2.5</w:t>
                  </w:r>
                </w:p>
              </w:tc>
              <w:tc>
                <w:tcPr>
                  <w:tcW w:w="1869" w:type="pct"/>
                  <w:noWrap w:val="0"/>
                  <w:vAlign w:val="center"/>
                </w:tcPr>
                <w:p w14:paraId="5DEC306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4CD452C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4</w:t>
                  </w: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7CAEFF1B">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lang w:val="en-US" w:eastAsia="zh-CN"/>
                    </w:rPr>
                    <w:t>μg/m</w:t>
                  </w:r>
                  <w:r>
                    <w:rPr>
                      <w:rFonts w:hint="default" w:ascii="Times New Roman" w:hAnsi="Times New Roman" w:eastAsia="宋体" w:cs="Times New Roman"/>
                      <w:color w:val="auto"/>
                      <w:szCs w:val="21"/>
                      <w:highlight w:val="none"/>
                      <w:vertAlign w:val="superscript"/>
                      <w:lang w:val="en-US" w:eastAsia="zh-CN"/>
                    </w:rPr>
                    <w:t>3</w:t>
                  </w:r>
                </w:p>
              </w:tc>
              <w:tc>
                <w:tcPr>
                  <w:tcW w:w="536" w:type="pct"/>
                  <w:noWrap w:val="0"/>
                  <w:vAlign w:val="center"/>
                </w:tcPr>
                <w:p w14:paraId="0E40102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150</w:t>
                  </w:r>
                </w:p>
              </w:tc>
              <w:tc>
                <w:tcPr>
                  <w:tcW w:w="547" w:type="pct"/>
                  <w:noWrap w:val="0"/>
                  <w:vAlign w:val="center"/>
                </w:tcPr>
                <w:p w14:paraId="73891F8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5E00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0C387FA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SO</w:t>
                  </w:r>
                  <w:r>
                    <w:rPr>
                      <w:rFonts w:hint="default" w:ascii="Times New Roman" w:hAnsi="Times New Roman" w:eastAsia="宋体" w:cs="Times New Roman"/>
                      <w:color w:val="auto"/>
                      <w:szCs w:val="21"/>
                      <w:highlight w:val="none"/>
                      <w:vertAlign w:val="subscript"/>
                      <w:lang w:eastAsia="zh-CN"/>
                    </w:rPr>
                    <w:t>2</w:t>
                  </w:r>
                </w:p>
              </w:tc>
              <w:tc>
                <w:tcPr>
                  <w:tcW w:w="1869" w:type="pct"/>
                  <w:noWrap w:val="0"/>
                  <w:vAlign w:val="center"/>
                </w:tcPr>
                <w:p w14:paraId="46284ED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5D2547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7ED0677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60μg/m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6646E91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8.33</w:t>
                  </w:r>
                </w:p>
              </w:tc>
              <w:tc>
                <w:tcPr>
                  <w:tcW w:w="547" w:type="pct"/>
                  <w:noWrap w:val="0"/>
                  <w:vAlign w:val="center"/>
                </w:tcPr>
                <w:p w14:paraId="460FF5F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5C2A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42BC7EC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NO</w:t>
                  </w:r>
                  <w:r>
                    <w:rPr>
                      <w:rFonts w:hint="default" w:ascii="Times New Roman" w:hAnsi="Times New Roman" w:eastAsia="宋体" w:cs="Times New Roman"/>
                      <w:color w:val="auto"/>
                      <w:szCs w:val="21"/>
                      <w:highlight w:val="none"/>
                      <w:vertAlign w:val="subscript"/>
                      <w:lang w:eastAsia="zh-CN"/>
                    </w:rPr>
                    <w:t>2</w:t>
                  </w:r>
                </w:p>
              </w:tc>
              <w:tc>
                <w:tcPr>
                  <w:tcW w:w="1869" w:type="pct"/>
                  <w:noWrap w:val="0"/>
                  <w:vAlign w:val="center"/>
                </w:tcPr>
                <w:p w14:paraId="1C7FBA6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1CE4C8EF">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27</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04CB739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40μg/m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55EEAA13">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67.5</w:t>
                  </w:r>
                </w:p>
              </w:tc>
              <w:tc>
                <w:tcPr>
                  <w:tcW w:w="547" w:type="pct"/>
                  <w:noWrap w:val="0"/>
                  <w:vAlign w:val="center"/>
                </w:tcPr>
                <w:p w14:paraId="37C44A0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531F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554D3B9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CO</w:t>
                  </w:r>
                </w:p>
              </w:tc>
              <w:tc>
                <w:tcPr>
                  <w:tcW w:w="1869" w:type="pct"/>
                  <w:noWrap w:val="0"/>
                  <w:vAlign w:val="center"/>
                </w:tcPr>
                <w:p w14:paraId="482E873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第95百分位数日平均值</w:t>
                  </w:r>
                </w:p>
              </w:tc>
              <w:tc>
                <w:tcPr>
                  <w:tcW w:w="733" w:type="pct"/>
                  <w:noWrap w:val="0"/>
                  <w:vAlign w:val="center"/>
                </w:tcPr>
                <w:p w14:paraId="01B2E7A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1.2</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lang w:eastAsia="zh-CN"/>
                    </w:rPr>
                    <w:t>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4343319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4</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lang w:eastAsia="zh-CN"/>
                    </w:rPr>
                    <w:t>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3D97605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0</w:t>
                  </w:r>
                </w:p>
              </w:tc>
              <w:tc>
                <w:tcPr>
                  <w:tcW w:w="547" w:type="pct"/>
                  <w:noWrap w:val="0"/>
                  <w:vAlign w:val="center"/>
                </w:tcPr>
                <w:p w14:paraId="35326B9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12CF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233A0F7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O</w:t>
                  </w:r>
                  <w:r>
                    <w:rPr>
                      <w:rFonts w:hint="default" w:ascii="Times New Roman" w:hAnsi="Times New Roman" w:eastAsia="宋体" w:cs="Times New Roman"/>
                      <w:color w:val="auto"/>
                      <w:szCs w:val="21"/>
                      <w:highlight w:val="none"/>
                      <w:vertAlign w:val="subscript"/>
                      <w:lang w:eastAsia="zh-CN"/>
                    </w:rPr>
                    <w:t>3</w:t>
                  </w:r>
                </w:p>
              </w:tc>
              <w:tc>
                <w:tcPr>
                  <w:tcW w:w="1869" w:type="pct"/>
                  <w:noWrap w:val="0"/>
                  <w:vAlign w:val="center"/>
                </w:tcPr>
                <w:p w14:paraId="44FBDE2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第90百分位数日最大8h平均值</w:t>
                  </w:r>
                </w:p>
              </w:tc>
              <w:tc>
                <w:tcPr>
                  <w:tcW w:w="733" w:type="pct"/>
                  <w:noWrap w:val="0"/>
                  <w:vAlign w:val="center"/>
                </w:tcPr>
                <w:p w14:paraId="1F850EA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18</w:t>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2610420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160μg/m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275FF32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11</w:t>
                  </w:r>
                  <w:r>
                    <w:rPr>
                      <w:rFonts w:hint="eastAsia" w:ascii="Times New Roman" w:hAnsi="Times New Roman" w:eastAsia="宋体" w:cs="Times New Roman"/>
                      <w:color w:val="auto"/>
                      <w:szCs w:val="21"/>
                      <w:highlight w:val="none"/>
                      <w:lang w:val="en-US" w:eastAsia="zh-CN"/>
                    </w:rPr>
                    <w:t>3.75</w:t>
                  </w:r>
                </w:p>
              </w:tc>
              <w:tc>
                <w:tcPr>
                  <w:tcW w:w="547" w:type="pct"/>
                  <w:noWrap w:val="0"/>
                  <w:vAlign w:val="center"/>
                </w:tcPr>
                <w:p w14:paraId="2F15A36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7404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000" w:type="pct"/>
                  <w:gridSpan w:val="6"/>
                  <w:noWrap w:val="0"/>
                  <w:vAlign w:val="center"/>
                </w:tcPr>
                <w:p w14:paraId="0D6AF5DF">
                  <w:pPr>
                    <w:jc w:val="center"/>
                    <w:rPr>
                      <w:rFonts w:hint="default"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*取自</w:t>
                  </w:r>
                  <w:r>
                    <w:rPr>
                      <w:rFonts w:hint="default" w:ascii="Times New Roman" w:hAnsi="Times New Roman" w:eastAsia="宋体" w:cs="Times New Roman"/>
                      <w:color w:val="auto"/>
                      <w:szCs w:val="21"/>
                      <w:highlight w:val="none"/>
                      <w:lang w:eastAsia="zh-CN"/>
                    </w:rPr>
                    <w:t>《环境空气质量标准》（GB3095-20</w:t>
                  </w:r>
                  <w:r>
                    <w:rPr>
                      <w:rFonts w:hint="eastAsia" w:ascii="Times New Roman" w:hAnsi="Times New Roman" w:eastAsia="宋体" w:cs="Times New Roman"/>
                      <w:color w:val="auto"/>
                      <w:szCs w:val="21"/>
                      <w:highlight w:val="none"/>
                      <w:lang w:val="en-US" w:eastAsia="zh-CN"/>
                    </w:rPr>
                    <w:t>26</w:t>
                  </w:r>
                  <w:r>
                    <w:rPr>
                      <w:rFonts w:hint="default"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表1“过渡阶段浓度限值”二级标准</w:t>
                  </w:r>
                </w:p>
              </w:tc>
            </w:tr>
          </w:tbl>
          <w:p w14:paraId="5100CF3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w:t>
            </w:r>
            <w:r>
              <w:rPr>
                <w:rFonts w:hint="default" w:ascii="Times New Roman" w:hAnsi="Times New Roman" w:eastAsia="宋体" w:cs="Times New Roman"/>
                <w:bCs/>
                <w:color w:val="auto"/>
                <w:sz w:val="24"/>
                <w:szCs w:val="28"/>
              </w:rPr>
              <w:t>《石家庄市生态环境状况公报（2024年）》</w:t>
            </w:r>
            <w:r>
              <w:rPr>
                <w:rFonts w:hint="eastAsia" w:ascii="Times New Roman" w:hAnsi="Times New Roman" w:eastAsia="宋体" w:cs="Times New Roman"/>
                <w:color w:val="auto"/>
                <w:sz w:val="24"/>
                <w:szCs w:val="24"/>
                <w:lang w:val="en-US" w:eastAsia="zh-CN"/>
              </w:rPr>
              <w:t>数据，对照《环境空气质量标准》（GB3095-2026）过渡期标准，石家庄市常规大气污染物中，</w:t>
            </w: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、CO</w:t>
            </w:r>
            <w:r>
              <w:rPr>
                <w:rFonts w:hint="eastAsia" w:ascii="Times New Roman" w:hAnsi="Times New Roman" w:eastAsia="宋体" w:cs="Times New Roman"/>
                <w:color w:val="auto"/>
                <w:sz w:val="24"/>
                <w:szCs w:val="24"/>
                <w:lang w:val="en-US" w:eastAsia="zh-CN"/>
              </w:rPr>
              <w:t>年均或百分位数浓度均满足二级标准要求；而</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2.5</w:t>
            </w:r>
            <w:r>
              <w:rPr>
                <w:rFonts w:hint="default" w:ascii="Times New Roman" w:hAnsi="Times New Roman" w:eastAsia="宋体" w:cs="Times New Roman"/>
                <w:color w:val="auto"/>
                <w:sz w:val="24"/>
                <w:szCs w:val="24"/>
              </w:rPr>
              <w:t>、O</w:t>
            </w:r>
            <w:r>
              <w:rPr>
                <w:rFonts w:hint="default" w:ascii="Times New Roman" w:hAnsi="Times New Roman" w:eastAsia="宋体" w:cs="Times New Roman"/>
                <w:color w:val="auto"/>
                <w:sz w:val="24"/>
                <w:szCs w:val="24"/>
                <w:vertAlign w:val="subscript"/>
              </w:rPr>
              <w:t>3</w:t>
            </w:r>
            <w:r>
              <w:rPr>
                <w:rFonts w:hint="eastAsia" w:ascii="Times New Roman" w:hAnsi="Times New Roman" w:eastAsia="宋体" w:cs="Times New Roman"/>
                <w:color w:val="auto"/>
                <w:sz w:val="24"/>
                <w:szCs w:val="24"/>
                <w:lang w:val="en-US" w:eastAsia="zh-CN"/>
              </w:rPr>
              <w:t>的评价指标均超标，均未达到二级标准限值。依据《环境影响评价技术导则 大气环境》（HJ2.2-2018）相关规定，项目所在区域属于不达标区。</w:t>
            </w:r>
          </w:p>
          <w:p w14:paraId="21C1D82D">
            <w:pPr>
              <w:pStyle w:val="86"/>
              <w:keepNext w:val="0"/>
              <w:keepLines w:val="0"/>
              <w:pageBreakBefore w:val="0"/>
              <w:widowControl w:val="0"/>
              <w:shd w:val="clear" w:color="auto" w:fill="auto"/>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（2）其他污染物环境质量现状数据</w:t>
            </w:r>
          </w:p>
          <w:p w14:paraId="5E5531F9">
            <w:pPr>
              <w:pStyle w:val="86"/>
              <w:keepNext w:val="0"/>
              <w:keepLines w:val="0"/>
              <w:pageBreakBefore w:val="0"/>
              <w:widowControl w:val="0"/>
              <w:shd w:val="clear" w:color="auto" w:fill="auto"/>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委托</w:t>
            </w:r>
            <w:r>
              <w:rPr>
                <w:rFonts w:hint="eastAsia"/>
                <w:color w:val="auto"/>
                <w:sz w:val="24"/>
                <w:highlight w:val="none"/>
                <w:lang w:val="en-US" w:eastAsia="zh-CN"/>
              </w:rPr>
              <w:t>冀检联(唐山)环境检测技术有限公司</w:t>
            </w:r>
            <w:r>
              <w:rPr>
                <w:rFonts w:hint="eastAsia" w:cs="Times New Roman"/>
                <w:color w:val="auto"/>
                <w:highlight w:val="none"/>
                <w:lang w:val="en-US" w:eastAsia="zh-CN"/>
              </w:rPr>
              <w:t>对厂区下风向环境空气质量进行了监测</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采样</w:t>
            </w:r>
            <w:r>
              <w:rPr>
                <w:rFonts w:hint="default" w:ascii="Times New Roman" w:hAnsi="Times New Roman" w:cs="Times New Roman"/>
                <w:color w:val="auto"/>
                <w:highlight w:val="none"/>
                <w:lang w:val="en-US" w:eastAsia="zh-CN"/>
              </w:rPr>
              <w:t>时间为202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15</w:t>
            </w:r>
            <w:r>
              <w:rPr>
                <w:rFonts w:hint="default" w:ascii="Times New Roman" w:hAnsi="Times New Roman" w:cs="Times New Roman"/>
                <w:color w:val="auto"/>
                <w:highlight w:val="none"/>
                <w:lang w:val="en-US" w:eastAsia="zh-CN"/>
              </w:rPr>
              <w:t>日-202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17</w:t>
            </w:r>
            <w:r>
              <w:rPr>
                <w:rFonts w:hint="default" w:ascii="Times New Roman" w:hAnsi="Times New Roman" w:cs="Times New Roman"/>
                <w:color w:val="auto"/>
                <w:highlight w:val="none"/>
                <w:lang w:val="en-US" w:eastAsia="zh-CN"/>
              </w:rPr>
              <w:t>日，</w:t>
            </w:r>
            <w:r>
              <w:rPr>
                <w:rFonts w:hint="default" w:ascii="Times New Roman" w:hAnsi="Times New Roman" w:cs="Times New Roman"/>
                <w:color w:val="auto"/>
                <w:highlight w:val="none"/>
              </w:rPr>
              <w:t>具体数据见表3-2。</w:t>
            </w:r>
          </w:p>
          <w:p w14:paraId="5750032B">
            <w:pPr>
              <w:pStyle w:val="86"/>
              <w:shd w:val="clear" w:color="auto" w:fill="auto"/>
              <w:ind w:firstLine="0" w:firstLineChars="0"/>
              <w:jc w:val="center"/>
              <w:rPr>
                <w:rFonts w:hint="default" w:ascii="Times New Roman" w:hAnsi="Times New Roman" w:cs="Times New Roman"/>
                <w:b/>
                <w:bCs/>
                <w:color w:val="auto"/>
                <w:highlight w:val="none"/>
              </w:rPr>
            </w:pPr>
          </w:p>
          <w:p w14:paraId="6A21D4B5">
            <w:pPr>
              <w:pStyle w:val="86"/>
              <w:shd w:val="clear" w:color="auto" w:fill="auto"/>
              <w:ind w:firstLine="0" w:firstLineChars="0"/>
              <w:jc w:val="center"/>
              <w:rPr>
                <w:rFonts w:hint="default" w:ascii="Times New Roman" w:hAnsi="Times New Roman" w:cs="Times New Roman"/>
                <w:b/>
                <w:bCs/>
                <w:color w:val="auto"/>
                <w:highlight w:val="none"/>
              </w:rPr>
            </w:pPr>
          </w:p>
          <w:p w14:paraId="1D02E61A">
            <w:pPr>
              <w:pStyle w:val="86"/>
              <w:shd w:val="clear" w:color="auto" w:fill="auto"/>
              <w:ind w:firstLine="0" w:firstLineChars="0"/>
              <w:jc w:val="center"/>
              <w:rPr>
                <w:rFonts w:hint="default" w:ascii="Times New Roman" w:hAnsi="Times New Roman" w:cs="Times New Roman"/>
                <w:b/>
                <w:bCs/>
                <w:color w:val="auto"/>
                <w:highlight w:val="none"/>
              </w:rPr>
            </w:pPr>
          </w:p>
          <w:p w14:paraId="3555697A">
            <w:pPr>
              <w:pStyle w:val="86"/>
              <w:shd w:val="clear" w:color="auto" w:fill="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 xml:space="preserve">表3-2  </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rPr>
              <w:t>TSP监测数据一览表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2331"/>
              <w:gridCol w:w="1485"/>
              <w:gridCol w:w="1008"/>
              <w:gridCol w:w="598"/>
              <w:gridCol w:w="1049"/>
              <w:gridCol w:w="763"/>
              <w:gridCol w:w="983"/>
            </w:tblGrid>
            <w:tr w14:paraId="5899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1418" w:type="pct"/>
                  <w:noWrap w:val="0"/>
                  <w:tcMar>
                    <w:top w:w="0" w:type="dxa"/>
                    <w:left w:w="28" w:type="dxa"/>
                    <w:bottom w:w="0" w:type="dxa"/>
                    <w:right w:w="28" w:type="dxa"/>
                  </w:tcMar>
                  <w:vAlign w:val="center"/>
                </w:tcPr>
                <w:p w14:paraId="6BB976A0">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采样点位</w:t>
                  </w:r>
                </w:p>
              </w:tc>
              <w:tc>
                <w:tcPr>
                  <w:tcW w:w="903" w:type="pct"/>
                  <w:noWrap w:val="0"/>
                  <w:tcMar>
                    <w:top w:w="0" w:type="dxa"/>
                    <w:left w:w="28" w:type="dxa"/>
                    <w:bottom w:w="0" w:type="dxa"/>
                    <w:right w:w="28" w:type="dxa"/>
                  </w:tcMar>
                  <w:vAlign w:val="center"/>
                </w:tcPr>
                <w:p w14:paraId="40107A85">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采样日期</w:t>
                  </w:r>
                </w:p>
              </w:tc>
              <w:tc>
                <w:tcPr>
                  <w:tcW w:w="613" w:type="pct"/>
                  <w:noWrap w:val="0"/>
                  <w:tcMar>
                    <w:top w:w="0" w:type="dxa"/>
                    <w:left w:w="28" w:type="dxa"/>
                    <w:bottom w:w="0" w:type="dxa"/>
                    <w:right w:w="28" w:type="dxa"/>
                  </w:tcMar>
                  <w:vAlign w:val="center"/>
                </w:tcPr>
                <w:p w14:paraId="1BF3EDCE">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检测项目</w:t>
                  </w:r>
                </w:p>
              </w:tc>
              <w:tc>
                <w:tcPr>
                  <w:tcW w:w="364" w:type="pct"/>
                  <w:noWrap w:val="0"/>
                  <w:tcMar>
                    <w:top w:w="0" w:type="dxa"/>
                    <w:left w:w="28" w:type="dxa"/>
                    <w:bottom w:w="0" w:type="dxa"/>
                    <w:right w:w="28" w:type="dxa"/>
                  </w:tcMar>
                  <w:vAlign w:val="center"/>
                </w:tcPr>
                <w:p w14:paraId="0211393D">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单位</w:t>
                  </w:r>
                </w:p>
              </w:tc>
              <w:tc>
                <w:tcPr>
                  <w:tcW w:w="638" w:type="pct"/>
                  <w:noWrap w:val="0"/>
                  <w:tcMar>
                    <w:top w:w="0" w:type="dxa"/>
                    <w:left w:w="28" w:type="dxa"/>
                    <w:bottom w:w="0" w:type="dxa"/>
                    <w:right w:w="28" w:type="dxa"/>
                  </w:tcMar>
                  <w:vAlign w:val="center"/>
                </w:tcPr>
                <w:p w14:paraId="38F13D8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检测结果</w:t>
                  </w:r>
                </w:p>
              </w:tc>
              <w:tc>
                <w:tcPr>
                  <w:tcW w:w="464" w:type="pct"/>
                  <w:noWrap w:val="0"/>
                  <w:tcMar>
                    <w:top w:w="0" w:type="dxa"/>
                    <w:left w:w="28" w:type="dxa"/>
                    <w:bottom w:w="0" w:type="dxa"/>
                    <w:right w:w="28" w:type="dxa"/>
                  </w:tcMar>
                  <w:vAlign w:val="center"/>
                </w:tcPr>
                <w:p w14:paraId="38D8720E">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标准值</w:t>
                  </w:r>
                </w:p>
              </w:tc>
              <w:tc>
                <w:tcPr>
                  <w:tcW w:w="598" w:type="pct"/>
                  <w:noWrap w:val="0"/>
                  <w:tcMar>
                    <w:top w:w="0" w:type="dxa"/>
                    <w:left w:w="28" w:type="dxa"/>
                    <w:bottom w:w="0" w:type="dxa"/>
                    <w:right w:w="28" w:type="dxa"/>
                  </w:tcMar>
                  <w:vAlign w:val="center"/>
                </w:tcPr>
                <w:p w14:paraId="6D08D557">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达标情况</w:t>
                  </w:r>
                </w:p>
              </w:tc>
            </w:tr>
            <w:tr w14:paraId="71BE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1418" w:type="pct"/>
                  <w:noWrap w:val="0"/>
                  <w:tcMar>
                    <w:top w:w="0" w:type="dxa"/>
                    <w:left w:w="28" w:type="dxa"/>
                    <w:bottom w:w="0" w:type="dxa"/>
                    <w:right w:w="28" w:type="dxa"/>
                  </w:tcMar>
                  <w:vAlign w:val="center"/>
                </w:tcPr>
                <w:p w14:paraId="4E081CC8">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下风向300m</w:t>
                  </w:r>
                </w:p>
              </w:tc>
              <w:tc>
                <w:tcPr>
                  <w:tcW w:w="903" w:type="pct"/>
                  <w:noWrap w:val="0"/>
                  <w:tcMar>
                    <w:top w:w="0" w:type="dxa"/>
                    <w:left w:w="28" w:type="dxa"/>
                    <w:bottom w:w="0" w:type="dxa"/>
                    <w:right w:w="28" w:type="dxa"/>
                  </w:tcMar>
                  <w:vAlign w:val="center"/>
                </w:tcPr>
                <w:p w14:paraId="0ACC747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202</w:t>
                  </w: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3.15-3.17</w:t>
                  </w:r>
                </w:p>
              </w:tc>
              <w:tc>
                <w:tcPr>
                  <w:tcW w:w="613" w:type="pct"/>
                  <w:noWrap w:val="0"/>
                  <w:tcMar>
                    <w:top w:w="0" w:type="dxa"/>
                    <w:left w:w="28" w:type="dxa"/>
                    <w:bottom w:w="0" w:type="dxa"/>
                    <w:right w:w="28" w:type="dxa"/>
                  </w:tcMar>
                  <w:vAlign w:val="center"/>
                </w:tcPr>
                <w:p w14:paraId="10CBAE82">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TSP</w:t>
                  </w:r>
                </w:p>
              </w:tc>
              <w:tc>
                <w:tcPr>
                  <w:tcW w:w="364" w:type="pct"/>
                  <w:noWrap w:val="0"/>
                  <w:tcMar>
                    <w:top w:w="0" w:type="dxa"/>
                    <w:left w:w="28" w:type="dxa"/>
                    <w:bottom w:w="0" w:type="dxa"/>
                    <w:right w:w="28" w:type="dxa"/>
                  </w:tcMar>
                  <w:vAlign w:val="center"/>
                </w:tcPr>
                <w:p w14:paraId="0521F7D6">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ug/m</w:t>
                  </w:r>
                  <w:r>
                    <w:rPr>
                      <w:rFonts w:hint="default" w:ascii="Times New Roman" w:hAnsi="Times New Roman" w:cs="Times New Roman"/>
                      <w:color w:val="auto"/>
                      <w:sz w:val="21"/>
                      <w:szCs w:val="21"/>
                      <w:highlight w:val="none"/>
                      <w:vertAlign w:val="superscript"/>
                    </w:rPr>
                    <w:t>3</w:t>
                  </w:r>
                </w:p>
              </w:tc>
              <w:tc>
                <w:tcPr>
                  <w:tcW w:w="638" w:type="pct"/>
                  <w:noWrap w:val="0"/>
                  <w:tcMar>
                    <w:top w:w="0" w:type="dxa"/>
                    <w:left w:w="28" w:type="dxa"/>
                    <w:bottom w:w="0" w:type="dxa"/>
                    <w:right w:w="28" w:type="dxa"/>
                  </w:tcMar>
                  <w:vAlign w:val="center"/>
                </w:tcPr>
                <w:p w14:paraId="1CD07751">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216</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252</w:t>
                  </w:r>
                </w:p>
              </w:tc>
              <w:tc>
                <w:tcPr>
                  <w:tcW w:w="464" w:type="pct"/>
                  <w:noWrap w:val="0"/>
                  <w:tcMar>
                    <w:top w:w="0" w:type="dxa"/>
                    <w:left w:w="28" w:type="dxa"/>
                    <w:bottom w:w="0" w:type="dxa"/>
                    <w:right w:w="28" w:type="dxa"/>
                  </w:tcMar>
                  <w:vAlign w:val="center"/>
                </w:tcPr>
                <w:p w14:paraId="371ADD6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≤300</w:t>
                  </w:r>
                </w:p>
              </w:tc>
              <w:tc>
                <w:tcPr>
                  <w:tcW w:w="598" w:type="pct"/>
                  <w:noWrap w:val="0"/>
                  <w:tcMar>
                    <w:top w:w="0" w:type="dxa"/>
                    <w:left w:w="28" w:type="dxa"/>
                    <w:bottom w:w="0" w:type="dxa"/>
                    <w:right w:w="28" w:type="dxa"/>
                  </w:tcMar>
                  <w:vAlign w:val="center"/>
                </w:tcPr>
                <w:p w14:paraId="5F8E7E9F">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0AD307F7">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lang w:val="en-US" w:eastAsia="zh-CN"/>
              </w:rPr>
              <w:t>由上表可知，TSP满足《环境空气质量标准》（GB 3095 -20</w:t>
            </w:r>
            <w:r>
              <w:rPr>
                <w:rFonts w:hint="eastAsia" w:cs="Times New Roman"/>
                <w:color w:val="auto"/>
                <w:sz w:val="24"/>
                <w:szCs w:val="24"/>
                <w:highlight w:val="none"/>
                <w:lang w:val="en-US" w:eastAsia="zh-CN"/>
              </w:rPr>
              <w:t>26</w:t>
            </w:r>
            <w:r>
              <w:rPr>
                <w:rFonts w:hint="default" w:ascii="Times New Roman" w:hAnsi="Times New Roman" w:cs="Times New Roman"/>
                <w:color w:val="auto"/>
                <w:sz w:val="24"/>
                <w:szCs w:val="24"/>
                <w:highlight w:val="none"/>
                <w:lang w:val="en-US" w:eastAsia="zh-CN"/>
              </w:rPr>
              <w:t>）二级标准</w:t>
            </w:r>
            <w:r>
              <w:rPr>
                <w:rFonts w:hint="default" w:ascii="Times New Roman" w:hAnsi="Times New Roman" w:cs="Times New Roman"/>
                <w:color w:val="auto"/>
                <w:highlight w:val="none"/>
              </w:rPr>
              <w:t>。</w:t>
            </w:r>
          </w:p>
          <w:p w14:paraId="29B9494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2、声环境质量现状</w:t>
            </w:r>
          </w:p>
          <w:p w14:paraId="30008F1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kern w:val="0"/>
                <w:position w:val="2"/>
              </w:rPr>
              <w:t>根据《建设项目环境影响报告表编制技术指南</w:t>
            </w:r>
            <w:r>
              <w:rPr>
                <w:rFonts w:hint="default" w:ascii="Times New Roman" w:hAnsi="Times New Roman" w:cs="Times New Roman"/>
                <w:color w:val="auto"/>
              </w:rPr>
              <w:t>（污染影响类）（试行）</w:t>
            </w:r>
            <w:r>
              <w:rPr>
                <w:rFonts w:hint="default" w:ascii="Times New Roman" w:hAnsi="Times New Roman" w:cs="Times New Roman"/>
                <w:color w:val="auto"/>
                <w:kern w:val="0"/>
                <w:position w:val="2"/>
              </w:rPr>
              <w:t>》要求，</w:t>
            </w:r>
            <w:r>
              <w:rPr>
                <w:rFonts w:hint="default" w:ascii="Times New Roman" w:hAnsi="Times New Roman" w:cs="Times New Roman"/>
                <w:color w:val="auto"/>
                <w:kern w:val="0"/>
                <w:position w:val="2"/>
                <w:lang w:val="en-US" w:eastAsia="zh-CN"/>
              </w:rPr>
              <w:t>项目</w:t>
            </w:r>
            <w:r>
              <w:rPr>
                <w:rFonts w:hint="default" w:ascii="Times New Roman" w:hAnsi="Times New Roman" w:cs="Times New Roman"/>
                <w:color w:val="auto"/>
                <w:kern w:val="0"/>
                <w:position w:val="2"/>
              </w:rPr>
              <w:t>外周边50米范围内不存在声环境保护目标，</w:t>
            </w:r>
            <w:r>
              <w:rPr>
                <w:rFonts w:hint="default" w:ascii="Times New Roman" w:hAnsi="Times New Roman" w:cs="Times New Roman"/>
                <w:color w:val="auto"/>
              </w:rPr>
              <w:t>不需进行声环境质量现状监测及评价。</w:t>
            </w:r>
          </w:p>
          <w:p w14:paraId="7513A93F">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3、地下水环境质量现状</w:t>
            </w:r>
          </w:p>
          <w:p w14:paraId="6B294AA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highlight w:val="none"/>
              </w:rPr>
              <w:t>本项目不存在</w:t>
            </w:r>
            <w:r>
              <w:rPr>
                <w:rFonts w:hint="default" w:ascii="Times New Roman" w:hAnsi="Times New Roman" w:cs="Times New Roman"/>
                <w:color w:val="auto"/>
                <w:highlight w:val="none"/>
                <w:lang w:bidi="ar"/>
              </w:rPr>
              <w:t>土壤、地下水环境污染途径</w:t>
            </w:r>
            <w:r>
              <w:rPr>
                <w:rFonts w:hint="default" w:ascii="Times New Roman" w:hAnsi="Times New Roman" w:cs="Times New Roman"/>
                <w:color w:val="auto"/>
              </w:rPr>
              <w:t>。根据《建设项目环境影响报告表编制技术指南（污染影响类）（试行）》中要求，地下水环境原则上不开展环境质量现状调查。</w:t>
            </w:r>
          </w:p>
          <w:p w14:paraId="7E17ABC6">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4、地表水环境质量现状</w:t>
            </w:r>
          </w:p>
          <w:p w14:paraId="386A59B7">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项目附近无地表河流，距项目最近的河流为项目东侧11.3km处的冶河，</w:t>
            </w:r>
            <w:r>
              <w:rPr>
                <w:rFonts w:hint="default" w:ascii="Times New Roman" w:hAnsi="Times New Roman" w:cs="Times New Roman"/>
                <w:color w:val="auto"/>
              </w:rPr>
              <w:t>根据石家庄市生态环境局</w:t>
            </w:r>
            <w:r>
              <w:rPr>
                <w:bCs/>
                <w:color w:val="auto"/>
              </w:rPr>
              <w:t>《石家庄市</w:t>
            </w:r>
            <w:r>
              <w:rPr>
                <w:rFonts w:hint="eastAsia"/>
                <w:bCs/>
                <w:color w:val="auto"/>
              </w:rPr>
              <w:t>生态</w:t>
            </w:r>
            <w:r>
              <w:rPr>
                <w:bCs/>
                <w:color w:val="auto"/>
              </w:rPr>
              <w:t>环境</w:t>
            </w:r>
            <w:r>
              <w:rPr>
                <w:rFonts w:hint="eastAsia"/>
                <w:bCs/>
                <w:color w:val="auto"/>
              </w:rPr>
              <w:t>状况公报（2024年）</w:t>
            </w:r>
            <w:r>
              <w:rPr>
                <w:bCs/>
                <w:color w:val="auto"/>
              </w:rPr>
              <w:t>》</w:t>
            </w:r>
            <w:r>
              <w:rPr>
                <w:rFonts w:hint="default" w:ascii="Times New Roman" w:hAnsi="Times New Roman" w:cs="Times New Roman"/>
                <w:color w:val="auto"/>
              </w:rPr>
              <w:t>中相关数据可知：2024年，石家庄市地表水环境质量总体保持稳定，水质状况为轻度污染，其中绵河-冶河水质状况为优。</w:t>
            </w:r>
          </w:p>
          <w:p w14:paraId="07564B7B">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5、土壤环境质量现状</w:t>
            </w:r>
          </w:p>
          <w:p w14:paraId="2A975909">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本项目不存在</w:t>
            </w:r>
            <w:r>
              <w:rPr>
                <w:rFonts w:hint="default" w:ascii="Times New Roman" w:hAnsi="Times New Roman" w:cs="Times New Roman"/>
                <w:color w:val="auto"/>
                <w:highlight w:val="none"/>
                <w:lang w:bidi="ar"/>
              </w:rPr>
              <w:t>土壤、地下水环境污染途径</w:t>
            </w:r>
            <w:r>
              <w:rPr>
                <w:rFonts w:hint="default" w:ascii="Times New Roman" w:hAnsi="Times New Roman" w:cs="Times New Roman"/>
                <w:color w:val="auto"/>
                <w:highlight w:val="none"/>
              </w:rPr>
              <w:t>，根据《建设项目环境影响报告表编制技术指南（污染影响类）（试行）》中要求，土壤环境原则上不开展环境质量现状调查。</w:t>
            </w:r>
          </w:p>
          <w:p w14:paraId="7720ABD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b/>
                <w:bCs/>
                <w:color w:val="auto"/>
              </w:rPr>
            </w:pPr>
            <w:r>
              <w:rPr>
                <w:rFonts w:hint="eastAsia" w:ascii="Times New Roman" w:hAnsi="Times New Roman" w:eastAsia="宋体" w:cs="Times New Roman"/>
                <w:b/>
                <w:bCs/>
                <w:color w:val="auto"/>
                <w:lang w:val="en-US" w:eastAsia="zh-CN"/>
              </w:rPr>
              <w:t>6</w:t>
            </w:r>
            <w:r>
              <w:rPr>
                <w:rFonts w:hint="default" w:ascii="Times New Roman" w:hAnsi="Times New Roman" w:eastAsia="宋体" w:cs="Times New Roman"/>
                <w:b/>
                <w:bCs/>
                <w:color w:val="auto"/>
              </w:rPr>
              <w:t>、生态环境</w:t>
            </w:r>
          </w:p>
          <w:p w14:paraId="2657B6F5">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本</w:t>
            </w:r>
            <w:r>
              <w:rPr>
                <w:rFonts w:hint="eastAsia" w:ascii="Times New Roman" w:hAnsi="Times New Roman" w:eastAsia="宋体" w:cs="Times New Roman"/>
                <w:color w:val="auto"/>
                <w:spacing w:val="0"/>
                <w:sz w:val="24"/>
                <w:szCs w:val="24"/>
                <w:highlight w:val="none"/>
                <w:lang w:val="en-US" w:eastAsia="zh-CN"/>
              </w:rPr>
              <w:t>项目位于石家庄市井陉矿区河北鸿科碳素有限公司内</w:t>
            </w:r>
            <w:r>
              <w:rPr>
                <w:rFonts w:hint="default" w:ascii="Times New Roman" w:hAnsi="Times New Roman" w:eastAsia="宋体" w:cs="Times New Roman"/>
                <w:color w:val="auto"/>
                <w:spacing w:val="0"/>
                <w:sz w:val="24"/>
                <w:szCs w:val="24"/>
                <w:highlight w:val="none"/>
                <w:lang w:val="en-US" w:eastAsia="zh-CN"/>
              </w:rPr>
              <w:t>，项目占地为</w:t>
            </w:r>
            <w:r>
              <w:rPr>
                <w:rFonts w:hint="eastAsia" w:ascii="Times New Roman" w:hAnsi="Times New Roman" w:eastAsia="宋体" w:cs="Times New Roman"/>
                <w:color w:val="auto"/>
                <w:spacing w:val="0"/>
                <w:sz w:val="24"/>
                <w:szCs w:val="24"/>
                <w:highlight w:val="none"/>
                <w:lang w:val="en-US" w:eastAsia="zh-CN"/>
              </w:rPr>
              <w:t>工业</w:t>
            </w:r>
            <w:r>
              <w:rPr>
                <w:rFonts w:hint="default" w:ascii="Times New Roman" w:hAnsi="Times New Roman" w:eastAsia="宋体" w:cs="Times New Roman"/>
                <w:color w:val="auto"/>
                <w:spacing w:val="0"/>
                <w:sz w:val="24"/>
                <w:szCs w:val="24"/>
                <w:highlight w:val="none"/>
                <w:lang w:val="en-US" w:eastAsia="zh-CN"/>
              </w:rPr>
              <w:t>用地，所在区域无生态环境保护目标，因此不再进行生态现状调查。</w:t>
            </w:r>
          </w:p>
          <w:p w14:paraId="5B30C90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eastAsia" w:cs="Times New Roman"/>
                <w:b/>
                <w:bCs/>
                <w:color w:val="auto"/>
                <w:lang w:val="en-US" w:eastAsia="zh-CN"/>
              </w:rPr>
              <w:t>7</w:t>
            </w:r>
            <w:r>
              <w:rPr>
                <w:rFonts w:hint="default" w:ascii="Times New Roman" w:hAnsi="Times New Roman" w:cs="Times New Roman"/>
                <w:b/>
                <w:bCs/>
                <w:color w:val="auto"/>
                <w:lang w:val="en-US" w:eastAsia="zh-CN"/>
              </w:rPr>
              <w:t>、电磁辐射</w:t>
            </w:r>
          </w:p>
          <w:p w14:paraId="3AC2E63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不属于新建或改建、扩建广播电台、差转台、电视塔台、卫星地球上行站、雷达等电磁辐射类项目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不需进行电磁辐射现状开展监测与评价</w:t>
            </w:r>
            <w:r>
              <w:rPr>
                <w:rFonts w:hint="default" w:ascii="Times New Roman" w:hAnsi="Times New Roman" w:cs="Times New Roman"/>
                <w:color w:val="auto"/>
                <w:highlight w:val="none"/>
              </w:rPr>
              <w:t>。</w:t>
            </w:r>
          </w:p>
        </w:tc>
      </w:tr>
      <w:tr w14:paraId="1E5A0A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60" w:hRule="atLeast"/>
          <w:jc w:val="center"/>
        </w:trPr>
        <w:tc>
          <w:tcPr>
            <w:tcW w:w="616" w:type="dxa"/>
            <w:noWrap w:val="0"/>
            <w:vAlign w:val="center"/>
          </w:tcPr>
          <w:p w14:paraId="57B1BE6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14:paraId="4EF2032B">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保护</w:t>
            </w:r>
          </w:p>
          <w:p w14:paraId="26F5D215">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目标</w:t>
            </w:r>
          </w:p>
        </w:tc>
        <w:tc>
          <w:tcPr>
            <w:tcW w:w="8443" w:type="dxa"/>
            <w:noWrap w:val="0"/>
            <w:vAlign w:val="center"/>
          </w:tcPr>
          <w:p w14:paraId="7CBE7302">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1、大气环境</w:t>
            </w:r>
          </w:p>
          <w:p w14:paraId="58DDBDC3">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color w:val="auto"/>
                <w:kern w:val="1"/>
                <w:sz w:val="24"/>
                <w:lang w:val="en-US" w:eastAsia="zh-CN"/>
              </w:rPr>
              <w:t>本项目厂界外</w:t>
            </w:r>
            <w:r>
              <w:rPr>
                <w:rFonts w:hint="eastAsia"/>
                <w:color w:val="auto"/>
                <w:kern w:val="1"/>
                <w:sz w:val="24"/>
              </w:rPr>
              <w:t>500m范围内无自然保护区、居住区、文化区和农村地区中人群较集中的区域等保护目标</w:t>
            </w:r>
            <w:r>
              <w:rPr>
                <w:rFonts w:hint="eastAsia"/>
                <w:color w:val="auto"/>
                <w:kern w:val="1"/>
                <w:sz w:val="24"/>
                <w:lang w:eastAsia="zh-CN"/>
              </w:rPr>
              <w:t>，</w:t>
            </w:r>
            <w:r>
              <w:rPr>
                <w:rFonts w:hint="eastAsia"/>
                <w:color w:val="auto"/>
                <w:kern w:val="1"/>
                <w:sz w:val="24"/>
                <w:lang w:val="en-US" w:eastAsia="zh-CN"/>
              </w:rPr>
              <w:t>大气环境保护目标为厂界西北侧450m处的清凉山风景名胜区</w:t>
            </w:r>
            <w:r>
              <w:rPr>
                <w:rFonts w:hint="default" w:ascii="Times New Roman" w:hAnsi="Times New Roman" w:cs="Times New Roman"/>
                <w:color w:val="auto"/>
                <w:sz w:val="24"/>
              </w:rPr>
              <w:t>。</w:t>
            </w:r>
            <w:r>
              <w:rPr>
                <w:rFonts w:hint="eastAsia" w:cs="Times New Roman"/>
                <w:color w:val="auto"/>
                <w:sz w:val="24"/>
                <w:lang w:val="en-US" w:eastAsia="zh-CN"/>
              </w:rPr>
              <w:t>其中，</w:t>
            </w:r>
            <w:r>
              <w:rPr>
                <w:rFonts w:hint="default" w:ascii="Times New Roman" w:hAnsi="Times New Roman" w:eastAsia="宋体" w:cs="Times New Roman"/>
                <w:snapToGrid w:val="0"/>
                <w:color w:val="000000"/>
                <w:sz w:val="24"/>
                <w:szCs w:val="20"/>
                <w:highlight w:val="none"/>
              </w:rPr>
              <w:t>清凉山风景名胜区为一类区，保护级别</w:t>
            </w:r>
            <w:r>
              <w:rPr>
                <w:rFonts w:hint="default" w:ascii="Times New Roman" w:hAnsi="Times New Roman" w:cs="Times New Roman"/>
                <w:snapToGrid w:val="0"/>
                <w:color w:val="000000"/>
                <w:sz w:val="24"/>
                <w:szCs w:val="20"/>
                <w:highlight w:val="none"/>
                <w:lang w:val="en-US" w:eastAsia="zh-CN"/>
              </w:rPr>
              <w:t>需</w:t>
            </w:r>
            <w:r>
              <w:rPr>
                <w:rFonts w:hint="default" w:ascii="Times New Roman" w:hAnsi="Times New Roman" w:eastAsia="宋体" w:cs="Times New Roman"/>
                <w:snapToGrid w:val="0"/>
                <w:color w:val="000000"/>
                <w:sz w:val="24"/>
                <w:szCs w:val="20"/>
                <w:highlight w:val="none"/>
              </w:rPr>
              <w:t>满足</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环境空气质量标准</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GB3095-20</w:t>
            </w:r>
            <w:r>
              <w:rPr>
                <w:rFonts w:hint="eastAsia" w:cs="Times New Roman"/>
                <w:snapToGrid w:val="0"/>
                <w:color w:val="000000"/>
                <w:sz w:val="24"/>
                <w:szCs w:val="20"/>
                <w:highlight w:val="none"/>
                <w:lang w:val="en-US" w:eastAsia="zh-CN"/>
              </w:rPr>
              <w:t>26</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一级标准。具体详见</w:t>
            </w:r>
            <w:r>
              <w:rPr>
                <w:rFonts w:hint="default" w:ascii="Times New Roman" w:hAnsi="Times New Roman" w:cs="Times New Roman"/>
                <w:snapToGrid w:val="0"/>
                <w:color w:val="000000"/>
                <w:sz w:val="24"/>
                <w:szCs w:val="20"/>
                <w:highlight w:val="none"/>
                <w:lang w:val="en-US" w:eastAsia="zh-CN"/>
              </w:rPr>
              <w:t>下表</w:t>
            </w:r>
            <w:r>
              <w:rPr>
                <w:rFonts w:hint="default" w:ascii="Times New Roman" w:hAnsi="Times New Roman" w:eastAsia="宋体" w:cs="Times New Roman"/>
                <w:snapToGrid w:val="0"/>
                <w:color w:val="000000"/>
                <w:sz w:val="24"/>
                <w:szCs w:val="20"/>
                <w:highlight w:val="none"/>
              </w:rPr>
              <w:t>。</w:t>
            </w:r>
          </w:p>
          <w:p w14:paraId="56A67942">
            <w:pPr>
              <w:pStyle w:val="124"/>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4"/>
                <w:szCs w:val="24"/>
                <w:highlight w:val="none"/>
                <w:lang w:val="en-US" w:eastAsia="zh-CN" w:bidi="ar-SA"/>
              </w:rPr>
            </w:pPr>
            <w:bookmarkStart w:id="6" w:name="_Ref369164422"/>
            <w:r>
              <w:rPr>
                <w:rFonts w:hint="default" w:ascii="Times New Roman" w:hAnsi="Times New Roman" w:eastAsia="宋体" w:cs="Times New Roman"/>
                <w:b/>
                <w:bCs/>
                <w:color w:val="auto"/>
                <w:kern w:val="2"/>
                <w:sz w:val="24"/>
                <w:szCs w:val="24"/>
                <w:highlight w:val="none"/>
                <w:lang w:val="en-US" w:eastAsia="zh-CN" w:bidi="ar-SA"/>
              </w:rPr>
              <w:t>表3-</w:t>
            </w:r>
            <w:r>
              <w:rPr>
                <w:rFonts w:hint="eastAsia" w:ascii="Times New Roman" w:hAnsi="Times New Roman" w:eastAsia="宋体"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kern w:val="2"/>
                <w:sz w:val="24"/>
                <w:szCs w:val="24"/>
                <w:highlight w:val="none"/>
                <w:lang w:val="en-US" w:eastAsia="zh-CN" w:bidi="ar-SA"/>
              </w:rPr>
              <w:t xml:space="preserve">    大气环境保护目标及保护级别</w:t>
            </w:r>
            <w:bookmarkEnd w:id="6"/>
          </w:p>
          <w:tbl>
            <w:tblPr>
              <w:tblStyle w:val="36"/>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
              <w:gridCol w:w="1012"/>
              <w:gridCol w:w="1249"/>
              <w:gridCol w:w="1735"/>
              <w:gridCol w:w="764"/>
              <w:gridCol w:w="1846"/>
              <w:gridCol w:w="444"/>
              <w:gridCol w:w="551"/>
            </w:tblGrid>
            <w:tr w14:paraId="1C285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72" w:type="pct"/>
                  <w:vMerge w:val="restart"/>
                  <w:tcBorders>
                    <w:bottom w:val="nil"/>
                  </w:tcBorders>
                  <w:noWrap w:val="0"/>
                  <w:vAlign w:val="center"/>
                </w:tcPr>
                <w:p w14:paraId="708F719D">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环境要素</w:t>
                  </w:r>
                </w:p>
              </w:tc>
              <w:tc>
                <w:tcPr>
                  <w:tcW w:w="1376" w:type="pct"/>
                  <w:gridSpan w:val="2"/>
                  <w:noWrap w:val="0"/>
                  <w:vAlign w:val="center"/>
                </w:tcPr>
                <w:p w14:paraId="1F135889">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坐标°</w:t>
                  </w:r>
                </w:p>
              </w:tc>
              <w:tc>
                <w:tcPr>
                  <w:tcW w:w="1056" w:type="pct"/>
                  <w:vMerge w:val="restart"/>
                  <w:tcBorders>
                    <w:bottom w:val="nil"/>
                  </w:tcBorders>
                  <w:noWrap w:val="0"/>
                  <w:vAlign w:val="center"/>
                </w:tcPr>
                <w:p w14:paraId="229C7D19">
                  <w:pPr>
                    <w:pStyle w:val="125"/>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 w:val="0"/>
                      <w:bCs w:val="0"/>
                      <w:color w:val="auto"/>
                      <w:spacing w:val="-2"/>
                      <w:sz w:val="21"/>
                      <w:szCs w:val="21"/>
                      <w:highlight w:val="none"/>
                      <w:lang w:eastAsia="zh-CN"/>
                    </w:rPr>
                  </w:pPr>
                  <w:r>
                    <w:rPr>
                      <w:rFonts w:hint="default" w:ascii="Times New Roman" w:hAnsi="Times New Roman" w:cs="Times New Roman"/>
                      <w:b w:val="0"/>
                      <w:bCs w:val="0"/>
                      <w:color w:val="auto"/>
                      <w:spacing w:val="-2"/>
                      <w:sz w:val="21"/>
                      <w:szCs w:val="21"/>
                      <w:highlight w:val="none"/>
                      <w:lang w:val="en-US" w:eastAsia="zh-CN"/>
                    </w:rPr>
                    <w:t>保护对象</w:t>
                  </w:r>
                </w:p>
              </w:tc>
              <w:tc>
                <w:tcPr>
                  <w:tcW w:w="465" w:type="pct"/>
                  <w:vMerge w:val="restart"/>
                  <w:noWrap w:val="0"/>
                  <w:vAlign w:val="center"/>
                </w:tcPr>
                <w:p w14:paraId="0EE16C2F">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val="en-US" w:eastAsia="zh-CN"/>
                    </w:rPr>
                  </w:pPr>
                  <w:r>
                    <w:rPr>
                      <w:rFonts w:hint="default" w:ascii="Times New Roman" w:hAnsi="Times New Roman" w:cs="Times New Roman"/>
                      <w:b w:val="0"/>
                      <w:bCs w:val="0"/>
                      <w:color w:val="auto"/>
                      <w:spacing w:val="-2"/>
                      <w:sz w:val="21"/>
                      <w:szCs w:val="21"/>
                      <w:highlight w:val="none"/>
                    </w:rPr>
                    <w:t>保护内容</w:t>
                  </w:r>
                </w:p>
              </w:tc>
              <w:tc>
                <w:tcPr>
                  <w:tcW w:w="1123" w:type="pct"/>
                  <w:vMerge w:val="restart"/>
                  <w:noWrap w:val="0"/>
                  <w:vAlign w:val="center"/>
                </w:tcPr>
                <w:p w14:paraId="777C9C56">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环境功能区</w:t>
                  </w:r>
                </w:p>
              </w:tc>
              <w:tc>
                <w:tcPr>
                  <w:tcW w:w="270" w:type="pct"/>
                  <w:vMerge w:val="restart"/>
                  <w:tcBorders>
                    <w:bottom w:val="nil"/>
                  </w:tcBorders>
                  <w:noWrap w:val="0"/>
                  <w:vAlign w:val="center"/>
                </w:tcPr>
                <w:p w14:paraId="1B683838">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相对厂址</w:t>
                  </w:r>
                  <w:r>
                    <w:rPr>
                      <w:rFonts w:hint="default" w:ascii="Times New Roman" w:hAnsi="Times New Roman" w:cs="Times New Roman"/>
                      <w:b w:val="0"/>
                      <w:bCs w:val="0"/>
                      <w:color w:val="auto"/>
                      <w:spacing w:val="-2"/>
                      <w:sz w:val="21"/>
                      <w:szCs w:val="21"/>
                      <w:highlight w:val="none"/>
                    </w:rPr>
                    <w:t>方位</w:t>
                  </w:r>
                </w:p>
              </w:tc>
              <w:tc>
                <w:tcPr>
                  <w:tcW w:w="335" w:type="pct"/>
                  <w:vMerge w:val="restart"/>
                  <w:tcBorders>
                    <w:bottom w:val="nil"/>
                  </w:tcBorders>
                  <w:noWrap w:val="0"/>
                  <w:vAlign w:val="center"/>
                </w:tcPr>
                <w:p w14:paraId="2E984ED2">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相对</w:t>
                  </w:r>
                  <w:r>
                    <w:rPr>
                      <w:rFonts w:hint="default" w:ascii="Times New Roman" w:hAnsi="Times New Roman" w:cs="Times New Roman"/>
                      <w:b w:val="0"/>
                      <w:bCs w:val="0"/>
                      <w:color w:val="auto"/>
                      <w:spacing w:val="-2"/>
                      <w:sz w:val="21"/>
                      <w:szCs w:val="21"/>
                      <w:highlight w:val="none"/>
                      <w:lang w:eastAsia="zh-CN"/>
                    </w:rPr>
                    <w:t>厂界</w:t>
                  </w:r>
                  <w:r>
                    <w:rPr>
                      <w:rFonts w:hint="default" w:ascii="Times New Roman" w:hAnsi="Times New Roman" w:cs="Times New Roman"/>
                      <w:b w:val="0"/>
                      <w:bCs w:val="0"/>
                      <w:color w:val="auto"/>
                      <w:spacing w:val="-2"/>
                      <w:sz w:val="21"/>
                      <w:szCs w:val="21"/>
                      <w:highlight w:val="none"/>
                    </w:rPr>
                    <w:t>距离(m)</w:t>
                  </w:r>
                </w:p>
              </w:tc>
            </w:tr>
            <w:tr w14:paraId="16B4E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72" w:type="pct"/>
                  <w:vMerge w:val="continue"/>
                  <w:tcBorders>
                    <w:top w:val="nil"/>
                  </w:tcBorders>
                  <w:noWrap w:val="0"/>
                  <w:vAlign w:val="center"/>
                </w:tcPr>
                <w:p w14:paraId="064E8B8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616" w:type="pct"/>
                  <w:noWrap w:val="0"/>
                  <w:vAlign w:val="center"/>
                </w:tcPr>
                <w:p w14:paraId="7F019B6D">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东经</w:t>
                  </w:r>
                </w:p>
              </w:tc>
              <w:tc>
                <w:tcPr>
                  <w:tcW w:w="760" w:type="pct"/>
                  <w:noWrap w:val="0"/>
                  <w:vAlign w:val="center"/>
                </w:tcPr>
                <w:p w14:paraId="72940C01">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北纬</w:t>
                  </w:r>
                </w:p>
              </w:tc>
              <w:tc>
                <w:tcPr>
                  <w:tcW w:w="1056" w:type="pct"/>
                  <w:vMerge w:val="continue"/>
                  <w:tcBorders>
                    <w:top w:val="nil"/>
                  </w:tcBorders>
                  <w:noWrap w:val="0"/>
                  <w:vAlign w:val="center"/>
                </w:tcPr>
                <w:p w14:paraId="49D7692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465" w:type="pct"/>
                  <w:vMerge w:val="continue"/>
                  <w:noWrap w:val="0"/>
                  <w:textDirection w:val="tbRlV"/>
                  <w:vAlign w:val="center"/>
                </w:tcPr>
                <w:p w14:paraId="25575A80">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1123" w:type="pct"/>
                  <w:vMerge w:val="continue"/>
                  <w:noWrap w:val="0"/>
                  <w:textDirection w:val="tbRlV"/>
                  <w:vAlign w:val="center"/>
                </w:tcPr>
                <w:p w14:paraId="32B83D4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270" w:type="pct"/>
                  <w:vMerge w:val="continue"/>
                  <w:tcBorders>
                    <w:top w:val="nil"/>
                  </w:tcBorders>
                  <w:noWrap w:val="0"/>
                  <w:textDirection w:val="tbRlV"/>
                  <w:vAlign w:val="center"/>
                </w:tcPr>
                <w:p w14:paraId="46AA4246">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335" w:type="pct"/>
                  <w:vMerge w:val="continue"/>
                  <w:tcBorders>
                    <w:top w:val="nil"/>
                  </w:tcBorders>
                  <w:noWrap w:val="0"/>
                  <w:vAlign w:val="center"/>
                </w:tcPr>
                <w:p w14:paraId="3F3D989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r>
            <w:tr w14:paraId="6FA17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72" w:type="pct"/>
                  <w:noWrap w:val="0"/>
                  <w:vAlign w:val="center"/>
                </w:tcPr>
                <w:p w14:paraId="7FCF36D4">
                  <w:pPr>
                    <w:pStyle w:val="125"/>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 w:val="0"/>
                      <w:bCs w:val="0"/>
                      <w:color w:val="auto"/>
                      <w:spacing w:val="-2"/>
                      <w:sz w:val="21"/>
                      <w:szCs w:val="21"/>
                      <w:highlight w:val="none"/>
                      <w:lang w:eastAsia="zh-CN"/>
                    </w:rPr>
                  </w:pPr>
                  <w:r>
                    <w:rPr>
                      <w:rFonts w:hint="default" w:ascii="Times New Roman" w:hAnsi="Times New Roman" w:cs="Times New Roman"/>
                      <w:b w:val="0"/>
                      <w:bCs w:val="0"/>
                      <w:color w:val="auto"/>
                      <w:spacing w:val="-2"/>
                      <w:sz w:val="21"/>
                      <w:szCs w:val="21"/>
                      <w:highlight w:val="none"/>
                      <w:lang w:val="en-US" w:eastAsia="zh-CN"/>
                    </w:rPr>
                    <w:t>环境空气</w:t>
                  </w:r>
                </w:p>
              </w:tc>
              <w:tc>
                <w:tcPr>
                  <w:tcW w:w="616" w:type="pct"/>
                  <w:noWrap w:val="0"/>
                  <w:vAlign w:val="center"/>
                </w:tcPr>
                <w:p w14:paraId="058D6A91">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kern w:val="2"/>
                      <w:sz w:val="21"/>
                      <w:szCs w:val="21"/>
                      <w:highlight w:val="none"/>
                    </w:rPr>
                    <w:t>114.015331</w:t>
                  </w:r>
                </w:p>
              </w:tc>
              <w:tc>
                <w:tcPr>
                  <w:tcW w:w="760" w:type="pct"/>
                  <w:noWrap w:val="0"/>
                  <w:vAlign w:val="center"/>
                </w:tcPr>
                <w:p w14:paraId="7D92109B">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kern w:val="2"/>
                      <w:sz w:val="21"/>
                      <w:szCs w:val="21"/>
                      <w:highlight w:val="none"/>
                    </w:rPr>
                    <w:t>38.105996</w:t>
                  </w:r>
                </w:p>
              </w:tc>
              <w:tc>
                <w:tcPr>
                  <w:tcW w:w="1056" w:type="pct"/>
                  <w:noWrap w:val="0"/>
                  <w:vAlign w:val="center"/>
                </w:tcPr>
                <w:p w14:paraId="25B877B3">
                  <w:pPr>
                    <w:pStyle w:val="126"/>
                    <w:keepNext w:val="0"/>
                    <w:keepLines w:val="0"/>
                    <w:suppressLineNumbers w:val="0"/>
                    <w:spacing w:before="0" w:beforeAutospacing="0" w:after="0" w:afterAutospacing="0" w:line="240" w:lineRule="exact"/>
                    <w:ind w:left="0" w:leftChars="0" w:right="0" w:rightChars="0" w:firstLine="0" w:firstLineChars="0"/>
                    <w:rPr>
                      <w:rFonts w:hint="default" w:ascii="Times New Roman" w:hAnsi="Times New Roman" w:eastAsia="宋体" w:cs="Times New Roman"/>
                      <w:b w:val="0"/>
                      <w:bCs w:val="0"/>
                      <w:color w:val="auto"/>
                      <w:spacing w:val="-2"/>
                      <w:sz w:val="21"/>
                      <w:szCs w:val="21"/>
                      <w:highlight w:val="none"/>
                      <w:lang w:val="en-US" w:eastAsia="zh-CN"/>
                    </w:rPr>
                  </w:pPr>
                  <w:r>
                    <w:rPr>
                      <w:rFonts w:hint="default" w:ascii="Times New Roman" w:hAnsi="Times New Roman" w:cs="Times New Roman"/>
                      <w:b w:val="0"/>
                      <w:bCs w:val="0"/>
                      <w:color w:val="auto"/>
                      <w:spacing w:val="-2"/>
                      <w:sz w:val="21"/>
                      <w:szCs w:val="21"/>
                      <w:highlight w:val="none"/>
                      <w:lang w:val="en-US" w:eastAsia="zh-CN"/>
                    </w:rPr>
                    <w:t>清凉山风景名胜区</w:t>
                  </w:r>
                </w:p>
              </w:tc>
              <w:tc>
                <w:tcPr>
                  <w:tcW w:w="465" w:type="pct"/>
                  <w:noWrap w:val="0"/>
                  <w:vAlign w:val="center"/>
                </w:tcPr>
                <w:p w14:paraId="64D394A6">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b w:val="0"/>
                      <w:bCs w:val="0"/>
                      <w:color w:val="auto"/>
                      <w:spacing w:val="-2"/>
                      <w:kern w:val="2"/>
                      <w:sz w:val="21"/>
                      <w:szCs w:val="21"/>
                      <w:highlight w:val="none"/>
                      <w:lang w:val="en-US" w:eastAsia="zh-CN" w:bidi="ar-SA"/>
                    </w:rPr>
                  </w:pPr>
                  <w:r>
                    <w:rPr>
                      <w:rFonts w:hint="default" w:ascii="Times New Roman" w:hAnsi="Times New Roman" w:cs="Times New Roman"/>
                      <w:b w:val="0"/>
                      <w:bCs w:val="0"/>
                      <w:color w:val="auto"/>
                      <w:spacing w:val="-6"/>
                      <w:sz w:val="21"/>
                      <w:szCs w:val="21"/>
                      <w:highlight w:val="none"/>
                      <w:lang w:val="en-US" w:eastAsia="zh-CN"/>
                    </w:rPr>
                    <w:t>风景区</w:t>
                  </w:r>
                </w:p>
              </w:tc>
              <w:tc>
                <w:tcPr>
                  <w:tcW w:w="1123" w:type="pct"/>
                  <w:noWrap w:val="0"/>
                  <w:vAlign w:val="center"/>
                </w:tcPr>
                <w:p w14:paraId="01533B45">
                  <w:pPr>
                    <w:keepNext w:val="0"/>
                    <w:keepLines w:val="0"/>
                    <w:pageBreakBefore w:val="0"/>
                    <w:widowControl w:val="0"/>
                    <w:suppressLineNumbers w:val="0"/>
                    <w:tabs>
                      <w:tab w:val="left" w:pos="3580"/>
                    </w:tabs>
                    <w:kinsoku/>
                    <w:wordWrap/>
                    <w:overflowPunct/>
                    <w:topLinePunct/>
                    <w:autoSpaceDE/>
                    <w:autoSpaceDN/>
                    <w:bidi w:val="0"/>
                    <w:adjustRightInd/>
                    <w:snapToGrid/>
                    <w:spacing w:before="0" w:beforeAutospacing="0" w:after="0" w:afterAutospacing="0" w:line="240" w:lineRule="exact"/>
                    <w:ind w:left="0" w:leftChars="0" w:right="0" w:rightChars="0"/>
                    <w:jc w:val="center"/>
                    <w:textAlignment w:val="auto"/>
                    <w:rPr>
                      <w:rFonts w:hint="default" w:ascii="Times New Roman" w:hAnsi="Times New Roman" w:cs="Times New Roman"/>
                      <w:b w:val="0"/>
                      <w:bCs w:val="0"/>
                      <w:snapToGrid w:val="0"/>
                      <w:color w:val="auto"/>
                      <w:spacing w:val="-6"/>
                      <w:sz w:val="21"/>
                      <w:szCs w:val="21"/>
                      <w:highlight w:val="none"/>
                    </w:rPr>
                  </w:pPr>
                  <w:r>
                    <w:rPr>
                      <w:rFonts w:hint="default" w:ascii="Times New Roman" w:hAnsi="Times New Roman" w:cs="Times New Roman"/>
                      <w:b w:val="0"/>
                      <w:bCs w:val="0"/>
                      <w:snapToGrid w:val="0"/>
                      <w:color w:val="auto"/>
                      <w:spacing w:val="-6"/>
                      <w:sz w:val="21"/>
                      <w:szCs w:val="21"/>
                      <w:highlight w:val="none"/>
                      <w:lang w:eastAsia="zh-CN"/>
                    </w:rPr>
                    <w:t>《环境空气质量标准》（GB3095-20</w:t>
                  </w:r>
                  <w:r>
                    <w:rPr>
                      <w:rFonts w:hint="eastAsia" w:cs="Times New Roman"/>
                      <w:b w:val="0"/>
                      <w:bCs w:val="0"/>
                      <w:snapToGrid w:val="0"/>
                      <w:color w:val="auto"/>
                      <w:spacing w:val="-6"/>
                      <w:sz w:val="21"/>
                      <w:szCs w:val="21"/>
                      <w:highlight w:val="none"/>
                      <w:lang w:val="en-US" w:eastAsia="zh-CN"/>
                    </w:rPr>
                    <w:t>26</w:t>
                  </w:r>
                  <w:r>
                    <w:rPr>
                      <w:rFonts w:hint="default" w:ascii="Times New Roman" w:hAnsi="Times New Roman" w:cs="Times New Roman"/>
                      <w:b w:val="0"/>
                      <w:bCs w:val="0"/>
                      <w:snapToGrid w:val="0"/>
                      <w:color w:val="auto"/>
                      <w:spacing w:val="-6"/>
                      <w:sz w:val="21"/>
                      <w:szCs w:val="21"/>
                      <w:highlight w:val="none"/>
                      <w:lang w:eastAsia="zh-CN"/>
                    </w:rPr>
                    <w:t>）</w:t>
                  </w:r>
                  <w:r>
                    <w:rPr>
                      <w:rFonts w:hint="default" w:ascii="Times New Roman" w:hAnsi="Times New Roman" w:cs="Times New Roman"/>
                      <w:b w:val="0"/>
                      <w:bCs w:val="0"/>
                      <w:snapToGrid w:val="0"/>
                      <w:color w:val="auto"/>
                      <w:spacing w:val="-6"/>
                      <w:sz w:val="21"/>
                      <w:szCs w:val="21"/>
                      <w:highlight w:val="none"/>
                      <w:lang w:val="en-US" w:eastAsia="zh-CN"/>
                    </w:rPr>
                    <w:t>一</w:t>
                  </w:r>
                  <w:r>
                    <w:rPr>
                      <w:rFonts w:hint="default" w:ascii="Times New Roman" w:hAnsi="Times New Roman" w:cs="Times New Roman"/>
                      <w:b w:val="0"/>
                      <w:bCs w:val="0"/>
                      <w:snapToGrid w:val="0"/>
                      <w:color w:val="auto"/>
                      <w:spacing w:val="-6"/>
                      <w:sz w:val="21"/>
                      <w:szCs w:val="21"/>
                      <w:highlight w:val="none"/>
                      <w:lang w:eastAsia="zh-CN"/>
                    </w:rPr>
                    <w:t>级标准</w:t>
                  </w:r>
                </w:p>
              </w:tc>
              <w:tc>
                <w:tcPr>
                  <w:tcW w:w="270" w:type="pct"/>
                  <w:noWrap w:val="0"/>
                  <w:vAlign w:val="center"/>
                </w:tcPr>
                <w:p w14:paraId="17269504">
                  <w:pPr>
                    <w:pStyle w:val="126"/>
                    <w:keepNext w:val="0"/>
                    <w:keepLines w:val="0"/>
                    <w:suppressLineNumbers w:val="0"/>
                    <w:spacing w:before="0" w:beforeAutospacing="0" w:after="0" w:afterAutospacing="0" w:line="280" w:lineRule="exact"/>
                    <w:ind w:left="0" w:leftChars="0" w:right="0" w:rightChars="0" w:firstLine="0" w:firstLineChars="0"/>
                    <w:rPr>
                      <w:rFonts w:hint="default" w:ascii="Times New Roman" w:hAnsi="Times New Roman" w:eastAsia="宋体" w:cs="Times New Roman"/>
                      <w:b w:val="0"/>
                      <w:bCs w:val="0"/>
                      <w:color w:val="auto"/>
                      <w:spacing w:val="-2"/>
                      <w:sz w:val="21"/>
                      <w:szCs w:val="21"/>
                      <w:highlight w:val="none"/>
                      <w:lang w:eastAsia="zh-CN"/>
                    </w:rPr>
                  </w:pPr>
                  <w:r>
                    <w:rPr>
                      <w:rFonts w:hint="eastAsia"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lang w:val="en-US" w:eastAsia="zh-CN"/>
                    </w:rPr>
                    <w:t>W</w:t>
                  </w:r>
                </w:p>
              </w:tc>
              <w:tc>
                <w:tcPr>
                  <w:tcW w:w="335" w:type="pct"/>
                  <w:noWrap w:val="0"/>
                  <w:vAlign w:val="center"/>
                </w:tcPr>
                <w:p w14:paraId="0ABA11CF">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lang w:val="en-US"/>
                    </w:rPr>
                  </w:pPr>
                  <w:r>
                    <w:rPr>
                      <w:rFonts w:hint="eastAsia" w:ascii="Times New Roman" w:hAnsi="Times New Roman" w:cs="Times New Roman"/>
                      <w:b w:val="0"/>
                      <w:bCs w:val="0"/>
                      <w:color w:val="auto"/>
                      <w:spacing w:val="-2"/>
                      <w:kern w:val="2"/>
                      <w:sz w:val="21"/>
                      <w:szCs w:val="21"/>
                      <w:highlight w:val="none"/>
                      <w:lang w:val="en-US" w:eastAsia="zh-CN"/>
                    </w:rPr>
                    <w:t>450</w:t>
                  </w:r>
                </w:p>
              </w:tc>
            </w:tr>
          </w:tbl>
          <w:p w14:paraId="22F4B8B8">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eastAsia" w:cs="Times New Roman"/>
                <w:b w:val="0"/>
                <w:bCs/>
                <w:smallCaps w:val="0"/>
                <w:color w:val="auto"/>
                <w:spacing w:val="0"/>
                <w:sz w:val="24"/>
                <w:szCs w:val="24"/>
                <w:highlight w:val="none"/>
                <w:lang w:val="en-US" w:eastAsia="zh-CN"/>
              </w:rPr>
            </w:pPr>
            <w:r>
              <w:rPr>
                <w:rFonts w:hint="eastAsia" w:cs="Times New Roman"/>
                <w:b w:val="0"/>
                <w:bCs/>
                <w:smallCaps w:val="0"/>
                <w:color w:val="auto"/>
                <w:spacing w:val="0"/>
                <w:sz w:val="24"/>
                <w:szCs w:val="24"/>
                <w:highlight w:val="none"/>
                <w:lang w:val="en-US" w:eastAsia="zh-CN"/>
              </w:rPr>
              <w:t>清凉山风景名胜区：</w:t>
            </w:r>
          </w:p>
          <w:p w14:paraId="14C94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2010年，井陉矿区人民政府向河北省住房和城乡建设厅申请升级为省级风景名胜区；2011年1月17日，河北省人民政府办公厅出具通知，同意井陉县清凉山景区为省级风景名胜区(办字[2011]6号)；2016年7月，河北省人民政府同意了井陉矿区和井陉县政府联合申请调整清凉山风景名胜区边界的方案，清凉山风景名胜区面积达到16.19平方公里，其中井陉矿区8.62平方公里，井陉县7.57平方公里。</w:t>
            </w:r>
          </w:p>
          <w:p w14:paraId="208A9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eastAsia" w:ascii="Times New Roman" w:hAnsi="Times New Roman" w:cs="Times New Roman"/>
                <w:b w:val="0"/>
                <w:bCs/>
                <w:color w:val="000000"/>
                <w:kern w:val="0"/>
                <w:sz w:val="24"/>
                <w:szCs w:val="24"/>
                <w:highlight w:val="none"/>
                <w:lang w:val="en-US" w:eastAsia="zh-CN" w:bidi="ar"/>
              </w:rPr>
              <w:t>根据</w:t>
            </w:r>
            <w:r>
              <w:rPr>
                <w:rFonts w:hint="default" w:ascii="Times New Roman" w:hAnsi="Times New Roman" w:eastAsia="宋体" w:cs="Times New Roman"/>
                <w:b w:val="0"/>
                <w:bCs/>
                <w:color w:val="000000"/>
                <w:kern w:val="0"/>
                <w:sz w:val="24"/>
                <w:szCs w:val="24"/>
                <w:highlight w:val="none"/>
                <w:lang w:val="en-US" w:eastAsia="zh-CN" w:bidi="ar"/>
              </w:rPr>
              <w:t>《河北省清凉山风景名胜区总体规划(2021-2035年)》</w:t>
            </w:r>
            <w:r>
              <w:rPr>
                <w:rFonts w:hint="eastAsia" w:ascii="Times New Roman" w:hAnsi="Times New Roman" w:cs="Times New Roman"/>
                <w:b w:val="0"/>
                <w:bCs/>
                <w:color w:val="000000"/>
                <w:kern w:val="0"/>
                <w:sz w:val="24"/>
                <w:szCs w:val="24"/>
                <w:highlight w:val="none"/>
                <w:lang w:val="en-US" w:eastAsia="zh-CN" w:bidi="ar"/>
              </w:rPr>
              <w:t>，</w:t>
            </w:r>
            <w:r>
              <w:rPr>
                <w:rFonts w:hint="default" w:ascii="Times New Roman" w:hAnsi="Times New Roman" w:eastAsia="宋体" w:cs="Times New Roman"/>
                <w:b w:val="0"/>
                <w:bCs/>
                <w:color w:val="000000"/>
                <w:kern w:val="0"/>
                <w:sz w:val="24"/>
                <w:szCs w:val="24"/>
                <w:highlight w:val="none"/>
                <w:lang w:val="en-US" w:eastAsia="zh-CN" w:bidi="ar"/>
              </w:rPr>
              <w:t>清凉山风景名胜区实行分级保护，风景区分为一级、二级和三级3个等级的保护区。</w:t>
            </w:r>
          </w:p>
          <w:p w14:paraId="2A0552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（1）一级保护区（核心景区—严格禁止建设范围）</w:t>
            </w:r>
          </w:p>
          <w:p w14:paraId="557DF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规划将清凉山风景区的中部山区，位于井陉矿区西部与井陉县交界地区，观赏游览价值较高，人文景观和自然景观分布最为集中的区域划定为一级保护区。一级保护区的范围与核心景区范围重合，面积为5.01平方公里，占风景名胜区总面积的30.95%。主要景点包括千岩叠翠、野游观光、森林氧吧、石林、红叶长廊等景点。</w:t>
            </w:r>
          </w:p>
          <w:p w14:paraId="0FA26D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（2）二级保护区（严格限制建设范围）</w:t>
            </w:r>
          </w:p>
          <w:p w14:paraId="41D585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规划将风景名胜区一级保护区外围的主要景点资源所在区域，以及风景名胜区内植被环境较好的区域划定为二级保护区。二级保护区位于已划定的生态红线范围内，有景点分布和远景开发价值，处于主要景点保护区和可适度开发区域的过渡空间段。面积3.99平方公里，占风景名胜区总面积的24.64%。</w:t>
            </w:r>
          </w:p>
          <w:p w14:paraId="59187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（3）三级保护区（限制建设范围）</w:t>
            </w:r>
          </w:p>
          <w:p w14:paraId="308B2B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b w:val="0"/>
                <w:bCs/>
                <w:color w:val="000000"/>
                <w:kern w:val="0"/>
                <w:sz w:val="24"/>
                <w:szCs w:val="24"/>
                <w:highlight w:val="none"/>
                <w:lang w:val="en-US" w:eastAsia="zh-CN" w:bidi="ar"/>
              </w:rPr>
              <w:t>划定依据：规划将风景名胜区内除一、二级保护区外其他区域，面积7.19平方公里，占风景名胜区总面积的44.41%。清凉山的植被覆盖率达99%以上，阴坡及沟谷植物种类多、层次丰富，阳坡和山顶区域的植物品种单一，以黄、荆条、酸枣等灌木为主。经相关资料整理统计，现知清凉山调入区分布有维管植物79科255属433种。其中，类植物5科5属8种、裸子植物2科2属2种、被子植物72科248属423种。另外景区分布着3门21科25种，包含国家二级保护植物1种，省级保护植物24种。清凉山风景名胜区动物分布4纲15目34科63种。</w:t>
            </w:r>
          </w:p>
          <w:p w14:paraId="0B66A9BF">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2、声环境</w:t>
            </w:r>
          </w:p>
          <w:p w14:paraId="2B6E2DA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项目厂界外50米范围内不存在声环境保护目标</w:t>
            </w:r>
            <w:r>
              <w:rPr>
                <w:rFonts w:hint="default" w:ascii="Times New Roman" w:hAnsi="Times New Roman" w:cs="Times New Roman"/>
                <w:bCs/>
                <w:color w:val="auto"/>
                <w:sz w:val="24"/>
                <w:lang w:eastAsia="zh-CN"/>
              </w:rPr>
              <w:t>，本项目</w:t>
            </w:r>
            <w:r>
              <w:rPr>
                <w:rFonts w:hint="eastAsia" w:cs="Times New Roman"/>
                <w:bCs/>
                <w:color w:val="auto"/>
                <w:sz w:val="24"/>
                <w:lang w:val="en-US" w:eastAsia="zh-CN"/>
              </w:rPr>
              <w:t>位于工业园区，</w:t>
            </w:r>
            <w:r>
              <w:rPr>
                <w:rFonts w:hint="default" w:ascii="Times New Roman" w:hAnsi="Times New Roman" w:cs="Times New Roman"/>
                <w:bCs/>
                <w:color w:val="auto"/>
                <w:sz w:val="24"/>
                <w:lang w:val="en-US" w:eastAsia="zh-CN"/>
              </w:rPr>
              <w:t>厂界</w:t>
            </w:r>
            <w:r>
              <w:rPr>
                <w:rFonts w:hint="eastAsia" w:cs="Times New Roman"/>
                <w:bCs/>
                <w:color w:val="auto"/>
                <w:sz w:val="24"/>
                <w:lang w:val="en-US" w:eastAsia="zh-CN"/>
              </w:rPr>
              <w:t>四周</w:t>
            </w:r>
            <w:r>
              <w:rPr>
                <w:rFonts w:hint="default" w:ascii="Times New Roman" w:hAnsi="Times New Roman" w:cs="Times New Roman"/>
                <w:bCs/>
                <w:color w:val="auto"/>
                <w:sz w:val="24"/>
                <w:lang w:val="en-US" w:eastAsia="zh-CN"/>
              </w:rPr>
              <w:t>执行《声环境质量标准》（GB3096-2008）3类标准</w:t>
            </w:r>
            <w:r>
              <w:rPr>
                <w:rFonts w:hint="default" w:ascii="Times New Roman" w:hAnsi="Times New Roman" w:cs="Times New Roman"/>
                <w:bCs/>
                <w:color w:val="auto"/>
                <w:sz w:val="24"/>
              </w:rPr>
              <w:t>。</w:t>
            </w:r>
          </w:p>
          <w:p w14:paraId="0EE0DE24">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3、地下水环境</w:t>
            </w:r>
          </w:p>
          <w:p w14:paraId="2A3EF09C">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本项目位于岗黄水库水源地准保护区范围内，项目厂界外500米范围内不存在地下水集中式饮用水水源和热水、矿泉水、温泉等特殊地下水资源。</w:t>
            </w:r>
          </w:p>
          <w:p w14:paraId="56C804D7">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4、生态环境</w:t>
            </w:r>
          </w:p>
          <w:p w14:paraId="71A295C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kern w:val="0"/>
                <w:szCs w:val="21"/>
              </w:rPr>
            </w:pPr>
            <w:r>
              <w:rPr>
                <w:rFonts w:hint="default" w:ascii="Times New Roman" w:hAnsi="Times New Roman" w:eastAsia="宋体" w:cs="Times New Roman"/>
                <w:color w:val="auto"/>
                <w:spacing w:val="0"/>
                <w:sz w:val="24"/>
                <w:szCs w:val="24"/>
                <w:highlight w:val="none"/>
                <w:lang w:val="en-US" w:eastAsia="zh-CN"/>
              </w:rPr>
              <w:t>本项目</w:t>
            </w:r>
            <w:r>
              <w:rPr>
                <w:rFonts w:hint="eastAsia" w:ascii="Times New Roman" w:hAnsi="Times New Roman" w:eastAsia="宋体" w:cs="Times New Roman"/>
                <w:color w:val="auto"/>
                <w:spacing w:val="0"/>
                <w:sz w:val="24"/>
                <w:szCs w:val="24"/>
                <w:highlight w:val="none"/>
                <w:lang w:val="en-US" w:eastAsia="zh-CN"/>
              </w:rPr>
              <w:t>占地范围内无生态环境保护目标</w:t>
            </w:r>
            <w:r>
              <w:rPr>
                <w:rFonts w:hint="default" w:ascii="Times New Roman" w:hAnsi="Times New Roman" w:eastAsia="宋体" w:cs="Times New Roman"/>
                <w:color w:val="auto"/>
                <w:spacing w:val="0"/>
                <w:sz w:val="24"/>
                <w:szCs w:val="24"/>
                <w:highlight w:val="none"/>
                <w:lang w:val="en-US" w:eastAsia="zh-CN"/>
              </w:rPr>
              <w:t>。</w:t>
            </w:r>
          </w:p>
        </w:tc>
      </w:tr>
      <w:tr w14:paraId="12378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33" w:hRule="atLeast"/>
          <w:jc w:val="center"/>
        </w:trPr>
        <w:tc>
          <w:tcPr>
            <w:tcW w:w="616" w:type="dxa"/>
            <w:noWrap w:val="0"/>
            <w:vAlign w:val="center"/>
          </w:tcPr>
          <w:p w14:paraId="5223AC30">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污染</w:t>
            </w:r>
          </w:p>
          <w:p w14:paraId="6471960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物排</w:t>
            </w:r>
          </w:p>
          <w:p w14:paraId="1F90573C">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放控</w:t>
            </w:r>
          </w:p>
          <w:p w14:paraId="6F3531C9">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制标</w:t>
            </w:r>
          </w:p>
          <w:p w14:paraId="42A92A1D">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准</w:t>
            </w:r>
          </w:p>
        </w:tc>
        <w:tc>
          <w:tcPr>
            <w:tcW w:w="8443" w:type="dxa"/>
            <w:noWrap w:val="0"/>
            <w:vAlign w:val="center"/>
          </w:tcPr>
          <w:p w14:paraId="03AB1AA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rPr>
              <w:t>（1）废气</w:t>
            </w:r>
          </w:p>
          <w:p w14:paraId="7C34EDE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bCs/>
                <w:color w:val="auto"/>
                <w:sz w:val="24"/>
                <w:highlight w:val="yellow"/>
              </w:rPr>
            </w:pPr>
            <w:r>
              <w:rPr>
                <w:rFonts w:hint="default" w:ascii="Times New Roman" w:hAnsi="Times New Roman" w:cs="Times New Roman"/>
                <w:bCs/>
                <w:color w:val="auto"/>
                <w:sz w:val="24"/>
              </w:rPr>
              <w:t>项目</w:t>
            </w:r>
            <w:r>
              <w:rPr>
                <w:rFonts w:hint="eastAsia" w:cs="Times New Roman"/>
                <w:bCs/>
                <w:color w:val="auto"/>
                <w:sz w:val="24"/>
                <w:lang w:val="en-US" w:eastAsia="zh-CN"/>
              </w:rPr>
              <w:t>有组织</w:t>
            </w:r>
            <w:r>
              <w:rPr>
                <w:rFonts w:hint="default" w:ascii="Times New Roman" w:hAnsi="Times New Roman" w:cs="Times New Roman"/>
                <w:bCs/>
                <w:color w:val="auto"/>
                <w:sz w:val="24"/>
              </w:rPr>
              <w:t>废气</w:t>
            </w:r>
            <w:r>
              <w:rPr>
                <w:rFonts w:hint="eastAsia" w:cs="Times New Roman"/>
                <w:bCs/>
                <w:color w:val="auto"/>
                <w:sz w:val="24"/>
                <w:lang w:val="en-US" w:eastAsia="zh-CN"/>
              </w:rPr>
              <w:t>排放</w:t>
            </w:r>
            <w:r>
              <w:rPr>
                <w:rFonts w:hint="default" w:ascii="Times New Roman" w:hAnsi="Times New Roman" w:cs="Times New Roman"/>
                <w:bCs/>
                <w:color w:val="auto"/>
                <w:sz w:val="24"/>
              </w:rPr>
              <w:t>执行《铝工业污染物排放标准》（GB25465-2010）修改单</w:t>
            </w:r>
            <w:r>
              <w:rPr>
                <w:rFonts w:hint="eastAsia" w:cs="Times New Roman"/>
                <w:bCs/>
                <w:color w:val="auto"/>
                <w:sz w:val="24"/>
                <w:lang w:val="en-US" w:eastAsia="zh-CN"/>
              </w:rPr>
              <w:t>大气污染物特别排放限值表1“铝用炭素厂—其他”颗粒物排放限值；无组织废气排放执行</w:t>
            </w:r>
            <w:r>
              <w:rPr>
                <w:rFonts w:hint="default" w:ascii="Times New Roman" w:hAnsi="Times New Roman" w:cs="Times New Roman"/>
                <w:bCs/>
                <w:color w:val="auto"/>
                <w:sz w:val="24"/>
              </w:rPr>
              <w:t>《铝工业污染物排放标准》（GB25465-2010）</w:t>
            </w:r>
            <w:r>
              <w:rPr>
                <w:rFonts w:hint="eastAsia" w:cs="Times New Roman"/>
                <w:bCs/>
                <w:color w:val="auto"/>
                <w:sz w:val="24"/>
                <w:lang w:val="en-US" w:eastAsia="zh-CN"/>
              </w:rPr>
              <w:t>表6企业边界大气污染物浓度限值</w:t>
            </w:r>
            <w:r>
              <w:rPr>
                <w:rFonts w:hint="default" w:ascii="Times New Roman" w:hAnsi="Times New Roman" w:cs="Times New Roman"/>
                <w:bCs/>
                <w:color w:val="auto"/>
                <w:sz w:val="24"/>
              </w:rPr>
              <w:t>。</w:t>
            </w:r>
          </w:p>
          <w:p w14:paraId="42F85914">
            <w:pPr>
              <w:shd w:val="clear" w:color="auto" w:fill="auto"/>
              <w:spacing w:line="46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表3-</w:t>
            </w:r>
            <w:r>
              <w:rPr>
                <w:rFonts w:hint="eastAsia" w:cs="Times New Roman"/>
                <w:b/>
                <w:color w:val="auto"/>
                <w:sz w:val="24"/>
                <w:lang w:val="en-US" w:eastAsia="zh-CN"/>
              </w:rPr>
              <w:t>4</w:t>
            </w:r>
            <w:r>
              <w:rPr>
                <w:rFonts w:hint="default" w:ascii="Times New Roman" w:hAnsi="Times New Roman" w:cs="Times New Roman"/>
                <w:b/>
                <w:color w:val="auto"/>
                <w:sz w:val="24"/>
              </w:rPr>
              <w:t xml:space="preserve"> </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大气污染物排放标准一览表</w:t>
            </w:r>
          </w:p>
          <w:tbl>
            <w:tblPr>
              <w:tblStyle w:val="3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1"/>
              <w:gridCol w:w="990"/>
              <w:gridCol w:w="1130"/>
              <w:gridCol w:w="1290"/>
              <w:gridCol w:w="3296"/>
            </w:tblGrid>
            <w:tr w14:paraId="65482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bottom w:val="single" w:color="000000" w:sz="4" w:space="0"/>
                    <w:right w:val="single" w:color="000000" w:sz="4" w:space="0"/>
                  </w:tcBorders>
                  <w:noWrap w:val="0"/>
                  <w:vAlign w:val="center"/>
                </w:tcPr>
                <w:p w14:paraId="38387CAD">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污染物</w:t>
                  </w:r>
                </w:p>
              </w:tc>
              <w:tc>
                <w:tcPr>
                  <w:tcW w:w="3410" w:type="dxa"/>
                  <w:gridSpan w:val="3"/>
                  <w:tcBorders>
                    <w:top w:val="single" w:color="000000" w:sz="4" w:space="0"/>
                    <w:left w:val="single" w:color="000000" w:sz="4" w:space="0"/>
                    <w:bottom w:val="single" w:color="000000" w:sz="4" w:space="0"/>
                    <w:right w:val="single" w:color="000000" w:sz="4" w:space="0"/>
                  </w:tcBorders>
                  <w:noWrap w:val="0"/>
                  <w:vAlign w:val="center"/>
                </w:tcPr>
                <w:p w14:paraId="063B4821">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标准值</w:t>
                  </w:r>
                </w:p>
              </w:tc>
              <w:tc>
                <w:tcPr>
                  <w:tcW w:w="3296" w:type="dxa"/>
                  <w:tcBorders>
                    <w:top w:val="single" w:color="000000" w:sz="4" w:space="0"/>
                    <w:left w:val="single" w:color="000000" w:sz="4" w:space="0"/>
                    <w:bottom w:val="single" w:color="000000" w:sz="4" w:space="0"/>
                    <w:right w:val="single" w:color="000000" w:sz="4" w:space="0"/>
                  </w:tcBorders>
                  <w:noWrap w:val="0"/>
                  <w:vAlign w:val="center"/>
                </w:tcPr>
                <w:p w14:paraId="1652B6A7">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标准</w:t>
                  </w:r>
                </w:p>
              </w:tc>
            </w:tr>
            <w:tr w14:paraId="21295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right w:val="single" w:color="000000" w:sz="4" w:space="0"/>
                  </w:tcBorders>
                  <w:noWrap w:val="0"/>
                  <w:vAlign w:val="center"/>
                </w:tcPr>
                <w:p w14:paraId="769546F2">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有组织</w:t>
                  </w:r>
                </w:p>
              </w:tc>
              <w:tc>
                <w:tcPr>
                  <w:tcW w:w="990" w:type="dxa"/>
                  <w:tcBorders>
                    <w:top w:val="single" w:color="000000" w:sz="4" w:space="0"/>
                    <w:left w:val="single" w:color="000000" w:sz="4" w:space="0"/>
                    <w:right w:val="single" w:color="000000" w:sz="4" w:space="0"/>
                  </w:tcBorders>
                  <w:noWrap w:val="0"/>
                  <w:vAlign w:val="center"/>
                </w:tcPr>
                <w:p w14:paraId="16C52DF6">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64EE4FD7">
                  <w:pPr>
                    <w:shd w:val="clear" w:color="auto" w:fill="auto"/>
                    <w:spacing w:line="28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排放浓度</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8097CAD">
                  <w:pPr>
                    <w:shd w:val="clear" w:color="auto" w:fill="auto"/>
                    <w:spacing w:line="280" w:lineRule="exact"/>
                    <w:jc w:val="center"/>
                    <w:rPr>
                      <w:rFonts w:hint="default" w:ascii="Times New Roman" w:hAnsi="Times New Roman" w:cs="Times New Roman"/>
                      <w:color w:val="auto"/>
                      <w:szCs w:val="21"/>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rPr>
                    <w:t>0</w:t>
                  </w:r>
                  <w:r>
                    <w:rPr>
                      <w:rStyle w:val="70"/>
                      <w:rFonts w:hint="default" w:ascii="Times New Roman" w:hAnsi="Times New Roman" w:cs="Times New Roman"/>
                      <w:color w:val="auto"/>
                      <w:spacing w:val="-2"/>
                      <w:kern w:val="0"/>
                      <w:szCs w:val="21"/>
                    </w:rPr>
                    <w:t>mg/m</w:t>
                  </w:r>
                  <w:r>
                    <w:rPr>
                      <w:rStyle w:val="70"/>
                      <w:rFonts w:hint="default" w:ascii="Times New Roman" w:hAnsi="Times New Roman" w:cs="Times New Roman"/>
                      <w:color w:val="auto"/>
                      <w:spacing w:val="-2"/>
                      <w:kern w:val="0"/>
                      <w:szCs w:val="21"/>
                      <w:vertAlign w:val="superscript"/>
                    </w:rPr>
                    <w:t>3</w:t>
                  </w:r>
                </w:p>
              </w:tc>
              <w:tc>
                <w:tcPr>
                  <w:tcW w:w="3296" w:type="dxa"/>
                  <w:tcBorders>
                    <w:top w:val="single" w:color="000000" w:sz="4" w:space="0"/>
                    <w:left w:val="single" w:color="000000" w:sz="4" w:space="0"/>
                    <w:right w:val="single" w:color="000000" w:sz="4" w:space="0"/>
                  </w:tcBorders>
                  <w:noWrap w:val="0"/>
                  <w:vAlign w:val="center"/>
                </w:tcPr>
                <w:p w14:paraId="019F4C7B">
                  <w:pPr>
                    <w:shd w:val="clear" w:color="auto" w:fill="auto"/>
                    <w:spacing w:line="280" w:lineRule="exact"/>
                    <w:jc w:val="center"/>
                    <w:rPr>
                      <w:rFonts w:hint="default" w:ascii="Times New Roman" w:hAnsi="Times New Roman" w:cs="Times New Roman"/>
                      <w:color w:val="auto"/>
                      <w:szCs w:val="21"/>
                      <w:lang w:val="en-US"/>
                    </w:rPr>
                  </w:pPr>
                  <w:r>
                    <w:rPr>
                      <w:rFonts w:hint="default" w:ascii="Times New Roman" w:hAnsi="Times New Roman" w:cs="Times New Roman"/>
                      <w:color w:val="auto"/>
                      <w:szCs w:val="21"/>
                      <w:lang w:bidi="ar"/>
                    </w:rPr>
                    <w:t>《铝工业污染物排放标准》（GB</w:t>
                  </w:r>
                  <w:r>
                    <w:rPr>
                      <w:rFonts w:hint="eastAsia" w:ascii="Times New Roman" w:hAnsi="Times New Roman" w:cs="Times New Roman"/>
                      <w:color w:val="auto"/>
                      <w:szCs w:val="21"/>
                      <w:lang w:val="en-US" w:eastAsia="zh-CN" w:bidi="ar"/>
                    </w:rPr>
                    <w:t xml:space="preserve"> </w:t>
                  </w:r>
                  <w:r>
                    <w:rPr>
                      <w:rFonts w:hint="default" w:ascii="Times New Roman" w:hAnsi="Times New Roman" w:cs="Times New Roman"/>
                      <w:color w:val="auto"/>
                      <w:szCs w:val="21"/>
                      <w:lang w:bidi="ar"/>
                    </w:rPr>
                    <w:t>25465-2010）修改单</w:t>
                  </w:r>
                  <w:r>
                    <w:rPr>
                      <w:rFonts w:hint="eastAsia" w:cs="Times New Roman"/>
                      <w:color w:val="auto"/>
                      <w:szCs w:val="21"/>
                      <w:lang w:val="en-US" w:eastAsia="zh-CN" w:bidi="ar"/>
                    </w:rPr>
                    <w:t>表1。</w:t>
                  </w:r>
                </w:p>
              </w:tc>
            </w:tr>
            <w:tr w14:paraId="6890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right w:val="single" w:color="000000" w:sz="4" w:space="0"/>
                  </w:tcBorders>
                  <w:noWrap w:val="0"/>
                  <w:vAlign w:val="center"/>
                </w:tcPr>
                <w:p w14:paraId="469F9DB6">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无组织</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75675BE7">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3BAAA677">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1.0</w:t>
                  </w:r>
                  <w:r>
                    <w:rPr>
                      <w:rStyle w:val="70"/>
                      <w:rFonts w:hint="default" w:ascii="Times New Roman" w:hAnsi="Times New Roman" w:cs="Times New Roman"/>
                      <w:color w:val="auto"/>
                      <w:spacing w:val="-2"/>
                      <w:kern w:val="0"/>
                      <w:szCs w:val="21"/>
                    </w:rPr>
                    <w:t>mg/m</w:t>
                  </w:r>
                  <w:r>
                    <w:rPr>
                      <w:rStyle w:val="70"/>
                      <w:rFonts w:hint="default" w:ascii="Times New Roman" w:hAnsi="Times New Roman" w:cs="Times New Roman"/>
                      <w:color w:val="auto"/>
                      <w:spacing w:val="-2"/>
                      <w:kern w:val="0"/>
                      <w:szCs w:val="21"/>
                      <w:vertAlign w:val="superscript"/>
                    </w:rPr>
                    <w:t>3</w:t>
                  </w:r>
                </w:p>
              </w:tc>
              <w:tc>
                <w:tcPr>
                  <w:tcW w:w="3296" w:type="dxa"/>
                  <w:tcBorders>
                    <w:left w:val="single" w:color="000000" w:sz="4" w:space="0"/>
                    <w:bottom w:val="single" w:color="000000" w:sz="4" w:space="0"/>
                    <w:right w:val="single" w:color="000000" w:sz="4" w:space="0"/>
                  </w:tcBorders>
                  <w:noWrap w:val="0"/>
                  <w:vAlign w:val="center"/>
                </w:tcPr>
                <w:p w14:paraId="15DF2A08">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lang w:bidi="ar"/>
                    </w:rPr>
                    <w:t>《铝工业污染物排放标准》（GB</w:t>
                  </w:r>
                  <w:r>
                    <w:rPr>
                      <w:rFonts w:hint="eastAsia" w:ascii="Times New Roman" w:hAnsi="Times New Roman" w:cs="Times New Roman"/>
                      <w:color w:val="auto"/>
                      <w:szCs w:val="21"/>
                      <w:lang w:val="en-US" w:eastAsia="zh-CN" w:bidi="ar"/>
                    </w:rPr>
                    <w:t xml:space="preserve"> </w:t>
                  </w:r>
                  <w:r>
                    <w:rPr>
                      <w:rFonts w:hint="default" w:ascii="Times New Roman" w:hAnsi="Times New Roman" w:cs="Times New Roman"/>
                      <w:color w:val="auto"/>
                      <w:szCs w:val="21"/>
                      <w:lang w:bidi="ar"/>
                    </w:rPr>
                    <w:t>25465-2010）</w:t>
                  </w:r>
                  <w:r>
                    <w:rPr>
                      <w:rFonts w:hint="eastAsia" w:cs="Times New Roman"/>
                      <w:color w:val="auto"/>
                      <w:szCs w:val="21"/>
                      <w:lang w:val="en-US" w:eastAsia="zh-CN" w:bidi="ar"/>
                    </w:rPr>
                    <w:t>表6。</w:t>
                  </w:r>
                </w:p>
              </w:tc>
            </w:tr>
          </w:tbl>
          <w:p w14:paraId="4E01134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）噪声</w:t>
            </w:r>
          </w:p>
          <w:p w14:paraId="7B5D49D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eastAsia" w:cs="Times New Roman"/>
                <w:color w:val="auto"/>
                <w:sz w:val="24"/>
                <w:highlight w:val="none"/>
                <w:lang w:val="en-US" w:eastAsia="zh-CN"/>
              </w:rPr>
              <w:t>项目</w:t>
            </w:r>
            <w:r>
              <w:rPr>
                <w:rFonts w:hint="default" w:ascii="Times New Roman" w:hAnsi="Times New Roman" w:cs="Times New Roman"/>
                <w:color w:val="auto"/>
                <w:sz w:val="24"/>
                <w:highlight w:val="none"/>
              </w:rPr>
              <w:t>厂界噪声执行《工业企业厂界环境噪声排放标准》（GB12348-2008）3类</w:t>
            </w:r>
            <w:r>
              <w:rPr>
                <w:rFonts w:hint="default" w:ascii="Times New Roman" w:hAnsi="Times New Roman" w:cs="Times New Roman"/>
                <w:color w:val="auto"/>
                <w:sz w:val="24"/>
                <w:highlight w:val="none"/>
                <w:lang w:val="en-US" w:eastAsia="zh-CN"/>
              </w:rPr>
              <w:t>标准要求</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昼间65dB(A)，夜间55 dB(A)。</w:t>
            </w:r>
          </w:p>
          <w:p w14:paraId="4A02FE6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）固体废物</w:t>
            </w:r>
          </w:p>
          <w:p w14:paraId="5D6D085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sz w:val="24"/>
                <w:lang w:val="zh-TW"/>
              </w:rPr>
              <w:t>一般工业固体废物执行《一般工业固体废物贮存</w:t>
            </w:r>
            <w:r>
              <w:rPr>
                <w:rFonts w:hint="default" w:ascii="Times New Roman" w:hAnsi="Times New Roman" w:cs="Times New Roman"/>
                <w:color w:val="auto"/>
                <w:sz w:val="24"/>
              </w:rPr>
              <w:t>和填埋</w:t>
            </w:r>
            <w:r>
              <w:rPr>
                <w:rFonts w:hint="default" w:ascii="Times New Roman" w:hAnsi="Times New Roman" w:cs="Times New Roman"/>
                <w:color w:val="auto"/>
                <w:sz w:val="24"/>
                <w:lang w:val="zh-TW"/>
              </w:rPr>
              <w:t>污染控制标准》（GB18599-20</w:t>
            </w:r>
            <w:r>
              <w:rPr>
                <w:rFonts w:hint="default" w:ascii="Times New Roman" w:hAnsi="Times New Roman" w:cs="Times New Roman"/>
                <w:color w:val="auto"/>
                <w:sz w:val="24"/>
              </w:rPr>
              <w:t>20</w:t>
            </w:r>
            <w:r>
              <w:rPr>
                <w:rFonts w:hint="default" w:ascii="Times New Roman" w:hAnsi="Times New Roman" w:cs="Times New Roman"/>
                <w:color w:val="auto"/>
                <w:sz w:val="24"/>
                <w:lang w:val="zh-TW"/>
              </w:rPr>
              <w:t>）的规定</w:t>
            </w:r>
            <w:r>
              <w:rPr>
                <w:rFonts w:hint="default" w:ascii="Times New Roman" w:hAnsi="Times New Roman" w:cs="Times New Roman"/>
                <w:color w:val="auto"/>
                <w:sz w:val="24"/>
                <w:lang w:val="zh-TW" w:eastAsia="zh-CN"/>
              </w:rPr>
              <w:t>；</w:t>
            </w:r>
            <w:r>
              <w:rPr>
                <w:rFonts w:hint="eastAsia" w:ascii="Times New Roman" w:hAnsi="Times New Roman" w:cs="Times New Roman"/>
                <w:color w:val="auto"/>
                <w:sz w:val="24"/>
                <w:lang w:val="en-US" w:eastAsia="zh-CN"/>
              </w:rPr>
              <w:t>危险废物执行《危险废物贮存污染控制标准》（GB 18597-2023）</w:t>
            </w:r>
            <w:r>
              <w:rPr>
                <w:rFonts w:hint="default" w:ascii="Times New Roman" w:hAnsi="Times New Roman" w:cs="Times New Roman"/>
                <w:color w:val="auto"/>
                <w:sz w:val="24"/>
              </w:rPr>
              <w:t>。</w:t>
            </w:r>
          </w:p>
        </w:tc>
      </w:tr>
      <w:tr w14:paraId="2E2D1D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84" w:hRule="atLeast"/>
          <w:jc w:val="center"/>
        </w:trPr>
        <w:tc>
          <w:tcPr>
            <w:tcW w:w="616" w:type="dxa"/>
            <w:noWrap w:val="0"/>
            <w:vAlign w:val="center"/>
          </w:tcPr>
          <w:p w14:paraId="10228C73">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总量</w:t>
            </w:r>
          </w:p>
          <w:p w14:paraId="4F7C660A">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控制</w:t>
            </w:r>
          </w:p>
          <w:p w14:paraId="4E5DBDBB">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指标</w:t>
            </w:r>
          </w:p>
        </w:tc>
        <w:tc>
          <w:tcPr>
            <w:tcW w:w="8443" w:type="dxa"/>
            <w:noWrap w:val="0"/>
            <w:vAlign w:val="center"/>
          </w:tcPr>
          <w:p w14:paraId="77BA16F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b w:val="0"/>
                <w:bCs w:val="0"/>
                <w:color w:val="0000FF"/>
                <w:sz w:val="24"/>
                <w:highlight w:val="none"/>
              </w:rPr>
              <w:t>根据《关于进一步做好建设项目大气主要污染物排放</w:t>
            </w:r>
            <w:r>
              <w:rPr>
                <w:rFonts w:hint="eastAsia" w:cs="Times New Roman"/>
                <w:b w:val="0"/>
                <w:bCs w:val="0"/>
                <w:color w:val="0000FF"/>
                <w:sz w:val="24"/>
                <w:highlight w:val="none"/>
                <w:lang w:eastAsia="zh-CN"/>
              </w:rPr>
              <w:t>总量指标</w:t>
            </w:r>
            <w:r>
              <w:rPr>
                <w:rFonts w:hint="default" w:ascii="Times New Roman" w:hAnsi="Times New Roman" w:eastAsia="宋体" w:cs="Times New Roman"/>
                <w:b w:val="0"/>
                <w:bCs w:val="0"/>
                <w:color w:val="0000FF"/>
                <w:sz w:val="24"/>
                <w:highlight w:val="none"/>
              </w:rPr>
              <w:t>审核管理工作的通知》(冀环办字函[2020]247号)、《</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十四五</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主要污染物</w:t>
            </w:r>
            <w:r>
              <w:rPr>
                <w:rFonts w:hint="eastAsia" w:cs="Times New Roman"/>
                <w:b w:val="0"/>
                <w:bCs w:val="0"/>
                <w:color w:val="0000FF"/>
                <w:sz w:val="24"/>
                <w:highlight w:val="none"/>
                <w:lang w:val="en-US" w:eastAsia="zh-CN"/>
              </w:rPr>
              <w:t>总量</w:t>
            </w:r>
            <w:r>
              <w:rPr>
                <w:rFonts w:hint="default" w:ascii="Times New Roman" w:hAnsi="Times New Roman" w:eastAsia="宋体" w:cs="Times New Roman"/>
                <w:b w:val="0"/>
                <w:bCs w:val="0"/>
                <w:color w:val="0000FF"/>
                <w:sz w:val="24"/>
                <w:highlight w:val="none"/>
              </w:rPr>
              <w:t>减排测算工作指南》，结合建设项目的污染源及污染物排放特征，确定本项目</w:t>
            </w:r>
            <w:r>
              <w:rPr>
                <w:rFonts w:hint="eastAsia" w:cs="Times New Roman"/>
                <w:b w:val="0"/>
                <w:bCs w:val="0"/>
                <w:color w:val="0000FF"/>
                <w:sz w:val="24"/>
                <w:highlight w:val="none"/>
                <w:lang w:val="en-US" w:eastAsia="zh-CN"/>
              </w:rPr>
              <w:t>总量</w:t>
            </w:r>
            <w:r>
              <w:rPr>
                <w:rFonts w:hint="default" w:ascii="Times New Roman" w:hAnsi="Times New Roman" w:eastAsia="宋体" w:cs="Times New Roman"/>
                <w:b w:val="0"/>
                <w:bCs w:val="0"/>
                <w:color w:val="0000FF"/>
                <w:sz w:val="24"/>
                <w:highlight w:val="none"/>
              </w:rPr>
              <w:t>控制因子为</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COD、氨氮、SO</w:t>
            </w:r>
            <w:r>
              <w:rPr>
                <w:rFonts w:hint="default" w:ascii="Times New Roman" w:hAnsi="Times New Roman" w:eastAsia="宋体" w:cs="Times New Roman"/>
                <w:b w:val="0"/>
                <w:bCs w:val="0"/>
                <w:color w:val="0000FF"/>
                <w:sz w:val="24"/>
                <w:highlight w:val="none"/>
                <w:vertAlign w:val="subscript"/>
              </w:rPr>
              <w:t>2</w:t>
            </w:r>
            <w:r>
              <w:rPr>
                <w:rFonts w:hint="default" w:ascii="Times New Roman" w:hAnsi="Times New Roman" w:eastAsia="宋体" w:cs="Times New Roman"/>
                <w:b w:val="0"/>
                <w:bCs w:val="0"/>
                <w:color w:val="0000FF"/>
                <w:sz w:val="24"/>
                <w:highlight w:val="none"/>
              </w:rPr>
              <w:t>、NOx以及特征因子</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颗粒物、非甲烷总烃。</w:t>
            </w:r>
          </w:p>
          <w:p w14:paraId="0B91CE90">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b w:val="0"/>
                <w:bCs w:val="0"/>
                <w:color w:val="0000FF"/>
                <w:sz w:val="24"/>
                <w:highlight w:val="none"/>
              </w:rPr>
              <w:t>企业全厂无生产废水产生</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技改项目不新增劳动定员，工作人员从现有人员中调配，不新增职工生活用水及生活污水排放。不涉及COD、氨氮的排放</w:t>
            </w: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均为0</w:t>
            </w:r>
            <w:r>
              <w:rPr>
                <w:rFonts w:hint="default" w:ascii="Times New Roman" w:hAnsi="Times New Roman" w:eastAsia="宋体" w:cs="Times New Roman"/>
                <w:b w:val="0"/>
                <w:bCs w:val="0"/>
                <w:color w:val="0000FF"/>
                <w:sz w:val="24"/>
                <w:highlight w:val="none"/>
              </w:rPr>
              <w:t>。</w:t>
            </w:r>
            <w:r>
              <w:rPr>
                <w:rFonts w:hint="eastAsia" w:cs="Times New Roman"/>
                <w:b w:val="0"/>
                <w:bCs w:val="0"/>
                <w:color w:val="0000FF"/>
                <w:sz w:val="24"/>
                <w:highlight w:val="none"/>
                <w:lang w:val="en-US" w:eastAsia="zh-CN"/>
              </w:rPr>
              <w:t>技改项目</w:t>
            </w:r>
            <w:r>
              <w:rPr>
                <w:rFonts w:hint="default" w:ascii="Times New Roman" w:hAnsi="Times New Roman" w:eastAsia="宋体" w:cs="Times New Roman"/>
                <w:b w:val="0"/>
                <w:bCs w:val="0"/>
                <w:color w:val="0000FF"/>
                <w:sz w:val="24"/>
                <w:highlight w:val="none"/>
              </w:rPr>
              <w:t>生产采用电能，不涉及SO</w:t>
            </w:r>
            <w:r>
              <w:rPr>
                <w:rFonts w:hint="default" w:ascii="Times New Roman" w:hAnsi="Times New Roman" w:eastAsia="宋体" w:cs="Times New Roman"/>
                <w:b w:val="0"/>
                <w:bCs w:val="0"/>
                <w:color w:val="0000FF"/>
                <w:sz w:val="24"/>
                <w:highlight w:val="none"/>
                <w:vertAlign w:val="subscript"/>
              </w:rPr>
              <w:t>2</w:t>
            </w:r>
            <w:r>
              <w:rPr>
                <w:rFonts w:hint="default" w:ascii="Times New Roman" w:hAnsi="Times New Roman" w:eastAsia="宋体" w:cs="Times New Roman"/>
                <w:b w:val="0"/>
                <w:bCs w:val="0"/>
                <w:color w:val="0000FF"/>
                <w:sz w:val="24"/>
                <w:highlight w:val="none"/>
              </w:rPr>
              <w:t>、NOx的排放</w:t>
            </w: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均为0</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特征污染物为颗粒物。</w:t>
            </w:r>
          </w:p>
          <w:p w14:paraId="02E7027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1）</w:t>
            </w:r>
            <w:r>
              <w:rPr>
                <w:rFonts w:hint="default" w:ascii="Times New Roman" w:hAnsi="Times New Roman" w:eastAsia="宋体" w:cs="Times New Roman"/>
                <w:b w:val="0"/>
                <w:bCs w:val="0"/>
                <w:color w:val="0000FF"/>
                <w:sz w:val="24"/>
                <w:highlight w:val="none"/>
              </w:rPr>
              <w:t>现有工程污染物排放情况</w:t>
            </w:r>
          </w:p>
          <w:p w14:paraId="64E777A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color w:val="0000FF"/>
                <w:highlight w:val="none"/>
                <w:lang w:val="en-US" w:eastAsia="zh-CN"/>
              </w:rPr>
              <w:t>根据现有</w:t>
            </w:r>
            <w:r>
              <w:rPr>
                <w:rFonts w:hint="eastAsia" w:cs="Times New Roman"/>
                <w:color w:val="0000FF"/>
                <w:highlight w:val="none"/>
                <w:lang w:val="en-US" w:eastAsia="zh-CN"/>
              </w:rPr>
              <w:t>排污权交易文件及</w:t>
            </w:r>
            <w:r>
              <w:rPr>
                <w:rFonts w:hint="eastAsia"/>
                <w:color w:val="0000FF"/>
                <w:szCs w:val="21"/>
                <w:highlight w:val="none"/>
                <w:lang w:val="en-US" w:eastAsia="zh-CN"/>
              </w:rPr>
              <w:t>《</w:t>
            </w:r>
            <w:r>
              <w:rPr>
                <w:rFonts w:hint="eastAsia" w:ascii="Times New Roman" w:hAnsi="Times New Roman" w:eastAsia="宋体" w:cs="Times New Roman"/>
                <w:color w:val="0000FF"/>
                <w:szCs w:val="20"/>
                <w:lang w:val="en-US" w:eastAsia="zh-CN"/>
              </w:rPr>
              <w:t>河北鸿科碳素有限公司破碎线升级改造项目</w:t>
            </w:r>
            <w:r>
              <w:rPr>
                <w:rFonts w:hint="eastAsia" w:cs="Times New Roman"/>
                <w:color w:val="0000FF"/>
                <w:szCs w:val="20"/>
                <w:lang w:val="en-US" w:eastAsia="zh-CN"/>
              </w:rPr>
              <w:t>环境影响报告表》（2025年11月）</w:t>
            </w:r>
            <w:r>
              <w:rPr>
                <w:rFonts w:hint="default" w:ascii="Times New Roman" w:hAnsi="Times New Roman" w:eastAsia="宋体" w:cs="Times New Roman"/>
                <w:color w:val="0000FF"/>
                <w:highlight w:val="none"/>
                <w:lang w:val="en-US" w:eastAsia="zh-CN"/>
              </w:rPr>
              <w:t>，</w:t>
            </w:r>
            <w:r>
              <w:rPr>
                <w:rFonts w:hint="eastAsia" w:cs="Times New Roman"/>
                <w:color w:val="0000FF"/>
                <w:highlight w:val="none"/>
                <w:lang w:val="en-US" w:eastAsia="zh-CN"/>
              </w:rPr>
              <w:t>可知，</w:t>
            </w:r>
            <w:r>
              <w:rPr>
                <w:rFonts w:hint="default" w:ascii="Times New Roman" w:hAnsi="Times New Roman" w:eastAsia="宋体" w:cs="Times New Roman"/>
                <w:color w:val="0000FF"/>
                <w:highlight w:val="none"/>
                <w:lang w:val="en-US" w:eastAsia="zh-CN"/>
              </w:rPr>
              <w:t>现有工程总量</w:t>
            </w:r>
            <w:r>
              <w:rPr>
                <w:rFonts w:hint="eastAsia" w:cs="Times New Roman"/>
                <w:color w:val="0000FF"/>
                <w:highlight w:val="none"/>
                <w:lang w:val="en-US" w:eastAsia="zh-CN"/>
              </w:rPr>
              <w:t>许可</w:t>
            </w:r>
            <w:r>
              <w:rPr>
                <w:rFonts w:hint="default" w:ascii="Times New Roman" w:hAnsi="Times New Roman" w:eastAsia="宋体" w:cs="Times New Roman"/>
                <w:color w:val="0000FF"/>
                <w:highlight w:val="none"/>
                <w:lang w:val="en-US" w:eastAsia="zh-CN"/>
              </w:rPr>
              <w:t>控制指标为：COD：0t/a，氨氮：0t/a，SO</w:t>
            </w:r>
            <w:r>
              <w:rPr>
                <w:rFonts w:hint="default" w:ascii="Times New Roman" w:hAnsi="Times New Roman" w:eastAsia="宋体" w:cs="Times New Roman"/>
                <w:color w:val="0000FF"/>
                <w:highlight w:val="none"/>
                <w:vertAlign w:val="subscript"/>
                <w:lang w:val="en-US" w:eastAsia="zh-CN"/>
              </w:rPr>
              <w:t>2</w:t>
            </w:r>
            <w:r>
              <w:rPr>
                <w:rFonts w:hint="default" w:ascii="Times New Roman" w:hAnsi="Times New Roman" w:eastAsia="宋体" w:cs="Times New Roman"/>
                <w:color w:val="0000FF"/>
                <w:highlight w:val="none"/>
                <w:lang w:val="en-US" w:eastAsia="zh-CN"/>
              </w:rPr>
              <w:t>：</w:t>
            </w:r>
            <w:r>
              <w:rPr>
                <w:rFonts w:hint="eastAsia" w:ascii="Times New Roman" w:hAnsi="Times New Roman" w:eastAsia="宋体" w:cs="Times New Roman"/>
                <w:color w:val="0000FF"/>
                <w:highlight w:val="none"/>
                <w:lang w:val="en-US" w:eastAsia="zh-CN"/>
              </w:rPr>
              <w:t>123.840</w:t>
            </w:r>
            <w:r>
              <w:rPr>
                <w:rFonts w:hint="default" w:ascii="Times New Roman" w:hAnsi="Times New Roman" w:eastAsia="宋体" w:cs="Times New Roman"/>
                <w:color w:val="0000FF"/>
                <w:highlight w:val="none"/>
                <w:lang w:val="en-US" w:eastAsia="zh-CN"/>
              </w:rPr>
              <w:t>t/a，NOx：</w:t>
            </w:r>
            <w:r>
              <w:rPr>
                <w:rFonts w:hint="eastAsia" w:ascii="Times New Roman" w:hAnsi="Times New Roman" w:eastAsia="宋体" w:cs="Times New Roman"/>
                <w:color w:val="0000FF"/>
                <w:highlight w:val="none"/>
                <w:lang w:val="en-US" w:eastAsia="zh-CN"/>
              </w:rPr>
              <w:t>123.840</w:t>
            </w:r>
            <w:r>
              <w:rPr>
                <w:rFonts w:hint="default" w:ascii="Times New Roman" w:hAnsi="Times New Roman" w:eastAsia="宋体" w:cs="Times New Roman"/>
                <w:color w:val="0000FF"/>
                <w:highlight w:val="none"/>
                <w:lang w:val="en-US" w:eastAsia="zh-CN"/>
              </w:rPr>
              <w:t>t/a</w:t>
            </w:r>
            <w:r>
              <w:rPr>
                <w:rFonts w:hint="eastAsia" w:cs="Times New Roman"/>
                <w:color w:val="0000FF"/>
                <w:highlight w:val="none"/>
                <w:lang w:val="en-US" w:eastAsia="zh-CN"/>
              </w:rPr>
              <w:t>、颗粒物：</w:t>
            </w:r>
            <w:r>
              <w:rPr>
                <w:rFonts w:hint="eastAsia" w:cs="Times New Roman"/>
                <w:color w:val="0000FF"/>
                <w:szCs w:val="20"/>
                <w:lang w:val="en-US" w:eastAsia="zh-CN"/>
              </w:rPr>
              <w:t>9.665t/a。</w:t>
            </w:r>
          </w:p>
          <w:p w14:paraId="34C320FC">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lang w:val="en-US" w:eastAsia="zh-CN"/>
              </w:rPr>
            </w:pP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2）本项目工程污染物总量控制指标如下：</w:t>
            </w:r>
          </w:p>
          <w:p w14:paraId="403E81B3">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jc w:val="center"/>
              <w:textAlignment w:val="auto"/>
              <w:rPr>
                <w:rFonts w:hint="default" w:ascii="Times New Roman" w:hAnsi="Times New Roman" w:cs="Times New Roman"/>
                <w:b/>
                <w:color w:val="0000FF"/>
                <w:sz w:val="24"/>
                <w:highlight w:val="none"/>
              </w:rPr>
            </w:pPr>
            <w:r>
              <w:rPr>
                <w:rFonts w:hint="default" w:ascii="Times New Roman" w:hAnsi="Times New Roman" w:cs="Times New Roman"/>
                <w:b/>
                <w:color w:val="0000FF"/>
                <w:sz w:val="24"/>
                <w:highlight w:val="none"/>
              </w:rPr>
              <w:t>表3-</w:t>
            </w:r>
            <w:r>
              <w:rPr>
                <w:rFonts w:hint="eastAsia" w:cs="Times New Roman"/>
                <w:b/>
                <w:color w:val="0000FF"/>
                <w:sz w:val="24"/>
                <w:highlight w:val="none"/>
                <w:lang w:val="en-US" w:eastAsia="zh-CN"/>
              </w:rPr>
              <w:t>5</w:t>
            </w:r>
            <w:r>
              <w:rPr>
                <w:rFonts w:hint="eastAsia" w:ascii="Times New Roman" w:hAnsi="Times New Roman" w:cs="Times New Roman"/>
                <w:b/>
                <w:color w:val="0000FF"/>
                <w:sz w:val="24"/>
                <w:highlight w:val="none"/>
                <w:lang w:val="en-US" w:eastAsia="zh-CN"/>
              </w:rPr>
              <w:t xml:space="preserve">  </w:t>
            </w:r>
            <w:r>
              <w:rPr>
                <w:rFonts w:hint="default" w:ascii="Times New Roman" w:hAnsi="Times New Roman" w:cs="Times New Roman"/>
                <w:b/>
                <w:color w:val="0000FF"/>
                <w:sz w:val="24"/>
                <w:highlight w:val="none"/>
              </w:rPr>
              <w:t>本项目污染物排放</w:t>
            </w:r>
            <w:r>
              <w:rPr>
                <w:rFonts w:hint="eastAsia" w:cs="Times New Roman"/>
                <w:b/>
                <w:color w:val="0000FF"/>
                <w:sz w:val="24"/>
                <w:highlight w:val="none"/>
                <w:lang w:val="en-US" w:eastAsia="zh-CN"/>
              </w:rPr>
              <w:t>总量</w:t>
            </w:r>
            <w:r>
              <w:rPr>
                <w:rFonts w:hint="default" w:ascii="Times New Roman" w:hAnsi="Times New Roman" w:cs="Times New Roman"/>
                <w:b/>
                <w:color w:val="0000FF"/>
                <w:sz w:val="24"/>
                <w:highlight w:val="none"/>
              </w:rPr>
              <w:t>核算过程</w:t>
            </w:r>
          </w:p>
          <w:tbl>
            <w:tblPr>
              <w:tblStyle w:val="3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2"/>
              <w:gridCol w:w="1164"/>
              <w:gridCol w:w="1103"/>
              <w:gridCol w:w="1189"/>
              <w:gridCol w:w="1258"/>
              <w:gridCol w:w="1229"/>
              <w:gridCol w:w="1324"/>
            </w:tblGrid>
            <w:tr w14:paraId="1BB2A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73" w:type="pct"/>
                  <w:tcBorders>
                    <w:tl2br w:val="nil"/>
                    <w:tr2bl w:val="nil"/>
                  </w:tcBorders>
                  <w:noWrap w:val="0"/>
                  <w:vAlign w:val="center"/>
                </w:tcPr>
                <w:p w14:paraId="71CE8130">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项目</w:t>
                  </w:r>
                </w:p>
              </w:tc>
              <w:tc>
                <w:tcPr>
                  <w:tcW w:w="708" w:type="pct"/>
                  <w:tcBorders>
                    <w:tl2br w:val="nil"/>
                    <w:tr2bl w:val="nil"/>
                  </w:tcBorders>
                  <w:noWrap w:val="0"/>
                  <w:vAlign w:val="center"/>
                </w:tcPr>
                <w:p w14:paraId="2840C1B1">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生产线</w:t>
                  </w:r>
                </w:p>
              </w:tc>
              <w:tc>
                <w:tcPr>
                  <w:tcW w:w="671" w:type="pct"/>
                  <w:tcBorders>
                    <w:tl2br w:val="nil"/>
                    <w:tr2bl w:val="nil"/>
                  </w:tcBorders>
                  <w:noWrap w:val="0"/>
                  <w:vAlign w:val="center"/>
                </w:tcPr>
                <w:p w14:paraId="6DBFA7B5">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eastAsia"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污染物</w:t>
                  </w:r>
                </w:p>
              </w:tc>
              <w:tc>
                <w:tcPr>
                  <w:tcW w:w="724" w:type="pct"/>
                  <w:tcBorders>
                    <w:tl2br w:val="nil"/>
                    <w:tr2bl w:val="nil"/>
                  </w:tcBorders>
                  <w:noWrap w:val="0"/>
                  <w:vAlign w:val="center"/>
                </w:tcPr>
                <w:p w14:paraId="07B6EF1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排放</w:t>
                  </w:r>
                  <w:r>
                    <w:rPr>
                      <w:rFonts w:hint="eastAsia" w:ascii="Times New Roman" w:hAnsi="Times New Roman" w:cs="Times New Roman"/>
                      <w:b w:val="0"/>
                      <w:bCs w:val="0"/>
                      <w:color w:val="0000FF"/>
                      <w:sz w:val="21"/>
                      <w:szCs w:val="21"/>
                      <w:highlight w:val="none"/>
                      <w:lang w:val="en-US" w:eastAsia="zh-CN"/>
                    </w:rPr>
                    <w:t>浓度</w:t>
                  </w:r>
                  <w:r>
                    <w:rPr>
                      <w:rFonts w:hint="default" w:ascii="Times New Roman" w:hAnsi="Times New Roman" w:eastAsia="宋体" w:cs="Times New Roman"/>
                      <w:b w:val="0"/>
                      <w:bCs w:val="0"/>
                      <w:color w:val="0000FF"/>
                      <w:sz w:val="21"/>
                      <w:szCs w:val="21"/>
                      <w:highlight w:val="none"/>
                      <w:lang w:val="en-US" w:eastAsia="zh-CN"/>
                    </w:rPr>
                    <w:t>（mg/m</w:t>
                  </w:r>
                  <w:r>
                    <w:rPr>
                      <w:rFonts w:hint="default" w:ascii="Times New Roman" w:hAnsi="Times New Roman" w:eastAsia="宋体" w:cs="Times New Roman"/>
                      <w:b w:val="0"/>
                      <w:bCs w:val="0"/>
                      <w:color w:val="0000FF"/>
                      <w:sz w:val="21"/>
                      <w:szCs w:val="21"/>
                      <w:highlight w:val="none"/>
                      <w:vertAlign w:val="superscript"/>
                      <w:lang w:val="en-US" w:eastAsia="zh-CN"/>
                    </w:rPr>
                    <w:t>3</w:t>
                  </w:r>
                  <w:r>
                    <w:rPr>
                      <w:rFonts w:hint="default" w:ascii="Times New Roman" w:hAnsi="Times New Roman" w:eastAsia="宋体" w:cs="Times New Roman"/>
                      <w:b w:val="0"/>
                      <w:bCs w:val="0"/>
                      <w:color w:val="0000FF"/>
                      <w:sz w:val="21"/>
                      <w:szCs w:val="21"/>
                      <w:highlight w:val="none"/>
                      <w:lang w:val="en-US" w:eastAsia="zh-CN"/>
                    </w:rPr>
                    <w:t>）</w:t>
                  </w:r>
                </w:p>
              </w:tc>
              <w:tc>
                <w:tcPr>
                  <w:tcW w:w="766" w:type="pct"/>
                  <w:tcBorders>
                    <w:tl2br w:val="nil"/>
                    <w:tr2bl w:val="nil"/>
                  </w:tcBorders>
                  <w:noWrap w:val="0"/>
                  <w:vAlign w:val="center"/>
                </w:tcPr>
                <w:p w14:paraId="69305D3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zh-CN" w:eastAsia="zh-CN"/>
                    </w:rPr>
                    <w:t>排放量</w:t>
                  </w:r>
                  <w:r>
                    <w:rPr>
                      <w:rFonts w:hint="default" w:ascii="Times New Roman" w:hAnsi="Times New Roman" w:eastAsia="宋体" w:cs="Times New Roman"/>
                      <w:b w:val="0"/>
                      <w:bCs w:val="0"/>
                      <w:color w:val="0000FF"/>
                      <w:sz w:val="21"/>
                      <w:szCs w:val="21"/>
                      <w:highlight w:val="none"/>
                      <w:lang w:val="en-US" w:eastAsia="zh-CN"/>
                    </w:rPr>
                    <w:t>（m</w:t>
                  </w:r>
                  <w:r>
                    <w:rPr>
                      <w:rFonts w:hint="default" w:ascii="Times New Roman" w:hAnsi="Times New Roman" w:eastAsia="宋体" w:cs="Times New Roman"/>
                      <w:b w:val="0"/>
                      <w:bCs w:val="0"/>
                      <w:color w:val="0000FF"/>
                      <w:sz w:val="21"/>
                      <w:szCs w:val="21"/>
                      <w:highlight w:val="none"/>
                      <w:vertAlign w:val="superscript"/>
                      <w:lang w:val="en-US" w:eastAsia="zh-CN"/>
                    </w:rPr>
                    <w:t>3</w:t>
                  </w:r>
                  <w:r>
                    <w:rPr>
                      <w:rFonts w:hint="default" w:ascii="Times New Roman" w:hAnsi="Times New Roman" w:eastAsia="宋体" w:cs="Times New Roman"/>
                      <w:b w:val="0"/>
                      <w:bCs w:val="0"/>
                      <w:color w:val="0000FF"/>
                      <w:sz w:val="21"/>
                      <w:szCs w:val="21"/>
                      <w:highlight w:val="none"/>
                      <w:lang w:val="en-US" w:eastAsia="zh-CN"/>
                    </w:rPr>
                    <w:t>/h）</w:t>
                  </w:r>
                </w:p>
              </w:tc>
              <w:tc>
                <w:tcPr>
                  <w:tcW w:w="748" w:type="pct"/>
                  <w:tcBorders>
                    <w:tl2br w:val="nil"/>
                    <w:tr2bl w:val="nil"/>
                  </w:tcBorders>
                  <w:noWrap w:val="0"/>
                  <w:vAlign w:val="center"/>
                </w:tcPr>
                <w:p w14:paraId="53CC7BEE">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运行时间（h/a）</w:t>
                  </w:r>
                </w:p>
              </w:tc>
              <w:tc>
                <w:tcPr>
                  <w:tcW w:w="806" w:type="pct"/>
                  <w:tcBorders>
                    <w:tl2br w:val="nil"/>
                    <w:tr2bl w:val="nil"/>
                  </w:tcBorders>
                  <w:noWrap w:val="0"/>
                  <w:vAlign w:val="center"/>
                </w:tcPr>
                <w:p w14:paraId="5126D014">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污染物年排放量（t/a）</w:t>
                  </w:r>
                </w:p>
              </w:tc>
            </w:tr>
            <w:tr w14:paraId="313AF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573" w:type="pct"/>
                  <w:tcBorders>
                    <w:tl2br w:val="nil"/>
                    <w:tr2bl w:val="nil"/>
                  </w:tcBorders>
                  <w:noWrap w:val="0"/>
                  <w:vAlign w:val="center"/>
                </w:tcPr>
                <w:p w14:paraId="603F0A75">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highlight w:val="none"/>
                      <w:lang w:val="en-US" w:eastAsia="zh-CN" w:bidi="ar-SA"/>
                    </w:rPr>
                  </w:pPr>
                  <w:r>
                    <w:rPr>
                      <w:rFonts w:hint="eastAsia" w:cs="Times New Roman"/>
                      <w:color w:val="0000FF"/>
                      <w:lang w:val="en-US" w:eastAsia="zh-CN"/>
                    </w:rPr>
                    <w:t>东线磨粉</w:t>
                  </w:r>
                  <w:r>
                    <w:rPr>
                      <w:rFonts w:hint="eastAsia" w:ascii="Times New Roman" w:hAnsi="Times New Roman" w:cs="Times New Roman"/>
                      <w:color w:val="0000FF"/>
                      <w:lang w:val="en-US" w:eastAsia="zh-CN"/>
                    </w:rPr>
                    <w:t>废气排放口</w:t>
                  </w:r>
                </w:p>
              </w:tc>
              <w:tc>
                <w:tcPr>
                  <w:tcW w:w="708" w:type="pct"/>
                  <w:vMerge w:val="restart"/>
                  <w:tcBorders>
                    <w:tl2br w:val="nil"/>
                    <w:tr2bl w:val="nil"/>
                  </w:tcBorders>
                  <w:noWrap w:val="0"/>
                  <w:vAlign w:val="center"/>
                </w:tcPr>
                <w:p w14:paraId="0EB2E601">
                  <w:pPr>
                    <w:keepNext w:val="0"/>
                    <w:keepLines w:val="0"/>
                    <w:widowControl/>
                    <w:suppressLineNumbers w:val="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磨粉生产线</w:t>
                  </w:r>
                </w:p>
              </w:tc>
              <w:tc>
                <w:tcPr>
                  <w:tcW w:w="671" w:type="pct"/>
                  <w:tcBorders>
                    <w:tl2br w:val="nil"/>
                    <w:tr2bl w:val="nil"/>
                  </w:tcBorders>
                  <w:noWrap w:val="0"/>
                  <w:vAlign w:val="center"/>
                </w:tcPr>
                <w:p w14:paraId="27334D90">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颗粒物</w:t>
                  </w:r>
                </w:p>
              </w:tc>
              <w:tc>
                <w:tcPr>
                  <w:tcW w:w="724" w:type="pct"/>
                  <w:tcBorders>
                    <w:tl2br w:val="nil"/>
                    <w:tr2bl w:val="nil"/>
                  </w:tcBorders>
                  <w:noWrap w:val="0"/>
                  <w:vAlign w:val="center"/>
                </w:tcPr>
                <w:p w14:paraId="5E6603BD">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r>
                    <w:rPr>
                      <w:rFonts w:hint="eastAsia" w:cs="Times New Roman"/>
                      <w:color w:val="0000FF"/>
                      <w:sz w:val="21"/>
                      <w:szCs w:val="21"/>
                      <w:highlight w:val="none"/>
                      <w:lang w:val="en-US" w:eastAsia="zh-CN"/>
                    </w:rPr>
                    <w:t>75</w:t>
                  </w:r>
                </w:p>
              </w:tc>
              <w:tc>
                <w:tcPr>
                  <w:tcW w:w="766" w:type="pct"/>
                  <w:tcBorders>
                    <w:tl2br w:val="nil"/>
                    <w:tr2bl w:val="nil"/>
                  </w:tcBorders>
                  <w:noWrap w:val="0"/>
                  <w:vAlign w:val="center"/>
                </w:tcPr>
                <w:p w14:paraId="2FFECB52">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20000</w:t>
                  </w:r>
                </w:p>
              </w:tc>
              <w:tc>
                <w:tcPr>
                  <w:tcW w:w="748" w:type="pct"/>
                  <w:tcBorders>
                    <w:tl2br w:val="nil"/>
                    <w:tr2bl w:val="nil"/>
                  </w:tcBorders>
                  <w:noWrap w:val="0"/>
                  <w:vAlign w:val="center"/>
                </w:tcPr>
                <w:p w14:paraId="53034FDB">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7200</w:t>
                  </w:r>
                </w:p>
              </w:tc>
              <w:tc>
                <w:tcPr>
                  <w:tcW w:w="806" w:type="pct"/>
                  <w:tcBorders>
                    <w:tl2br w:val="nil"/>
                    <w:tr2bl w:val="nil"/>
                  </w:tcBorders>
                  <w:noWrap w:val="0"/>
                  <w:vAlign w:val="center"/>
                </w:tcPr>
                <w:p w14:paraId="2B75C958">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0.252</w:t>
                  </w:r>
                </w:p>
              </w:tc>
            </w:tr>
            <w:tr w14:paraId="3E10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573" w:type="pct"/>
                  <w:tcBorders>
                    <w:tl2br w:val="nil"/>
                    <w:tr2bl w:val="nil"/>
                  </w:tcBorders>
                  <w:noWrap w:val="0"/>
                  <w:vAlign w:val="center"/>
                </w:tcPr>
                <w:p w14:paraId="516BA8E3">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cs="Times New Roman"/>
                      <w:color w:val="0000FF"/>
                      <w:lang w:val="en-US" w:eastAsia="zh-CN"/>
                    </w:rPr>
                    <w:t>西线磨粉</w:t>
                  </w:r>
                  <w:r>
                    <w:rPr>
                      <w:rFonts w:hint="eastAsia" w:ascii="Times New Roman" w:hAnsi="Times New Roman" w:cs="Times New Roman"/>
                      <w:color w:val="0000FF"/>
                      <w:lang w:val="en-US" w:eastAsia="zh-CN"/>
                    </w:rPr>
                    <w:t>废气排放口</w:t>
                  </w:r>
                </w:p>
              </w:tc>
              <w:tc>
                <w:tcPr>
                  <w:tcW w:w="708" w:type="pct"/>
                  <w:vMerge w:val="continue"/>
                  <w:tcBorders>
                    <w:tl2br w:val="nil"/>
                    <w:tr2bl w:val="nil"/>
                  </w:tcBorders>
                  <w:noWrap w:val="0"/>
                  <w:vAlign w:val="center"/>
                </w:tcPr>
                <w:p w14:paraId="247291F4">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highlight w:val="none"/>
                      <w:lang w:val="en-US" w:eastAsia="zh-CN" w:bidi="ar-SA"/>
                    </w:rPr>
                  </w:pPr>
                </w:p>
              </w:tc>
              <w:tc>
                <w:tcPr>
                  <w:tcW w:w="671" w:type="pct"/>
                  <w:tcBorders>
                    <w:tl2br w:val="nil"/>
                    <w:tr2bl w:val="nil"/>
                  </w:tcBorders>
                  <w:noWrap w:val="0"/>
                  <w:vAlign w:val="center"/>
                </w:tcPr>
                <w:p w14:paraId="7D48D246">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颗粒物</w:t>
                  </w:r>
                </w:p>
              </w:tc>
              <w:tc>
                <w:tcPr>
                  <w:tcW w:w="724" w:type="pct"/>
                  <w:tcBorders>
                    <w:tl2br w:val="nil"/>
                    <w:tr2bl w:val="nil"/>
                  </w:tcBorders>
                  <w:noWrap w:val="0"/>
                  <w:vAlign w:val="center"/>
                </w:tcPr>
                <w:p w14:paraId="305AD52F">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r>
                    <w:rPr>
                      <w:rFonts w:hint="eastAsia" w:cs="Times New Roman"/>
                      <w:color w:val="0000FF"/>
                      <w:sz w:val="21"/>
                      <w:szCs w:val="21"/>
                      <w:highlight w:val="none"/>
                      <w:lang w:val="en-US" w:eastAsia="zh-CN"/>
                    </w:rPr>
                    <w:t>75</w:t>
                  </w:r>
                </w:p>
              </w:tc>
              <w:tc>
                <w:tcPr>
                  <w:tcW w:w="766" w:type="pct"/>
                  <w:tcBorders>
                    <w:tl2br w:val="nil"/>
                    <w:tr2bl w:val="nil"/>
                  </w:tcBorders>
                  <w:noWrap w:val="0"/>
                  <w:vAlign w:val="center"/>
                </w:tcPr>
                <w:p w14:paraId="18CB124F">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20000</w:t>
                  </w:r>
                </w:p>
              </w:tc>
              <w:tc>
                <w:tcPr>
                  <w:tcW w:w="748" w:type="pct"/>
                  <w:tcBorders>
                    <w:tl2br w:val="nil"/>
                    <w:tr2bl w:val="nil"/>
                  </w:tcBorders>
                  <w:noWrap w:val="0"/>
                  <w:vAlign w:val="center"/>
                </w:tcPr>
                <w:p w14:paraId="34009D85">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7200</w:t>
                  </w:r>
                </w:p>
              </w:tc>
              <w:tc>
                <w:tcPr>
                  <w:tcW w:w="806" w:type="pct"/>
                  <w:tcBorders>
                    <w:tl2br w:val="nil"/>
                    <w:tr2bl w:val="nil"/>
                  </w:tcBorders>
                  <w:noWrap w:val="0"/>
                  <w:vAlign w:val="center"/>
                </w:tcPr>
                <w:p w14:paraId="6C4F5163">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0.252</w:t>
                  </w:r>
                </w:p>
              </w:tc>
            </w:tr>
            <w:tr w14:paraId="66D2C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4FBFA9CA">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核算公式</w:t>
                  </w:r>
                </w:p>
              </w:tc>
              <w:tc>
                <w:tcPr>
                  <w:tcW w:w="3045" w:type="pct"/>
                  <w:gridSpan w:val="4"/>
                  <w:tcBorders>
                    <w:tl2br w:val="nil"/>
                    <w:tr2bl w:val="nil"/>
                  </w:tcBorders>
                  <w:noWrap w:val="0"/>
                  <w:vAlign w:val="center"/>
                </w:tcPr>
                <w:p w14:paraId="3038448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污染物排放量（t/a）=排放标准限值（mg/m</w:t>
                  </w:r>
                  <w:r>
                    <w:rPr>
                      <w:rFonts w:hint="default" w:ascii="Times New Roman" w:hAnsi="Times New Roman" w:eastAsia="宋体" w:cs="Times New Roman"/>
                      <w:color w:val="0000FF"/>
                      <w:sz w:val="21"/>
                      <w:szCs w:val="21"/>
                      <w:highlight w:val="none"/>
                      <w:vertAlign w:val="superscript"/>
                      <w:lang w:val="en-US" w:eastAsia="zh-CN"/>
                    </w:rPr>
                    <w:t>3</w:t>
                  </w:r>
                  <w:r>
                    <w:rPr>
                      <w:rFonts w:hint="default" w:ascii="Times New Roman" w:hAnsi="Times New Roman" w:eastAsia="宋体" w:cs="Times New Roman"/>
                      <w:color w:val="0000FF"/>
                      <w:sz w:val="21"/>
                      <w:szCs w:val="21"/>
                      <w:highlight w:val="none"/>
                      <w:lang w:val="en-US" w:eastAsia="zh-CN"/>
                    </w:rPr>
                    <w:t>）×排气量（m</w:t>
                  </w:r>
                  <w:r>
                    <w:rPr>
                      <w:rFonts w:hint="default" w:ascii="Times New Roman" w:hAnsi="Times New Roman" w:eastAsia="宋体" w:cs="Times New Roman"/>
                      <w:color w:val="0000FF"/>
                      <w:sz w:val="21"/>
                      <w:szCs w:val="21"/>
                      <w:highlight w:val="none"/>
                      <w:vertAlign w:val="superscript"/>
                      <w:lang w:val="en-US" w:eastAsia="zh-CN"/>
                    </w:rPr>
                    <w:t>3</w:t>
                  </w:r>
                  <w:r>
                    <w:rPr>
                      <w:rFonts w:hint="default" w:ascii="Times New Roman" w:hAnsi="Times New Roman" w:eastAsia="宋体" w:cs="Times New Roman"/>
                      <w:color w:val="0000FF"/>
                      <w:sz w:val="21"/>
                      <w:szCs w:val="21"/>
                      <w:highlight w:val="none"/>
                      <w:lang w:val="en-US" w:eastAsia="zh-CN"/>
                    </w:rPr>
                    <w:t>/h）×生产时间（h/a）/10</w:t>
                  </w:r>
                  <w:r>
                    <w:rPr>
                      <w:rFonts w:hint="default" w:ascii="Times New Roman" w:hAnsi="Times New Roman" w:eastAsia="宋体" w:cs="Times New Roman"/>
                      <w:color w:val="0000FF"/>
                      <w:sz w:val="21"/>
                      <w:szCs w:val="21"/>
                      <w:highlight w:val="none"/>
                      <w:vertAlign w:val="superscript"/>
                      <w:lang w:val="en-US" w:eastAsia="zh-CN"/>
                    </w:rPr>
                    <w:t>9</w:t>
                  </w:r>
                </w:p>
              </w:tc>
            </w:tr>
            <w:tr w14:paraId="1CED9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6351D6AB">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无组织排放量</w:t>
                  </w:r>
                </w:p>
              </w:tc>
              <w:tc>
                <w:tcPr>
                  <w:tcW w:w="3045" w:type="pct"/>
                  <w:gridSpan w:val="4"/>
                  <w:tcBorders>
                    <w:tl2br w:val="nil"/>
                    <w:tr2bl w:val="nil"/>
                  </w:tcBorders>
                  <w:noWrap w:val="0"/>
                  <w:vAlign w:val="center"/>
                </w:tcPr>
                <w:p w14:paraId="1F276951">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无组织颗粒物排放：2.06t/a</w:t>
                  </w:r>
                </w:p>
              </w:tc>
            </w:tr>
            <w:tr w14:paraId="304D7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31A6B035">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合计</w:t>
                  </w:r>
                </w:p>
              </w:tc>
              <w:tc>
                <w:tcPr>
                  <w:tcW w:w="3045" w:type="pct"/>
                  <w:gridSpan w:val="4"/>
                  <w:tcBorders>
                    <w:tl2br w:val="nil"/>
                    <w:tr2bl w:val="nil"/>
                  </w:tcBorders>
                  <w:noWrap w:val="0"/>
                  <w:vAlign w:val="center"/>
                </w:tcPr>
                <w:p w14:paraId="0331A30F">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颗粒物：2.564t/a</w:t>
                  </w:r>
                </w:p>
              </w:tc>
            </w:tr>
          </w:tbl>
          <w:p w14:paraId="3ACF8022">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0000FF"/>
                <w:kern w:val="2"/>
                <w:sz w:val="24"/>
                <w:szCs w:val="24"/>
                <w:highlight w:val="none"/>
                <w:lang w:val="en-US" w:eastAsia="zh-CN" w:bidi="ar-SA"/>
              </w:rPr>
            </w:pPr>
            <w:r>
              <w:rPr>
                <w:rFonts w:hint="eastAsia" w:ascii="Times New Roman" w:hAnsi="Times New Roman" w:cs="Times New Roman"/>
                <w:b w:val="0"/>
                <w:bCs w:val="0"/>
                <w:color w:val="0000FF"/>
                <w:kern w:val="2"/>
                <w:sz w:val="24"/>
                <w:szCs w:val="24"/>
                <w:highlight w:val="none"/>
                <w:lang w:val="en-US" w:eastAsia="zh-CN" w:bidi="ar-SA"/>
              </w:rPr>
              <w:t>技改</w:t>
            </w:r>
            <w:r>
              <w:rPr>
                <w:rFonts w:hint="default" w:ascii="Times New Roman" w:hAnsi="Times New Roman" w:eastAsia="宋体" w:cs="Times New Roman"/>
                <w:b w:val="0"/>
                <w:bCs w:val="0"/>
                <w:color w:val="0000FF"/>
                <w:kern w:val="2"/>
                <w:sz w:val="24"/>
                <w:szCs w:val="24"/>
                <w:highlight w:val="none"/>
                <w:lang w:val="en-US" w:eastAsia="zh-CN" w:bidi="ar-SA"/>
              </w:rPr>
              <w:t>项目污染物总</w:t>
            </w:r>
            <w:r>
              <w:rPr>
                <w:rFonts w:hint="eastAsia" w:ascii="Times New Roman" w:hAnsi="Times New Roman" w:cs="Times New Roman"/>
                <w:b w:val="0"/>
                <w:bCs w:val="0"/>
                <w:color w:val="0000FF"/>
                <w:kern w:val="2"/>
                <w:sz w:val="24"/>
                <w:szCs w:val="24"/>
                <w:highlight w:val="none"/>
                <w:lang w:val="en-US" w:eastAsia="zh-CN" w:bidi="ar-SA"/>
              </w:rPr>
              <w:t>量</w:t>
            </w:r>
            <w:r>
              <w:rPr>
                <w:rFonts w:hint="default" w:ascii="Times New Roman" w:hAnsi="Times New Roman" w:eastAsia="宋体" w:cs="Times New Roman"/>
                <w:b w:val="0"/>
                <w:bCs w:val="0"/>
                <w:color w:val="0000FF"/>
                <w:kern w:val="2"/>
                <w:sz w:val="24"/>
                <w:szCs w:val="24"/>
                <w:highlight w:val="none"/>
                <w:lang w:val="en-US" w:eastAsia="zh-CN" w:bidi="ar-SA"/>
              </w:rPr>
              <w:t>控制指标分别为</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COD</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0t/a、氨氮</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SO</w:t>
            </w:r>
            <w:r>
              <w:rPr>
                <w:rFonts w:hint="default" w:ascii="Times New Roman" w:hAnsi="Times New Roman" w:eastAsia="宋体" w:cs="Times New Roman"/>
                <w:b w:val="0"/>
                <w:bCs w:val="0"/>
                <w:color w:val="0000FF"/>
                <w:kern w:val="2"/>
                <w:sz w:val="24"/>
                <w:szCs w:val="24"/>
                <w:highlight w:val="none"/>
                <w:vertAlign w:val="subscript"/>
                <w:lang w:val="en-US" w:eastAsia="zh-CN" w:bidi="ar-SA"/>
              </w:rPr>
              <w:t>2</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0t/a、NOx</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0t/a、颗粒物</w:t>
            </w:r>
            <w:r>
              <w:rPr>
                <w:rFonts w:hint="eastAsia" w:ascii="Times New Roman" w:hAnsi="Times New Roman" w:cs="Times New Roman"/>
                <w:b w:val="0"/>
                <w:bCs w:val="0"/>
                <w:color w:val="0000FF"/>
                <w:kern w:val="2"/>
                <w:sz w:val="24"/>
                <w:szCs w:val="24"/>
                <w:highlight w:val="none"/>
                <w:lang w:val="en-US" w:eastAsia="zh-CN" w:bidi="ar-SA"/>
              </w:rPr>
              <w:t>：2.564</w:t>
            </w:r>
            <w:r>
              <w:rPr>
                <w:rFonts w:hint="default" w:ascii="Times New Roman" w:hAnsi="Times New Roman" w:eastAsia="宋体" w:cs="Times New Roman"/>
                <w:b w:val="0"/>
                <w:bCs w:val="0"/>
                <w:color w:val="0000FF"/>
                <w:kern w:val="2"/>
                <w:sz w:val="24"/>
                <w:szCs w:val="24"/>
                <w:highlight w:val="none"/>
                <w:lang w:val="en-US" w:eastAsia="zh-CN" w:bidi="ar-SA"/>
              </w:rPr>
              <w:t>t/a。技改项目完成后，全厂污染物</w:t>
            </w:r>
            <w:r>
              <w:rPr>
                <w:rFonts w:hint="eastAsia" w:ascii="Times New Roman" w:hAnsi="Times New Roman" w:cs="Times New Roman"/>
                <w:b w:val="0"/>
                <w:bCs w:val="0"/>
                <w:color w:val="0000FF"/>
                <w:kern w:val="2"/>
                <w:sz w:val="24"/>
                <w:szCs w:val="24"/>
                <w:highlight w:val="none"/>
                <w:lang w:val="en-US" w:eastAsia="zh-CN" w:bidi="ar-SA"/>
              </w:rPr>
              <w:t>总量</w:t>
            </w:r>
            <w:r>
              <w:rPr>
                <w:rFonts w:hint="default" w:ascii="Times New Roman" w:hAnsi="Times New Roman" w:eastAsia="宋体" w:cs="Times New Roman"/>
                <w:b w:val="0"/>
                <w:bCs w:val="0"/>
                <w:color w:val="0000FF"/>
                <w:kern w:val="2"/>
                <w:sz w:val="24"/>
                <w:szCs w:val="24"/>
                <w:highlight w:val="none"/>
                <w:lang w:val="en-US" w:eastAsia="zh-CN" w:bidi="ar-SA"/>
              </w:rPr>
              <w:t>控制指标分别为</w:t>
            </w:r>
            <w:r>
              <w:rPr>
                <w:rFonts w:hint="eastAsia" w:ascii="Times New Roman" w:hAnsi="Times New Roman" w:eastAsia="宋体" w:cs="Times New Roman"/>
                <w:color w:val="0000FF"/>
                <w:sz w:val="24"/>
                <w:szCs w:val="24"/>
                <w:highlight w:val="none"/>
                <w:lang w:val="en-US" w:eastAsia="zh-CN"/>
              </w:rPr>
              <w:t>：</w:t>
            </w:r>
            <w:r>
              <w:rPr>
                <w:rFonts w:hint="default" w:ascii="Times New Roman" w:hAnsi="Times New Roman" w:eastAsia="宋体" w:cs="Times New Roman"/>
                <w:color w:val="0000FF"/>
                <w:sz w:val="24"/>
                <w:szCs w:val="24"/>
                <w:highlight w:val="none"/>
                <w:lang w:val="en-US" w:eastAsia="zh-CN"/>
              </w:rPr>
              <w:t>COD：0t/a，氨氮：0t/a，SO</w:t>
            </w:r>
            <w:r>
              <w:rPr>
                <w:rFonts w:hint="default" w:ascii="Times New Roman" w:hAnsi="Times New Roman" w:eastAsia="宋体" w:cs="Times New Roman"/>
                <w:color w:val="0000FF"/>
                <w:sz w:val="24"/>
                <w:szCs w:val="24"/>
                <w:highlight w:val="none"/>
                <w:vertAlign w:val="subscript"/>
                <w:lang w:val="en-US" w:eastAsia="zh-CN"/>
              </w:rPr>
              <w:t>2</w:t>
            </w:r>
            <w:r>
              <w:rPr>
                <w:rFonts w:hint="default" w:ascii="Times New Roman" w:hAnsi="Times New Roman" w:eastAsia="宋体" w:cs="Times New Roman"/>
                <w:color w:val="0000FF"/>
                <w:sz w:val="24"/>
                <w:szCs w:val="24"/>
                <w:highlight w:val="none"/>
                <w:lang w:val="en-US" w:eastAsia="zh-CN"/>
              </w:rPr>
              <w:t>：</w:t>
            </w:r>
            <w:r>
              <w:rPr>
                <w:rFonts w:hint="eastAsia" w:ascii="Times New Roman" w:hAnsi="Times New Roman" w:eastAsia="宋体" w:cs="Times New Roman"/>
                <w:color w:val="0000FF"/>
                <w:sz w:val="24"/>
                <w:szCs w:val="24"/>
                <w:highlight w:val="none"/>
                <w:lang w:val="en-US" w:eastAsia="zh-CN"/>
              </w:rPr>
              <w:t>123.840</w:t>
            </w:r>
            <w:r>
              <w:rPr>
                <w:rFonts w:hint="default" w:ascii="Times New Roman" w:hAnsi="Times New Roman" w:eastAsia="宋体" w:cs="Times New Roman"/>
                <w:color w:val="0000FF"/>
                <w:sz w:val="24"/>
                <w:szCs w:val="24"/>
                <w:highlight w:val="none"/>
                <w:lang w:val="en-US" w:eastAsia="zh-CN"/>
              </w:rPr>
              <w:t>t/a，NOx：</w:t>
            </w:r>
            <w:r>
              <w:rPr>
                <w:rFonts w:hint="eastAsia" w:ascii="Times New Roman" w:hAnsi="Times New Roman" w:eastAsia="宋体" w:cs="Times New Roman"/>
                <w:color w:val="0000FF"/>
                <w:sz w:val="24"/>
                <w:szCs w:val="24"/>
                <w:highlight w:val="none"/>
                <w:lang w:val="en-US" w:eastAsia="zh-CN"/>
              </w:rPr>
              <w:t>123.840</w:t>
            </w:r>
            <w:r>
              <w:rPr>
                <w:rFonts w:hint="default" w:ascii="Times New Roman" w:hAnsi="Times New Roman" w:eastAsia="宋体" w:cs="Times New Roman"/>
                <w:color w:val="0000FF"/>
                <w:sz w:val="24"/>
                <w:szCs w:val="24"/>
                <w:highlight w:val="none"/>
                <w:lang w:val="en-US" w:eastAsia="zh-CN"/>
              </w:rPr>
              <w:t>t/a</w:t>
            </w:r>
            <w:r>
              <w:rPr>
                <w:rFonts w:hint="eastAsia" w:ascii="Times New Roman" w:hAnsi="Times New Roman" w:eastAsia="宋体" w:cs="Times New Roman"/>
                <w:color w:val="0000FF"/>
                <w:sz w:val="24"/>
                <w:szCs w:val="24"/>
                <w:highlight w:val="none"/>
                <w:lang w:val="en-US" w:eastAsia="zh-CN"/>
              </w:rPr>
              <w:t>、颗粒物：9.665t/a。</w:t>
            </w:r>
          </w:p>
          <w:p w14:paraId="2412DCEA">
            <w:pPr>
              <w:pStyle w:val="8"/>
              <w:keepNext w:val="0"/>
              <w:keepLines w:val="0"/>
              <w:pageBreakBefore w:val="0"/>
              <w:widowControl w:val="0"/>
              <w:numPr>
                <w:ilvl w:val="0"/>
                <w:numId w:val="8"/>
              </w:numPr>
              <w:kinsoku/>
              <w:wordWrap/>
              <w:overflowPunct/>
              <w:topLinePunct w:val="0"/>
              <w:autoSpaceDE/>
              <w:autoSpaceDN/>
              <w:bidi w:val="0"/>
              <w:adjustRightInd w:val="0"/>
              <w:snapToGrid w:val="0"/>
              <w:spacing w:line="480" w:lineRule="exact"/>
              <w:ind w:left="0" w:leftChars="0" w:firstLine="480" w:firstLineChars="200"/>
              <w:textAlignment w:val="auto"/>
              <w:rPr>
                <w:rFonts w:hint="eastAsia"/>
                <w:color w:val="auto"/>
                <w:sz w:val="24"/>
                <w:highlight w:val="none"/>
              </w:rPr>
            </w:pPr>
            <w:r>
              <w:rPr>
                <w:rFonts w:hint="eastAsia"/>
                <w:color w:val="auto"/>
                <w:sz w:val="24"/>
                <w:highlight w:val="none"/>
              </w:rPr>
              <w:t>全厂“</w:t>
            </w:r>
            <w:r>
              <w:rPr>
                <w:color w:val="auto"/>
                <w:sz w:val="24"/>
                <w:highlight w:val="none"/>
              </w:rPr>
              <w:t>三本账</w:t>
            </w:r>
            <w:r>
              <w:rPr>
                <w:rFonts w:hint="eastAsia"/>
                <w:color w:val="auto"/>
                <w:sz w:val="24"/>
                <w:highlight w:val="none"/>
              </w:rPr>
              <w:t>”变化情况</w:t>
            </w:r>
          </w:p>
          <w:p w14:paraId="07E7B904">
            <w:pPr>
              <w:pStyle w:val="113"/>
              <w:keepNext w:val="0"/>
              <w:keepLines w:val="0"/>
              <w:pageBreakBefore w:val="0"/>
              <w:tabs>
                <w:tab w:val="left" w:pos="1734"/>
              </w:tabs>
              <w:kinsoku/>
              <w:wordWrap/>
              <w:overflowPunct/>
              <w:topLinePunct w:val="0"/>
              <w:autoSpaceDE/>
              <w:autoSpaceDN/>
              <w:bidi w:val="0"/>
              <w:spacing w:line="520" w:lineRule="exact"/>
              <w:ind w:firstLine="1446" w:firstLineChars="600"/>
              <w:jc w:val="both"/>
              <w:textAlignment w:val="auto"/>
              <w:rPr>
                <w:rFonts w:hint="default" w:ascii="Times New Roman" w:hAnsi="Times New Roman" w:cs="Times New Roman"/>
                <w:b/>
                <w:color w:val="auto"/>
                <w:sz w:val="24"/>
                <w:highlight w:val="none"/>
              </w:rPr>
            </w:pPr>
          </w:p>
          <w:p w14:paraId="070E66A4">
            <w:pPr>
              <w:pStyle w:val="113"/>
              <w:keepNext w:val="0"/>
              <w:keepLines w:val="0"/>
              <w:pageBreakBefore w:val="0"/>
              <w:tabs>
                <w:tab w:val="left" w:pos="1734"/>
              </w:tabs>
              <w:kinsoku/>
              <w:wordWrap/>
              <w:overflowPunct/>
              <w:topLinePunct w:val="0"/>
              <w:autoSpaceDE/>
              <w:autoSpaceDN/>
              <w:bidi w:val="0"/>
              <w:spacing w:line="520" w:lineRule="exact"/>
              <w:ind w:firstLine="1446" w:firstLineChars="600"/>
              <w:jc w:val="both"/>
              <w:textAlignment w:val="auto"/>
              <w:rPr>
                <w:rFonts w:hint="eastAsia"/>
                <w:color w:val="auto"/>
                <w:highlight w:val="none"/>
              </w:rPr>
            </w:pPr>
            <w:r>
              <w:rPr>
                <w:rFonts w:hint="default" w:ascii="Times New Roman" w:hAnsi="Times New Roman" w:cs="Times New Roman"/>
                <w:b/>
                <w:color w:val="auto"/>
                <w:sz w:val="24"/>
                <w:highlight w:val="none"/>
              </w:rPr>
              <w:t>表3-</w:t>
            </w:r>
            <w:r>
              <w:rPr>
                <w:rFonts w:hint="eastAsia" w:cs="Times New Roman"/>
                <w:b/>
                <w:color w:val="auto"/>
                <w:sz w:val="24"/>
                <w:highlight w:val="none"/>
                <w:lang w:val="en-US" w:eastAsia="zh-CN"/>
              </w:rPr>
              <w:t>6</w:t>
            </w:r>
            <w:r>
              <w:rPr>
                <w:rFonts w:hint="default" w:ascii="Times New Roman" w:hAnsi="Times New Roman" w:cs="Times New Roman"/>
                <w:b/>
                <w:color w:val="auto"/>
                <w:sz w:val="24"/>
                <w:highlight w:val="none"/>
              </w:rPr>
              <w:t xml:space="preserve"> </w:t>
            </w:r>
            <w:r>
              <w:rPr>
                <w:rFonts w:hint="eastAsia" w:cs="Times New Roman"/>
                <w:b/>
                <w:color w:val="auto"/>
                <w:sz w:val="24"/>
                <w:highlight w:val="none"/>
                <w:lang w:val="en-US" w:eastAsia="zh-CN"/>
              </w:rPr>
              <w:t xml:space="preserve">  </w:t>
            </w:r>
            <w:r>
              <w:rPr>
                <w:color w:val="auto"/>
                <w:highlight w:val="none"/>
              </w:rPr>
              <w:t>项目建设前后</w:t>
            </w:r>
            <w:r>
              <w:rPr>
                <w:rFonts w:hint="eastAsia"/>
                <w:color w:val="auto"/>
                <w:highlight w:val="none"/>
                <w:lang w:val="en-US" w:eastAsia="zh-CN"/>
              </w:rPr>
              <w:t>全厂</w:t>
            </w:r>
            <w:r>
              <w:rPr>
                <w:color w:val="auto"/>
                <w:highlight w:val="none"/>
              </w:rPr>
              <w:t>污染物变化“三本</w:t>
            </w:r>
            <w:r>
              <w:rPr>
                <w:rFonts w:hint="eastAsia"/>
                <w:color w:val="auto"/>
                <w:highlight w:val="none"/>
                <w:lang w:val="en-US" w:eastAsia="zh-CN"/>
              </w:rPr>
              <w:t>账</w:t>
            </w:r>
            <w:r>
              <w:rPr>
                <w:color w:val="auto"/>
                <w:highlight w:val="none"/>
              </w:rPr>
              <w:t>”   单位</w:t>
            </w:r>
            <w:r>
              <w:rPr>
                <w:rFonts w:hint="eastAsia"/>
                <w:color w:val="auto"/>
                <w:highlight w:val="none"/>
                <w:lang w:eastAsia="zh-CN"/>
              </w:rPr>
              <w:t>：</w:t>
            </w:r>
            <w:r>
              <w:rPr>
                <w:color w:val="auto"/>
                <w:highlight w:val="none"/>
              </w:rPr>
              <w:t>t/a</w:t>
            </w:r>
          </w:p>
          <w:tbl>
            <w:tblPr>
              <w:tblStyle w:val="3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1"/>
              <w:gridCol w:w="1321"/>
              <w:gridCol w:w="1091"/>
              <w:gridCol w:w="1260"/>
              <w:gridCol w:w="1219"/>
              <w:gridCol w:w="1025"/>
              <w:gridCol w:w="1572"/>
            </w:tblGrid>
            <w:tr w14:paraId="75820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1243" w:type="pct"/>
                  <w:gridSpan w:val="2"/>
                  <w:noWrap w:val="0"/>
                  <w:vAlign w:val="center"/>
                </w:tcPr>
                <w:p w14:paraId="52E4932B">
                  <w:pPr>
                    <w:spacing w:line="260" w:lineRule="exact"/>
                    <w:jc w:val="center"/>
                    <w:rPr>
                      <w:color w:val="auto"/>
                      <w:szCs w:val="21"/>
                      <w:highlight w:val="none"/>
                    </w:rPr>
                  </w:pPr>
                  <w:r>
                    <w:rPr>
                      <w:color w:val="auto"/>
                      <w:szCs w:val="21"/>
                      <w:highlight w:val="none"/>
                    </w:rPr>
                    <w:t>污染物名称</w:t>
                  </w:r>
                </w:p>
              </w:tc>
              <w:tc>
                <w:tcPr>
                  <w:tcW w:w="664" w:type="pct"/>
                  <w:noWrap w:val="0"/>
                  <w:vAlign w:val="center"/>
                </w:tcPr>
                <w:p w14:paraId="217D88ED">
                  <w:pPr>
                    <w:spacing w:line="260" w:lineRule="exact"/>
                    <w:jc w:val="center"/>
                    <w:rPr>
                      <w:rFonts w:hint="eastAsia" w:eastAsia="宋体"/>
                      <w:color w:val="auto"/>
                      <w:szCs w:val="21"/>
                      <w:highlight w:val="none"/>
                      <w:lang w:val="en-US" w:eastAsia="zh-CN"/>
                    </w:rPr>
                  </w:pPr>
                  <w:r>
                    <w:rPr>
                      <w:color w:val="auto"/>
                      <w:szCs w:val="21"/>
                      <w:highlight w:val="none"/>
                    </w:rPr>
                    <w:t>现有项目排放量</w:t>
                  </w:r>
                </w:p>
              </w:tc>
              <w:tc>
                <w:tcPr>
                  <w:tcW w:w="767" w:type="pct"/>
                  <w:noWrap w:val="0"/>
                  <w:vAlign w:val="center"/>
                </w:tcPr>
                <w:p w14:paraId="66321D89">
                  <w:pPr>
                    <w:spacing w:line="260" w:lineRule="exact"/>
                    <w:jc w:val="center"/>
                    <w:rPr>
                      <w:color w:val="auto"/>
                      <w:szCs w:val="21"/>
                      <w:highlight w:val="none"/>
                    </w:rPr>
                  </w:pPr>
                  <w:r>
                    <w:rPr>
                      <w:rFonts w:hint="eastAsia"/>
                      <w:color w:val="auto"/>
                      <w:szCs w:val="21"/>
                      <w:highlight w:val="none"/>
                    </w:rPr>
                    <w:t>技改</w:t>
                  </w:r>
                  <w:r>
                    <w:rPr>
                      <w:color w:val="auto"/>
                      <w:szCs w:val="21"/>
                      <w:highlight w:val="none"/>
                    </w:rPr>
                    <w:t>项目排放量</w:t>
                  </w:r>
                </w:p>
              </w:tc>
              <w:tc>
                <w:tcPr>
                  <w:tcW w:w="742" w:type="pct"/>
                  <w:noWrap w:val="0"/>
                  <w:vAlign w:val="center"/>
                </w:tcPr>
                <w:p w14:paraId="194BA63F">
                  <w:pPr>
                    <w:spacing w:line="260" w:lineRule="exact"/>
                    <w:jc w:val="center"/>
                    <w:rPr>
                      <w:color w:val="auto"/>
                      <w:szCs w:val="21"/>
                      <w:highlight w:val="none"/>
                    </w:rPr>
                  </w:pPr>
                  <w:r>
                    <w:rPr>
                      <w:color w:val="auto"/>
                      <w:szCs w:val="21"/>
                      <w:highlight w:val="none"/>
                    </w:rPr>
                    <w:t>“以新带老”削减量</w:t>
                  </w:r>
                </w:p>
              </w:tc>
              <w:tc>
                <w:tcPr>
                  <w:tcW w:w="624" w:type="pct"/>
                  <w:noWrap w:val="0"/>
                  <w:vAlign w:val="center"/>
                </w:tcPr>
                <w:p w14:paraId="7135B4A8">
                  <w:pPr>
                    <w:spacing w:line="260" w:lineRule="exact"/>
                    <w:jc w:val="center"/>
                    <w:rPr>
                      <w:color w:val="auto"/>
                      <w:szCs w:val="21"/>
                      <w:highlight w:val="none"/>
                    </w:rPr>
                  </w:pPr>
                  <w:r>
                    <w:rPr>
                      <w:rFonts w:hint="eastAsia"/>
                      <w:color w:val="auto"/>
                      <w:szCs w:val="21"/>
                      <w:highlight w:val="none"/>
                    </w:rPr>
                    <w:t>技改</w:t>
                  </w:r>
                  <w:r>
                    <w:rPr>
                      <w:color w:val="auto"/>
                      <w:szCs w:val="21"/>
                      <w:highlight w:val="none"/>
                    </w:rPr>
                    <w:t>后总排放量</w:t>
                  </w:r>
                </w:p>
              </w:tc>
              <w:tc>
                <w:tcPr>
                  <w:tcW w:w="957" w:type="pct"/>
                  <w:noWrap w:val="0"/>
                  <w:vAlign w:val="center"/>
                </w:tcPr>
                <w:p w14:paraId="383D0264">
                  <w:pPr>
                    <w:spacing w:line="260" w:lineRule="exact"/>
                    <w:jc w:val="center"/>
                    <w:rPr>
                      <w:color w:val="auto"/>
                      <w:szCs w:val="21"/>
                      <w:highlight w:val="none"/>
                    </w:rPr>
                  </w:pPr>
                  <w:r>
                    <w:rPr>
                      <w:color w:val="auto"/>
                      <w:szCs w:val="21"/>
                      <w:highlight w:val="none"/>
                    </w:rPr>
                    <w:t>增减量</w:t>
                  </w:r>
                </w:p>
                <w:p w14:paraId="4D7DCBEE">
                  <w:pPr>
                    <w:spacing w:line="260" w:lineRule="exact"/>
                    <w:jc w:val="center"/>
                    <w:rPr>
                      <w:color w:val="auto"/>
                      <w:szCs w:val="21"/>
                      <w:highlight w:val="none"/>
                    </w:rPr>
                  </w:pPr>
                  <w:r>
                    <w:rPr>
                      <w:color w:val="auto"/>
                      <w:szCs w:val="21"/>
                      <w:highlight w:val="none"/>
                    </w:rPr>
                    <w:t>变化</w:t>
                  </w:r>
                </w:p>
              </w:tc>
            </w:tr>
            <w:tr w14:paraId="0E2AB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noWrap w:val="0"/>
                  <w:vAlign w:val="center"/>
                </w:tcPr>
                <w:p w14:paraId="56F9EA4F">
                  <w:pPr>
                    <w:spacing w:line="260" w:lineRule="exact"/>
                    <w:jc w:val="center"/>
                    <w:rPr>
                      <w:color w:val="auto"/>
                      <w:szCs w:val="21"/>
                      <w:highlight w:val="none"/>
                    </w:rPr>
                  </w:pPr>
                  <w:r>
                    <w:rPr>
                      <w:color w:val="auto"/>
                      <w:szCs w:val="21"/>
                      <w:highlight w:val="none"/>
                    </w:rPr>
                    <w:t>废气</w:t>
                  </w:r>
                </w:p>
              </w:tc>
              <w:tc>
                <w:tcPr>
                  <w:tcW w:w="804" w:type="pct"/>
                  <w:noWrap w:val="0"/>
                  <w:vAlign w:val="center"/>
                </w:tcPr>
                <w:p w14:paraId="1E5A3A2A">
                  <w:pPr>
                    <w:spacing w:line="260" w:lineRule="exact"/>
                    <w:jc w:val="center"/>
                    <w:rPr>
                      <w:rFonts w:hint="eastAsia"/>
                      <w:color w:val="auto"/>
                      <w:szCs w:val="21"/>
                      <w:highlight w:val="none"/>
                    </w:rPr>
                  </w:pPr>
                  <w:r>
                    <w:rPr>
                      <w:color w:val="auto"/>
                      <w:szCs w:val="21"/>
                      <w:highlight w:val="none"/>
                    </w:rPr>
                    <w:t>颗粒物</w:t>
                  </w:r>
                </w:p>
              </w:tc>
              <w:tc>
                <w:tcPr>
                  <w:tcW w:w="664" w:type="pct"/>
                  <w:noWrap w:val="0"/>
                  <w:vAlign w:val="center"/>
                </w:tcPr>
                <w:p w14:paraId="4CA73532">
                  <w:pPr>
                    <w:snapToGrid w:val="0"/>
                    <w:jc w:val="center"/>
                    <w:rPr>
                      <w:rFonts w:hint="default" w:eastAsia="宋体"/>
                      <w:color w:val="auto"/>
                      <w:szCs w:val="21"/>
                      <w:highlight w:val="none"/>
                      <w:lang w:val="en-US" w:eastAsia="zh-CN"/>
                    </w:rPr>
                  </w:pPr>
                  <w:r>
                    <w:rPr>
                      <w:rFonts w:hint="eastAsia"/>
                      <w:color w:val="0000FF"/>
                      <w:szCs w:val="21"/>
                      <w:highlight w:val="none"/>
                      <w:lang w:val="en-US" w:eastAsia="zh-CN"/>
                    </w:rPr>
                    <w:t>9.665</w:t>
                  </w:r>
                </w:p>
              </w:tc>
              <w:tc>
                <w:tcPr>
                  <w:tcW w:w="767" w:type="pct"/>
                  <w:noWrap w:val="0"/>
                  <w:vAlign w:val="center"/>
                </w:tcPr>
                <w:p w14:paraId="451B99BE">
                  <w:pPr>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2.564</w:t>
                  </w:r>
                </w:p>
              </w:tc>
              <w:tc>
                <w:tcPr>
                  <w:tcW w:w="742" w:type="pct"/>
                  <w:noWrap w:val="0"/>
                  <w:vAlign w:val="center"/>
                </w:tcPr>
                <w:p w14:paraId="126D0EDA">
                  <w:pPr>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-2.564</w:t>
                  </w:r>
                </w:p>
              </w:tc>
              <w:tc>
                <w:tcPr>
                  <w:tcW w:w="624" w:type="pct"/>
                  <w:noWrap w:val="0"/>
                  <w:vAlign w:val="center"/>
                </w:tcPr>
                <w:p w14:paraId="7C65F786">
                  <w:pPr>
                    <w:widowControl/>
                    <w:jc w:val="center"/>
                    <w:textAlignment w:val="center"/>
                    <w:rPr>
                      <w:rFonts w:hint="default" w:eastAsia="宋体"/>
                      <w:color w:val="auto"/>
                      <w:szCs w:val="21"/>
                      <w:highlight w:val="none"/>
                      <w:lang w:val="en-US" w:eastAsia="zh-CN"/>
                    </w:rPr>
                  </w:pPr>
                  <w:r>
                    <w:rPr>
                      <w:rFonts w:hint="eastAsia"/>
                      <w:color w:val="0000FF"/>
                      <w:szCs w:val="21"/>
                      <w:highlight w:val="none"/>
                      <w:lang w:val="en-US" w:eastAsia="zh-CN"/>
                    </w:rPr>
                    <w:t>9.665</w:t>
                  </w:r>
                </w:p>
              </w:tc>
              <w:tc>
                <w:tcPr>
                  <w:tcW w:w="957" w:type="pct"/>
                  <w:noWrap w:val="0"/>
                  <w:vAlign w:val="center"/>
                </w:tcPr>
                <w:p w14:paraId="13B552D3">
                  <w:pPr>
                    <w:widowControl/>
                    <w:jc w:val="center"/>
                    <w:textAlignment w:val="center"/>
                    <w:rPr>
                      <w:rFonts w:hint="default" w:eastAsia="宋体"/>
                      <w:color w:val="auto"/>
                      <w:szCs w:val="21"/>
                      <w:highlight w:val="none"/>
                      <w:lang w:val="en-US" w:eastAsia="zh-CN"/>
                    </w:rPr>
                  </w:pPr>
                  <w:r>
                    <w:rPr>
                      <w:rFonts w:hint="eastAsia" w:eastAsia="宋体"/>
                      <w:color w:val="auto"/>
                      <w:szCs w:val="21"/>
                      <w:highlight w:val="none"/>
                      <w:lang w:val="en-US" w:eastAsia="zh-CN"/>
                    </w:rPr>
                    <w:t>0</w:t>
                  </w:r>
                </w:p>
              </w:tc>
            </w:tr>
            <w:tr w14:paraId="7E143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vMerge w:val="restart"/>
                  <w:noWrap w:val="0"/>
                  <w:vAlign w:val="center"/>
                </w:tcPr>
                <w:p w14:paraId="2ADB50AC">
                  <w:pPr>
                    <w:spacing w:line="260" w:lineRule="exact"/>
                    <w:jc w:val="center"/>
                    <w:rPr>
                      <w:rFonts w:hint="eastAsia" w:eastAsia="宋体"/>
                      <w:color w:val="auto"/>
                      <w:szCs w:val="21"/>
                      <w:highlight w:val="none"/>
                      <w:lang w:val="en-US" w:eastAsia="zh-CN"/>
                    </w:rPr>
                  </w:pPr>
                  <w:r>
                    <w:rPr>
                      <w:rFonts w:hint="eastAsia"/>
                      <w:color w:val="auto"/>
                      <w:szCs w:val="21"/>
                      <w:highlight w:val="none"/>
                      <w:lang w:val="en-US" w:eastAsia="zh-CN"/>
                    </w:rPr>
                    <w:t>废水</w:t>
                  </w:r>
                </w:p>
              </w:tc>
              <w:tc>
                <w:tcPr>
                  <w:tcW w:w="804" w:type="pct"/>
                  <w:noWrap w:val="0"/>
                  <w:vAlign w:val="center"/>
                </w:tcPr>
                <w:p w14:paraId="52F58C89">
                  <w:pPr>
                    <w:spacing w:line="260" w:lineRule="exact"/>
                    <w:jc w:val="center"/>
                    <w:rPr>
                      <w:rFonts w:hint="default" w:eastAsia="宋体"/>
                      <w:color w:val="auto"/>
                      <w:szCs w:val="21"/>
                      <w:highlight w:val="none"/>
                      <w:lang w:val="en-US" w:eastAsia="zh-CN"/>
                    </w:rPr>
                  </w:pPr>
                  <w:r>
                    <w:rPr>
                      <w:rFonts w:hint="eastAsia"/>
                      <w:color w:val="auto"/>
                      <w:szCs w:val="21"/>
                      <w:highlight w:val="none"/>
                      <w:lang w:val="en-US" w:eastAsia="zh-CN"/>
                    </w:rPr>
                    <w:t>COD</w:t>
                  </w:r>
                </w:p>
              </w:tc>
              <w:tc>
                <w:tcPr>
                  <w:tcW w:w="664" w:type="pct"/>
                  <w:noWrap w:val="0"/>
                  <w:vAlign w:val="center"/>
                </w:tcPr>
                <w:p w14:paraId="6FCA7735">
                  <w:pPr>
                    <w:snapToGrid w:val="0"/>
                    <w:jc w:val="center"/>
                    <w:rPr>
                      <w:rFonts w:hint="eastAsia"/>
                      <w:color w:val="auto"/>
                      <w:szCs w:val="21"/>
                      <w:highlight w:val="none"/>
                    </w:rPr>
                  </w:pPr>
                  <w:r>
                    <w:rPr>
                      <w:rFonts w:hint="eastAsia"/>
                      <w:color w:val="auto"/>
                      <w:szCs w:val="21"/>
                      <w:highlight w:val="none"/>
                      <w:lang w:val="en-US" w:eastAsia="zh-CN"/>
                    </w:rPr>
                    <w:t>0</w:t>
                  </w:r>
                </w:p>
              </w:tc>
              <w:tc>
                <w:tcPr>
                  <w:tcW w:w="767" w:type="pct"/>
                  <w:noWrap w:val="0"/>
                  <w:vAlign w:val="center"/>
                </w:tcPr>
                <w:p w14:paraId="4011250D">
                  <w:pPr>
                    <w:snapToGrid w:val="0"/>
                    <w:jc w:val="center"/>
                    <w:rPr>
                      <w:rFonts w:hint="eastAsia"/>
                      <w:color w:val="auto"/>
                      <w:szCs w:val="21"/>
                      <w:highlight w:val="none"/>
                    </w:rPr>
                  </w:pPr>
                  <w:r>
                    <w:rPr>
                      <w:rFonts w:hint="eastAsia"/>
                      <w:color w:val="auto"/>
                      <w:szCs w:val="21"/>
                      <w:highlight w:val="none"/>
                      <w:lang w:val="en-US" w:eastAsia="zh-CN"/>
                    </w:rPr>
                    <w:t>0</w:t>
                  </w:r>
                </w:p>
              </w:tc>
              <w:tc>
                <w:tcPr>
                  <w:tcW w:w="742" w:type="pct"/>
                  <w:noWrap w:val="0"/>
                  <w:vAlign w:val="center"/>
                </w:tcPr>
                <w:p w14:paraId="13D418B3">
                  <w:pPr>
                    <w:snapToGrid w:val="0"/>
                    <w:jc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624" w:type="pct"/>
                  <w:noWrap w:val="0"/>
                  <w:vAlign w:val="center"/>
                </w:tcPr>
                <w:p w14:paraId="424373D1">
                  <w:pPr>
                    <w:widowControl/>
                    <w:jc w:val="center"/>
                    <w:textAlignment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957" w:type="pct"/>
                  <w:noWrap w:val="0"/>
                  <w:vAlign w:val="center"/>
                </w:tcPr>
                <w:p w14:paraId="5234D330">
                  <w:pPr>
                    <w:widowControl/>
                    <w:jc w:val="center"/>
                    <w:textAlignment w:val="center"/>
                    <w:rPr>
                      <w:color w:val="auto"/>
                      <w:kern w:val="0"/>
                      <w:szCs w:val="21"/>
                      <w:highlight w:val="none"/>
                      <w:lang w:bidi="ar"/>
                    </w:rPr>
                  </w:pPr>
                  <w:r>
                    <w:rPr>
                      <w:rFonts w:hint="eastAsia" w:eastAsia="宋体"/>
                      <w:color w:val="auto"/>
                      <w:szCs w:val="21"/>
                      <w:highlight w:val="none"/>
                      <w:lang w:val="en-US" w:eastAsia="zh-CN"/>
                    </w:rPr>
                    <w:t>0</w:t>
                  </w:r>
                </w:p>
              </w:tc>
            </w:tr>
            <w:tr w14:paraId="3EA02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vMerge w:val="continue"/>
                  <w:noWrap w:val="0"/>
                  <w:vAlign w:val="center"/>
                </w:tcPr>
                <w:p w14:paraId="3CFDFED6">
                  <w:pPr>
                    <w:spacing w:line="260" w:lineRule="exact"/>
                    <w:jc w:val="center"/>
                    <w:rPr>
                      <w:color w:val="auto"/>
                      <w:szCs w:val="21"/>
                      <w:highlight w:val="none"/>
                    </w:rPr>
                  </w:pPr>
                </w:p>
              </w:tc>
              <w:tc>
                <w:tcPr>
                  <w:tcW w:w="804" w:type="pct"/>
                  <w:noWrap w:val="0"/>
                  <w:vAlign w:val="center"/>
                </w:tcPr>
                <w:p w14:paraId="1CC4FDF5">
                  <w:pPr>
                    <w:spacing w:line="260" w:lineRule="exact"/>
                    <w:jc w:val="center"/>
                    <w:rPr>
                      <w:rFonts w:hint="eastAsia" w:eastAsia="宋体"/>
                      <w:color w:val="auto"/>
                      <w:szCs w:val="21"/>
                      <w:highlight w:val="none"/>
                      <w:lang w:val="en-US" w:eastAsia="zh-CN"/>
                    </w:rPr>
                  </w:pPr>
                  <w:r>
                    <w:rPr>
                      <w:rFonts w:hint="eastAsia"/>
                      <w:color w:val="auto"/>
                      <w:szCs w:val="21"/>
                      <w:highlight w:val="none"/>
                      <w:lang w:val="en-US" w:eastAsia="zh-CN"/>
                    </w:rPr>
                    <w:t>氨氮</w:t>
                  </w:r>
                </w:p>
              </w:tc>
              <w:tc>
                <w:tcPr>
                  <w:tcW w:w="664" w:type="pct"/>
                  <w:noWrap w:val="0"/>
                  <w:vAlign w:val="center"/>
                </w:tcPr>
                <w:p w14:paraId="209B277C">
                  <w:pPr>
                    <w:snapToGrid w:val="0"/>
                    <w:jc w:val="center"/>
                    <w:rPr>
                      <w:rFonts w:hint="eastAsia"/>
                      <w:color w:val="auto"/>
                      <w:szCs w:val="21"/>
                      <w:highlight w:val="none"/>
                    </w:rPr>
                  </w:pPr>
                  <w:r>
                    <w:rPr>
                      <w:rFonts w:hint="eastAsia"/>
                      <w:color w:val="auto"/>
                      <w:szCs w:val="21"/>
                      <w:highlight w:val="none"/>
                      <w:lang w:val="en-US" w:eastAsia="zh-CN"/>
                    </w:rPr>
                    <w:t>0</w:t>
                  </w:r>
                </w:p>
              </w:tc>
              <w:tc>
                <w:tcPr>
                  <w:tcW w:w="767" w:type="pct"/>
                  <w:noWrap w:val="0"/>
                  <w:vAlign w:val="center"/>
                </w:tcPr>
                <w:p w14:paraId="478E409F">
                  <w:pPr>
                    <w:snapToGrid w:val="0"/>
                    <w:jc w:val="center"/>
                    <w:rPr>
                      <w:rFonts w:hint="eastAsia"/>
                      <w:color w:val="auto"/>
                      <w:szCs w:val="21"/>
                      <w:highlight w:val="none"/>
                    </w:rPr>
                  </w:pPr>
                  <w:r>
                    <w:rPr>
                      <w:rFonts w:hint="eastAsia"/>
                      <w:color w:val="auto"/>
                      <w:szCs w:val="21"/>
                      <w:highlight w:val="none"/>
                      <w:lang w:val="en-US" w:eastAsia="zh-CN"/>
                    </w:rPr>
                    <w:t>0</w:t>
                  </w:r>
                </w:p>
              </w:tc>
              <w:tc>
                <w:tcPr>
                  <w:tcW w:w="742" w:type="pct"/>
                  <w:noWrap w:val="0"/>
                  <w:vAlign w:val="center"/>
                </w:tcPr>
                <w:p w14:paraId="69642513">
                  <w:pPr>
                    <w:snapToGrid w:val="0"/>
                    <w:jc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624" w:type="pct"/>
                  <w:noWrap w:val="0"/>
                  <w:vAlign w:val="center"/>
                </w:tcPr>
                <w:p w14:paraId="287B9E6A">
                  <w:pPr>
                    <w:widowControl/>
                    <w:jc w:val="center"/>
                    <w:textAlignment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957" w:type="pct"/>
                  <w:noWrap w:val="0"/>
                  <w:vAlign w:val="center"/>
                </w:tcPr>
                <w:p w14:paraId="226871D9">
                  <w:pPr>
                    <w:widowControl/>
                    <w:jc w:val="center"/>
                    <w:textAlignment w:val="center"/>
                    <w:rPr>
                      <w:color w:val="auto"/>
                      <w:kern w:val="0"/>
                      <w:szCs w:val="21"/>
                      <w:highlight w:val="none"/>
                      <w:lang w:bidi="ar"/>
                    </w:rPr>
                  </w:pPr>
                  <w:r>
                    <w:rPr>
                      <w:rFonts w:hint="eastAsia" w:eastAsia="宋体"/>
                      <w:color w:val="auto"/>
                      <w:szCs w:val="21"/>
                      <w:highlight w:val="none"/>
                      <w:lang w:val="en-US" w:eastAsia="zh-CN"/>
                    </w:rPr>
                    <w:t>0</w:t>
                  </w:r>
                </w:p>
              </w:tc>
            </w:tr>
          </w:tbl>
          <w:p w14:paraId="0B11947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4F8DF1F">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2B1A81C2">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98B6DE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F8DE9DE">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745C928">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3C7D343">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682D028">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E910A1D">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9E601E3">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87CF9F5">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8F9D1F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7456BD5">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710921C">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D594E5D">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D03D5DB">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F10443B">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99A506C">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4EA5AE4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2B92EA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DC36EA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tc>
      </w:tr>
    </w:tbl>
    <w:p w14:paraId="4626C529">
      <w:pPr>
        <w:pStyle w:val="31"/>
        <w:shd w:val="clear" w:color="auto" w:fill="auto"/>
        <w:jc w:val="center"/>
        <w:outlineLvl w:val="0"/>
        <w:rPr>
          <w:rFonts w:hint="default" w:ascii="Times New Roman" w:hAnsi="Times New Roman" w:eastAsia="黑体" w:cs="Times New Roman"/>
          <w:snapToGrid w:val="0"/>
          <w:color w:val="auto"/>
          <w:sz w:val="36"/>
          <w:szCs w:val="36"/>
        </w:rPr>
        <w:sectPr>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pPr>
    </w:p>
    <w:p w14:paraId="250D4DFF">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四、主要环境影响和保护措施</w:t>
      </w:r>
    </w:p>
    <w:tbl>
      <w:tblPr>
        <w:tblStyle w:val="36"/>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86"/>
        <w:gridCol w:w="8591"/>
      </w:tblGrid>
      <w:tr w14:paraId="6AC95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6" w:hRule="atLeast"/>
          <w:jc w:val="center"/>
        </w:trPr>
        <w:tc>
          <w:tcPr>
            <w:tcW w:w="215" w:type="pct"/>
            <w:noWrap w:val="0"/>
            <w:tcMar>
              <w:left w:w="28" w:type="dxa"/>
              <w:right w:w="28" w:type="dxa"/>
            </w:tcMar>
            <w:vAlign w:val="center"/>
          </w:tcPr>
          <w:p w14:paraId="2D7E2D27">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施工</w:t>
            </w:r>
          </w:p>
          <w:p w14:paraId="2CE1CAF2">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027A6BBA">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境保</w:t>
            </w:r>
          </w:p>
          <w:p w14:paraId="6B63B175">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护措</w:t>
            </w:r>
          </w:p>
          <w:p w14:paraId="0670562D">
            <w:pPr>
              <w:pStyle w:val="31"/>
              <w:shd w:val="clear" w:color="auto" w:fill="auto"/>
              <w:adjustRightInd w:val="0"/>
              <w:snapToGrid w:val="0"/>
              <w:spacing w:before="0" w:beforeAutospacing="0" w:after="0" w:afterAutospacing="0"/>
              <w:jc w:val="center"/>
              <w:rPr>
                <w:rFonts w:hint="default" w:ascii="Times New Roman" w:hAnsi="Times New Roman" w:cs="Times New Roman"/>
                <w:bCs/>
                <w:color w:val="auto"/>
                <w:kern w:val="2"/>
                <w:sz w:val="21"/>
                <w:szCs w:val="21"/>
              </w:rPr>
            </w:pPr>
            <w:r>
              <w:rPr>
                <w:rFonts w:hint="default" w:ascii="Times New Roman" w:hAnsi="Times New Roman" w:cs="Times New Roman"/>
                <w:color w:val="auto"/>
                <w:kern w:val="2"/>
                <w:szCs w:val="24"/>
              </w:rPr>
              <w:t>施</w:t>
            </w:r>
          </w:p>
        </w:tc>
        <w:tc>
          <w:tcPr>
            <w:tcW w:w="4784" w:type="pct"/>
            <w:noWrap w:val="0"/>
            <w:vAlign w:val="top"/>
          </w:tcPr>
          <w:p w14:paraId="62D343BA">
            <w:pPr>
              <w:pageBreakBefore w:val="0"/>
              <w:widowControl w:val="0"/>
              <w:shd w:val="clear" w:color="auto" w:fill="auto"/>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施工期环境影响分析：</w:t>
            </w:r>
          </w:p>
          <w:p w14:paraId="3800B727">
            <w:pPr>
              <w:pStyle w:val="6"/>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color w:val="auto"/>
              </w:rPr>
            </w:pPr>
            <w:r>
              <w:rPr>
                <w:rFonts w:hint="default" w:ascii="Times New Roman" w:hAnsi="Times New Roman" w:eastAsia="宋体" w:cs="Times New Roman"/>
                <w:b w:val="0"/>
                <w:bCs w:val="0"/>
                <w:color w:val="auto"/>
                <w:sz w:val="24"/>
                <w:szCs w:val="24"/>
                <w:highlight w:val="none"/>
                <w:lang w:val="en-US" w:eastAsia="zh-CN"/>
              </w:rPr>
              <w:t>项目</w:t>
            </w:r>
            <w:r>
              <w:rPr>
                <w:rFonts w:hint="eastAsia" w:ascii="Times New Roman" w:hAnsi="Times New Roman" w:eastAsia="宋体" w:cs="Times New Roman"/>
                <w:b w:val="0"/>
                <w:bCs w:val="0"/>
                <w:color w:val="auto"/>
                <w:sz w:val="24"/>
                <w:szCs w:val="24"/>
                <w:highlight w:val="none"/>
                <w:lang w:val="en-US" w:eastAsia="zh-CN"/>
              </w:rPr>
              <w:t>利用现有生产车间</w:t>
            </w:r>
            <w:r>
              <w:rPr>
                <w:rFonts w:hint="default" w:ascii="Times New Roman" w:hAnsi="Times New Roman" w:eastAsia="宋体" w:cs="Times New Roman"/>
                <w:b w:val="0"/>
                <w:bCs w:val="0"/>
                <w:color w:val="auto"/>
                <w:sz w:val="24"/>
                <w:szCs w:val="24"/>
                <w:highlight w:val="none"/>
                <w:lang w:val="en-US" w:eastAsia="zh-CN"/>
              </w:rPr>
              <w:t>进行建设，无土建施工，仅为设备的安装与调试，期间会产生噪声、废设备包装、施工人员生活污水。设备安装时轻拿轻放，设备调试安排在白天进行；</w:t>
            </w:r>
            <w:r>
              <w:rPr>
                <w:rFonts w:hint="eastAsia" w:ascii="Times New Roman" w:hAnsi="Times New Roman" w:eastAsia="宋体" w:cs="Times New Roman"/>
                <w:b w:val="0"/>
                <w:bCs w:val="0"/>
                <w:color w:val="auto"/>
                <w:sz w:val="24"/>
                <w:szCs w:val="24"/>
                <w:highlight w:val="none"/>
                <w:lang w:val="en-US" w:eastAsia="zh-CN"/>
              </w:rPr>
              <w:t>施工期较短，</w:t>
            </w:r>
            <w:r>
              <w:rPr>
                <w:rFonts w:hint="default" w:ascii="Times New Roman" w:hAnsi="Times New Roman" w:eastAsia="宋体" w:cs="Times New Roman"/>
                <w:b w:val="0"/>
                <w:bCs w:val="0"/>
                <w:color w:val="auto"/>
                <w:sz w:val="24"/>
                <w:szCs w:val="24"/>
                <w:highlight w:val="none"/>
                <w:lang w:val="en-US" w:eastAsia="zh-CN"/>
              </w:rPr>
              <w:t>施工人员</w:t>
            </w:r>
            <w:r>
              <w:rPr>
                <w:rFonts w:hint="eastAsia" w:ascii="Times New Roman" w:hAnsi="Times New Roman" w:eastAsia="宋体" w:cs="Times New Roman"/>
                <w:b w:val="0"/>
                <w:bCs w:val="0"/>
                <w:color w:val="auto"/>
                <w:sz w:val="24"/>
                <w:szCs w:val="24"/>
                <w:highlight w:val="none"/>
                <w:lang w:val="en-US" w:eastAsia="zh-CN"/>
              </w:rPr>
              <w:t>为周围村民，</w:t>
            </w:r>
            <w:r>
              <w:rPr>
                <w:rFonts w:hint="default" w:ascii="Times New Roman" w:hAnsi="Times New Roman" w:eastAsia="宋体" w:cs="Times New Roman"/>
                <w:b w:val="0"/>
                <w:bCs w:val="0"/>
                <w:color w:val="auto"/>
                <w:sz w:val="24"/>
                <w:szCs w:val="24"/>
                <w:highlight w:val="none"/>
                <w:lang w:val="en-US" w:eastAsia="zh-CN"/>
              </w:rPr>
              <w:t>生活污水</w:t>
            </w:r>
            <w:r>
              <w:rPr>
                <w:rFonts w:hint="eastAsia" w:ascii="Times New Roman" w:hAnsi="Times New Roman" w:eastAsia="宋体" w:cs="Times New Roman"/>
                <w:b w:val="0"/>
                <w:bCs w:val="0"/>
                <w:color w:val="auto"/>
                <w:sz w:val="24"/>
                <w:szCs w:val="24"/>
                <w:highlight w:val="none"/>
                <w:lang w:val="en-US" w:eastAsia="zh-CN"/>
              </w:rPr>
              <w:t>较少，直接泼洒抑尘；</w:t>
            </w:r>
            <w:r>
              <w:rPr>
                <w:rFonts w:hint="default" w:ascii="Times New Roman" w:hAnsi="Times New Roman" w:eastAsia="宋体" w:cs="Times New Roman"/>
                <w:b w:val="0"/>
                <w:bCs w:val="0"/>
                <w:color w:val="auto"/>
                <w:sz w:val="24"/>
                <w:szCs w:val="24"/>
                <w:highlight w:val="none"/>
                <w:lang w:val="en-US" w:eastAsia="zh-CN"/>
              </w:rPr>
              <w:t>废弃设备包装材料集中收集后外售。</w:t>
            </w:r>
          </w:p>
        </w:tc>
      </w:tr>
      <w:tr w14:paraId="29DC1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4" w:hRule="atLeast"/>
          <w:jc w:val="center"/>
        </w:trPr>
        <w:tc>
          <w:tcPr>
            <w:tcW w:w="215" w:type="pct"/>
            <w:noWrap w:val="0"/>
            <w:tcMar>
              <w:left w:w="28" w:type="dxa"/>
              <w:right w:w="28" w:type="dxa"/>
            </w:tcMar>
            <w:vAlign w:val="center"/>
          </w:tcPr>
          <w:p w14:paraId="3F0CC693">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运营</w:t>
            </w:r>
          </w:p>
          <w:p w14:paraId="0EE6F56A">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2F960E7B">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境影</w:t>
            </w:r>
          </w:p>
          <w:p w14:paraId="5F4AC46E">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响和</w:t>
            </w:r>
          </w:p>
          <w:p w14:paraId="4BCF49B5">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保护</w:t>
            </w:r>
          </w:p>
          <w:p w14:paraId="5C805B08">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措施</w:t>
            </w:r>
          </w:p>
        </w:tc>
        <w:tc>
          <w:tcPr>
            <w:tcW w:w="4784" w:type="pct"/>
            <w:noWrap w:val="0"/>
            <w:vAlign w:val="top"/>
          </w:tcPr>
          <w:p w14:paraId="12DE0621">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一、废气</w:t>
            </w:r>
          </w:p>
          <w:p w14:paraId="64CED5A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kern w:val="0"/>
                <w:sz w:val="24"/>
                <w:szCs w:val="24"/>
                <w:lang w:val="en-US" w:eastAsia="zh-CN" w:bidi="ar"/>
              </w:rPr>
              <w:t>本次技改新增2台备用磨粉机</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仅当现有东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出现故障停机，或设备定期检修、保养期间才启动备用磨粉机，替代主磨承担磨粉工序生产任务；设备运行工况、入料条件、处理物料粒径、配套环保设施与现有主用雷蒙磨保持一致，磨粉系统密闭负压运行，废气依托现有布袋除尘系统处理后排放。</w:t>
            </w:r>
          </w:p>
          <w:p w14:paraId="526F810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4"/>
                <w:szCs w:val="24"/>
                <w:lang w:val="en-US" w:eastAsia="zh-CN" w:bidi="ar"/>
              </w:rPr>
              <w:t>结合同类磨粉设备运维经验，主用雷蒙磨年度故障+保养停机合计频次约</w:t>
            </w:r>
            <w:r>
              <w:rPr>
                <w:rStyle w:val="39"/>
                <w:rFonts w:hint="default" w:ascii="Times New Roman" w:hAnsi="Times New Roman" w:eastAsia="宋体" w:cs="Times New Roman"/>
                <w:b w:val="0"/>
                <w:bCs/>
                <w:color w:val="auto"/>
                <w:kern w:val="0"/>
                <w:sz w:val="24"/>
                <w:szCs w:val="24"/>
                <w:lang w:val="en-US" w:eastAsia="zh-CN" w:bidi="ar"/>
              </w:rPr>
              <w:t>4</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6次/年</w:t>
            </w:r>
            <w:r>
              <w:rPr>
                <w:rFonts w:hint="eastAsia"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故障情况下单次启用运行时长根据故障维修时间确定，一般为8</w:t>
            </w:r>
            <w:r>
              <w:rPr>
                <w:rFonts w:hint="eastAsia" w:ascii="Times New Roman" w:hAnsi="Times New Roman" w:eastAsia="宋体"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h /次；计划性保养时单次启用时长与保养工期匹配，一般为12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48h /次。经</w:t>
            </w:r>
            <w:r>
              <w:rPr>
                <w:rFonts w:hint="eastAsia" w:ascii="Times New Roman" w:hAnsi="Times New Roman" w:eastAsia="宋体" w:cs="Times New Roman"/>
                <w:color w:val="auto"/>
                <w:kern w:val="0"/>
                <w:sz w:val="24"/>
                <w:szCs w:val="24"/>
                <w:lang w:val="en-US" w:eastAsia="zh-CN" w:bidi="ar"/>
              </w:rPr>
              <w:t>粗略估算</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lang w:val="en-US" w:eastAsia="zh-CN"/>
              </w:rPr>
              <w:t xml:space="preserve">备用磨粉机全年累计运行时间约 </w:t>
            </w:r>
            <w:r>
              <w:rPr>
                <w:rFonts w:hint="eastAsia" w:ascii="Times New Roman" w:hAnsi="Times New Roman" w:eastAsia="宋体" w:cs="Times New Roman"/>
                <w:color w:val="auto"/>
                <w:lang w:val="en-US" w:eastAsia="zh-CN"/>
              </w:rPr>
              <w:t>24</w:t>
            </w:r>
            <w:r>
              <w:rPr>
                <w:rFonts w:hint="default" w:ascii="Times New Roman" w:hAnsi="Times New Roman" w:eastAsia="宋体" w:cs="Times New Roman"/>
                <w:color w:val="auto"/>
                <w:lang w:val="en-US" w:eastAsia="zh-CN"/>
              </w:rPr>
              <w:t>0h 以内。</w:t>
            </w:r>
          </w:p>
          <w:p w14:paraId="23B24BFD">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1、废气污染治理设施依托情况</w:t>
            </w:r>
          </w:p>
          <w:p w14:paraId="255A504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东西线磨粉系统分别配套独立一套废气收集治理设施，本次技改仅新增备用磨粉设备，不新建废气治理设备，全部依托现有已建成的覆膜滤料脉冲布袋除尘器系统。每套治理设施服务于本线1台主用磨粉机、1台备用磨粉机，每台磨机收尘支管均单独设置一套收尘控制阀门；备用磨粉机对应的收尘管道平时处于待命状态，设备投运遵循先开收尘、后开磨机的操作逻辑。</w:t>
            </w:r>
          </w:p>
          <w:p w14:paraId="11900BC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废气收集方式：收集对象包含磨机入料位置引出的旁路泄压废气、旋风分离器下料随气力输送带出的分流废气、成品料仓呼吸废气。雷蒙磨闭路循环粉磨运行过程中，循环环路内物料受热增湿、外界空气渗入造成环路气量盈余，多余泄压废气通过密闭管道从磨机入料旁路支管引出；气力输送随粉料带出的含尘废气汇入成品料仓；磨机旁路泄压支管、成品料仓出气口通过密闭管路负压接入布袋除尘器。单台磨机配置独立收尘支管及控制阀门，备用磨机收尘管道保持待命状态；当需要启用备用磨机时，先开启该台磨机对应的收尘管道阀门，再启动磨机主机，之后调节收尘管路阀门开度，将磨粉机整个循环系统调控至微负压工况，抑制粉尘从设备法兰、检修口、软连接等密封点位向外逸散；磨机停机作业时，先停止磨粉机主机设备，待设备内部粉尘沉降完毕后，再关闭对应收尘支管阀门。整套收集管路密闭敷设，综合废气收集效率按 98% 计；磨粉机本体法兰、检修门、软连接等密封点依靠系统微负压实现控尘，该部分未被收集的粉尘以无组织形式逸散。</w:t>
            </w:r>
          </w:p>
          <w:p w14:paraId="12F6D96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治理设施主体参数：现有治理设施为覆膜滤料脉冲布袋除尘器，单套除尘器配套引风机设计风量20000</w:t>
            </w:r>
            <w:r>
              <w:rPr>
                <w:rFonts w:hint="eastAsia" w:ascii="Times New Roman" w:hAnsi="Times New Roman" w:eastAsia="宋体" w:cs="Times New Roman"/>
                <w:color w:val="auto"/>
                <w:kern w:val="0"/>
                <w:sz w:val="24"/>
                <w:szCs w:val="24"/>
                <w:lang w:val="en-US" w:eastAsia="zh-CN" w:bidi="ar"/>
              </w:rPr>
              <w:t>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/h；含尘废气进入除尘器箱体后，粉尘被 PTFE 覆膜滤料截留，通过脉冲喷吹清灰，捕集下来的粉尘回落至成品料仓回用；结合同类炭素企业实际运行工况，</w:t>
            </w:r>
            <w:r>
              <w:rPr>
                <w:rFonts w:hint="eastAsia" w:ascii="Times New Roman" w:hAnsi="Times New Roman" w:eastAsia="宋体" w:cs="Times New Roman"/>
                <w:color w:val="auto"/>
                <w:kern w:val="0"/>
                <w:sz w:val="24"/>
                <w:szCs w:val="24"/>
                <w:lang w:val="en-US" w:eastAsia="zh-CN" w:bidi="ar"/>
              </w:rPr>
              <w:t>该</w:t>
            </w:r>
            <w:r>
              <w:rPr>
                <w:rFonts w:hint="default" w:ascii="Times New Roman" w:hAnsi="Times New Roman" w:eastAsia="宋体" w:cs="Times New Roman"/>
                <w:color w:val="auto"/>
                <w:kern w:val="0"/>
                <w:sz w:val="24"/>
                <w:szCs w:val="24"/>
                <w:lang w:val="en-US" w:eastAsia="zh-CN" w:bidi="ar"/>
              </w:rPr>
              <w:t>除尘器系统综合除尘效率</w:t>
            </w:r>
            <w:r>
              <w:rPr>
                <w:rFonts w:hint="eastAsia" w:ascii="Times New Roman" w:hAnsi="Times New Roman" w:eastAsia="宋体" w:cs="Times New Roman"/>
                <w:color w:val="auto"/>
                <w:kern w:val="0"/>
                <w:sz w:val="24"/>
                <w:szCs w:val="24"/>
                <w:lang w:val="en-US" w:eastAsia="zh-CN" w:bidi="ar"/>
              </w:rPr>
              <w:t>达</w:t>
            </w:r>
            <w:r>
              <w:rPr>
                <w:rFonts w:hint="default" w:ascii="Times New Roman" w:hAnsi="Times New Roman" w:eastAsia="宋体" w:cs="Times New Roman"/>
                <w:color w:val="auto"/>
                <w:kern w:val="0"/>
                <w:sz w:val="24"/>
                <w:szCs w:val="24"/>
                <w:lang w:val="en-US" w:eastAsia="zh-CN" w:bidi="ar"/>
              </w:rPr>
              <w:t xml:space="preserve"> 99.5%</w:t>
            </w:r>
            <w:r>
              <w:rPr>
                <w:rFonts w:hint="eastAsia" w:ascii="Times New Roman" w:hAnsi="Times New Roman" w:eastAsia="宋体" w:cs="Times New Roman"/>
                <w:color w:val="auto"/>
                <w:kern w:val="0"/>
                <w:sz w:val="24"/>
                <w:szCs w:val="24"/>
                <w:lang w:val="en-US" w:eastAsia="zh-CN" w:bidi="ar"/>
              </w:rPr>
              <w:t>以上</w:t>
            </w:r>
            <w:r>
              <w:rPr>
                <w:rFonts w:hint="default" w:ascii="Times New Roman" w:hAnsi="Times New Roman" w:eastAsia="宋体" w:cs="Times New Roman"/>
                <w:color w:val="auto"/>
                <w:kern w:val="0"/>
                <w:sz w:val="24"/>
                <w:szCs w:val="24"/>
                <w:lang w:val="en-US" w:eastAsia="zh-CN" w:bidi="ar"/>
              </w:rPr>
              <w:t>。</w:t>
            </w:r>
          </w:p>
          <w:p w14:paraId="51CACE8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排气筒情况：每套除尘器净化后废气分别经1根30m高排气筒高空排放；排气筒按规范设置采样口及监测平台；有组织颗粒物排放执行《铝工业污染物排放标准》（GB25465</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2010）及其修改单限值要求。</w:t>
            </w:r>
          </w:p>
          <w:p w14:paraId="46DE95D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东西线两套收尘系统相互独立；同一条生产线主用、备用磨粉机依靠支管阀门切换，两台磨机不会同时投运，单套除尘设施仅承接单台磨机（主磨或备用磨）的废气负荷，技改不增加现有治理设施处理规模。</w:t>
            </w:r>
          </w:p>
          <w:p w14:paraId="4970018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2、</w:t>
            </w:r>
            <w:r>
              <w:rPr>
                <w:rFonts w:hint="default" w:ascii="Times New Roman" w:hAnsi="Times New Roman" w:cs="Times New Roman"/>
                <w:color w:val="auto"/>
              </w:rPr>
              <w:t>废气源强核算</w:t>
            </w:r>
          </w:p>
          <w:p w14:paraId="39D78DC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有组织废气</w:t>
            </w:r>
          </w:p>
          <w:p w14:paraId="525F66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eastAsia"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东西线各设置1台主用磨粉机、1台备用磨粉机，全厂主用磨粉机2台，备用磨粉机2台；东西线相互独立，各线磨粉工段年总生产时间7200h；备用磨粉机仅在对应线主用磨粉机检修、故障时一对一替换运行，单条线备用磨粉机年运行240h，对应同线主用磨粉机运行时间为6960h；备用磨粉机投入运行期间，同线主用磨粉机停机，东西线分别独立设置废气治理设施。</w:t>
            </w:r>
          </w:p>
          <w:p w14:paraId="72A9083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本项目废气治理路线图如下：</w:t>
            </w:r>
          </w:p>
          <w:p w14:paraId="4CBF66B2">
            <w:pPr>
              <w:pStyle w:val="6"/>
              <w:keepNext/>
              <w:keepLines/>
              <w:pageBreakBefore w:val="0"/>
              <w:widowControl w:val="0"/>
              <w:kinsoku/>
              <w:wordWrap/>
              <w:overflowPunct/>
              <w:topLinePunct w:val="0"/>
              <w:autoSpaceDE/>
              <w:autoSpaceDN/>
              <w:bidi w:val="0"/>
              <w:adjustRightInd/>
              <w:snapToGrid/>
              <w:spacing w:before="0" w:after="0" w:line="460" w:lineRule="exact"/>
              <w:ind w:firstLine="482" w:firstLineChars="200"/>
              <w:textAlignment w:val="auto"/>
              <w:rPr>
                <w:rFonts w:hint="default" w:ascii="Times New Roman" w:hAnsi="Times New Roman" w:eastAsia="宋体" w:cs="Times New Roman"/>
                <w:b w:val="0"/>
                <w:bCs w:val="0"/>
                <w:color w:val="auto"/>
                <w:sz w:val="24"/>
                <w:szCs w:val="24"/>
                <w:highlight w:val="none"/>
                <w:lang w:val="en-US" w:eastAsia="zh-CN"/>
              </w:rPr>
            </w:pPr>
            <w:r>
              <w:rPr>
                <w:color w:val="auto"/>
                <w:sz w:val="24"/>
              </w:rPr>
              <mc:AlternateContent>
                <mc:Choice Requires="wpg">
                  <w:drawing>
                    <wp:anchor distT="0" distB="0" distL="114300" distR="114300" simplePos="0" relativeHeight="251721728" behindDoc="0" locked="0" layoutInCell="1" allowOverlap="1">
                      <wp:simplePos x="0" y="0"/>
                      <wp:positionH relativeFrom="column">
                        <wp:posOffset>247015</wp:posOffset>
                      </wp:positionH>
                      <wp:positionV relativeFrom="paragraph">
                        <wp:posOffset>228600</wp:posOffset>
                      </wp:positionV>
                      <wp:extent cx="4655820" cy="956310"/>
                      <wp:effectExtent l="4445" t="0" r="0" b="15240"/>
                      <wp:wrapNone/>
                      <wp:docPr id="99" name="组合 222"/>
                      <wp:cNvGraphicFramePr/>
                      <a:graphic xmlns:a="http://schemas.openxmlformats.org/drawingml/2006/main">
                        <a:graphicData uri="http://schemas.microsoft.com/office/word/2010/wordprocessingGroup">
                          <wpg:wgp>
                            <wpg:cNvGrpSpPr/>
                            <wpg:grpSpPr>
                              <a:xfrm>
                                <a:off x="0" y="0"/>
                                <a:ext cx="4655820" cy="956310"/>
                                <a:chOff x="8364" y="864339"/>
                                <a:chExt cx="7332" cy="1506"/>
                              </a:xfrm>
                            </wpg:grpSpPr>
                            <wps:wsp>
                              <wps:cNvPr id="100" name="文本框 212"/>
                              <wps:cNvSpPr txBox="1"/>
                              <wps:spPr>
                                <a:xfrm>
                                  <a:off x="8364" y="864486"/>
                                  <a:ext cx="1875" cy="414"/>
                                </a:xfrm>
                                <a:prstGeom prst="rect">
                                  <a:avLst/>
                                </a:prstGeom>
                                <a:noFill/>
                                <a:ln w="9525" cap="flat" cmpd="sng">
                                  <a:solidFill>
                                    <a:srgbClr val="000000"/>
                                  </a:solidFill>
                                  <a:prstDash val="solid"/>
                                  <a:miter/>
                                  <a:headEnd type="none" w="med" len="med"/>
                                  <a:tailEnd type="none" w="med" len="med"/>
                                </a:ln>
                              </wps:spPr>
                              <wps:txbx>
                                <w:txbxContent>
                                  <w:p w14:paraId="69BF1AB1">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eastAsia="zh-CN"/>
                                      </w:rPr>
                                      <w:t>东线</w:t>
                                    </w:r>
                                    <w:r>
                                      <w:rPr>
                                        <w:rFonts w:hint="eastAsia" w:ascii="Times New Roman" w:hAnsi="Times New Roman" w:cs="Times New Roman"/>
                                        <w:color w:val="auto"/>
                                        <w:sz w:val="21"/>
                                        <w:szCs w:val="21"/>
                                        <w:lang w:val="en-US" w:eastAsia="zh-CN"/>
                                      </w:rPr>
                                      <w:t>磨粉废气</w:t>
                                    </w:r>
                                  </w:p>
                                </w:txbxContent>
                              </wps:txbx>
                              <wps:bodyPr vert="horz" wrap="square" anchor="t" anchorCtr="0" upright="1"/>
                            </wps:wsp>
                            <wps:wsp>
                              <wps:cNvPr id="101" name="文本框 213"/>
                              <wps:cNvSpPr txBox="1"/>
                              <wps:spPr>
                                <a:xfrm>
                                  <a:off x="8376" y="865224"/>
                                  <a:ext cx="1875" cy="414"/>
                                </a:xfrm>
                                <a:prstGeom prst="rect">
                                  <a:avLst/>
                                </a:prstGeom>
                                <a:noFill/>
                                <a:ln w="9525" cap="flat" cmpd="sng">
                                  <a:solidFill>
                                    <a:srgbClr val="000000"/>
                                  </a:solidFill>
                                  <a:prstDash val="solid"/>
                                  <a:miter/>
                                  <a:headEnd type="none" w="med" len="med"/>
                                  <a:tailEnd type="none" w="med" len="med"/>
                                </a:ln>
                              </wps:spPr>
                              <wps:txbx>
                                <w:txbxContent>
                                  <w:p w14:paraId="069B446D">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val="en-US" w:eastAsia="zh-CN"/>
                                      </w:rPr>
                                      <w:t>西</w:t>
                                    </w:r>
                                    <w:r>
                                      <w:rPr>
                                        <w:rFonts w:hint="eastAsia" w:ascii="Times New Roman" w:hAnsi="Times New Roman" w:cs="Times New Roman"/>
                                        <w:color w:val="auto"/>
                                        <w:sz w:val="21"/>
                                        <w:szCs w:val="21"/>
                                        <w:lang w:eastAsia="zh-CN"/>
                                      </w:rPr>
                                      <w:t>线</w:t>
                                    </w:r>
                                    <w:r>
                                      <w:rPr>
                                        <w:rFonts w:hint="eastAsia" w:ascii="Times New Roman" w:hAnsi="Times New Roman" w:cs="Times New Roman"/>
                                        <w:color w:val="auto"/>
                                        <w:sz w:val="21"/>
                                        <w:szCs w:val="21"/>
                                        <w:lang w:val="en-US" w:eastAsia="zh-CN"/>
                                      </w:rPr>
                                      <w:t>磨粉废气</w:t>
                                    </w:r>
                                  </w:p>
                                </w:txbxContent>
                              </wps:txbx>
                              <wps:bodyPr vert="horz" wrap="square" anchor="t" anchorCtr="0" upright="1"/>
                            </wps:wsp>
                            <wps:wsp>
                              <wps:cNvPr id="102" name="直线 214"/>
                              <wps:cNvCnPr/>
                              <wps:spPr>
                                <a:xfrm>
                                  <a:off x="10227" y="864697"/>
                                  <a:ext cx="1128" cy="1"/>
                                </a:xfrm>
                                <a:prstGeom prst="line">
                                  <a:avLst/>
                                </a:prstGeom>
                                <a:ln w="9525" cap="flat" cmpd="sng">
                                  <a:solidFill>
                                    <a:srgbClr val="000000"/>
                                  </a:solidFill>
                                  <a:prstDash val="solid"/>
                                  <a:headEnd type="none" w="med" len="med"/>
                                  <a:tailEnd type="triangle" w="med" len="lg"/>
                                </a:ln>
                              </wps:spPr>
                              <wps:bodyPr upright="1"/>
                            </wps:wsp>
                            <wps:wsp>
                              <wps:cNvPr id="103" name="直线 215"/>
                              <wps:cNvCnPr/>
                              <wps:spPr>
                                <a:xfrm>
                                  <a:off x="10252" y="865459"/>
                                  <a:ext cx="1128" cy="1"/>
                                </a:xfrm>
                                <a:prstGeom prst="line">
                                  <a:avLst/>
                                </a:prstGeom>
                                <a:ln w="9525" cap="flat" cmpd="sng">
                                  <a:solidFill>
                                    <a:srgbClr val="000000"/>
                                  </a:solidFill>
                                  <a:prstDash val="solid"/>
                                  <a:headEnd type="none" w="med" len="med"/>
                                  <a:tailEnd type="triangle" w="med" len="lg"/>
                                </a:ln>
                              </wps:spPr>
                              <wps:bodyPr upright="1"/>
                            </wps:wsp>
                            <wps:wsp>
                              <wps:cNvPr id="104" name="文本框 216"/>
                              <wps:cNvSpPr txBox="1"/>
                              <wps:spPr>
                                <a:xfrm>
                                  <a:off x="11374" y="864351"/>
                                  <a:ext cx="1696" cy="697"/>
                                </a:xfrm>
                                <a:prstGeom prst="rect">
                                  <a:avLst/>
                                </a:prstGeom>
                                <a:noFill/>
                                <a:ln w="9525" cap="flat" cmpd="sng">
                                  <a:solidFill>
                                    <a:srgbClr val="000000"/>
                                  </a:solidFill>
                                  <a:prstDash val="solid"/>
                                  <a:miter/>
                                  <a:headEnd type="none" w="med" len="med"/>
                                  <a:tailEnd type="none" w="med" len="med"/>
                                </a:ln>
                              </wps:spPr>
                              <wps:txbx>
                                <w:txbxContent>
                                  <w:p w14:paraId="45DA88B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wps:txbx>
                              <wps:bodyPr vert="horz" wrap="square" anchor="t" anchorCtr="0" upright="1"/>
                            </wps:wsp>
                            <wps:wsp>
                              <wps:cNvPr id="105" name="文本框 217"/>
                              <wps:cNvSpPr txBox="1"/>
                              <wps:spPr>
                                <a:xfrm>
                                  <a:off x="11363" y="865113"/>
                                  <a:ext cx="1696" cy="697"/>
                                </a:xfrm>
                                <a:prstGeom prst="rect">
                                  <a:avLst/>
                                </a:prstGeom>
                                <a:noFill/>
                                <a:ln w="9525" cap="flat" cmpd="sng">
                                  <a:solidFill>
                                    <a:srgbClr val="000000"/>
                                  </a:solidFill>
                                  <a:prstDash val="solid"/>
                                  <a:miter/>
                                  <a:headEnd type="none" w="med" len="med"/>
                                  <a:tailEnd type="none" w="med" len="med"/>
                                </a:ln>
                              </wps:spPr>
                              <wps:txbx>
                                <w:txbxContent>
                                  <w:p w14:paraId="584D68E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wps:txbx>
                              <wps:bodyPr vert="horz" wrap="square" anchor="t" anchorCtr="0" upright="1"/>
                            </wps:wsp>
                            <wps:wsp>
                              <wps:cNvPr id="106" name="直线 218"/>
                              <wps:cNvCnPr/>
                              <wps:spPr>
                                <a:xfrm>
                                  <a:off x="13063" y="864685"/>
                                  <a:ext cx="1103" cy="1"/>
                                </a:xfrm>
                                <a:prstGeom prst="line">
                                  <a:avLst/>
                                </a:prstGeom>
                                <a:ln w="9525" cap="flat" cmpd="sng">
                                  <a:solidFill>
                                    <a:srgbClr val="000000"/>
                                  </a:solidFill>
                                  <a:prstDash val="solid"/>
                                  <a:headEnd type="none" w="med" len="med"/>
                                  <a:tailEnd type="triangle" w="med" len="lg"/>
                                </a:ln>
                              </wps:spPr>
                              <wps:bodyPr upright="1"/>
                            </wps:wsp>
                            <wps:wsp>
                              <wps:cNvPr id="107" name="文本框 219"/>
                              <wps:cNvSpPr txBox="1"/>
                              <wps:spPr>
                                <a:xfrm>
                                  <a:off x="14149" y="864339"/>
                                  <a:ext cx="1522" cy="707"/>
                                </a:xfrm>
                                <a:prstGeom prst="rect">
                                  <a:avLst/>
                                </a:prstGeom>
                                <a:noFill/>
                                <a:ln w="9525" cap="flat" cmpd="sng">
                                  <a:noFill/>
                                  <a:prstDash val="solid"/>
                                  <a:miter/>
                                  <a:headEnd type="none" w="med" len="med"/>
                                  <a:tailEnd type="none" w="med" len="med"/>
                                </a:ln>
                              </wps:spPr>
                              <wps:txbx>
                                <w:txbxContent>
                                  <w:p w14:paraId="7BCA43A8">
                                    <w:pPr>
                                      <w:keepNext w:val="0"/>
                                      <w:keepLines w:val="0"/>
                                      <w:pageBreakBefore w:val="0"/>
                                      <w:widowControl w:val="0"/>
                                      <w:kinsoku/>
                                      <w:wordWrap/>
                                      <w:overflowPunct/>
                                      <w:topLinePunct w:val="0"/>
                                      <w:bidi w:val="0"/>
                                      <w:adjustRightInd/>
                                      <w:snapToGrid/>
                                      <w:spacing w:line="0" w:lineRule="atLeast"/>
                                      <w:jc w:val="center"/>
                                      <w:textAlignment w:val="auto"/>
                                      <w:rPr>
                                        <w:rFonts w:hint="default" w:eastAsia="宋体"/>
                                        <w:color w:val="auto"/>
                                        <w:sz w:val="21"/>
                                        <w:szCs w:val="21"/>
                                        <w:highlight w:val="yellow"/>
                                        <w:lang w:val="en-US" w:eastAsia="zh-CN"/>
                                      </w:rPr>
                                    </w:pPr>
                                    <w:r>
                                      <w:rPr>
                                        <w:rFonts w:hint="eastAsia" w:ascii="Times New Roman" w:hAnsi="Times New Roman" w:cs="Times New Roman"/>
                                        <w:color w:val="auto"/>
                                        <w:sz w:val="21"/>
                                        <w:szCs w:val="21"/>
                                        <w:lang w:eastAsia="zh-CN"/>
                                      </w:rPr>
                                      <w:t>30m排气筒</w:t>
                                    </w:r>
                                  </w:p>
                                </w:txbxContent>
                              </wps:txbx>
                              <wps:bodyPr vert="horz" wrap="square" anchor="t" anchorCtr="0" upright="1"/>
                            </wps:wsp>
                            <wps:wsp>
                              <wps:cNvPr id="108" name="直线 220"/>
                              <wps:cNvCnPr/>
                              <wps:spPr>
                                <a:xfrm>
                                  <a:off x="13076" y="865473"/>
                                  <a:ext cx="1103" cy="1"/>
                                </a:xfrm>
                                <a:prstGeom prst="line">
                                  <a:avLst/>
                                </a:prstGeom>
                                <a:ln w="9525" cap="flat" cmpd="sng">
                                  <a:solidFill>
                                    <a:srgbClr val="000000"/>
                                  </a:solidFill>
                                  <a:prstDash val="solid"/>
                                  <a:headEnd type="none" w="med" len="med"/>
                                  <a:tailEnd type="triangle" w="med" len="lg"/>
                                </a:ln>
                              </wps:spPr>
                              <wps:bodyPr upright="1"/>
                            </wps:wsp>
                            <wps:wsp>
                              <wps:cNvPr id="109" name="文本框 221"/>
                              <wps:cNvSpPr txBox="1"/>
                              <wps:spPr>
                                <a:xfrm>
                                  <a:off x="14174" y="865139"/>
                                  <a:ext cx="1522" cy="707"/>
                                </a:xfrm>
                                <a:prstGeom prst="rect">
                                  <a:avLst/>
                                </a:prstGeom>
                                <a:noFill/>
                                <a:ln w="9525" cap="flat" cmpd="sng">
                                  <a:noFill/>
                                  <a:prstDash val="solid"/>
                                  <a:miter/>
                                  <a:headEnd type="none" w="med" len="med"/>
                                  <a:tailEnd type="none" w="med" len="med"/>
                                </a:ln>
                              </wps:spPr>
                              <wps:txbx>
                                <w:txbxContent>
                                  <w:p w14:paraId="0C036AA5">
                                    <w:pPr>
                                      <w:keepNext w:val="0"/>
                                      <w:keepLines w:val="0"/>
                                      <w:pageBreakBefore w:val="0"/>
                                      <w:widowControl w:val="0"/>
                                      <w:kinsoku/>
                                      <w:wordWrap/>
                                      <w:overflowPunct/>
                                      <w:topLinePunct w:val="0"/>
                                      <w:bidi w:val="0"/>
                                      <w:adjustRightInd/>
                                      <w:snapToGrid/>
                                      <w:spacing w:line="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eastAsia="zh-CN"/>
                                      </w:rPr>
                                      <w:t>30m排气筒</w:t>
                                    </w:r>
                                  </w:p>
                                </w:txbxContent>
                              </wps:txbx>
                              <wps:bodyPr vert="horz" wrap="square" anchor="t" anchorCtr="0" upright="1"/>
                            </wps:wsp>
                          </wpg:wgp>
                        </a:graphicData>
                      </a:graphic>
                    </wp:anchor>
                  </w:drawing>
                </mc:Choice>
                <mc:Fallback>
                  <w:pict>
                    <v:group id="组合 222" o:spid="_x0000_s1026" o:spt="203" style="position:absolute;left:0pt;margin-left:19.45pt;margin-top:18pt;height:75.3pt;width:366.6pt;z-index:251721728;mso-width-relative:page;mso-height-relative:page;" coordorigin="8364,864339" coordsize="7332,1506" o:gfxdata="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">
                      <o:lock v:ext="edit" aspectratio="f"/>
                      <v:shape id="文本框 212" o:spid="_x0000_s1026" o:spt="202" type="#_x0000_t202" style="position:absolute;left:8364;top:864486;height:414;width:1875;" filled="f" stroked="t" coordsize="21600,21600" o:gfxdata="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5hq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9BF1AB1">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eastAsia="zh-CN"/>
                                </w:rPr>
                                <w:t>东线</w:t>
                              </w:r>
                              <w:r>
                                <w:rPr>
                                  <w:rFonts w:hint="eastAsia" w:ascii="Times New Roman" w:hAnsi="Times New Roman" w:cs="Times New Roman"/>
                                  <w:color w:val="auto"/>
                                  <w:sz w:val="21"/>
                                  <w:szCs w:val="21"/>
                                  <w:lang w:val="en-US" w:eastAsia="zh-CN"/>
                                </w:rPr>
                                <w:t>磨粉废气</w:t>
                              </w:r>
                            </w:p>
                          </w:txbxContent>
                        </v:textbox>
                      </v:shape>
                      <v:shape id="文本框 213" o:spid="_x0000_s1026" o:spt="202" type="#_x0000_t202" style="position:absolute;left:8376;top:865224;height:414;width:1875;" filled="f" stroked="t" coordsize="21600,21600" o:gfxdata="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SxD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069B446D">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val="en-US" w:eastAsia="zh-CN"/>
                                </w:rPr>
                                <w:t>西</w:t>
                              </w:r>
                              <w:r>
                                <w:rPr>
                                  <w:rFonts w:hint="eastAsia" w:ascii="Times New Roman" w:hAnsi="Times New Roman" w:cs="Times New Roman"/>
                                  <w:color w:val="auto"/>
                                  <w:sz w:val="21"/>
                                  <w:szCs w:val="21"/>
                                  <w:lang w:eastAsia="zh-CN"/>
                                </w:rPr>
                                <w:t>线</w:t>
                              </w:r>
                              <w:r>
                                <w:rPr>
                                  <w:rFonts w:hint="eastAsia" w:ascii="Times New Roman" w:hAnsi="Times New Roman" w:cs="Times New Roman"/>
                                  <w:color w:val="auto"/>
                                  <w:sz w:val="21"/>
                                  <w:szCs w:val="21"/>
                                  <w:lang w:val="en-US" w:eastAsia="zh-CN"/>
                                </w:rPr>
                                <w:t>磨粉废气</w:t>
                              </w:r>
                            </w:p>
                          </w:txbxContent>
                        </v:textbox>
                      </v:shape>
                      <v:line id="直线 214" o:spid="_x0000_s1026" o:spt="20" style="position:absolute;left:10227;top:864697;height:1;width:1128;" filled="f" stroked="t" coordsize="21600,21600" o:gfxdata="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MO9UugAAANwA&#10;AAAPAAAAAAAAAAEAIAAAACIAAABkcnMvZG93bnJldi54bWxQSwECFAAUAAAACACHTuJAMy8FnjsA&#10;AAA5AAAAEAAAAAAAAAABACAAAAAJAQAAZHJzL3NoYXBleG1sLnhtbFBLBQYAAAAABgAGAFsBAACz&#10;AwAAAAA=&#10;">
                        <v:fill on="f" focussize="0,0"/>
                        <v:stroke color="#000000" joinstyle="round" endarrow="block" endarrowlength="long"/>
                        <v:imagedata o:title=""/>
                        <o:lock v:ext="edit" aspectratio="f"/>
                      </v:line>
                      <v:line id="直线 215" o:spid="_x0000_s1026" o:spt="20" style="position:absolute;left:10252;top:865459;height:1;width:1128;" filled="f" stroked="t" coordsize="21600,21600" o:gfxdata="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3xKz7sAAADc&#10;AAAADwAAAAAAAAABACAAAAAiAAAAZHJzL2Rvd25yZXYueG1sUEsBAhQAFAAAAAgAh07iQDMvBZ47&#10;AAAAOQAAABAAAAAAAAAAAQAgAAAACgEAAGRycy9zaGFwZXhtbC54bWxQSwUGAAAAAAYABgBbAQAA&#10;tAMAAAAA&#10;">
                        <v:fill on="f" focussize="0,0"/>
                        <v:stroke color="#000000" joinstyle="round" endarrow="block" endarrowlength="long"/>
                        <v:imagedata o:title=""/>
                        <o:lock v:ext="edit" aspectratio="f"/>
                      </v:line>
                      <v:shape id="文本框 216" o:spid="_x0000_s1026" o:spt="202" type="#_x0000_t202" style="position:absolute;left:11374;top:864351;height:697;width:1696;" filled="f" stroked="t" coordsize="21600,21600" o:gfxdata="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lZ6u/&#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45DA88B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v:textbox>
                      </v:shape>
                      <v:shape id="文本框 217" o:spid="_x0000_s1026" o:spt="202" type="#_x0000_t202" style="position:absolute;left:11363;top:865113;height:697;width:1696;" filled="f" stroked="t" coordsize="21600,21600" o:gfxdata="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Rpwj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84D68E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v:textbox>
                      </v:shape>
                      <v:line id="直线 218" o:spid="_x0000_s1026" o:spt="20" style="position:absolute;left:13063;top:864685;height:1;width:1103;" filled="f" stroked="t" coordsize="21600,21600" o:gfxdata="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L6Ve8AAAA&#10;3AAAAA8AAAAAAAAAAQAgAAAAIgAAAGRycy9kb3ducmV2LnhtbFBLAQIUABQAAAAIAIdO4kAzLwWe&#10;OwAAADkAAAAQAAAAAAAAAAEAIAAAAAsBAABkcnMvc2hhcGV4bWwueG1sUEsFBgAAAAAGAAYAWwEA&#10;ALUDAAAAAA==&#10;">
                        <v:fill on="f" focussize="0,0"/>
                        <v:stroke color="#000000" joinstyle="round" endarrow="block" endarrowlength="long"/>
                        <v:imagedata o:title=""/>
                        <o:lock v:ext="edit" aspectratio="f"/>
                      </v:line>
                      <v:shape id="文本框 219" o:spid="_x0000_s1026" o:spt="202" type="#_x0000_t202" style="position:absolute;left:14149;top:864339;height:707;width:1522;" filled="f" stroked="f" coordsize="21600,21600" o:gfxdata="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XngBm5AAAA3AAA&#10;AA8AAAAAAAAAAQAgAAAAIgAAAGRycy9kb3ducmV2LnhtbFBLAQIUABQAAAAIAIdO4kAzLwWeOwAA&#10;ADkAAAAQAAAAAAAAAAEAIAAAAAgBAABkcnMvc2hhcGV4bWwueG1sUEsFBgAAAAAGAAYAWwEAALID&#10;AAAAAA==&#10;">
                        <v:fill on="f" focussize="0,0"/>
                        <v:stroke on="f" joinstyle="miter"/>
                        <v:imagedata o:title=""/>
                        <o:lock v:ext="edit" aspectratio="f"/>
                        <v:textbox>
                          <w:txbxContent>
                            <w:p w14:paraId="7BCA43A8">
                              <w:pPr>
                                <w:keepNext w:val="0"/>
                                <w:keepLines w:val="0"/>
                                <w:pageBreakBefore w:val="0"/>
                                <w:widowControl w:val="0"/>
                                <w:kinsoku/>
                                <w:wordWrap/>
                                <w:overflowPunct/>
                                <w:topLinePunct w:val="0"/>
                                <w:bidi w:val="0"/>
                                <w:adjustRightInd/>
                                <w:snapToGrid/>
                                <w:spacing w:line="0" w:lineRule="atLeast"/>
                                <w:jc w:val="center"/>
                                <w:textAlignment w:val="auto"/>
                                <w:rPr>
                                  <w:rFonts w:hint="default" w:eastAsia="宋体"/>
                                  <w:color w:val="auto"/>
                                  <w:sz w:val="21"/>
                                  <w:szCs w:val="21"/>
                                  <w:highlight w:val="yellow"/>
                                  <w:lang w:val="en-US" w:eastAsia="zh-CN"/>
                                </w:rPr>
                              </w:pPr>
                              <w:r>
                                <w:rPr>
                                  <w:rFonts w:hint="eastAsia" w:ascii="Times New Roman" w:hAnsi="Times New Roman" w:cs="Times New Roman"/>
                                  <w:color w:val="auto"/>
                                  <w:sz w:val="21"/>
                                  <w:szCs w:val="21"/>
                                  <w:lang w:eastAsia="zh-CN"/>
                                </w:rPr>
                                <w:t>30m排气筒</w:t>
                              </w:r>
                            </w:p>
                          </w:txbxContent>
                        </v:textbox>
                      </v:shape>
                      <v:line id="直线 220" o:spid="_x0000_s1026" o:spt="20" style="position:absolute;left:13076;top:865473;height:1;width:1103;" filled="f" stroked="t" coordsize="21600,21600" o:gfxdata="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djYvr4A&#10;AADcAAAADwAAAAAAAAABACAAAAAiAAAAZHJzL2Rvd25yZXYueG1sUEsBAhQAFAAAAAgAh07iQDMv&#10;BZ47AAAAOQAAABAAAAAAAAAAAQAgAAAADQEAAGRycy9zaGFwZXhtbC54bWxQSwUGAAAAAAYABgBb&#10;AQAAtwMAAAAA&#10;">
                        <v:fill on="f" focussize="0,0"/>
                        <v:stroke color="#000000" joinstyle="round" endarrow="block" endarrowlength="long"/>
                        <v:imagedata o:title=""/>
                        <o:lock v:ext="edit" aspectratio="f"/>
                      </v:line>
                      <v:shape id="文本框 221" o:spid="_x0000_s1026" o:spt="202" type="#_x0000_t202" style="position:absolute;left:14174;top:865139;height:707;width:1522;" filled="f" stroked="f" coordsize="21600,21600" o:gfxdata="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zSx8LsAAADc&#10;AAAADwAAAAAAAAABACAAAAAiAAAAZHJzL2Rvd25yZXYueG1sUEsBAhQAFAAAAAgAh07iQDMvBZ47&#10;AAAAOQAAABAAAAAAAAAAAQAgAAAACgEAAGRycy9zaGFwZXhtbC54bWxQSwUGAAAAAAYABgBbAQAA&#10;tAMAAAAA&#10;">
                        <v:fill on="f" focussize="0,0"/>
                        <v:stroke on="f" joinstyle="miter"/>
                        <v:imagedata o:title=""/>
                        <o:lock v:ext="edit" aspectratio="f"/>
                        <v:textbox>
                          <w:txbxContent>
                            <w:p w14:paraId="0C036AA5">
                              <w:pPr>
                                <w:keepNext w:val="0"/>
                                <w:keepLines w:val="0"/>
                                <w:pageBreakBefore w:val="0"/>
                                <w:widowControl w:val="0"/>
                                <w:kinsoku/>
                                <w:wordWrap/>
                                <w:overflowPunct/>
                                <w:topLinePunct w:val="0"/>
                                <w:bidi w:val="0"/>
                                <w:adjustRightInd/>
                                <w:snapToGrid/>
                                <w:spacing w:line="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eastAsia="zh-CN"/>
                                </w:rPr>
                                <w:t>30m排气筒</w:t>
                              </w:r>
                            </w:p>
                          </w:txbxContent>
                        </v:textbox>
                      </v:shape>
                    </v:group>
                  </w:pict>
                </mc:Fallback>
              </mc:AlternateContent>
            </w:r>
          </w:p>
          <w:p w14:paraId="22847FF6">
            <w:pPr>
              <w:rPr>
                <w:rFonts w:hint="default" w:ascii="Times New Roman" w:hAnsi="Times New Roman" w:eastAsia="宋体" w:cs="Times New Roman"/>
                <w:b w:val="0"/>
                <w:bCs w:val="0"/>
                <w:color w:val="auto"/>
                <w:sz w:val="24"/>
                <w:szCs w:val="24"/>
                <w:highlight w:val="none"/>
                <w:lang w:val="en-US" w:eastAsia="zh-CN"/>
              </w:rPr>
            </w:pPr>
          </w:p>
          <w:p w14:paraId="18146511">
            <w:pPr>
              <w:rPr>
                <w:rFonts w:hint="default" w:ascii="Times New Roman" w:hAnsi="Times New Roman" w:eastAsia="宋体" w:cs="Times New Roman"/>
                <w:b w:val="0"/>
                <w:bCs w:val="0"/>
                <w:color w:val="auto"/>
                <w:sz w:val="24"/>
                <w:szCs w:val="24"/>
                <w:highlight w:val="none"/>
                <w:lang w:val="en-US" w:eastAsia="zh-CN"/>
              </w:rPr>
            </w:pPr>
          </w:p>
          <w:p w14:paraId="137B0C3E">
            <w:pPr>
              <w:rPr>
                <w:rFonts w:hint="default" w:ascii="Times New Roman" w:hAnsi="Times New Roman" w:eastAsia="宋体" w:cs="Times New Roman"/>
                <w:b w:val="0"/>
                <w:bCs w:val="0"/>
                <w:color w:val="auto"/>
                <w:sz w:val="24"/>
                <w:szCs w:val="24"/>
                <w:highlight w:val="none"/>
                <w:lang w:val="en-US" w:eastAsia="zh-CN"/>
              </w:rPr>
            </w:pPr>
          </w:p>
          <w:p w14:paraId="26F1686C">
            <w:pPr>
              <w:rPr>
                <w:rFonts w:hint="default" w:ascii="Times New Roman" w:hAnsi="Times New Roman" w:eastAsia="宋体" w:cs="Times New Roman"/>
                <w:b w:val="0"/>
                <w:bCs w:val="0"/>
                <w:color w:val="auto"/>
                <w:sz w:val="24"/>
                <w:szCs w:val="24"/>
                <w:highlight w:val="none"/>
                <w:lang w:val="en-US" w:eastAsia="zh-CN"/>
              </w:rPr>
            </w:pPr>
          </w:p>
          <w:p w14:paraId="22EC7C15">
            <w:pPr>
              <w:rPr>
                <w:rFonts w:hint="default" w:ascii="Times New Roman" w:hAnsi="Times New Roman" w:eastAsia="宋体" w:cs="Times New Roman"/>
                <w:b w:val="0"/>
                <w:bCs w:val="0"/>
                <w:color w:val="auto"/>
                <w:sz w:val="24"/>
                <w:szCs w:val="24"/>
                <w:highlight w:val="none"/>
                <w:lang w:val="en-US" w:eastAsia="zh-CN"/>
              </w:rPr>
            </w:pPr>
          </w:p>
          <w:p w14:paraId="1D444641">
            <w:pPr>
              <w:rPr>
                <w:rFonts w:hint="default" w:ascii="Times New Roman" w:hAnsi="Times New Roman" w:eastAsia="宋体" w:cs="Times New Roman"/>
                <w:b w:val="0"/>
                <w:bCs w:val="0"/>
                <w:color w:val="auto"/>
                <w:sz w:val="24"/>
                <w:szCs w:val="24"/>
                <w:highlight w:val="none"/>
                <w:lang w:val="en-US" w:eastAsia="zh-CN"/>
              </w:rPr>
            </w:pPr>
          </w:p>
          <w:p w14:paraId="2521CBA9">
            <w:pPr>
              <w:jc w:val="center"/>
              <w:rPr>
                <w:rFonts w:hint="default"/>
                <w:b/>
                <w:bCs/>
                <w:color w:val="auto"/>
                <w:lang w:val="en-US" w:eastAsia="zh-CN"/>
              </w:rPr>
            </w:pPr>
            <w:r>
              <w:rPr>
                <w:rFonts w:hint="eastAsia" w:ascii="Times New Roman" w:hAnsi="Times New Roman" w:cs="Times New Roman"/>
                <w:b/>
                <w:bCs/>
                <w:color w:val="auto"/>
                <w:sz w:val="24"/>
                <w:lang w:val="en-US" w:eastAsia="zh-CN"/>
              </w:rPr>
              <w:t>图4-1    项目废气治理路线图</w:t>
            </w:r>
          </w:p>
          <w:p w14:paraId="7E8F964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磨粉机废气产污系数参考《3099 其他非金属矿物制品制造》中“粉磨工段”的产污系数</w:t>
            </w:r>
            <w:r>
              <w:rPr>
                <w:rFonts w:hint="eastAsia" w:cs="Times New Roman"/>
                <w:b w:val="0"/>
                <w:bCs w:val="0"/>
                <w:color w:val="auto"/>
                <w:sz w:val="24"/>
                <w:highlight w:val="none"/>
                <w:lang w:val="en-US" w:eastAsia="zh-CN"/>
              </w:rPr>
              <w:t>进行核算。</w:t>
            </w:r>
          </w:p>
          <w:p w14:paraId="1EF4F351">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firstLineChars="0"/>
              <w:jc w:val="center"/>
              <w:textAlignment w:val="auto"/>
              <w:rPr>
                <w:rFonts w:hint="default"/>
                <w:color w:val="auto"/>
                <w:highlight w:val="none"/>
                <w:lang w:val="en-US" w:eastAsia="zh-CN"/>
              </w:rPr>
            </w:pPr>
            <w:r>
              <w:rPr>
                <w:rFonts w:hint="eastAsia" w:ascii="Times New Roman" w:hAnsi="Times New Roman" w:cs="Times New Roman"/>
                <w:b/>
                <w:bCs/>
                <w:color w:val="auto"/>
                <w:sz w:val="24"/>
                <w:szCs w:val="24"/>
                <w:highlight w:val="none"/>
                <w:lang w:val="en-US" w:eastAsia="zh-CN"/>
              </w:rPr>
              <w:t>表4-1    磨粉工序废气源强核算</w:t>
            </w:r>
          </w:p>
          <w:tbl>
            <w:tblPr>
              <w:tblStyle w:val="3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450"/>
              <w:gridCol w:w="675"/>
              <w:gridCol w:w="785"/>
              <w:gridCol w:w="615"/>
              <w:gridCol w:w="558"/>
              <w:gridCol w:w="787"/>
              <w:gridCol w:w="585"/>
              <w:gridCol w:w="663"/>
              <w:gridCol w:w="653"/>
              <w:gridCol w:w="664"/>
              <w:gridCol w:w="637"/>
              <w:gridCol w:w="678"/>
            </w:tblGrid>
            <w:tr w14:paraId="2833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3" w:type="pct"/>
                  <w:noWrap w:val="0"/>
                  <w:vAlign w:val="center"/>
                </w:tcPr>
                <w:p w14:paraId="20BB8782">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工序</w:t>
                  </w:r>
                </w:p>
              </w:tc>
              <w:tc>
                <w:tcPr>
                  <w:tcW w:w="269" w:type="pct"/>
                  <w:noWrap w:val="0"/>
                  <w:vAlign w:val="center"/>
                </w:tcPr>
                <w:p w14:paraId="5D8ABC46">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污染物</w:t>
                  </w:r>
                </w:p>
              </w:tc>
              <w:tc>
                <w:tcPr>
                  <w:tcW w:w="403" w:type="pct"/>
                  <w:noWrap w:val="0"/>
                  <w:vAlign w:val="center"/>
                </w:tcPr>
                <w:p w14:paraId="58732C38">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产污系数</w:t>
                  </w:r>
                </w:p>
              </w:tc>
              <w:tc>
                <w:tcPr>
                  <w:tcW w:w="469" w:type="pct"/>
                  <w:noWrap w:val="0"/>
                  <w:vAlign w:val="center"/>
                </w:tcPr>
                <w:p w14:paraId="44104F73">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最大处理能力</w:t>
                  </w:r>
                  <w:r>
                    <w:rPr>
                      <w:rFonts w:hint="default" w:ascii="Times New Roman" w:hAnsi="Times New Roman" w:cs="Times New Roman"/>
                      <w:b w:val="0"/>
                      <w:bCs w:val="0"/>
                      <w:color w:val="auto"/>
                      <w:spacing w:val="-23"/>
                      <w:sz w:val="21"/>
                      <w:szCs w:val="21"/>
                      <w:highlight w:val="none"/>
                      <w:vertAlign w:val="baseline"/>
                      <w:lang w:val="en-US" w:eastAsia="zh-CN"/>
                    </w:rPr>
                    <w:t>t/</w:t>
                  </w:r>
                  <w:r>
                    <w:rPr>
                      <w:rFonts w:hint="eastAsia" w:ascii="Times New Roman" w:hAnsi="Times New Roman" w:cs="Times New Roman"/>
                      <w:b w:val="0"/>
                      <w:bCs w:val="0"/>
                      <w:color w:val="auto"/>
                      <w:spacing w:val="-23"/>
                      <w:sz w:val="21"/>
                      <w:szCs w:val="21"/>
                      <w:highlight w:val="none"/>
                      <w:vertAlign w:val="baseline"/>
                      <w:lang w:val="en-US" w:eastAsia="zh-CN"/>
                    </w:rPr>
                    <w:t>h</w:t>
                  </w:r>
                </w:p>
              </w:tc>
              <w:tc>
                <w:tcPr>
                  <w:tcW w:w="367" w:type="pct"/>
                  <w:noWrap w:val="0"/>
                  <w:vAlign w:val="center"/>
                </w:tcPr>
                <w:p w14:paraId="79103DA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产生量</w:t>
                  </w:r>
                  <w:r>
                    <w:rPr>
                      <w:rFonts w:hint="eastAsia" w:ascii="Times New Roman" w:hAnsi="Times New Roman" w:cs="Times New Roman"/>
                      <w:b w:val="0"/>
                      <w:bCs w:val="0"/>
                      <w:color w:val="auto"/>
                      <w:spacing w:val="-23"/>
                      <w:sz w:val="21"/>
                      <w:szCs w:val="21"/>
                      <w:highlight w:val="none"/>
                      <w:vertAlign w:val="baseline"/>
                      <w:lang w:val="en-US" w:eastAsia="zh-CN"/>
                    </w:rPr>
                    <w:t>kg/h</w:t>
                  </w:r>
                </w:p>
              </w:tc>
              <w:tc>
                <w:tcPr>
                  <w:tcW w:w="333" w:type="pct"/>
                  <w:noWrap w:val="0"/>
                  <w:vAlign w:val="center"/>
                </w:tcPr>
                <w:p w14:paraId="15995468">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收集措施</w:t>
                  </w:r>
                </w:p>
              </w:tc>
              <w:tc>
                <w:tcPr>
                  <w:tcW w:w="470" w:type="pct"/>
                  <w:noWrap w:val="0"/>
                  <w:vAlign w:val="center"/>
                </w:tcPr>
                <w:p w14:paraId="4DB4D08D">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治理措施</w:t>
                  </w:r>
                </w:p>
              </w:tc>
              <w:tc>
                <w:tcPr>
                  <w:tcW w:w="350" w:type="pct"/>
                  <w:noWrap w:val="0"/>
                  <w:vAlign w:val="center"/>
                </w:tcPr>
                <w:p w14:paraId="40301CC5">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收集效率</w:t>
                  </w:r>
                </w:p>
              </w:tc>
              <w:tc>
                <w:tcPr>
                  <w:tcW w:w="396" w:type="pct"/>
                  <w:noWrap w:val="0"/>
                  <w:vAlign w:val="center"/>
                </w:tcPr>
                <w:p w14:paraId="6360D09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处理效率%</w:t>
                  </w:r>
                </w:p>
              </w:tc>
              <w:tc>
                <w:tcPr>
                  <w:tcW w:w="390" w:type="pct"/>
                  <w:noWrap w:val="0"/>
                  <w:vAlign w:val="center"/>
                </w:tcPr>
                <w:p w14:paraId="55D4324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排放浓度mg/m</w:t>
                  </w:r>
                  <w:r>
                    <w:rPr>
                      <w:rFonts w:hint="default" w:ascii="Times New Roman" w:hAnsi="Times New Roman" w:cs="Times New Roman"/>
                      <w:b w:val="0"/>
                      <w:bCs w:val="0"/>
                      <w:color w:val="auto"/>
                      <w:spacing w:val="-23"/>
                      <w:sz w:val="21"/>
                      <w:szCs w:val="21"/>
                      <w:highlight w:val="none"/>
                      <w:vertAlign w:val="superscript"/>
                      <w:lang w:val="en-US" w:eastAsia="zh-CN"/>
                    </w:rPr>
                    <w:t>3</w:t>
                  </w:r>
                </w:p>
              </w:tc>
              <w:tc>
                <w:tcPr>
                  <w:tcW w:w="397" w:type="pct"/>
                  <w:noWrap w:val="0"/>
                  <w:vAlign w:val="center"/>
                </w:tcPr>
                <w:p w14:paraId="0C797525">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排放速率kg/h</w:t>
                  </w:r>
                </w:p>
              </w:tc>
              <w:tc>
                <w:tcPr>
                  <w:tcW w:w="381" w:type="pct"/>
                  <w:noWrap w:val="0"/>
                  <w:vAlign w:val="center"/>
                </w:tcPr>
                <w:p w14:paraId="6F1E3AB4">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有组织排放量t/a</w:t>
                  </w:r>
                </w:p>
              </w:tc>
              <w:tc>
                <w:tcPr>
                  <w:tcW w:w="405" w:type="pct"/>
                  <w:noWrap w:val="0"/>
                  <w:vAlign w:val="center"/>
                </w:tcPr>
                <w:p w14:paraId="7AD86FBB">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无组织排放量t/a</w:t>
                  </w:r>
                </w:p>
              </w:tc>
            </w:tr>
            <w:tr w14:paraId="61E1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63" w:type="pct"/>
                  <w:noWrap w:val="0"/>
                  <w:vAlign w:val="center"/>
                </w:tcPr>
                <w:p w14:paraId="061603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东线磨粉系统</w:t>
                  </w:r>
                </w:p>
              </w:tc>
              <w:tc>
                <w:tcPr>
                  <w:tcW w:w="269" w:type="pct"/>
                  <w:noWrap w:val="0"/>
                  <w:vAlign w:val="center"/>
                </w:tcPr>
                <w:p w14:paraId="6AA6C28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颗粒物</w:t>
                  </w:r>
                </w:p>
              </w:tc>
              <w:tc>
                <w:tcPr>
                  <w:tcW w:w="403" w:type="pct"/>
                  <w:noWrap w:val="0"/>
                  <w:vAlign w:val="center"/>
                </w:tcPr>
                <w:p w14:paraId="0F478DE3">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1.19</w:t>
                  </w:r>
                  <w:r>
                    <w:rPr>
                      <w:rFonts w:hint="default" w:ascii="Times New Roman" w:hAnsi="Times New Roman" w:cs="Times New Roman"/>
                      <w:b w:val="0"/>
                      <w:bCs w:val="0"/>
                      <w:color w:val="auto"/>
                      <w:spacing w:val="0"/>
                      <w:sz w:val="21"/>
                      <w:szCs w:val="21"/>
                      <w:highlight w:val="none"/>
                      <w:vertAlign w:val="baseline"/>
                      <w:lang w:val="en-US" w:eastAsia="zh-CN"/>
                    </w:rPr>
                    <w:t>kg/t-产品</w:t>
                  </w:r>
                </w:p>
              </w:tc>
              <w:tc>
                <w:tcPr>
                  <w:tcW w:w="469" w:type="pct"/>
                  <w:noWrap w:val="0"/>
                  <w:vAlign w:val="center"/>
                </w:tcPr>
                <w:p w14:paraId="20BB086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6</w:t>
                  </w:r>
                </w:p>
              </w:tc>
              <w:tc>
                <w:tcPr>
                  <w:tcW w:w="367" w:type="pct"/>
                  <w:noWrap w:val="0"/>
                  <w:vAlign w:val="center"/>
                </w:tcPr>
                <w:p w14:paraId="1CEE3241">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7.14</w:t>
                  </w:r>
                </w:p>
              </w:tc>
              <w:tc>
                <w:tcPr>
                  <w:tcW w:w="333" w:type="pct"/>
                  <w:noWrap w:val="0"/>
                  <w:vAlign w:val="center"/>
                </w:tcPr>
                <w:p w14:paraId="606771A2">
                  <w:pPr>
                    <w:keepNext w:val="0"/>
                    <w:keepLines w:val="0"/>
                    <w:pageBreakBefore w:val="0"/>
                    <w:widowControl/>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密闭管道</w:t>
                  </w:r>
                </w:p>
              </w:tc>
              <w:tc>
                <w:tcPr>
                  <w:tcW w:w="470" w:type="pct"/>
                  <w:noWrap w:val="0"/>
                  <w:vAlign w:val="center"/>
                </w:tcPr>
                <w:p w14:paraId="64E33AB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覆膜滤料</w:t>
                  </w:r>
                  <w:r>
                    <w:rPr>
                      <w:rFonts w:hint="default" w:ascii="Times New Roman" w:hAnsi="Times New Roman" w:cs="Times New Roman"/>
                      <w:b w:val="0"/>
                      <w:bCs w:val="0"/>
                      <w:color w:val="auto"/>
                      <w:spacing w:val="-23"/>
                      <w:sz w:val="21"/>
                      <w:szCs w:val="21"/>
                      <w:highlight w:val="none"/>
                      <w:vertAlign w:val="baseline"/>
                      <w:lang w:val="en-US" w:eastAsia="zh-CN"/>
                    </w:rPr>
                    <w:t>布袋除尘器+</w:t>
                  </w:r>
                  <w:r>
                    <w:rPr>
                      <w:rFonts w:hint="eastAsia" w:ascii="Times New Roman" w:hAnsi="Times New Roman" w:cs="Times New Roman"/>
                      <w:b w:val="0"/>
                      <w:bCs w:val="0"/>
                      <w:color w:val="auto"/>
                      <w:spacing w:val="-23"/>
                      <w:sz w:val="21"/>
                      <w:szCs w:val="21"/>
                      <w:highlight w:val="none"/>
                      <w:vertAlign w:val="baseline"/>
                      <w:lang w:val="en-US" w:eastAsia="zh-CN"/>
                    </w:rPr>
                    <w:t>30</w:t>
                  </w:r>
                  <w:r>
                    <w:rPr>
                      <w:rFonts w:hint="default" w:ascii="Times New Roman" w:hAnsi="Times New Roman" w:cs="Times New Roman"/>
                      <w:b w:val="0"/>
                      <w:bCs w:val="0"/>
                      <w:color w:val="auto"/>
                      <w:spacing w:val="-23"/>
                      <w:sz w:val="21"/>
                      <w:szCs w:val="21"/>
                      <w:highlight w:val="none"/>
                      <w:vertAlign w:val="baseline"/>
                      <w:lang w:val="en-US" w:eastAsia="zh-CN"/>
                    </w:rPr>
                    <w:t>m排气筒DA0</w:t>
                  </w:r>
                  <w:r>
                    <w:rPr>
                      <w:rFonts w:hint="eastAsia" w:ascii="Times New Roman" w:hAnsi="Times New Roman" w:cs="Times New Roman"/>
                      <w:b w:val="0"/>
                      <w:bCs w:val="0"/>
                      <w:color w:val="auto"/>
                      <w:spacing w:val="-23"/>
                      <w:sz w:val="21"/>
                      <w:szCs w:val="21"/>
                      <w:highlight w:val="none"/>
                      <w:vertAlign w:val="baseline"/>
                      <w:lang w:val="en-US" w:eastAsia="zh-CN"/>
                    </w:rPr>
                    <w:t>48</w:t>
                  </w:r>
                </w:p>
              </w:tc>
              <w:tc>
                <w:tcPr>
                  <w:tcW w:w="350" w:type="pct"/>
                  <w:noWrap w:val="0"/>
                  <w:vAlign w:val="center"/>
                </w:tcPr>
                <w:p w14:paraId="236346F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98%</w:t>
                  </w:r>
                </w:p>
              </w:tc>
              <w:tc>
                <w:tcPr>
                  <w:tcW w:w="396" w:type="pct"/>
                  <w:noWrap w:val="0"/>
                  <w:vAlign w:val="center"/>
                </w:tcPr>
                <w:p w14:paraId="3C591065">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default" w:ascii="Times New Roman" w:hAnsi="Times New Roman" w:cs="Times New Roman"/>
                      <w:b w:val="0"/>
                      <w:bCs w:val="0"/>
                      <w:color w:val="auto"/>
                      <w:spacing w:val="0"/>
                      <w:sz w:val="21"/>
                      <w:szCs w:val="21"/>
                      <w:highlight w:val="none"/>
                      <w:vertAlign w:val="baseline"/>
                      <w:lang w:val="en-US" w:eastAsia="zh-CN"/>
                    </w:rPr>
                    <w:t>99</w:t>
                  </w:r>
                  <w:r>
                    <w:rPr>
                      <w:rFonts w:hint="eastAsia" w:ascii="Times New Roman" w:hAnsi="Times New Roman" w:cs="Times New Roman"/>
                      <w:b w:val="0"/>
                      <w:bCs w:val="0"/>
                      <w:color w:val="auto"/>
                      <w:spacing w:val="0"/>
                      <w:sz w:val="21"/>
                      <w:szCs w:val="21"/>
                      <w:highlight w:val="none"/>
                      <w:vertAlign w:val="baseline"/>
                      <w:lang w:val="en-US" w:eastAsia="zh-CN"/>
                    </w:rPr>
                    <w:t>.5</w:t>
                  </w:r>
                  <w:r>
                    <w:rPr>
                      <w:rFonts w:hint="default" w:ascii="Times New Roman" w:hAnsi="Times New Roman" w:cs="Times New Roman"/>
                      <w:b w:val="0"/>
                      <w:bCs w:val="0"/>
                      <w:color w:val="auto"/>
                      <w:spacing w:val="0"/>
                      <w:sz w:val="21"/>
                      <w:szCs w:val="21"/>
                      <w:highlight w:val="none"/>
                      <w:vertAlign w:val="baseline"/>
                      <w:lang w:val="en-US" w:eastAsia="zh-CN"/>
                    </w:rPr>
                    <w:t>%</w:t>
                  </w:r>
                </w:p>
              </w:tc>
              <w:tc>
                <w:tcPr>
                  <w:tcW w:w="390" w:type="pct"/>
                  <w:noWrap w:val="0"/>
                  <w:vAlign w:val="center"/>
                </w:tcPr>
                <w:p w14:paraId="487D4E2D">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1.75</w:t>
                  </w:r>
                </w:p>
              </w:tc>
              <w:tc>
                <w:tcPr>
                  <w:tcW w:w="397" w:type="pct"/>
                  <w:noWrap w:val="0"/>
                  <w:vAlign w:val="center"/>
                </w:tcPr>
                <w:p w14:paraId="46B4B460">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0.035</w:t>
                  </w:r>
                </w:p>
              </w:tc>
              <w:tc>
                <w:tcPr>
                  <w:tcW w:w="381" w:type="pct"/>
                  <w:noWrap w:val="0"/>
                  <w:vAlign w:val="center"/>
                </w:tcPr>
                <w:p w14:paraId="371FBA2C">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0.252</w:t>
                  </w:r>
                </w:p>
              </w:tc>
              <w:tc>
                <w:tcPr>
                  <w:tcW w:w="405" w:type="pct"/>
                  <w:noWrap w:val="0"/>
                  <w:vAlign w:val="center"/>
                </w:tcPr>
                <w:p w14:paraId="430C0052">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bidi="ar-SA"/>
                    </w:rPr>
                    <w:t>1.03</w:t>
                  </w:r>
                </w:p>
              </w:tc>
            </w:tr>
            <w:tr w14:paraId="5F12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3" w:type="pct"/>
                  <w:shd w:val="clear" w:color="auto" w:fill="auto"/>
                  <w:noWrap w:val="0"/>
                  <w:vAlign w:val="center"/>
                </w:tcPr>
                <w:p w14:paraId="318144AA">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西线磨粉系统</w:t>
                  </w:r>
                </w:p>
              </w:tc>
              <w:tc>
                <w:tcPr>
                  <w:tcW w:w="269" w:type="pct"/>
                  <w:shd w:val="clear" w:color="auto" w:fill="auto"/>
                  <w:noWrap w:val="0"/>
                  <w:vAlign w:val="center"/>
                </w:tcPr>
                <w:p w14:paraId="1F337D93">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颗粒物</w:t>
                  </w:r>
                </w:p>
              </w:tc>
              <w:tc>
                <w:tcPr>
                  <w:tcW w:w="403" w:type="pct"/>
                  <w:shd w:val="clear" w:color="auto" w:fill="auto"/>
                  <w:noWrap w:val="0"/>
                  <w:vAlign w:val="center"/>
                </w:tcPr>
                <w:p w14:paraId="320C2C82">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1.19</w:t>
                  </w:r>
                  <w:r>
                    <w:rPr>
                      <w:rFonts w:hint="default" w:ascii="Times New Roman" w:hAnsi="Times New Roman" w:cs="Times New Roman"/>
                      <w:b w:val="0"/>
                      <w:bCs w:val="0"/>
                      <w:color w:val="auto"/>
                      <w:spacing w:val="0"/>
                      <w:sz w:val="21"/>
                      <w:szCs w:val="21"/>
                      <w:highlight w:val="none"/>
                      <w:vertAlign w:val="baseline"/>
                      <w:lang w:val="en-US" w:eastAsia="zh-CN"/>
                    </w:rPr>
                    <w:t>kg/t-产品</w:t>
                  </w:r>
                </w:p>
              </w:tc>
              <w:tc>
                <w:tcPr>
                  <w:tcW w:w="469" w:type="pct"/>
                  <w:shd w:val="clear" w:color="auto" w:fill="auto"/>
                  <w:noWrap w:val="0"/>
                  <w:vAlign w:val="center"/>
                </w:tcPr>
                <w:p w14:paraId="2E42B3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6</w:t>
                  </w:r>
                </w:p>
              </w:tc>
              <w:tc>
                <w:tcPr>
                  <w:tcW w:w="367" w:type="pct"/>
                  <w:shd w:val="clear" w:color="auto" w:fill="auto"/>
                  <w:noWrap w:val="0"/>
                  <w:vAlign w:val="center"/>
                </w:tcPr>
                <w:p w14:paraId="01925BA0">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7.14</w:t>
                  </w:r>
                </w:p>
              </w:tc>
              <w:tc>
                <w:tcPr>
                  <w:tcW w:w="333" w:type="pct"/>
                  <w:noWrap w:val="0"/>
                  <w:vAlign w:val="center"/>
                </w:tcPr>
                <w:p w14:paraId="3E07AA66">
                  <w:pPr>
                    <w:keepNext w:val="0"/>
                    <w:keepLines w:val="0"/>
                    <w:pageBreakBefore w:val="0"/>
                    <w:widowControl/>
                    <w:suppressLineNumbers w:val="0"/>
                    <w:kinsoku/>
                    <w:wordWrap/>
                    <w:overflowPunct/>
                    <w:topLinePunct w:val="0"/>
                    <w:bidi w:val="0"/>
                    <w:spacing w:before="0" w:beforeAutospacing="0" w:after="0" w:afterAutospacing="0" w:line="240" w:lineRule="exact"/>
                    <w:ind w:left="0" w:right="0"/>
                    <w:jc w:val="left"/>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密闭管道</w:t>
                  </w:r>
                </w:p>
              </w:tc>
              <w:tc>
                <w:tcPr>
                  <w:tcW w:w="470" w:type="pct"/>
                  <w:shd w:val="clear" w:color="auto" w:fill="auto"/>
                  <w:noWrap w:val="0"/>
                  <w:vAlign w:val="center"/>
                </w:tcPr>
                <w:p w14:paraId="6F201AEE">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覆膜滤料</w:t>
                  </w:r>
                  <w:r>
                    <w:rPr>
                      <w:rFonts w:hint="default" w:ascii="Times New Roman" w:hAnsi="Times New Roman" w:cs="Times New Roman"/>
                      <w:b w:val="0"/>
                      <w:bCs w:val="0"/>
                      <w:color w:val="auto"/>
                      <w:spacing w:val="-23"/>
                      <w:sz w:val="21"/>
                      <w:szCs w:val="21"/>
                      <w:highlight w:val="none"/>
                      <w:vertAlign w:val="baseline"/>
                      <w:lang w:val="en-US" w:eastAsia="zh-CN"/>
                    </w:rPr>
                    <w:t>布袋除尘器+</w:t>
                  </w:r>
                  <w:r>
                    <w:rPr>
                      <w:rFonts w:hint="eastAsia" w:ascii="Times New Roman" w:hAnsi="Times New Roman" w:cs="Times New Roman"/>
                      <w:b w:val="0"/>
                      <w:bCs w:val="0"/>
                      <w:color w:val="auto"/>
                      <w:spacing w:val="-23"/>
                      <w:sz w:val="21"/>
                      <w:szCs w:val="21"/>
                      <w:highlight w:val="none"/>
                      <w:vertAlign w:val="baseline"/>
                      <w:lang w:val="en-US" w:eastAsia="zh-CN"/>
                    </w:rPr>
                    <w:t>30</w:t>
                  </w:r>
                  <w:r>
                    <w:rPr>
                      <w:rFonts w:hint="default" w:ascii="Times New Roman" w:hAnsi="Times New Roman" w:cs="Times New Roman"/>
                      <w:b w:val="0"/>
                      <w:bCs w:val="0"/>
                      <w:color w:val="auto"/>
                      <w:spacing w:val="-23"/>
                      <w:sz w:val="21"/>
                      <w:szCs w:val="21"/>
                      <w:highlight w:val="none"/>
                      <w:vertAlign w:val="baseline"/>
                      <w:lang w:val="en-US" w:eastAsia="zh-CN"/>
                    </w:rPr>
                    <w:t>m排气筒DA0</w:t>
                  </w:r>
                  <w:r>
                    <w:rPr>
                      <w:rFonts w:hint="eastAsia" w:ascii="Times New Roman" w:hAnsi="Times New Roman" w:cs="Times New Roman"/>
                      <w:b w:val="0"/>
                      <w:bCs w:val="0"/>
                      <w:color w:val="auto"/>
                      <w:spacing w:val="-23"/>
                      <w:sz w:val="21"/>
                      <w:szCs w:val="21"/>
                      <w:highlight w:val="none"/>
                      <w:vertAlign w:val="baseline"/>
                      <w:lang w:val="en-US" w:eastAsia="zh-CN"/>
                    </w:rPr>
                    <w:t>54</w:t>
                  </w:r>
                </w:p>
              </w:tc>
              <w:tc>
                <w:tcPr>
                  <w:tcW w:w="350" w:type="pct"/>
                  <w:shd w:val="clear" w:color="auto" w:fill="auto"/>
                  <w:noWrap w:val="0"/>
                  <w:vAlign w:val="center"/>
                </w:tcPr>
                <w:p w14:paraId="3EF0944D">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98%</w:t>
                  </w:r>
                </w:p>
              </w:tc>
              <w:tc>
                <w:tcPr>
                  <w:tcW w:w="396" w:type="pct"/>
                  <w:shd w:val="clear" w:color="auto" w:fill="auto"/>
                  <w:noWrap w:val="0"/>
                  <w:vAlign w:val="center"/>
                </w:tcPr>
                <w:p w14:paraId="07ED1188">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default" w:ascii="Times New Roman" w:hAnsi="Times New Roman" w:cs="Times New Roman"/>
                      <w:b w:val="0"/>
                      <w:bCs w:val="0"/>
                      <w:color w:val="auto"/>
                      <w:spacing w:val="0"/>
                      <w:sz w:val="21"/>
                      <w:szCs w:val="21"/>
                      <w:highlight w:val="none"/>
                      <w:vertAlign w:val="baseline"/>
                      <w:lang w:val="en-US" w:eastAsia="zh-CN"/>
                    </w:rPr>
                    <w:t>99</w:t>
                  </w:r>
                  <w:r>
                    <w:rPr>
                      <w:rFonts w:hint="eastAsia" w:ascii="Times New Roman" w:hAnsi="Times New Roman" w:cs="Times New Roman"/>
                      <w:b w:val="0"/>
                      <w:bCs w:val="0"/>
                      <w:color w:val="auto"/>
                      <w:spacing w:val="0"/>
                      <w:sz w:val="21"/>
                      <w:szCs w:val="21"/>
                      <w:highlight w:val="none"/>
                      <w:vertAlign w:val="baseline"/>
                      <w:lang w:val="en-US" w:eastAsia="zh-CN"/>
                    </w:rPr>
                    <w:t>.5</w:t>
                  </w:r>
                  <w:r>
                    <w:rPr>
                      <w:rFonts w:hint="default" w:ascii="Times New Roman" w:hAnsi="Times New Roman" w:cs="Times New Roman"/>
                      <w:b w:val="0"/>
                      <w:bCs w:val="0"/>
                      <w:color w:val="auto"/>
                      <w:spacing w:val="0"/>
                      <w:sz w:val="21"/>
                      <w:szCs w:val="21"/>
                      <w:highlight w:val="none"/>
                      <w:vertAlign w:val="baseline"/>
                      <w:lang w:val="en-US" w:eastAsia="zh-CN"/>
                    </w:rPr>
                    <w:t>%</w:t>
                  </w:r>
                </w:p>
              </w:tc>
              <w:tc>
                <w:tcPr>
                  <w:tcW w:w="390" w:type="pct"/>
                  <w:shd w:val="clear" w:color="auto" w:fill="auto"/>
                  <w:noWrap w:val="0"/>
                  <w:vAlign w:val="center"/>
                </w:tcPr>
                <w:p w14:paraId="319754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1.75</w:t>
                  </w:r>
                </w:p>
              </w:tc>
              <w:tc>
                <w:tcPr>
                  <w:tcW w:w="397" w:type="pct"/>
                  <w:shd w:val="clear" w:color="auto" w:fill="auto"/>
                  <w:noWrap w:val="0"/>
                  <w:vAlign w:val="center"/>
                </w:tcPr>
                <w:p w14:paraId="0B65977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0.035</w:t>
                  </w:r>
                </w:p>
              </w:tc>
              <w:tc>
                <w:tcPr>
                  <w:tcW w:w="381" w:type="pct"/>
                  <w:shd w:val="clear" w:color="auto" w:fill="auto"/>
                  <w:noWrap w:val="0"/>
                  <w:vAlign w:val="center"/>
                </w:tcPr>
                <w:p w14:paraId="4D8173A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0.252</w:t>
                  </w:r>
                </w:p>
              </w:tc>
              <w:tc>
                <w:tcPr>
                  <w:tcW w:w="405" w:type="pct"/>
                  <w:shd w:val="clear" w:color="auto" w:fill="auto"/>
                  <w:noWrap w:val="0"/>
                  <w:vAlign w:val="center"/>
                </w:tcPr>
                <w:p w14:paraId="2EBF0BF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bidi="ar-SA"/>
                    </w:rPr>
                    <w:t>1.03</w:t>
                  </w:r>
                </w:p>
              </w:tc>
            </w:tr>
          </w:tbl>
          <w:p w14:paraId="53B7938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本核算采取保守估算，假定粉磨工段产生粉尘全部进入仓顶布袋除尘器，则磨粉机粉尘产生量为7.14kg/h。磨粉系统废气（磨机入料旁路泄压废气、气力输送分流废气以及料仓呼吸废气）依托现有覆膜滤料布袋除尘器处理，除尘器配套引风机风量 20000m</w:t>
            </w:r>
            <w:r>
              <w:rPr>
                <w:rFonts w:hint="eastAsia" w:cs="Times New Roman"/>
                <w:b w:val="0"/>
                <w:bCs w:val="0"/>
                <w:color w:val="auto"/>
                <w:sz w:val="24"/>
                <w:highlight w:val="none"/>
                <w:vertAlign w:val="superscript"/>
                <w:lang w:val="en-US" w:eastAsia="zh-CN"/>
              </w:rPr>
              <w:t>3</w:t>
            </w:r>
            <w:r>
              <w:rPr>
                <w:rFonts w:hint="eastAsia" w:cs="Times New Roman"/>
                <w:b w:val="0"/>
                <w:bCs w:val="0"/>
                <w:color w:val="auto"/>
                <w:sz w:val="24"/>
                <w:highlight w:val="none"/>
                <w:lang w:val="en-US" w:eastAsia="zh-CN"/>
              </w:rPr>
              <w:t>/h，取除尘器系统综合处理效率 99.5%，</w:t>
            </w:r>
            <w:r>
              <w:rPr>
                <w:rFonts w:hint="eastAsia" w:cs="Times New Roman"/>
                <w:color w:val="auto"/>
                <w:sz w:val="24"/>
                <w:highlight w:val="none"/>
                <w:lang w:val="en-US" w:eastAsia="zh-CN"/>
              </w:rPr>
              <w:t>净化处理后，通过30m高排气筒排放。废气收集效率按98%计，</w:t>
            </w:r>
            <w:r>
              <w:rPr>
                <w:rFonts w:hint="eastAsia" w:cs="Times New Roman"/>
                <w:b w:val="0"/>
                <w:bCs w:val="0"/>
                <w:color w:val="auto"/>
                <w:sz w:val="24"/>
                <w:highlight w:val="none"/>
                <w:lang w:val="en-US" w:eastAsia="zh-CN"/>
              </w:rPr>
              <w:t>经核算，</w:t>
            </w:r>
            <w:r>
              <w:rPr>
                <w:rFonts w:hint="eastAsia" w:cs="Times New Roman"/>
                <w:color w:val="auto"/>
                <w:sz w:val="24"/>
                <w:highlight w:val="none"/>
                <w:lang w:val="en-US" w:eastAsia="zh-CN"/>
              </w:rPr>
              <w:t>磨粉机有组织颗粒物排放浓度为1.75mg/m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w:t>
            </w:r>
            <w:r>
              <w:rPr>
                <w:rFonts w:hint="eastAsia" w:cs="Times New Roman"/>
                <w:color w:val="auto"/>
                <w:sz w:val="24"/>
                <w:highlight w:val="none"/>
                <w:vertAlign w:val="baseline"/>
                <w:lang w:val="en-US" w:eastAsia="zh-CN"/>
              </w:rPr>
              <w:t>满足</w:t>
            </w:r>
            <w:r>
              <w:rPr>
                <w:rFonts w:hint="default" w:ascii="Times New Roman" w:hAnsi="Times New Roman" w:cs="Times New Roman"/>
                <w:bCs/>
                <w:color w:val="auto"/>
                <w:sz w:val="24"/>
              </w:rPr>
              <w:t>《铝工业污染物排放标准》（GB25465-2010）及其修改单的标准</w:t>
            </w:r>
            <w:r>
              <w:rPr>
                <w:rFonts w:hint="eastAsia" w:ascii="Times New Roman" w:hAnsi="Times New Roman" w:cs="Times New Roman"/>
                <w:bCs/>
                <w:color w:val="auto"/>
                <w:sz w:val="24"/>
                <w:lang w:val="en-US" w:eastAsia="zh-CN"/>
              </w:rPr>
              <w:t>（有组织排放颗粒物浓度≤10</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ascii="Times New Roman" w:hAnsi="Times New Roman" w:cs="Times New Roman"/>
                <w:bCs/>
                <w:color w:val="auto"/>
                <w:sz w:val="24"/>
                <w:lang w:val="en-US" w:eastAsia="zh-CN"/>
              </w:rPr>
              <w:t>）。</w:t>
            </w:r>
            <w:r>
              <w:rPr>
                <w:rFonts w:hint="eastAsia" w:cs="Times New Roman"/>
                <w:b w:val="0"/>
                <w:bCs w:val="0"/>
                <w:color w:val="auto"/>
                <w:sz w:val="24"/>
                <w:highlight w:val="none"/>
                <w:lang w:val="en-US" w:eastAsia="zh-CN"/>
              </w:rPr>
              <w:t>单台磨粉机颗粒物排放速率0.035kg/h，单条生产线主用磨粉机颗粒物年排放量0.2436t/a；单条备用磨粉机颗粒物年排放量0.0084t/a。 由于各线主、备磨为一对一替补运行，二者不同时作业，技改后全厂磨粉工段颗粒物有组织排放量为0.504t/a。由于备用磨只是设备冗余，产能不变，技改颗粒物排放增量为0。</w:t>
            </w:r>
          </w:p>
          <w:p w14:paraId="21AE66A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（2）无组织废气</w:t>
            </w:r>
          </w:p>
          <w:p w14:paraId="790D7ED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无组织颗粒物主要来源于磨粉系统各密封点位未被废气收集系统捕集的逸散粉尘，逸散点位包括磨粉机入料口、设备法兰、检修门、软连接、旋风及输送管路接口等处。本项目废气收集效率取98%，即粉磨工段总产尘中98%进入仓顶布袋除尘器进行有组织处理，剩余2%未被收集以无组织形式逸散。单台磨粉机粉磨工段总产尘速率7.14kg/h，则单条生产线无组织颗粒物排放速率0.143kg/h；每条磨粉生产线年总生产时间7200h，单条生产线无组织颗粒物排放量1.03t/a，全厂东西两条磨粉生产线无组织颗粒物排放总量2.06t/a。根据《河北鸿科碳素有限公司自行监测季测》（2025年12月25日，RFJC自行监测[2025]J176号），现状厂界无组织颗粒物浓度为0.419 mg/m</w:t>
            </w:r>
            <w:r>
              <w:rPr>
                <w:rFonts w:hint="eastAsia" w:ascii="Times New Roman" w:hAnsi="Times New Roman" w:eastAsia="宋体" w:cs="Times New Roman"/>
                <w:b w:val="0"/>
                <w:bCs w:val="0"/>
                <w:color w:val="auto"/>
                <w:sz w:val="24"/>
                <w:highlight w:val="none"/>
                <w:vertAlign w:val="superscript"/>
                <w:lang w:val="en-US" w:eastAsia="zh-CN"/>
              </w:rPr>
              <w:t>3</w:t>
            </w:r>
            <w:r>
              <w:rPr>
                <w:rFonts w:hint="eastAsia" w:ascii="Times New Roman" w:hAnsi="Times New Roman" w:eastAsia="宋体" w:cs="Times New Roman"/>
                <w:b w:val="0"/>
                <w:bCs w:val="0"/>
                <w:color w:val="auto"/>
                <w:sz w:val="24"/>
                <w:highlight w:val="none"/>
                <w:vertAlign w:val="baseline"/>
                <w:lang w:val="en-US" w:eastAsia="zh-CN"/>
              </w:rPr>
              <w:t>，</w:t>
            </w:r>
            <w:r>
              <w:rPr>
                <w:rFonts w:hint="eastAsia" w:ascii="Times New Roman" w:hAnsi="Times New Roman" w:eastAsia="宋体" w:cs="Times New Roman"/>
                <w:b w:val="0"/>
                <w:bCs w:val="0"/>
                <w:color w:val="auto"/>
                <w:sz w:val="24"/>
                <w:highlight w:val="none"/>
                <w:lang w:val="en-US" w:eastAsia="zh-CN"/>
              </w:rPr>
              <w:t>满足</w:t>
            </w:r>
            <w:r>
              <w:rPr>
                <w:rFonts w:hint="default" w:ascii="Times New Roman" w:hAnsi="Times New Roman" w:cs="Times New Roman"/>
                <w:bCs/>
                <w:color w:val="auto"/>
                <w:sz w:val="24"/>
              </w:rPr>
              <w:t>《铝工业污染物排放标准》（GB25465-2010）</w:t>
            </w:r>
            <w:r>
              <w:rPr>
                <w:rFonts w:hint="eastAsia" w:cs="Times New Roman"/>
                <w:bCs/>
                <w:color w:val="auto"/>
                <w:sz w:val="24"/>
                <w:lang w:val="en-US" w:eastAsia="zh-CN"/>
              </w:rPr>
              <w:t>表6企业边界大气污染物浓度限值（</w:t>
            </w:r>
            <w:r>
              <w:rPr>
                <w:rFonts w:hint="eastAsia" w:ascii="Times New Roman" w:hAnsi="Times New Roman" w:cs="Times New Roman"/>
                <w:bCs/>
                <w:color w:val="auto"/>
                <w:sz w:val="24"/>
                <w:lang w:val="en-US" w:eastAsia="zh-CN"/>
              </w:rPr>
              <w:t>无组织排放颗粒物浓度≤1</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ascii="Times New Roman" w:hAnsi="Times New Roman" w:cs="Times New Roman"/>
                <w:bCs/>
                <w:color w:val="auto"/>
                <w:sz w:val="24"/>
                <w:lang w:val="en-US" w:eastAsia="zh-CN"/>
              </w:rPr>
              <w:t>）。本次技改</w:t>
            </w:r>
            <w:r>
              <w:rPr>
                <w:rFonts w:hint="eastAsia" w:ascii="Times New Roman" w:hAnsi="Times New Roman" w:eastAsia="宋体" w:cs="Times New Roman"/>
                <w:b w:val="0"/>
                <w:bCs w:val="0"/>
                <w:color w:val="auto"/>
                <w:sz w:val="24"/>
                <w:highlight w:val="none"/>
                <w:lang w:val="en-US" w:eastAsia="zh-CN"/>
              </w:rPr>
              <w:t>通过对现有磨粉机更换新蜗壳，无组织粉尘逸散得到有效控制；新增备用磨粉机采用高效密闭结构，启用时不会导致无组织排放增加。同时，建设单位需加强设备运维管理，定期检查更换法兰垫片、软连接等易损部件，保证磨粉系统及旁路废气支管维持密闭负压状态，最大限度降低粉尘跑冒逸散；生产车间定期进行湿式清扫，</w:t>
            </w:r>
            <w:r>
              <w:rPr>
                <w:rFonts w:hint="eastAsia" w:ascii="Times New Roman" w:hAnsi="Times New Roman" w:eastAsia="宋体" w:cs="Times New Roman"/>
                <w:b w:val="0"/>
                <w:bCs w:val="0"/>
                <w:color w:val="auto"/>
                <w:sz w:val="24"/>
                <w:szCs w:val="24"/>
                <w:highlight w:val="none"/>
                <w:lang w:val="en-US" w:eastAsia="zh-CN"/>
              </w:rPr>
              <w:t>抑制地面积尘二次起尘</w:t>
            </w:r>
            <w:r>
              <w:rPr>
                <w:rFonts w:hint="eastAsia" w:cs="Times New Roman"/>
                <w:b w:val="0"/>
                <w:bCs w:val="0"/>
                <w:color w:val="auto"/>
                <w:sz w:val="24"/>
                <w:szCs w:val="24"/>
                <w:highlight w:val="none"/>
                <w:lang w:val="en-US" w:eastAsia="zh-CN"/>
              </w:rPr>
              <w:t>；车间外备用</w:t>
            </w:r>
            <w:r>
              <w:rPr>
                <w:rFonts w:ascii="宋体" w:hAnsi="宋体" w:eastAsia="宋体" w:cs="宋体"/>
                <w:sz w:val="24"/>
                <w:szCs w:val="24"/>
              </w:rPr>
              <w:t>设备周边地面硬化并设置围挡，定期清扫抑尘，可有效控制粉尘无组织排放</w:t>
            </w:r>
            <w:r>
              <w:rPr>
                <w:rFonts w:hint="eastAsia" w:ascii="Times New Roman" w:hAnsi="Times New Roman" w:eastAsia="宋体" w:cs="Times New Roman"/>
                <w:b w:val="0"/>
                <w:bCs w:val="0"/>
                <w:color w:val="auto"/>
                <w:sz w:val="24"/>
                <w:highlight w:val="none"/>
                <w:lang w:val="en-US" w:eastAsia="zh-CN"/>
              </w:rPr>
              <w:t>。</w:t>
            </w:r>
          </w:p>
          <w:p w14:paraId="7A0C10F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lang w:val="en-US" w:eastAsia="zh-CN"/>
              </w:rPr>
            </w:pPr>
            <w:r>
              <w:rPr>
                <w:rFonts w:hint="eastAsia" w:cs="Times New Roman"/>
                <w:bCs/>
                <w:color w:val="auto"/>
                <w:sz w:val="24"/>
                <w:lang w:val="en-US" w:eastAsia="zh-CN"/>
              </w:rPr>
              <w:t>3、</w:t>
            </w:r>
            <w:r>
              <w:rPr>
                <w:rFonts w:hint="default" w:ascii="Times New Roman" w:hAnsi="Times New Roman" w:eastAsia="宋体" w:cs="Times New Roman"/>
                <w:b w:val="0"/>
                <w:bCs w:val="0"/>
                <w:color w:val="auto"/>
                <w:sz w:val="24"/>
                <w:highlight w:val="none"/>
                <w:lang w:val="en-US" w:eastAsia="zh-CN"/>
              </w:rPr>
              <w:t>废气排放口基本情况</w:t>
            </w:r>
          </w:p>
          <w:p w14:paraId="55DBD944">
            <w:pPr>
              <w:pStyle w:val="11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废气</w:t>
            </w:r>
            <w:r>
              <w:rPr>
                <w:rFonts w:hint="default" w:ascii="Times New Roman" w:hAnsi="Times New Roman" w:cs="Times New Roman"/>
                <w:color w:val="auto"/>
                <w:highlight w:val="none"/>
              </w:rPr>
              <w:t>排放口基本情况见</w:t>
            </w:r>
            <w:r>
              <w:rPr>
                <w:rFonts w:hint="default" w:ascii="Times New Roman" w:hAnsi="Times New Roman" w:cs="Times New Roman"/>
                <w:color w:val="auto"/>
                <w:highlight w:val="none"/>
                <w:lang w:eastAsia="zh-CN"/>
              </w:rPr>
              <w:t>下表。</w:t>
            </w:r>
          </w:p>
          <w:p w14:paraId="7D3A4007">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firstLineChars="0"/>
              <w:jc w:val="center"/>
              <w:textAlignment w:val="auto"/>
              <w:rPr>
                <w:rFonts w:hint="default" w:ascii="Times New Roman" w:hAnsi="Times New Roman" w:cs="Times New Roman"/>
                <w:b/>
                <w:bCs/>
                <w:color w:val="auto"/>
                <w:sz w:val="24"/>
                <w:highlight w:val="none"/>
              </w:rPr>
            </w:pPr>
            <w:r>
              <w:rPr>
                <w:rFonts w:hint="default" w:ascii="Times New Roman" w:hAnsi="Times New Roman" w:eastAsia="宋体" w:cs="Times New Roman"/>
                <w:b/>
                <w:bCs/>
                <w:color w:val="auto"/>
                <w:sz w:val="24"/>
                <w:szCs w:val="24"/>
                <w:highlight w:val="none"/>
                <w:lang w:val="en-US" w:eastAsia="zh-CN"/>
              </w:rPr>
              <w:t>表 4-</w:t>
            </w: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废气排放口基本情况表</w:t>
            </w:r>
          </w:p>
          <w:tbl>
            <w:tblPr>
              <w:tblStyle w:val="36"/>
              <w:tblW w:w="4995"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62"/>
              <w:gridCol w:w="423"/>
              <w:gridCol w:w="495"/>
              <w:gridCol w:w="832"/>
              <w:gridCol w:w="510"/>
              <w:gridCol w:w="718"/>
              <w:gridCol w:w="520"/>
              <w:gridCol w:w="594"/>
              <w:gridCol w:w="546"/>
              <w:gridCol w:w="546"/>
              <w:gridCol w:w="413"/>
              <w:gridCol w:w="448"/>
              <w:gridCol w:w="1093"/>
              <w:gridCol w:w="657"/>
            </w:tblGrid>
            <w:tr w14:paraId="72B5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52" w:hRule="atLeast"/>
                <w:jc w:val="right"/>
              </w:trPr>
              <w:tc>
                <w:tcPr>
                  <w:tcW w:w="336" w:type="pct"/>
                  <w:vMerge w:val="restart"/>
                  <w:vAlign w:val="center"/>
                </w:tcPr>
                <w:p w14:paraId="26F03F0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排放口编号</w:t>
                  </w:r>
                </w:p>
              </w:tc>
              <w:tc>
                <w:tcPr>
                  <w:tcW w:w="253" w:type="pct"/>
                  <w:vMerge w:val="restart"/>
                  <w:vAlign w:val="center"/>
                </w:tcPr>
                <w:p w14:paraId="2EBE8C7F">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排放口名称</w:t>
                  </w:r>
                </w:p>
              </w:tc>
              <w:tc>
                <w:tcPr>
                  <w:tcW w:w="296" w:type="pct"/>
                  <w:vMerge w:val="restart"/>
                  <w:vAlign w:val="center"/>
                </w:tcPr>
                <w:p w14:paraId="2E75485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污染物种类</w:t>
                  </w:r>
                </w:p>
              </w:tc>
              <w:tc>
                <w:tcPr>
                  <w:tcW w:w="497" w:type="pct"/>
                  <w:vMerge w:val="restart"/>
                  <w:vAlign w:val="center"/>
                </w:tcPr>
                <w:p w14:paraId="2C9D7C62">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地理坐标</w:t>
                  </w:r>
                </w:p>
              </w:tc>
              <w:tc>
                <w:tcPr>
                  <w:tcW w:w="305" w:type="pct"/>
                  <w:vMerge w:val="restart"/>
                  <w:vAlign w:val="center"/>
                </w:tcPr>
                <w:p w14:paraId="4BF26D65">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废</w:t>
                  </w:r>
                  <w:r>
                    <w:rPr>
                      <w:rFonts w:hint="default" w:ascii="Times New Roman" w:hAnsi="Times New Roman" w:cs="Times New Roman"/>
                      <w:b w:val="0"/>
                      <w:bCs/>
                      <w:color w:val="auto"/>
                      <w:sz w:val="18"/>
                      <w:szCs w:val="18"/>
                      <w:highlight w:val="none"/>
                    </w:rPr>
                    <w:t>气量</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rPr>
                    <w:t>/h</w:t>
                  </w:r>
                  <w:r>
                    <w:rPr>
                      <w:rFonts w:hint="default" w:ascii="Times New Roman" w:hAnsi="Times New Roman" w:cs="Times New Roman"/>
                      <w:b w:val="0"/>
                      <w:bCs/>
                      <w:color w:val="auto"/>
                      <w:sz w:val="18"/>
                      <w:szCs w:val="18"/>
                      <w:highlight w:val="none"/>
                      <w:lang w:val="en-US" w:eastAsia="zh-CN"/>
                    </w:rPr>
                    <w:t>)</w:t>
                  </w:r>
                </w:p>
              </w:tc>
              <w:tc>
                <w:tcPr>
                  <w:tcW w:w="429" w:type="pct"/>
                  <w:vMerge w:val="restart"/>
                  <w:vAlign w:val="center"/>
                </w:tcPr>
                <w:p w14:paraId="071C4028">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rPr>
                    <w:t>排放浓度</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mg/m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lang w:val="en-US" w:eastAsia="zh-CN"/>
                    </w:rPr>
                    <w:t>)</w:t>
                  </w:r>
                </w:p>
              </w:tc>
              <w:tc>
                <w:tcPr>
                  <w:tcW w:w="311" w:type="pct"/>
                  <w:vMerge w:val="restart"/>
                  <w:vAlign w:val="center"/>
                </w:tcPr>
                <w:p w14:paraId="326911AD">
                  <w:pPr>
                    <w:pStyle w:val="77"/>
                    <w:spacing w:line="0" w:lineRule="atLeast"/>
                    <w:jc w:val="center"/>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eastAsia="zh-CN"/>
                    </w:rPr>
                    <w:t>排放速率</w:t>
                  </w:r>
                  <w:r>
                    <w:rPr>
                      <w:rFonts w:hint="default" w:ascii="Times New Roman" w:hAnsi="Times New Roman" w:cs="Times New Roman"/>
                      <w:b w:val="0"/>
                      <w:bCs/>
                      <w:color w:val="auto"/>
                      <w:sz w:val="18"/>
                      <w:szCs w:val="18"/>
                      <w:highlight w:val="none"/>
                      <w:lang w:val="en-US" w:eastAsia="zh-CN"/>
                    </w:rPr>
                    <w:t>(kg/h)</w:t>
                  </w:r>
                </w:p>
              </w:tc>
              <w:tc>
                <w:tcPr>
                  <w:tcW w:w="355" w:type="pct"/>
                  <w:vMerge w:val="restart"/>
                  <w:vAlign w:val="center"/>
                </w:tcPr>
                <w:p w14:paraId="57F0126A">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排放量（</w:t>
                  </w:r>
                  <w:r>
                    <w:rPr>
                      <w:rFonts w:hint="default" w:ascii="Times New Roman" w:hAnsi="Times New Roman" w:cs="Times New Roman"/>
                      <w:b w:val="0"/>
                      <w:bCs/>
                      <w:color w:val="auto"/>
                      <w:sz w:val="18"/>
                      <w:szCs w:val="18"/>
                      <w:highlight w:val="none"/>
                      <w:lang w:val="en-US" w:eastAsia="zh-CN"/>
                    </w:rPr>
                    <w:t>t/a</w:t>
                  </w:r>
                  <w:r>
                    <w:rPr>
                      <w:rFonts w:hint="default" w:ascii="Times New Roman" w:hAnsi="Times New Roman" w:cs="Times New Roman"/>
                      <w:b w:val="0"/>
                      <w:bCs/>
                      <w:color w:val="auto"/>
                      <w:sz w:val="18"/>
                      <w:szCs w:val="18"/>
                      <w:highlight w:val="none"/>
                      <w:lang w:eastAsia="zh-CN"/>
                    </w:rPr>
                    <w:t>）</w:t>
                  </w:r>
                </w:p>
              </w:tc>
              <w:tc>
                <w:tcPr>
                  <w:tcW w:w="326" w:type="pct"/>
                  <w:vMerge w:val="restart"/>
                  <w:vAlign w:val="center"/>
                </w:tcPr>
                <w:p w14:paraId="3B5D1C17">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排气筒高度（m）</w:t>
                  </w:r>
                </w:p>
              </w:tc>
              <w:tc>
                <w:tcPr>
                  <w:tcW w:w="326" w:type="pct"/>
                  <w:vMerge w:val="restart"/>
                  <w:vAlign w:val="center"/>
                </w:tcPr>
                <w:p w14:paraId="31D778C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排气筒内径（m）</w:t>
                  </w:r>
                </w:p>
              </w:tc>
              <w:tc>
                <w:tcPr>
                  <w:tcW w:w="247" w:type="pct"/>
                  <w:vMerge w:val="restart"/>
                  <w:vAlign w:val="center"/>
                </w:tcPr>
                <w:p w14:paraId="15B35B34">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烟气温度</w:t>
                  </w:r>
                </w:p>
                <w:p w14:paraId="48CDC8ED">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w:t>
                  </w:r>
                </w:p>
              </w:tc>
              <w:tc>
                <w:tcPr>
                  <w:tcW w:w="268" w:type="pct"/>
                  <w:vMerge w:val="restart"/>
                  <w:vAlign w:val="center"/>
                </w:tcPr>
                <w:p w14:paraId="7D952084">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排放口类型</w:t>
                  </w:r>
                </w:p>
              </w:tc>
              <w:tc>
                <w:tcPr>
                  <w:tcW w:w="1045" w:type="pct"/>
                  <w:gridSpan w:val="2"/>
                  <w:vAlign w:val="center"/>
                </w:tcPr>
                <w:p w14:paraId="37D82450">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污染物排放情况</w:t>
                  </w:r>
                </w:p>
              </w:tc>
            </w:tr>
            <w:tr w14:paraId="29A4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3" w:hRule="atLeast"/>
                <w:jc w:val="right"/>
              </w:trPr>
              <w:tc>
                <w:tcPr>
                  <w:tcW w:w="336" w:type="pct"/>
                  <w:vMerge w:val="continue"/>
                  <w:vAlign w:val="center"/>
                </w:tcPr>
                <w:p w14:paraId="0BB58079">
                  <w:pPr>
                    <w:pStyle w:val="77"/>
                    <w:spacing w:line="0" w:lineRule="atLeast"/>
                    <w:jc w:val="center"/>
                    <w:rPr>
                      <w:rFonts w:hint="default" w:ascii="Times New Roman" w:hAnsi="Times New Roman" w:cs="Times New Roman"/>
                      <w:b w:val="0"/>
                      <w:bCs/>
                      <w:color w:val="auto"/>
                      <w:sz w:val="18"/>
                      <w:szCs w:val="18"/>
                      <w:highlight w:val="none"/>
                    </w:rPr>
                  </w:pPr>
                </w:p>
              </w:tc>
              <w:tc>
                <w:tcPr>
                  <w:tcW w:w="253" w:type="pct"/>
                  <w:vMerge w:val="continue"/>
                  <w:vAlign w:val="center"/>
                </w:tcPr>
                <w:p w14:paraId="1D4760F6">
                  <w:pPr>
                    <w:pStyle w:val="77"/>
                    <w:spacing w:line="0" w:lineRule="atLeast"/>
                    <w:jc w:val="center"/>
                    <w:rPr>
                      <w:rFonts w:hint="default" w:ascii="Times New Roman" w:hAnsi="Times New Roman" w:cs="Times New Roman"/>
                      <w:b w:val="0"/>
                      <w:bCs/>
                      <w:color w:val="auto"/>
                      <w:sz w:val="18"/>
                      <w:szCs w:val="18"/>
                      <w:highlight w:val="none"/>
                    </w:rPr>
                  </w:pPr>
                </w:p>
              </w:tc>
              <w:tc>
                <w:tcPr>
                  <w:tcW w:w="296" w:type="pct"/>
                  <w:vMerge w:val="continue"/>
                  <w:vAlign w:val="center"/>
                </w:tcPr>
                <w:p w14:paraId="3DA5DE57">
                  <w:pPr>
                    <w:pStyle w:val="77"/>
                    <w:spacing w:line="0" w:lineRule="atLeast"/>
                    <w:jc w:val="center"/>
                    <w:rPr>
                      <w:rFonts w:hint="default" w:ascii="Times New Roman" w:hAnsi="Times New Roman" w:cs="Times New Roman"/>
                      <w:b w:val="0"/>
                      <w:bCs/>
                      <w:color w:val="auto"/>
                      <w:sz w:val="18"/>
                      <w:szCs w:val="18"/>
                      <w:highlight w:val="none"/>
                    </w:rPr>
                  </w:pPr>
                </w:p>
              </w:tc>
              <w:tc>
                <w:tcPr>
                  <w:tcW w:w="497" w:type="pct"/>
                  <w:vMerge w:val="continue"/>
                  <w:vAlign w:val="center"/>
                </w:tcPr>
                <w:p w14:paraId="7A765ACF">
                  <w:pPr>
                    <w:pStyle w:val="77"/>
                    <w:spacing w:line="0" w:lineRule="atLeast"/>
                    <w:jc w:val="center"/>
                    <w:rPr>
                      <w:rFonts w:hint="default" w:ascii="Times New Roman" w:hAnsi="Times New Roman" w:cs="Times New Roman"/>
                      <w:b w:val="0"/>
                      <w:bCs/>
                      <w:color w:val="auto"/>
                      <w:sz w:val="18"/>
                      <w:szCs w:val="18"/>
                      <w:highlight w:val="none"/>
                    </w:rPr>
                  </w:pPr>
                </w:p>
              </w:tc>
              <w:tc>
                <w:tcPr>
                  <w:tcW w:w="305" w:type="pct"/>
                  <w:vMerge w:val="continue"/>
                  <w:vAlign w:val="center"/>
                </w:tcPr>
                <w:p w14:paraId="57796DB4">
                  <w:pPr>
                    <w:pStyle w:val="77"/>
                    <w:spacing w:line="0" w:lineRule="atLeast"/>
                    <w:jc w:val="center"/>
                    <w:rPr>
                      <w:rFonts w:hint="default" w:ascii="Times New Roman" w:hAnsi="Times New Roman" w:cs="Times New Roman"/>
                      <w:b w:val="0"/>
                      <w:bCs/>
                      <w:color w:val="auto"/>
                      <w:sz w:val="18"/>
                      <w:szCs w:val="18"/>
                      <w:highlight w:val="none"/>
                    </w:rPr>
                  </w:pPr>
                </w:p>
              </w:tc>
              <w:tc>
                <w:tcPr>
                  <w:tcW w:w="429" w:type="pct"/>
                  <w:vMerge w:val="continue"/>
                  <w:vAlign w:val="center"/>
                </w:tcPr>
                <w:p w14:paraId="4AAB4520">
                  <w:pPr>
                    <w:pStyle w:val="77"/>
                    <w:spacing w:line="0" w:lineRule="atLeast"/>
                    <w:jc w:val="center"/>
                    <w:rPr>
                      <w:rFonts w:hint="default" w:ascii="Times New Roman" w:hAnsi="Times New Roman" w:cs="Times New Roman"/>
                      <w:b w:val="0"/>
                      <w:bCs/>
                      <w:color w:val="auto"/>
                      <w:sz w:val="18"/>
                      <w:szCs w:val="18"/>
                      <w:highlight w:val="none"/>
                    </w:rPr>
                  </w:pPr>
                </w:p>
              </w:tc>
              <w:tc>
                <w:tcPr>
                  <w:tcW w:w="311" w:type="pct"/>
                  <w:vMerge w:val="continue"/>
                  <w:vAlign w:val="center"/>
                </w:tcPr>
                <w:p w14:paraId="5DB819A2">
                  <w:pPr>
                    <w:pStyle w:val="77"/>
                    <w:spacing w:line="0" w:lineRule="atLeast"/>
                    <w:jc w:val="center"/>
                    <w:rPr>
                      <w:rFonts w:hint="default" w:ascii="Times New Roman" w:hAnsi="Times New Roman" w:cs="Times New Roman"/>
                      <w:b w:val="0"/>
                      <w:bCs/>
                      <w:color w:val="auto"/>
                      <w:sz w:val="18"/>
                      <w:szCs w:val="18"/>
                      <w:highlight w:val="none"/>
                    </w:rPr>
                  </w:pPr>
                </w:p>
              </w:tc>
              <w:tc>
                <w:tcPr>
                  <w:tcW w:w="355" w:type="pct"/>
                  <w:vMerge w:val="continue"/>
                  <w:vAlign w:val="center"/>
                </w:tcPr>
                <w:p w14:paraId="54C80FC8">
                  <w:pPr>
                    <w:pStyle w:val="77"/>
                    <w:spacing w:line="0" w:lineRule="atLeast"/>
                    <w:jc w:val="center"/>
                    <w:rPr>
                      <w:rFonts w:hint="default" w:ascii="Times New Roman" w:hAnsi="Times New Roman" w:cs="Times New Roman"/>
                      <w:b w:val="0"/>
                      <w:bCs/>
                      <w:color w:val="auto"/>
                      <w:sz w:val="18"/>
                      <w:szCs w:val="18"/>
                      <w:highlight w:val="none"/>
                    </w:rPr>
                  </w:pPr>
                </w:p>
              </w:tc>
              <w:tc>
                <w:tcPr>
                  <w:tcW w:w="326" w:type="pct"/>
                  <w:vMerge w:val="continue"/>
                  <w:vAlign w:val="center"/>
                </w:tcPr>
                <w:p w14:paraId="2DC037D8">
                  <w:pPr>
                    <w:pStyle w:val="77"/>
                    <w:spacing w:line="0" w:lineRule="atLeast"/>
                    <w:jc w:val="center"/>
                    <w:rPr>
                      <w:rFonts w:hint="default" w:ascii="Times New Roman" w:hAnsi="Times New Roman" w:cs="Times New Roman"/>
                      <w:b w:val="0"/>
                      <w:bCs/>
                      <w:color w:val="auto"/>
                      <w:sz w:val="18"/>
                      <w:szCs w:val="18"/>
                      <w:highlight w:val="none"/>
                    </w:rPr>
                  </w:pPr>
                </w:p>
              </w:tc>
              <w:tc>
                <w:tcPr>
                  <w:tcW w:w="326" w:type="pct"/>
                  <w:vMerge w:val="continue"/>
                  <w:vAlign w:val="center"/>
                </w:tcPr>
                <w:p w14:paraId="34A8C1EE">
                  <w:pPr>
                    <w:pStyle w:val="77"/>
                    <w:spacing w:line="0" w:lineRule="atLeast"/>
                    <w:jc w:val="center"/>
                    <w:rPr>
                      <w:rFonts w:hint="default" w:ascii="Times New Roman" w:hAnsi="Times New Roman" w:cs="Times New Roman"/>
                      <w:b w:val="0"/>
                      <w:bCs/>
                      <w:color w:val="auto"/>
                      <w:sz w:val="18"/>
                      <w:szCs w:val="18"/>
                      <w:highlight w:val="none"/>
                    </w:rPr>
                  </w:pPr>
                </w:p>
              </w:tc>
              <w:tc>
                <w:tcPr>
                  <w:tcW w:w="247" w:type="pct"/>
                  <w:vMerge w:val="continue"/>
                  <w:vAlign w:val="center"/>
                </w:tcPr>
                <w:p w14:paraId="50461AF7">
                  <w:pPr>
                    <w:pStyle w:val="77"/>
                    <w:spacing w:line="0" w:lineRule="atLeast"/>
                    <w:jc w:val="center"/>
                    <w:rPr>
                      <w:rFonts w:hint="default" w:ascii="Times New Roman" w:hAnsi="Times New Roman" w:cs="Times New Roman"/>
                      <w:b w:val="0"/>
                      <w:bCs/>
                      <w:color w:val="auto"/>
                      <w:sz w:val="18"/>
                      <w:szCs w:val="18"/>
                      <w:highlight w:val="none"/>
                    </w:rPr>
                  </w:pPr>
                </w:p>
              </w:tc>
              <w:tc>
                <w:tcPr>
                  <w:tcW w:w="268" w:type="pct"/>
                  <w:vMerge w:val="continue"/>
                  <w:vAlign w:val="center"/>
                </w:tcPr>
                <w:p w14:paraId="0C25DD83">
                  <w:pPr>
                    <w:pStyle w:val="77"/>
                    <w:spacing w:line="0" w:lineRule="atLeast"/>
                    <w:jc w:val="center"/>
                    <w:rPr>
                      <w:rFonts w:hint="default" w:ascii="Times New Roman" w:hAnsi="Times New Roman" w:cs="Times New Roman"/>
                      <w:b w:val="0"/>
                      <w:bCs/>
                      <w:color w:val="auto"/>
                      <w:sz w:val="18"/>
                      <w:szCs w:val="18"/>
                      <w:highlight w:val="none"/>
                    </w:rPr>
                  </w:pPr>
                </w:p>
              </w:tc>
              <w:tc>
                <w:tcPr>
                  <w:tcW w:w="653" w:type="pct"/>
                  <w:vAlign w:val="center"/>
                </w:tcPr>
                <w:p w14:paraId="290BA2D3">
                  <w:pPr>
                    <w:autoSpaceDE w:val="0"/>
                    <w:autoSpaceDN w:val="0"/>
                    <w:spacing w:line="0" w:lineRule="atLeast"/>
                    <w:jc w:val="center"/>
                    <w:rPr>
                      <w:rFonts w:hint="default" w:ascii="Times New Roman" w:hAnsi="Times New Roman" w:eastAsia="宋体" w:cs="Times New Roman"/>
                      <w:b w:val="0"/>
                      <w:bCs/>
                      <w:color w:val="auto"/>
                      <w:kern w:val="0"/>
                      <w:sz w:val="18"/>
                      <w:szCs w:val="18"/>
                      <w:highlight w:val="none"/>
                      <w:lang w:eastAsia="zh-CN"/>
                    </w:rPr>
                  </w:pPr>
                  <w:r>
                    <w:rPr>
                      <w:rFonts w:hint="default" w:ascii="Times New Roman" w:hAnsi="Times New Roman" w:eastAsia="宋体" w:cs="Times New Roman"/>
                      <w:b w:val="0"/>
                      <w:bCs/>
                      <w:color w:val="auto"/>
                      <w:kern w:val="0"/>
                      <w:sz w:val="18"/>
                      <w:szCs w:val="18"/>
                      <w:highlight w:val="none"/>
                      <w:lang w:eastAsia="zh-CN"/>
                    </w:rPr>
                    <w:t>标准</w:t>
                  </w:r>
                </w:p>
              </w:tc>
              <w:tc>
                <w:tcPr>
                  <w:tcW w:w="391" w:type="pct"/>
                  <w:vAlign w:val="center"/>
                </w:tcPr>
                <w:p w14:paraId="192A9DBF">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限值</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mg/m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lang w:val="en-US" w:eastAsia="zh-CN"/>
                    </w:rPr>
                    <w:t>)</w:t>
                  </w:r>
                </w:p>
              </w:tc>
            </w:tr>
            <w:tr w14:paraId="6605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3" w:hRule="atLeast"/>
                <w:jc w:val="right"/>
              </w:trPr>
              <w:tc>
                <w:tcPr>
                  <w:tcW w:w="336" w:type="pct"/>
                  <w:vAlign w:val="center"/>
                </w:tcPr>
                <w:p w14:paraId="0979C3A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DA048</w:t>
                  </w:r>
                </w:p>
              </w:tc>
              <w:tc>
                <w:tcPr>
                  <w:tcW w:w="253" w:type="pct"/>
                  <w:vAlign w:val="center"/>
                </w:tcPr>
                <w:p w14:paraId="0A1B171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东线制粉排气筒</w:t>
                  </w:r>
                </w:p>
              </w:tc>
              <w:tc>
                <w:tcPr>
                  <w:tcW w:w="296" w:type="pct"/>
                  <w:vMerge w:val="restart"/>
                  <w:vAlign w:val="center"/>
                </w:tcPr>
                <w:p w14:paraId="2F673E95">
                  <w:pPr>
                    <w:pStyle w:val="12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颗粒物</w:t>
                  </w:r>
                </w:p>
              </w:tc>
              <w:tc>
                <w:tcPr>
                  <w:tcW w:w="497" w:type="pct"/>
                  <w:vAlign w:val="center"/>
                </w:tcPr>
                <w:p w14:paraId="21364D6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bCs/>
                      <w:color w:val="auto"/>
                      <w:spacing w:val="-11"/>
                      <w:sz w:val="18"/>
                      <w:szCs w:val="18"/>
                      <w:lang w:val="en-US" w:eastAsia="zh-CN"/>
                    </w:rPr>
                  </w:pPr>
                  <w:r>
                    <w:rPr>
                      <w:rFonts w:hint="eastAsia" w:ascii="Times New Roman" w:hAnsi="Times New Roman" w:eastAsia="宋体" w:cs="Times New Roman"/>
                      <w:bCs/>
                      <w:color w:val="auto"/>
                      <w:spacing w:val="-11"/>
                      <w:sz w:val="18"/>
                      <w:szCs w:val="18"/>
                      <w:lang w:val="en-US" w:eastAsia="zh-CN"/>
                    </w:rPr>
                    <w:t>E</w:t>
                  </w:r>
                  <w:r>
                    <w:rPr>
                      <w:rFonts w:hint="default" w:ascii="Times New Roman" w:hAnsi="Times New Roman" w:eastAsia="宋体" w:cs="Times New Roman"/>
                      <w:bCs/>
                      <w:color w:val="auto"/>
                      <w:spacing w:val="-11"/>
                      <w:sz w:val="18"/>
                      <w:szCs w:val="18"/>
                      <w:lang w:val="en-US" w:eastAsia="zh-CN"/>
                    </w:rPr>
                    <w:t>114°0′53.</w:t>
                  </w:r>
                  <w:r>
                    <w:rPr>
                      <w:rFonts w:hint="eastAsia" w:ascii="Times New Roman" w:hAnsi="Times New Roman" w:eastAsia="宋体" w:cs="Times New Roman"/>
                      <w:bCs/>
                      <w:color w:val="auto"/>
                      <w:spacing w:val="-11"/>
                      <w:sz w:val="18"/>
                      <w:szCs w:val="18"/>
                      <w:lang w:val="en-US" w:eastAsia="zh-CN"/>
                    </w:rPr>
                    <w:t>24</w:t>
                  </w:r>
                  <w:r>
                    <w:rPr>
                      <w:rFonts w:hint="default" w:ascii="Times New Roman" w:hAnsi="Times New Roman" w:eastAsia="宋体" w:cs="Times New Roman"/>
                      <w:bCs/>
                      <w:color w:val="auto"/>
                      <w:spacing w:val="-11"/>
                      <w:sz w:val="18"/>
                      <w:szCs w:val="18"/>
                      <w:lang w:val="en-US" w:eastAsia="zh-CN"/>
                    </w:rPr>
                    <w:t>″</w:t>
                  </w:r>
                </w:p>
                <w:p w14:paraId="3C9FB48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cs="Times New Roman"/>
                      <w:b/>
                      <w:color w:val="auto"/>
                      <w:sz w:val="18"/>
                      <w:szCs w:val="18"/>
                      <w:highlight w:val="none"/>
                    </w:rPr>
                  </w:pPr>
                  <w:r>
                    <w:rPr>
                      <w:rFonts w:hint="eastAsia" w:ascii="Times New Roman" w:hAnsi="Times New Roman" w:eastAsia="宋体" w:cs="Times New Roman"/>
                      <w:bCs/>
                      <w:color w:val="auto"/>
                      <w:spacing w:val="-11"/>
                      <w:sz w:val="18"/>
                      <w:szCs w:val="18"/>
                      <w:lang w:val="en-US" w:eastAsia="zh-CN"/>
                    </w:rPr>
                    <w:t>N</w:t>
                  </w:r>
                  <w:r>
                    <w:rPr>
                      <w:rFonts w:hint="default" w:ascii="Times New Roman" w:hAnsi="Times New Roman" w:eastAsia="宋体" w:cs="Times New Roman"/>
                      <w:bCs/>
                      <w:color w:val="auto"/>
                      <w:spacing w:val="-11"/>
                      <w:sz w:val="18"/>
                      <w:szCs w:val="18"/>
                      <w:lang w:val="en-US" w:eastAsia="zh-CN"/>
                    </w:rPr>
                    <w:t>38°5′1</w:t>
                  </w:r>
                  <w:r>
                    <w:rPr>
                      <w:rFonts w:hint="eastAsia" w:ascii="Times New Roman" w:hAnsi="Times New Roman" w:eastAsia="宋体" w:cs="Times New Roman"/>
                      <w:bCs/>
                      <w:color w:val="auto"/>
                      <w:spacing w:val="-11"/>
                      <w:sz w:val="18"/>
                      <w:szCs w:val="18"/>
                      <w:lang w:val="en-US" w:eastAsia="zh-CN"/>
                    </w:rPr>
                    <w:t>7.81</w:t>
                  </w:r>
                  <w:r>
                    <w:rPr>
                      <w:rFonts w:hint="default" w:ascii="Times New Roman" w:hAnsi="Times New Roman" w:eastAsia="宋体" w:cs="Times New Roman"/>
                      <w:bCs/>
                      <w:color w:val="auto"/>
                      <w:spacing w:val="-11"/>
                      <w:sz w:val="18"/>
                      <w:szCs w:val="18"/>
                      <w:lang w:val="en-US" w:eastAsia="zh-CN"/>
                    </w:rPr>
                    <w:t>″</w:t>
                  </w:r>
                </w:p>
              </w:tc>
              <w:tc>
                <w:tcPr>
                  <w:tcW w:w="305" w:type="pct"/>
                  <w:vMerge w:val="restart"/>
                  <w:vAlign w:val="center"/>
                </w:tcPr>
                <w:p w14:paraId="38D8CD7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2</w:t>
                  </w:r>
                  <w:r>
                    <w:rPr>
                      <w:rFonts w:hint="default" w:ascii="Times New Roman" w:hAnsi="Times New Roman" w:cs="Times New Roman"/>
                      <w:bCs/>
                      <w:color w:val="auto"/>
                      <w:sz w:val="18"/>
                      <w:szCs w:val="18"/>
                      <w:highlight w:val="none"/>
                      <w:lang w:val="en-US" w:eastAsia="zh-CN"/>
                    </w:rPr>
                    <w:t>0000</w:t>
                  </w:r>
                </w:p>
              </w:tc>
              <w:tc>
                <w:tcPr>
                  <w:tcW w:w="429" w:type="pct"/>
                  <w:vAlign w:val="center"/>
                </w:tcPr>
                <w:p w14:paraId="720F67C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1.75</w:t>
                  </w:r>
                </w:p>
              </w:tc>
              <w:tc>
                <w:tcPr>
                  <w:tcW w:w="311" w:type="pct"/>
                  <w:vAlign w:val="center"/>
                </w:tcPr>
                <w:p w14:paraId="15A1324D">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0.035</w:t>
                  </w:r>
                </w:p>
              </w:tc>
              <w:tc>
                <w:tcPr>
                  <w:tcW w:w="355" w:type="pct"/>
                  <w:vAlign w:val="center"/>
                </w:tcPr>
                <w:p w14:paraId="184BB549">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0.252</w:t>
                  </w:r>
                </w:p>
              </w:tc>
              <w:tc>
                <w:tcPr>
                  <w:tcW w:w="326" w:type="pct"/>
                  <w:vAlign w:val="center"/>
                </w:tcPr>
                <w:p w14:paraId="4912621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30</w:t>
                  </w:r>
                </w:p>
              </w:tc>
              <w:tc>
                <w:tcPr>
                  <w:tcW w:w="326" w:type="pct"/>
                  <w:vAlign w:val="center"/>
                </w:tcPr>
                <w:p w14:paraId="1FFCDC0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0.6</w:t>
                  </w:r>
                </w:p>
              </w:tc>
              <w:tc>
                <w:tcPr>
                  <w:tcW w:w="247" w:type="pct"/>
                  <w:vAlign w:val="center"/>
                </w:tcPr>
                <w:p w14:paraId="79FDAB9B">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20</w:t>
                  </w:r>
                </w:p>
              </w:tc>
              <w:tc>
                <w:tcPr>
                  <w:tcW w:w="268" w:type="pct"/>
                  <w:vMerge w:val="restart"/>
                  <w:vAlign w:val="center"/>
                </w:tcPr>
                <w:p w14:paraId="13FA7F7B">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一般排放口</w:t>
                  </w:r>
                </w:p>
              </w:tc>
              <w:tc>
                <w:tcPr>
                  <w:tcW w:w="653" w:type="pct"/>
                  <w:vMerge w:val="restart"/>
                  <w:vAlign w:val="center"/>
                </w:tcPr>
                <w:p w14:paraId="73C8CD5C">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《铝工业污染物排放标准》（GB25465-2010）及其修改单的标准)</w:t>
                  </w:r>
                </w:p>
              </w:tc>
              <w:tc>
                <w:tcPr>
                  <w:tcW w:w="391" w:type="pct"/>
                  <w:vMerge w:val="restart"/>
                  <w:vAlign w:val="center"/>
                </w:tcPr>
                <w:p w14:paraId="2D9CD1E7">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10</w:t>
                  </w:r>
                </w:p>
              </w:tc>
            </w:tr>
            <w:tr w14:paraId="41BA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1" w:hRule="atLeast"/>
                <w:jc w:val="right"/>
              </w:trPr>
              <w:tc>
                <w:tcPr>
                  <w:tcW w:w="336" w:type="pct"/>
                  <w:vAlign w:val="center"/>
                </w:tcPr>
                <w:p w14:paraId="6F90F01F">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DA</w:t>
                  </w:r>
                </w:p>
                <w:p w14:paraId="189E10C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0</w:t>
                  </w:r>
                  <w:r>
                    <w:rPr>
                      <w:rFonts w:hint="eastAsia" w:ascii="Times New Roman" w:hAnsi="Times New Roman" w:eastAsia="宋体" w:cs="Times New Roman"/>
                      <w:color w:val="auto"/>
                      <w:kern w:val="0"/>
                      <w:sz w:val="18"/>
                      <w:szCs w:val="18"/>
                      <w:highlight w:val="none"/>
                      <w:lang w:val="en-US" w:eastAsia="zh-CN" w:bidi="ar-SA"/>
                    </w:rPr>
                    <w:t>54</w:t>
                  </w:r>
                </w:p>
              </w:tc>
              <w:tc>
                <w:tcPr>
                  <w:tcW w:w="253" w:type="pct"/>
                  <w:vAlign w:val="center"/>
                </w:tcPr>
                <w:p w14:paraId="2FC4E26E">
                  <w:pPr>
                    <w:pStyle w:val="12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西线制粉排气筒</w:t>
                  </w:r>
                </w:p>
              </w:tc>
              <w:tc>
                <w:tcPr>
                  <w:tcW w:w="296" w:type="pct"/>
                  <w:vMerge w:val="continue"/>
                  <w:shd w:val="clear" w:color="auto" w:fill="auto"/>
                  <w:vAlign w:val="center"/>
                </w:tcPr>
                <w:p w14:paraId="43E9D3A6">
                  <w:pPr>
                    <w:pStyle w:val="120"/>
                    <w:jc w:val="center"/>
                    <w:rPr>
                      <w:rFonts w:hint="default" w:ascii="Times New Roman" w:hAnsi="Times New Roman" w:eastAsia="宋体" w:cs="Times New Roman"/>
                      <w:color w:val="auto"/>
                      <w:kern w:val="0"/>
                      <w:sz w:val="18"/>
                      <w:szCs w:val="18"/>
                      <w:highlight w:val="none"/>
                      <w:lang w:val="en-US" w:eastAsia="zh-CN" w:bidi="ar-SA"/>
                    </w:rPr>
                  </w:pPr>
                </w:p>
              </w:tc>
              <w:tc>
                <w:tcPr>
                  <w:tcW w:w="497" w:type="pct"/>
                  <w:vAlign w:val="center"/>
                </w:tcPr>
                <w:p w14:paraId="6B01215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bCs/>
                      <w:color w:val="auto"/>
                      <w:spacing w:val="-11"/>
                      <w:sz w:val="18"/>
                      <w:szCs w:val="18"/>
                      <w:lang w:val="en-US" w:eastAsia="zh-CN"/>
                    </w:rPr>
                  </w:pPr>
                  <w:r>
                    <w:rPr>
                      <w:rFonts w:hint="eastAsia" w:ascii="Times New Roman" w:hAnsi="Times New Roman" w:eastAsia="宋体" w:cs="Times New Roman"/>
                      <w:bCs/>
                      <w:color w:val="auto"/>
                      <w:spacing w:val="-11"/>
                      <w:sz w:val="18"/>
                      <w:szCs w:val="18"/>
                      <w:lang w:val="en-US" w:eastAsia="zh-CN"/>
                    </w:rPr>
                    <w:t>E</w:t>
                  </w:r>
                  <w:r>
                    <w:rPr>
                      <w:rFonts w:hint="default" w:ascii="Times New Roman" w:hAnsi="Times New Roman" w:eastAsia="宋体" w:cs="Times New Roman"/>
                      <w:bCs/>
                      <w:color w:val="auto"/>
                      <w:spacing w:val="-11"/>
                      <w:sz w:val="18"/>
                      <w:szCs w:val="18"/>
                      <w:lang w:val="en-US" w:eastAsia="zh-CN"/>
                    </w:rPr>
                    <w:t>114°0′52.45″</w:t>
                  </w:r>
                </w:p>
                <w:p w14:paraId="41C40D61">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color w:val="auto"/>
                      <w:kern w:val="0"/>
                      <w:sz w:val="18"/>
                      <w:szCs w:val="18"/>
                      <w:highlight w:val="none"/>
                      <w:lang w:val="en-US" w:eastAsia="en-US"/>
                    </w:rPr>
                  </w:pPr>
                  <w:r>
                    <w:rPr>
                      <w:rFonts w:hint="eastAsia" w:ascii="Times New Roman" w:hAnsi="Times New Roman" w:eastAsia="宋体" w:cs="Times New Roman"/>
                      <w:bCs/>
                      <w:color w:val="auto"/>
                      <w:spacing w:val="-11"/>
                      <w:sz w:val="18"/>
                      <w:szCs w:val="18"/>
                      <w:lang w:val="en-US" w:eastAsia="zh-CN"/>
                    </w:rPr>
                    <w:t>N</w:t>
                  </w:r>
                  <w:r>
                    <w:rPr>
                      <w:rFonts w:hint="default" w:ascii="Times New Roman" w:hAnsi="Times New Roman" w:eastAsia="宋体" w:cs="Times New Roman"/>
                      <w:bCs/>
                      <w:color w:val="auto"/>
                      <w:spacing w:val="-11"/>
                      <w:sz w:val="18"/>
                      <w:szCs w:val="18"/>
                      <w:lang w:val="en-US" w:eastAsia="zh-CN"/>
                    </w:rPr>
                    <w:t>38°5′17.</w:t>
                  </w:r>
                  <w:r>
                    <w:rPr>
                      <w:rFonts w:hint="eastAsia" w:ascii="Times New Roman" w:hAnsi="Times New Roman" w:eastAsia="宋体" w:cs="Times New Roman"/>
                      <w:bCs/>
                      <w:color w:val="auto"/>
                      <w:spacing w:val="-11"/>
                      <w:sz w:val="18"/>
                      <w:szCs w:val="18"/>
                      <w:lang w:val="en-US" w:eastAsia="zh-CN"/>
                    </w:rPr>
                    <w:t>59</w:t>
                  </w:r>
                  <w:r>
                    <w:rPr>
                      <w:rFonts w:hint="default" w:ascii="Times New Roman" w:hAnsi="Times New Roman" w:eastAsia="宋体" w:cs="Times New Roman"/>
                      <w:bCs/>
                      <w:color w:val="auto"/>
                      <w:spacing w:val="-11"/>
                      <w:sz w:val="18"/>
                      <w:szCs w:val="18"/>
                      <w:lang w:val="en-US" w:eastAsia="zh-CN"/>
                    </w:rPr>
                    <w:t>″</w:t>
                  </w:r>
                </w:p>
              </w:tc>
              <w:tc>
                <w:tcPr>
                  <w:tcW w:w="305" w:type="pct"/>
                  <w:vMerge w:val="continue"/>
                  <w:vAlign w:val="center"/>
                </w:tcPr>
                <w:p w14:paraId="655A6DF2">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p>
              </w:tc>
              <w:tc>
                <w:tcPr>
                  <w:tcW w:w="429" w:type="pct"/>
                  <w:shd w:val="clear" w:color="auto" w:fill="auto"/>
                  <w:vAlign w:val="center"/>
                </w:tcPr>
                <w:p w14:paraId="0C5FF9F6">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1.75</w:t>
                  </w:r>
                </w:p>
              </w:tc>
              <w:tc>
                <w:tcPr>
                  <w:tcW w:w="311" w:type="pct"/>
                  <w:shd w:val="clear" w:color="auto" w:fill="auto"/>
                  <w:vAlign w:val="center"/>
                </w:tcPr>
                <w:p w14:paraId="72AF420D">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0.035</w:t>
                  </w:r>
                </w:p>
              </w:tc>
              <w:tc>
                <w:tcPr>
                  <w:tcW w:w="355" w:type="pct"/>
                  <w:shd w:val="clear" w:color="auto" w:fill="auto"/>
                  <w:vAlign w:val="center"/>
                </w:tcPr>
                <w:p w14:paraId="48C446E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0.252</w:t>
                  </w:r>
                </w:p>
              </w:tc>
              <w:tc>
                <w:tcPr>
                  <w:tcW w:w="326" w:type="pct"/>
                  <w:shd w:val="clear" w:color="auto" w:fill="auto"/>
                  <w:vAlign w:val="center"/>
                </w:tcPr>
                <w:p w14:paraId="23E1B29F">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30</w:t>
                  </w:r>
                </w:p>
              </w:tc>
              <w:tc>
                <w:tcPr>
                  <w:tcW w:w="326" w:type="pct"/>
                  <w:shd w:val="clear" w:color="auto" w:fill="auto"/>
                  <w:vAlign w:val="center"/>
                </w:tcPr>
                <w:p w14:paraId="486CB990">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0.</w:t>
                  </w:r>
                  <w:r>
                    <w:rPr>
                      <w:rFonts w:hint="eastAsia" w:cs="Times New Roman"/>
                      <w:bCs/>
                      <w:color w:val="auto"/>
                      <w:sz w:val="18"/>
                      <w:szCs w:val="18"/>
                      <w:highlight w:val="none"/>
                      <w:lang w:val="en-US" w:eastAsia="zh-CN"/>
                    </w:rPr>
                    <w:t>6</w:t>
                  </w:r>
                </w:p>
              </w:tc>
              <w:tc>
                <w:tcPr>
                  <w:tcW w:w="247" w:type="pct"/>
                  <w:shd w:val="clear" w:color="auto" w:fill="auto"/>
                  <w:vAlign w:val="center"/>
                </w:tcPr>
                <w:p w14:paraId="6FADE81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20</w:t>
                  </w:r>
                </w:p>
              </w:tc>
              <w:tc>
                <w:tcPr>
                  <w:tcW w:w="268" w:type="pct"/>
                  <w:vMerge w:val="continue"/>
                  <w:vAlign w:val="center"/>
                </w:tcPr>
                <w:p w14:paraId="30CBC69D">
                  <w:pPr>
                    <w:autoSpaceDE w:val="0"/>
                    <w:autoSpaceDN w:val="0"/>
                    <w:spacing w:line="0" w:lineRule="atLeast"/>
                    <w:jc w:val="center"/>
                    <w:rPr>
                      <w:rFonts w:hint="default" w:ascii="Times New Roman" w:hAnsi="Times New Roman" w:cs="Times New Roman"/>
                      <w:color w:val="auto"/>
                      <w:kern w:val="0"/>
                      <w:sz w:val="18"/>
                      <w:szCs w:val="18"/>
                      <w:highlight w:val="none"/>
                      <w:lang w:eastAsia="zh-CN"/>
                    </w:rPr>
                  </w:pPr>
                </w:p>
              </w:tc>
              <w:tc>
                <w:tcPr>
                  <w:tcW w:w="653" w:type="pct"/>
                  <w:vMerge w:val="continue"/>
                  <w:vAlign w:val="center"/>
                </w:tcPr>
                <w:p w14:paraId="006AE017">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p>
              </w:tc>
              <w:tc>
                <w:tcPr>
                  <w:tcW w:w="391" w:type="pct"/>
                  <w:vMerge w:val="continue"/>
                  <w:vAlign w:val="center"/>
                </w:tcPr>
                <w:p w14:paraId="7FA90423">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p>
              </w:tc>
            </w:tr>
          </w:tbl>
          <w:p w14:paraId="193B237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eastAsia" w:cs="Times New Roman"/>
                <w:color w:val="auto"/>
                <w:sz w:val="24"/>
                <w:lang w:val="en-US" w:eastAsia="zh-CN"/>
              </w:rPr>
              <w:t>4</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污染治理设施可行性分析</w:t>
            </w:r>
          </w:p>
          <w:p w14:paraId="747085B7">
            <w:pPr>
              <w:keepNext w:val="0"/>
              <w:keepLines w:val="0"/>
              <w:pageBreakBefore w:val="0"/>
              <w:widowControl w:val="0"/>
              <w:shd w:val="clear" w:color="auto" w:fill="auto"/>
              <w:tabs>
                <w:tab w:val="left" w:pos="567"/>
              </w:tabs>
              <w:kinsoku/>
              <w:wordWrap/>
              <w:overflowPunct/>
              <w:topLinePunct w:val="0"/>
              <w:autoSpaceDE/>
              <w:autoSpaceDN/>
              <w:bidi w:val="0"/>
              <w:adjustRightInd/>
              <w:snapToGrid/>
              <w:spacing w:line="480" w:lineRule="exact"/>
              <w:ind w:firstLine="485"/>
              <w:textAlignment w:val="auto"/>
              <w:rPr>
                <w:rFonts w:hint="eastAsia" w:ascii="Times New Roman" w:hAnsi="Times New Roman" w:eastAsia="宋体" w:cs="Times New Roman"/>
                <w:b w:val="0"/>
                <w:bCs w:val="0"/>
                <w:color w:val="auto"/>
                <w:sz w:val="24"/>
                <w:highlight w:val="none"/>
                <w:lang w:val="en-US" w:eastAsia="zh-CN"/>
              </w:rPr>
            </w:pPr>
            <w:r>
              <w:rPr>
                <w:rFonts w:hint="eastAsia"/>
                <w:color w:val="auto"/>
                <w:sz w:val="24"/>
                <w:highlight w:val="none"/>
              </w:rPr>
              <w:t>本项目</w:t>
            </w:r>
            <w:r>
              <w:rPr>
                <w:rFonts w:hint="eastAsia"/>
                <w:color w:val="auto"/>
                <w:sz w:val="24"/>
                <w:highlight w:val="none"/>
                <w:lang w:val="en-US" w:eastAsia="zh-CN"/>
              </w:rPr>
              <w:t>属于石墨及碳素</w:t>
            </w:r>
            <w:r>
              <w:rPr>
                <w:color w:val="auto"/>
                <w:sz w:val="24"/>
                <w:highlight w:val="none"/>
              </w:rPr>
              <w:t>制品业</w:t>
            </w:r>
            <w:r>
              <w:rPr>
                <w:rFonts w:hint="eastAsia"/>
                <w:color w:val="auto"/>
                <w:sz w:val="24"/>
                <w:highlight w:val="none"/>
              </w:rPr>
              <w:t>，</w:t>
            </w:r>
            <w:r>
              <w:rPr>
                <w:rFonts w:hint="eastAsia"/>
                <w:bCs/>
                <w:color w:val="auto"/>
                <w:spacing w:val="-4"/>
                <w:sz w:val="24"/>
                <w:highlight w:val="none"/>
              </w:rPr>
              <w:t>根据</w:t>
            </w:r>
            <w:r>
              <w:rPr>
                <w:rFonts w:hint="default" w:ascii="Times New Roman" w:hAnsi="Times New Roman" w:cs="Times New Roman"/>
                <w:b w:val="0"/>
                <w:bCs w:val="0"/>
                <w:color w:val="auto"/>
                <w:sz w:val="24"/>
                <w:highlight w:val="none"/>
              </w:rPr>
              <w:t>《排污许可证申请与核发技术规范 石墨及其他非金属矿物制品制造》（HJ1119—2020）</w:t>
            </w:r>
            <w:r>
              <w:rPr>
                <w:rFonts w:hint="eastAsia"/>
                <w:color w:val="auto"/>
                <w:sz w:val="24"/>
                <w:highlight w:val="none"/>
              </w:rPr>
              <w:t>中相关规定</w:t>
            </w:r>
            <w:r>
              <w:rPr>
                <w:rFonts w:hint="eastAsia"/>
                <w:bCs/>
                <w:color w:val="auto"/>
                <w:spacing w:val="-4"/>
                <w:sz w:val="24"/>
                <w:highlight w:val="none"/>
              </w:rPr>
              <w:t>，本项目废气治理措施可行性分析如下。</w:t>
            </w:r>
          </w:p>
          <w:p w14:paraId="19301F4E">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表</w:t>
            </w:r>
            <w:r>
              <w:rPr>
                <w:rFonts w:hint="eastAsia" w:ascii="Times New Roman" w:hAnsi="Times New Roman" w:eastAsia="宋体" w:cs="Times New Roman"/>
                <w:b/>
                <w:bCs/>
                <w:color w:val="auto"/>
                <w:sz w:val="24"/>
                <w:szCs w:val="24"/>
                <w:highlight w:val="none"/>
                <w:lang w:val="en-US" w:eastAsia="zh-CN" w:bidi="ar-SA"/>
              </w:rPr>
              <w:t>4</w:t>
            </w:r>
            <w:r>
              <w:rPr>
                <w:rFonts w:hint="default" w:ascii="Times New Roman" w:hAnsi="Times New Roman" w:eastAsia="宋体" w:cs="Times New Roman"/>
                <w:b/>
                <w:bCs/>
                <w:color w:val="auto"/>
                <w:sz w:val="24"/>
                <w:szCs w:val="24"/>
                <w:highlight w:val="none"/>
                <w:lang w:val="en-US" w:eastAsia="zh-CN" w:bidi="ar-SA"/>
              </w:rPr>
              <w:t>-</w:t>
            </w:r>
            <w:r>
              <w:rPr>
                <w:rFonts w:hint="eastAsia" w:ascii="Times New Roman" w:hAnsi="Times New Roman" w:eastAsia="宋体" w:cs="Times New Roman"/>
                <w:b/>
                <w:bCs/>
                <w:color w:val="auto"/>
                <w:sz w:val="24"/>
                <w:szCs w:val="24"/>
                <w:highlight w:val="none"/>
                <w:lang w:val="en-US" w:eastAsia="zh-CN" w:bidi="ar-SA"/>
              </w:rPr>
              <w:t xml:space="preserve">3  </w:t>
            </w:r>
            <w:r>
              <w:rPr>
                <w:rFonts w:hint="default" w:ascii="Times New Roman" w:hAnsi="Times New Roman" w:eastAsia="宋体" w:cs="Times New Roman"/>
                <w:b/>
                <w:bCs/>
                <w:color w:val="auto"/>
                <w:sz w:val="24"/>
                <w:szCs w:val="24"/>
                <w:highlight w:val="none"/>
                <w:lang w:val="en-US" w:eastAsia="zh-CN" w:bidi="ar-SA"/>
              </w:rPr>
              <w:t>废气产污环节名称、污染物项目、排放形式及污染治理设施表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186"/>
              <w:gridCol w:w="2175"/>
              <w:gridCol w:w="961"/>
              <w:gridCol w:w="1232"/>
              <w:gridCol w:w="1017"/>
              <w:gridCol w:w="1003"/>
            </w:tblGrid>
            <w:tr w14:paraId="4F9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vAlign w:val="center"/>
                </w:tcPr>
                <w:p w14:paraId="655279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生产单元</w:t>
                  </w:r>
                </w:p>
              </w:tc>
              <w:tc>
                <w:tcPr>
                  <w:tcW w:w="709" w:type="pct"/>
                  <w:vAlign w:val="center"/>
                </w:tcPr>
                <w:p w14:paraId="15C3B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生产设施</w:t>
                  </w:r>
                </w:p>
              </w:tc>
              <w:tc>
                <w:tcPr>
                  <w:tcW w:w="1300" w:type="pct"/>
                  <w:vAlign w:val="center"/>
                </w:tcPr>
                <w:p w14:paraId="0C360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废气产污环节</w:t>
                  </w:r>
                </w:p>
              </w:tc>
              <w:tc>
                <w:tcPr>
                  <w:tcW w:w="574" w:type="pct"/>
                  <w:vAlign w:val="center"/>
                </w:tcPr>
                <w:p w14:paraId="31A09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主要污染物项目</w:t>
                  </w:r>
                </w:p>
              </w:tc>
              <w:tc>
                <w:tcPr>
                  <w:tcW w:w="736" w:type="pct"/>
                  <w:vAlign w:val="center"/>
                </w:tcPr>
                <w:p w14:paraId="5C0BD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主要污染治理设施</w:t>
                  </w:r>
                </w:p>
              </w:tc>
              <w:tc>
                <w:tcPr>
                  <w:tcW w:w="608" w:type="pct"/>
                  <w:vAlign w:val="center"/>
                </w:tcPr>
                <w:p w14:paraId="36FD78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本项目情况</w:t>
                  </w:r>
                </w:p>
              </w:tc>
              <w:tc>
                <w:tcPr>
                  <w:tcW w:w="599" w:type="pct"/>
                  <w:vAlign w:val="center"/>
                </w:tcPr>
                <w:p w14:paraId="20F47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是否为可行性技术</w:t>
                  </w:r>
                </w:p>
              </w:tc>
            </w:tr>
            <w:tr w14:paraId="7760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restart"/>
                  <w:vAlign w:val="center"/>
                </w:tcPr>
                <w:p w14:paraId="153D1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制糊成型</w:t>
                  </w:r>
                </w:p>
              </w:tc>
              <w:tc>
                <w:tcPr>
                  <w:tcW w:w="709" w:type="pct"/>
                  <w:vAlign w:val="center"/>
                </w:tcPr>
                <w:p w14:paraId="16763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中碎筛分</w:t>
                  </w:r>
                </w:p>
              </w:tc>
              <w:tc>
                <w:tcPr>
                  <w:tcW w:w="1300" w:type="pct"/>
                  <w:vMerge w:val="restart"/>
                  <w:vAlign w:val="center"/>
                </w:tcPr>
                <w:p w14:paraId="74B93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Theme="minorEastAsia"/>
                      <w:color w:val="auto"/>
                      <w:sz w:val="21"/>
                      <w:szCs w:val="21"/>
                      <w:highlight w:val="none"/>
                      <w:vertAlign w:val="baseline"/>
                      <w:lang w:val="en-US" w:eastAsia="zh-CN"/>
                    </w:rPr>
                  </w:pPr>
                  <w:r>
                    <w:rPr>
                      <w:rFonts w:hint="eastAsia" w:eastAsiaTheme="minorEastAsia"/>
                      <w:color w:val="auto"/>
                      <w:sz w:val="21"/>
                      <w:szCs w:val="21"/>
                      <w:highlight w:val="none"/>
                      <w:vertAlign w:val="baseline"/>
                      <w:lang w:val="en-US" w:eastAsia="zh-CN"/>
                    </w:rPr>
                    <w:t>给料机、输送机、破碎机、斗式提升机、振动筛、料仓、收尘粉仓、磨前给料机、磨机、配料秤集合螺旋、预热锅、搬运罐</w:t>
                  </w:r>
                </w:p>
              </w:tc>
              <w:tc>
                <w:tcPr>
                  <w:tcW w:w="574" w:type="pct"/>
                  <w:vMerge w:val="restart"/>
                  <w:vAlign w:val="center"/>
                </w:tcPr>
                <w:p w14:paraId="2AFC1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r>
                    <w:rPr>
                      <w:rFonts w:hint="default" w:ascii="宋体" w:hAnsi="宋体" w:eastAsia="宋体" w:cs="宋体"/>
                      <w:color w:val="auto"/>
                      <w:sz w:val="21"/>
                      <w:szCs w:val="21"/>
                      <w:highlight w:val="none"/>
                    </w:rPr>
                    <w:t>颗粒物</w:t>
                  </w:r>
                </w:p>
              </w:tc>
              <w:tc>
                <w:tcPr>
                  <w:tcW w:w="736" w:type="pct"/>
                  <w:vMerge w:val="restart"/>
                  <w:vAlign w:val="center"/>
                </w:tcPr>
                <w:p w14:paraId="56C0A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r>
                    <w:rPr>
                      <w:rFonts w:hint="eastAsia" w:ascii="宋体" w:hAnsi="宋体" w:eastAsia="宋体" w:cs="宋体"/>
                      <w:color w:val="auto"/>
                      <w:sz w:val="21"/>
                      <w:szCs w:val="21"/>
                      <w:highlight w:val="none"/>
                      <w:lang w:val="en-US" w:eastAsia="zh-CN"/>
                    </w:rPr>
                    <w:t>袋式除尘法</w:t>
                  </w:r>
                  <w:r>
                    <w:rPr>
                      <w:rFonts w:hint="default" w:ascii="宋体" w:hAnsi="宋体" w:eastAsia="宋体" w:cs="宋体"/>
                      <w:color w:val="auto"/>
                      <w:sz w:val="21"/>
                      <w:szCs w:val="21"/>
                      <w:highlight w:val="none"/>
                    </w:rPr>
                    <w:t>、其他</w:t>
                  </w:r>
                </w:p>
              </w:tc>
              <w:tc>
                <w:tcPr>
                  <w:tcW w:w="608" w:type="pct"/>
                  <w:vMerge w:val="restart"/>
                  <w:vAlign w:val="center"/>
                </w:tcPr>
                <w:p w14:paraId="19662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覆膜袋式除尘器</w:t>
                  </w:r>
                </w:p>
              </w:tc>
              <w:tc>
                <w:tcPr>
                  <w:tcW w:w="599" w:type="pct"/>
                  <w:vMerge w:val="restart"/>
                  <w:vAlign w:val="center"/>
                </w:tcPr>
                <w:p w14:paraId="7FA55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Theme="minor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可行</w:t>
                  </w:r>
                </w:p>
              </w:tc>
            </w:tr>
            <w:tr w14:paraId="7C6F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continue"/>
                  <w:vAlign w:val="center"/>
                </w:tcPr>
                <w:p w14:paraId="2A04A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color w:val="auto"/>
                    </w:rPr>
                  </w:pPr>
                </w:p>
              </w:tc>
              <w:tc>
                <w:tcPr>
                  <w:tcW w:w="709" w:type="pct"/>
                  <w:vAlign w:val="center"/>
                </w:tcPr>
                <w:p w14:paraId="491C8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磨粉</w:t>
                  </w:r>
                </w:p>
              </w:tc>
              <w:tc>
                <w:tcPr>
                  <w:tcW w:w="1300" w:type="pct"/>
                  <w:vMerge w:val="continue"/>
                  <w:vAlign w:val="center"/>
                </w:tcPr>
                <w:p w14:paraId="544923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74" w:type="pct"/>
                  <w:vMerge w:val="continue"/>
                  <w:vAlign w:val="center"/>
                </w:tcPr>
                <w:p w14:paraId="5469E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36" w:type="pct"/>
                  <w:vMerge w:val="continue"/>
                  <w:vAlign w:val="center"/>
                </w:tcPr>
                <w:p w14:paraId="6DA09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608" w:type="pct"/>
                  <w:vMerge w:val="continue"/>
                  <w:vAlign w:val="center"/>
                </w:tcPr>
                <w:p w14:paraId="24E7E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99" w:type="pct"/>
                  <w:vMerge w:val="continue"/>
                  <w:vAlign w:val="center"/>
                </w:tcPr>
                <w:p w14:paraId="1984B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r>
            <w:tr w14:paraId="5D21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continue"/>
                  <w:vAlign w:val="center"/>
                </w:tcPr>
                <w:p w14:paraId="719C6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09" w:type="pct"/>
                  <w:vAlign w:val="center"/>
                </w:tcPr>
                <w:p w14:paraId="199A4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混捏成型</w:t>
                  </w:r>
                </w:p>
              </w:tc>
              <w:tc>
                <w:tcPr>
                  <w:tcW w:w="1300" w:type="pct"/>
                  <w:vMerge w:val="continue"/>
                  <w:vAlign w:val="center"/>
                </w:tcPr>
                <w:p w14:paraId="6D7E4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74" w:type="pct"/>
                  <w:vMerge w:val="continue"/>
                  <w:vAlign w:val="center"/>
                </w:tcPr>
                <w:p w14:paraId="7AD41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36" w:type="pct"/>
                  <w:vMerge w:val="continue"/>
                  <w:vAlign w:val="center"/>
                </w:tcPr>
                <w:p w14:paraId="1E66B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608" w:type="pct"/>
                  <w:vMerge w:val="continue"/>
                  <w:vAlign w:val="center"/>
                </w:tcPr>
                <w:p w14:paraId="6EC03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99" w:type="pct"/>
                  <w:vMerge w:val="continue"/>
                  <w:vAlign w:val="center"/>
                </w:tcPr>
                <w:p w14:paraId="66DB5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r>
          </w:tbl>
          <w:p w14:paraId="528853C7">
            <w:pPr>
              <w:keepNext w:val="0"/>
              <w:keepLines w:val="0"/>
              <w:pageBreakBefore w:val="0"/>
              <w:widowControl w:val="0"/>
              <w:shd w:val="clear" w:color="auto" w:fill="auto"/>
              <w:tabs>
                <w:tab w:val="left" w:pos="567"/>
              </w:tabs>
              <w:kinsoku/>
              <w:wordWrap/>
              <w:overflowPunct/>
              <w:topLinePunct w:val="0"/>
              <w:autoSpaceDE/>
              <w:autoSpaceDN/>
              <w:bidi w:val="0"/>
              <w:adjustRightInd/>
              <w:snapToGrid/>
              <w:spacing w:line="480" w:lineRule="exact"/>
              <w:ind w:firstLine="485"/>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本次技改废气治理措施保持不变，废气仍经现有覆膜滤料布袋除尘器处理后由30m排气筒排放；普通布袋除尘器对颗粒物的除尘效率约为99%，覆膜滤料布袋除尘器采用除尘效果更高的覆膜滤料，对颗粒物的除尘效率可达99.5%以上，</w:t>
            </w:r>
            <w:r>
              <w:rPr>
                <w:rFonts w:hint="eastAsia" w:ascii="Times New Roman" w:hAnsi="Times New Roman" w:cs="Times New Roman"/>
                <w:color w:val="auto"/>
                <w:sz w:val="24"/>
                <w:highlight w:val="none"/>
                <w:lang w:eastAsia="zh-CN"/>
              </w:rPr>
              <w:t>净化效率更高。</w:t>
            </w:r>
            <w:r>
              <w:rPr>
                <w:rFonts w:hint="eastAsia" w:ascii="Times New Roman" w:hAnsi="Times New Roman" w:eastAsia="宋体" w:cs="Times New Roman"/>
                <w:b w:val="0"/>
                <w:bCs w:val="0"/>
                <w:color w:val="auto"/>
                <w:sz w:val="24"/>
                <w:highlight w:val="none"/>
                <w:lang w:val="en-US" w:eastAsia="zh-CN"/>
              </w:rPr>
              <w:t>根据《河北鸿科碳素有限公司自行监测季测》（2025年12月25日，RFJC自行监测[2025]J176号），</w:t>
            </w:r>
            <w:r>
              <w:rPr>
                <w:rFonts w:hint="eastAsia" w:ascii="Times New Roman" w:hAnsi="Times New Roman" w:cs="Times New Roman"/>
                <w:color w:val="auto"/>
                <w:sz w:val="24"/>
                <w:lang w:val="en-US" w:eastAsia="zh-CN"/>
              </w:rPr>
              <w:t>外排废气</w:t>
            </w:r>
            <w:r>
              <w:rPr>
                <w:rFonts w:hint="default" w:ascii="Times New Roman" w:hAnsi="Times New Roman" w:cs="Times New Roman"/>
                <w:color w:val="auto"/>
                <w:sz w:val="24"/>
              </w:rPr>
              <w:t>满足</w:t>
            </w:r>
            <w:r>
              <w:rPr>
                <w:rFonts w:hint="default" w:ascii="Times New Roman" w:hAnsi="Times New Roman" w:cs="Times New Roman"/>
                <w:bCs/>
                <w:color w:val="auto"/>
                <w:sz w:val="24"/>
                <w:szCs w:val="24"/>
                <w:highlight w:val="none"/>
                <w:lang w:val="en-US" w:eastAsia="zh-CN"/>
              </w:rPr>
              <w:t>《铝工业污染物排放标准》（GB 25465-2010）及其修改单的标准要求</w:t>
            </w:r>
            <w:r>
              <w:rPr>
                <w:rFonts w:hint="eastAsia" w:ascii="Times New Roman" w:hAnsi="Times New Roman" w:cs="Times New Roman"/>
                <w:bCs/>
                <w:color w:val="auto"/>
                <w:sz w:val="24"/>
                <w:szCs w:val="24"/>
                <w:highlight w:val="none"/>
                <w:lang w:val="en-US" w:eastAsia="zh-CN"/>
              </w:rPr>
              <w:t>。</w:t>
            </w:r>
            <w:r>
              <w:rPr>
                <w:rFonts w:hint="default" w:ascii="Times New Roman" w:hAnsi="Times New Roman" w:cs="Times New Roman"/>
                <w:color w:val="auto"/>
                <w:sz w:val="24"/>
                <w:highlight w:val="none"/>
              </w:rPr>
              <w:t>因此，本项目</w:t>
            </w:r>
            <w:r>
              <w:rPr>
                <w:rFonts w:hint="eastAsia" w:cs="Times New Roman"/>
                <w:color w:val="auto"/>
                <w:sz w:val="24"/>
                <w:highlight w:val="none"/>
                <w:lang w:eastAsia="zh-CN"/>
              </w:rPr>
              <w:t>覆膜滤料布袋除尘器</w:t>
            </w:r>
            <w:r>
              <w:rPr>
                <w:rFonts w:hint="default" w:ascii="Times New Roman" w:hAnsi="Times New Roman" w:cs="Times New Roman"/>
                <w:color w:val="auto"/>
                <w:sz w:val="24"/>
                <w:highlight w:val="none"/>
              </w:rPr>
              <w:t>处理措施可行。</w:t>
            </w:r>
          </w:p>
          <w:p w14:paraId="06C7E96C">
            <w:pPr>
              <w:pStyle w:val="8"/>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val="0"/>
                <w:bCs w:val="0"/>
                <w:color w:val="auto"/>
                <w:kern w:val="0"/>
              </w:rPr>
            </w:pPr>
            <w:r>
              <w:rPr>
                <w:rFonts w:hint="eastAsia" w:cs="Times New Roman"/>
                <w:b w:val="0"/>
                <w:bCs w:val="0"/>
                <w:color w:val="auto"/>
                <w:kern w:val="0"/>
                <w:lang w:val="en-US" w:eastAsia="zh-CN"/>
              </w:rPr>
              <w:t>5</w:t>
            </w:r>
            <w:r>
              <w:rPr>
                <w:rFonts w:hint="eastAsia" w:ascii="Times New Roman" w:hAnsi="Times New Roman" w:cs="Times New Roman"/>
                <w:b w:val="0"/>
                <w:bCs w:val="0"/>
                <w:color w:val="auto"/>
                <w:kern w:val="0"/>
                <w:lang w:val="en-US" w:eastAsia="zh-CN"/>
              </w:rPr>
              <w:t>、</w:t>
            </w:r>
            <w:r>
              <w:rPr>
                <w:rFonts w:hint="default" w:ascii="Times New Roman" w:hAnsi="Times New Roman" w:cs="Times New Roman"/>
                <w:b w:val="0"/>
                <w:bCs w:val="0"/>
                <w:color w:val="auto"/>
                <w:kern w:val="0"/>
              </w:rPr>
              <w:t>非正常工况</w:t>
            </w:r>
          </w:p>
          <w:p w14:paraId="7AE54A56">
            <w:pPr>
              <w:pStyle w:val="90"/>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Cs w:val="24"/>
                <w:lang w:val="en-US"/>
              </w:rPr>
            </w:pPr>
            <w:r>
              <w:rPr>
                <w:rFonts w:hint="default" w:ascii="Times New Roman" w:hAnsi="Times New Roman" w:eastAsia="宋体" w:cs="Times New Roman"/>
                <w:color w:val="auto"/>
                <w:sz w:val="24"/>
                <w:szCs w:val="24"/>
                <w:highlight w:val="none"/>
                <w:lang w:eastAsia="zh-CN"/>
              </w:rPr>
              <w:t>非正常排放是指项目生产过程中由于开车、停车、检修、一般性事故时的污染物排放情况，本</w:t>
            </w:r>
            <w:r>
              <w:rPr>
                <w:rFonts w:hint="eastAsia" w:eastAsia="宋体" w:cs="Times New Roman"/>
                <w:color w:val="auto"/>
                <w:sz w:val="24"/>
                <w:szCs w:val="24"/>
                <w:highlight w:val="none"/>
                <w:lang w:val="en-US" w:eastAsia="zh-CN"/>
              </w:rPr>
              <w:t>次技改项目新增备用磨机，</w:t>
            </w:r>
            <w:r>
              <w:rPr>
                <w:rFonts w:hint="default" w:ascii="Times New Roman" w:hAnsi="Times New Roman" w:eastAsia="宋体" w:cs="Times New Roman"/>
                <w:color w:val="auto"/>
                <w:sz w:val="24"/>
                <w:szCs w:val="24"/>
                <w:highlight w:val="none"/>
                <w:lang w:eastAsia="zh-CN"/>
              </w:rPr>
              <w:t>不涉及开车、停车、检修时段，本工程</w:t>
            </w:r>
            <w:r>
              <w:rPr>
                <w:rFonts w:hint="eastAsia" w:cs="Times New Roman"/>
                <w:color w:val="auto"/>
                <w:sz w:val="24"/>
                <w:szCs w:val="24"/>
                <w:highlight w:val="none"/>
                <w:lang w:eastAsia="zh-CN"/>
              </w:rPr>
              <w:t>涉及</w:t>
            </w:r>
            <w:r>
              <w:rPr>
                <w:rFonts w:hint="default" w:ascii="Times New Roman" w:hAnsi="Times New Roman" w:eastAsia="宋体" w:cs="Times New Roman"/>
                <w:color w:val="auto"/>
                <w:sz w:val="24"/>
                <w:szCs w:val="24"/>
                <w:highlight w:val="none"/>
                <w:lang w:eastAsia="zh-CN"/>
              </w:rPr>
              <w:t>的非正常排放原因可能为治理设施失效，导致项目产生的废气未经治理排放，非正常工况见下表</w:t>
            </w:r>
            <w:r>
              <w:rPr>
                <w:rFonts w:hint="eastAsia" w:cs="Times New Roman"/>
                <w:color w:val="auto"/>
                <w:sz w:val="24"/>
                <w:szCs w:val="24"/>
                <w:highlight w:val="none"/>
                <w:lang w:val="en-US" w:eastAsia="zh-CN"/>
              </w:rPr>
              <w:t>。</w:t>
            </w:r>
          </w:p>
          <w:p w14:paraId="4C377C3E">
            <w:pPr>
              <w:keepNext w:val="0"/>
              <w:keepLines w:val="0"/>
              <w:pageBreakBefore w:val="0"/>
              <w:shd w:val="clear" w:color="auto" w:fill="auto"/>
              <w:kinsoku/>
              <w:wordWrap/>
              <w:overflowPunct/>
              <w:topLinePunct w:val="0"/>
              <w:bidi w:val="0"/>
              <w:adjustRightInd w:val="0"/>
              <w:snapToGrid w:val="0"/>
              <w:spacing w:line="480" w:lineRule="exact"/>
              <w:jc w:val="center"/>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表4-</w:t>
            </w:r>
            <w:r>
              <w:rPr>
                <w:rFonts w:hint="eastAsia" w:cs="Times New Roman"/>
                <w:b/>
                <w:color w:val="auto"/>
                <w:sz w:val="24"/>
                <w:lang w:val="en-US" w:eastAsia="zh-CN"/>
              </w:rPr>
              <w:t>4</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非正常工况排放情况表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930"/>
              <w:gridCol w:w="1002"/>
              <w:gridCol w:w="868"/>
              <w:gridCol w:w="1005"/>
              <w:gridCol w:w="995"/>
              <w:gridCol w:w="892"/>
              <w:gridCol w:w="1358"/>
            </w:tblGrid>
            <w:tr w14:paraId="1693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83" w:type="pct"/>
                  <w:noWrap w:val="0"/>
                  <w:tcMar>
                    <w:left w:w="28" w:type="dxa"/>
                    <w:right w:w="28" w:type="dxa"/>
                  </w:tcMar>
                  <w:vAlign w:val="center"/>
                </w:tcPr>
                <w:p w14:paraId="6DC311A7">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非正常工况</w:t>
                  </w:r>
                </w:p>
              </w:tc>
              <w:tc>
                <w:tcPr>
                  <w:tcW w:w="556" w:type="pct"/>
                  <w:noWrap w:val="0"/>
                  <w:tcMar>
                    <w:left w:w="28" w:type="dxa"/>
                    <w:right w:w="28" w:type="dxa"/>
                  </w:tcMar>
                  <w:vAlign w:val="center"/>
                </w:tcPr>
                <w:p w14:paraId="2BFCCA0E">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排气筒</w:t>
                  </w:r>
                </w:p>
              </w:tc>
              <w:tc>
                <w:tcPr>
                  <w:tcW w:w="599" w:type="pct"/>
                  <w:noWrap w:val="0"/>
                  <w:tcMar>
                    <w:left w:w="28" w:type="dxa"/>
                    <w:right w:w="28" w:type="dxa"/>
                  </w:tcMar>
                  <w:vAlign w:val="center"/>
                </w:tcPr>
                <w:p w14:paraId="5C4804E4">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发生频次</w:t>
                  </w:r>
                </w:p>
              </w:tc>
              <w:tc>
                <w:tcPr>
                  <w:tcW w:w="519" w:type="pct"/>
                  <w:noWrap w:val="0"/>
                  <w:tcMar>
                    <w:left w:w="28" w:type="dxa"/>
                    <w:right w:w="28" w:type="dxa"/>
                  </w:tcMar>
                  <w:vAlign w:val="center"/>
                </w:tcPr>
                <w:p w14:paraId="078509E2">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污染物</w:t>
                  </w:r>
                </w:p>
              </w:tc>
              <w:tc>
                <w:tcPr>
                  <w:tcW w:w="601" w:type="pct"/>
                  <w:noWrap w:val="0"/>
                  <w:tcMar>
                    <w:left w:w="28" w:type="dxa"/>
                    <w:right w:w="28" w:type="dxa"/>
                  </w:tcMar>
                  <w:vAlign w:val="center"/>
                </w:tcPr>
                <w:p w14:paraId="36CEF35D">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排放浓度</w:t>
                  </w:r>
                </w:p>
                <w:p w14:paraId="65E67AA4">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mg/m</w:t>
                  </w:r>
                  <w:r>
                    <w:rPr>
                      <w:rFonts w:hint="default" w:ascii="Times New Roman" w:hAnsi="Times New Roman" w:eastAsia="宋体" w:cs="Times New Roman"/>
                      <w:b w:val="0"/>
                      <w:bCs/>
                      <w:color w:val="auto"/>
                      <w:sz w:val="21"/>
                      <w:szCs w:val="21"/>
                      <w:highlight w:val="none"/>
                      <w:vertAlign w:val="superscript"/>
                      <w:lang w:eastAsia="zh-CN" w:bidi="ar"/>
                    </w:rPr>
                    <w:t>3</w:t>
                  </w:r>
                </w:p>
              </w:tc>
              <w:tc>
                <w:tcPr>
                  <w:tcW w:w="595" w:type="pct"/>
                  <w:noWrap w:val="0"/>
                  <w:tcMar>
                    <w:left w:w="28" w:type="dxa"/>
                    <w:right w:w="28" w:type="dxa"/>
                  </w:tcMar>
                  <w:vAlign w:val="center"/>
                </w:tcPr>
                <w:p w14:paraId="18A21DB0">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持续时间</w:t>
                  </w:r>
                </w:p>
              </w:tc>
              <w:tc>
                <w:tcPr>
                  <w:tcW w:w="533" w:type="pct"/>
                  <w:noWrap w:val="0"/>
                  <w:tcMar>
                    <w:left w:w="28" w:type="dxa"/>
                    <w:right w:w="28" w:type="dxa"/>
                  </w:tcMar>
                  <w:vAlign w:val="center"/>
                </w:tcPr>
                <w:p w14:paraId="391BD690">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排放量</w:t>
                  </w:r>
                </w:p>
                <w:p w14:paraId="681F6986">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kg/h</w:t>
                  </w:r>
                </w:p>
              </w:tc>
              <w:tc>
                <w:tcPr>
                  <w:tcW w:w="811" w:type="pct"/>
                  <w:noWrap w:val="0"/>
                  <w:tcMar>
                    <w:left w:w="28" w:type="dxa"/>
                    <w:right w:w="28" w:type="dxa"/>
                  </w:tcMar>
                  <w:vAlign w:val="center"/>
                </w:tcPr>
                <w:p w14:paraId="469FD513">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措施</w:t>
                  </w:r>
                </w:p>
              </w:tc>
            </w:tr>
            <w:tr w14:paraId="30A7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83" w:type="pct"/>
                  <w:noWrap w:val="0"/>
                  <w:tcMar>
                    <w:left w:w="28" w:type="dxa"/>
                    <w:right w:w="28" w:type="dxa"/>
                  </w:tcMar>
                  <w:vAlign w:val="center"/>
                </w:tcPr>
                <w:p w14:paraId="3AFD73A6">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cs="Times New Roman"/>
                      <w:color w:val="auto"/>
                      <w:sz w:val="21"/>
                      <w:szCs w:val="21"/>
                      <w:highlight w:val="none"/>
                      <w:lang w:eastAsia="zh-CN" w:bidi="ar"/>
                    </w:rPr>
                    <w:t>布袋除尘器</w:t>
                  </w:r>
                  <w:r>
                    <w:rPr>
                      <w:rFonts w:hint="default" w:ascii="Times New Roman" w:hAnsi="Times New Roman" w:eastAsia="宋体" w:cs="Times New Roman"/>
                      <w:color w:val="auto"/>
                      <w:sz w:val="21"/>
                      <w:szCs w:val="21"/>
                      <w:highlight w:val="none"/>
                      <w:lang w:eastAsia="zh-CN" w:bidi="ar"/>
                    </w:rPr>
                    <w:t>故障，处理效率降低为0</w:t>
                  </w:r>
                </w:p>
              </w:tc>
              <w:tc>
                <w:tcPr>
                  <w:tcW w:w="556" w:type="pct"/>
                  <w:noWrap w:val="0"/>
                  <w:tcMar>
                    <w:left w:w="28" w:type="dxa"/>
                    <w:right w:w="28" w:type="dxa"/>
                  </w:tcMar>
                  <w:vAlign w:val="center"/>
                </w:tcPr>
                <w:p w14:paraId="014955DB">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东线</w:t>
                  </w:r>
                  <w:r>
                    <w:rPr>
                      <w:rFonts w:hint="default" w:ascii="Times New Roman" w:hAnsi="Times New Roman" w:eastAsia="宋体" w:cs="Times New Roman"/>
                      <w:color w:val="auto"/>
                      <w:sz w:val="21"/>
                      <w:szCs w:val="21"/>
                      <w:highlight w:val="none"/>
                      <w:lang w:eastAsia="zh-CN" w:bidi="ar"/>
                    </w:rPr>
                    <w:t>DA0</w:t>
                  </w:r>
                  <w:r>
                    <w:rPr>
                      <w:rFonts w:hint="eastAsia" w:eastAsia="宋体" w:cs="Times New Roman"/>
                      <w:color w:val="auto"/>
                      <w:sz w:val="21"/>
                      <w:szCs w:val="21"/>
                      <w:highlight w:val="none"/>
                      <w:lang w:val="en-US" w:eastAsia="zh-CN" w:bidi="ar"/>
                    </w:rPr>
                    <w:t>48</w:t>
                  </w:r>
                </w:p>
              </w:tc>
              <w:tc>
                <w:tcPr>
                  <w:tcW w:w="599" w:type="pct"/>
                  <w:noWrap w:val="0"/>
                  <w:tcMar>
                    <w:left w:w="28" w:type="dxa"/>
                    <w:right w:w="28" w:type="dxa"/>
                  </w:tcMar>
                  <w:vAlign w:val="center"/>
                </w:tcPr>
                <w:p w14:paraId="77E919B3">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1次/年</w:t>
                  </w:r>
                </w:p>
              </w:tc>
              <w:tc>
                <w:tcPr>
                  <w:tcW w:w="519" w:type="pct"/>
                  <w:noWrap w:val="0"/>
                  <w:tcMar>
                    <w:left w:w="28" w:type="dxa"/>
                    <w:right w:w="28" w:type="dxa"/>
                  </w:tcMar>
                  <w:vAlign w:val="center"/>
                </w:tcPr>
                <w:p w14:paraId="35E57B23">
                  <w:pPr>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颗粒物</w:t>
                  </w:r>
                </w:p>
              </w:tc>
              <w:tc>
                <w:tcPr>
                  <w:tcW w:w="601" w:type="pct"/>
                  <w:noWrap w:val="0"/>
                  <w:tcMar>
                    <w:left w:w="28" w:type="dxa"/>
                    <w:right w:w="28" w:type="dxa"/>
                  </w:tcMar>
                  <w:vAlign w:val="center"/>
                </w:tcPr>
                <w:p w14:paraId="37CD2DA7">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348.86</w:t>
                  </w:r>
                </w:p>
              </w:tc>
              <w:tc>
                <w:tcPr>
                  <w:tcW w:w="595" w:type="pct"/>
                  <w:noWrap w:val="0"/>
                  <w:tcMar>
                    <w:left w:w="28" w:type="dxa"/>
                    <w:right w:w="28" w:type="dxa"/>
                  </w:tcMar>
                  <w:vAlign w:val="center"/>
                </w:tcPr>
                <w:p w14:paraId="629EC78A">
                  <w:pPr>
                    <w:jc w:val="center"/>
                    <w:rPr>
                      <w:rFonts w:hint="default" w:ascii="Times New Roman" w:hAnsi="Times New Roman" w:eastAsia="宋体" w:cs="Times New Roman"/>
                      <w:color w:val="auto"/>
                      <w:sz w:val="21"/>
                      <w:szCs w:val="21"/>
                      <w:highlight w:val="none"/>
                      <w:lang w:eastAsia="zh-CN" w:bidi="ar"/>
                    </w:rPr>
                  </w:pPr>
                  <w:r>
                    <w:rPr>
                      <w:rFonts w:hint="eastAsia"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eastAsia="zh-CN" w:bidi="ar"/>
                    </w:rPr>
                    <w:t>30min</w:t>
                  </w:r>
                </w:p>
              </w:tc>
              <w:tc>
                <w:tcPr>
                  <w:tcW w:w="533" w:type="pct"/>
                  <w:noWrap w:val="0"/>
                  <w:tcMar>
                    <w:left w:w="28" w:type="dxa"/>
                    <w:right w:w="28" w:type="dxa"/>
                  </w:tcMar>
                  <w:vAlign w:val="center"/>
                </w:tcPr>
                <w:p w14:paraId="3EF634E2">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3.5</w:t>
                  </w:r>
                </w:p>
              </w:tc>
              <w:tc>
                <w:tcPr>
                  <w:tcW w:w="811" w:type="pct"/>
                  <w:noWrap w:val="0"/>
                  <w:tcMar>
                    <w:left w:w="28" w:type="dxa"/>
                    <w:right w:w="28" w:type="dxa"/>
                  </w:tcMar>
                  <w:vAlign w:val="center"/>
                </w:tcPr>
                <w:p w14:paraId="080B80AB">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立即停产检修，加强日常维护和检查</w:t>
                  </w:r>
                </w:p>
              </w:tc>
            </w:tr>
            <w:tr w14:paraId="453F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83" w:type="pct"/>
                  <w:noWrap w:val="0"/>
                  <w:tcMar>
                    <w:left w:w="28" w:type="dxa"/>
                    <w:right w:w="28" w:type="dxa"/>
                  </w:tcMar>
                  <w:vAlign w:val="center"/>
                </w:tcPr>
                <w:p w14:paraId="256435D8">
                  <w:pPr>
                    <w:jc w:val="center"/>
                    <w:rPr>
                      <w:rFonts w:hint="default" w:ascii="Times New Roman" w:hAnsi="Times New Roman" w:cs="Times New Roman"/>
                      <w:color w:val="auto"/>
                      <w:sz w:val="21"/>
                      <w:szCs w:val="21"/>
                      <w:highlight w:val="none"/>
                      <w:lang w:eastAsia="zh-CN" w:bidi="ar"/>
                    </w:rPr>
                  </w:pPr>
                  <w:r>
                    <w:rPr>
                      <w:rFonts w:hint="default" w:ascii="Times New Roman" w:hAnsi="Times New Roman" w:cs="Times New Roman"/>
                      <w:color w:val="auto"/>
                      <w:sz w:val="21"/>
                      <w:szCs w:val="21"/>
                      <w:highlight w:val="none"/>
                      <w:lang w:eastAsia="zh-CN" w:bidi="ar"/>
                    </w:rPr>
                    <w:t>布袋除尘器</w:t>
                  </w:r>
                  <w:r>
                    <w:rPr>
                      <w:rFonts w:hint="default" w:ascii="Times New Roman" w:hAnsi="Times New Roman" w:eastAsia="宋体" w:cs="Times New Roman"/>
                      <w:color w:val="auto"/>
                      <w:sz w:val="21"/>
                      <w:szCs w:val="21"/>
                      <w:highlight w:val="none"/>
                      <w:lang w:eastAsia="zh-CN" w:bidi="ar"/>
                    </w:rPr>
                    <w:t>故障，处理效率降低为0</w:t>
                  </w:r>
                </w:p>
              </w:tc>
              <w:tc>
                <w:tcPr>
                  <w:tcW w:w="556" w:type="pct"/>
                  <w:noWrap w:val="0"/>
                  <w:tcMar>
                    <w:left w:w="28" w:type="dxa"/>
                    <w:right w:w="28" w:type="dxa"/>
                  </w:tcMar>
                  <w:vAlign w:val="center"/>
                </w:tcPr>
                <w:p w14:paraId="449AB3FE">
                  <w:pPr>
                    <w:jc w:val="center"/>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西线</w:t>
                  </w:r>
                  <w:r>
                    <w:rPr>
                      <w:rFonts w:hint="default" w:ascii="Times New Roman" w:hAnsi="Times New Roman" w:eastAsia="宋体" w:cs="Times New Roman"/>
                      <w:color w:val="auto"/>
                      <w:sz w:val="21"/>
                      <w:szCs w:val="21"/>
                      <w:highlight w:val="none"/>
                      <w:lang w:eastAsia="zh-CN" w:bidi="ar"/>
                    </w:rPr>
                    <w:t>DA0</w:t>
                  </w:r>
                  <w:r>
                    <w:rPr>
                      <w:rFonts w:hint="eastAsia" w:eastAsia="宋体" w:cs="Times New Roman"/>
                      <w:color w:val="auto"/>
                      <w:sz w:val="21"/>
                      <w:szCs w:val="21"/>
                      <w:highlight w:val="none"/>
                      <w:lang w:val="en-US" w:eastAsia="zh-CN" w:bidi="ar"/>
                    </w:rPr>
                    <w:t>54</w:t>
                  </w:r>
                </w:p>
              </w:tc>
              <w:tc>
                <w:tcPr>
                  <w:tcW w:w="599" w:type="pct"/>
                  <w:noWrap w:val="0"/>
                  <w:tcMar>
                    <w:left w:w="28" w:type="dxa"/>
                    <w:right w:w="28" w:type="dxa"/>
                  </w:tcMar>
                  <w:vAlign w:val="center"/>
                </w:tcPr>
                <w:p w14:paraId="4AC78E96">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1次/年</w:t>
                  </w:r>
                </w:p>
              </w:tc>
              <w:tc>
                <w:tcPr>
                  <w:tcW w:w="519" w:type="pct"/>
                  <w:noWrap w:val="0"/>
                  <w:tcMar>
                    <w:left w:w="28" w:type="dxa"/>
                    <w:right w:w="28" w:type="dxa"/>
                  </w:tcMar>
                  <w:vAlign w:val="center"/>
                </w:tcPr>
                <w:p w14:paraId="609BAC37">
                  <w:pPr>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颗粒物</w:t>
                  </w:r>
                </w:p>
              </w:tc>
              <w:tc>
                <w:tcPr>
                  <w:tcW w:w="601" w:type="pct"/>
                  <w:noWrap w:val="0"/>
                  <w:tcMar>
                    <w:left w:w="28" w:type="dxa"/>
                    <w:right w:w="28" w:type="dxa"/>
                  </w:tcMar>
                  <w:vAlign w:val="center"/>
                </w:tcPr>
                <w:p w14:paraId="1C879297">
                  <w:pPr>
                    <w:jc w:val="center"/>
                    <w:rPr>
                      <w:rFonts w:hint="eastAsia"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348.86</w:t>
                  </w:r>
                </w:p>
              </w:tc>
              <w:tc>
                <w:tcPr>
                  <w:tcW w:w="595" w:type="pct"/>
                  <w:noWrap w:val="0"/>
                  <w:tcMar>
                    <w:left w:w="28" w:type="dxa"/>
                    <w:right w:w="28" w:type="dxa"/>
                  </w:tcMar>
                  <w:vAlign w:val="center"/>
                </w:tcPr>
                <w:p w14:paraId="6487A883">
                  <w:pPr>
                    <w:jc w:val="center"/>
                    <w:rPr>
                      <w:rFonts w:hint="default" w:ascii="Times New Roman" w:hAnsi="Times New Roman" w:eastAsia="宋体" w:cs="Times New Roman"/>
                      <w:color w:val="auto"/>
                      <w:sz w:val="21"/>
                      <w:szCs w:val="21"/>
                      <w:highlight w:val="none"/>
                      <w:lang w:eastAsia="zh-CN" w:bidi="ar"/>
                    </w:rPr>
                  </w:pPr>
                  <w:r>
                    <w:rPr>
                      <w:rFonts w:hint="eastAsia"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eastAsia="zh-CN" w:bidi="ar"/>
                    </w:rPr>
                    <w:t>30min</w:t>
                  </w:r>
                </w:p>
              </w:tc>
              <w:tc>
                <w:tcPr>
                  <w:tcW w:w="533" w:type="pct"/>
                  <w:noWrap w:val="0"/>
                  <w:tcMar>
                    <w:left w:w="28" w:type="dxa"/>
                    <w:right w:w="28" w:type="dxa"/>
                  </w:tcMar>
                  <w:vAlign w:val="center"/>
                </w:tcPr>
                <w:p w14:paraId="69016F62">
                  <w:pPr>
                    <w:jc w:val="center"/>
                    <w:rPr>
                      <w:rFonts w:hint="eastAsia"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3.5</w:t>
                  </w:r>
                </w:p>
              </w:tc>
              <w:tc>
                <w:tcPr>
                  <w:tcW w:w="811" w:type="pct"/>
                  <w:noWrap w:val="0"/>
                  <w:tcMar>
                    <w:left w:w="28" w:type="dxa"/>
                    <w:right w:w="28" w:type="dxa"/>
                  </w:tcMar>
                  <w:vAlign w:val="center"/>
                </w:tcPr>
                <w:p w14:paraId="4928A491">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立即停产检修，加强日常维护和检查</w:t>
                  </w:r>
                </w:p>
              </w:tc>
            </w:tr>
          </w:tbl>
          <w:p w14:paraId="6E8AD9C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建设单位应严格控制废气非正常排放，并采取以下措施</w:t>
            </w:r>
            <w:r>
              <w:rPr>
                <w:rFonts w:hint="eastAsia" w:ascii="Times New Roman" w:hAnsi="Times New Roman" w:cs="Times New Roman"/>
                <w:b w:val="0"/>
                <w:bCs/>
                <w:color w:val="auto"/>
                <w:sz w:val="24"/>
                <w:szCs w:val="24"/>
                <w:highlight w:val="none"/>
                <w:lang w:val="en-US" w:eastAsia="zh-CN"/>
              </w:rPr>
              <w:t>：</w:t>
            </w:r>
          </w:p>
          <w:p w14:paraId="149CFDBB">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（1）</w:t>
            </w:r>
            <w:r>
              <w:rPr>
                <w:rFonts w:hint="default" w:ascii="Times New Roman" w:hAnsi="Times New Roman" w:cs="Times New Roman"/>
                <w:b w:val="0"/>
                <w:bCs/>
                <w:color w:val="auto"/>
                <w:sz w:val="24"/>
                <w:szCs w:val="24"/>
                <w:highlight w:val="none"/>
                <w:lang w:val="en-US" w:eastAsia="zh-CN"/>
              </w:rPr>
              <w:t>制定环保设备例行检查制度，加强定期维护保养，发现风机、处理设施故障、损坏或排风管道破损时，应立即停止生产活动，对设备或管道进行维修，待恢复正常后方正常运行。</w:t>
            </w:r>
          </w:p>
          <w:p w14:paraId="213417F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（2）</w:t>
            </w:r>
            <w:r>
              <w:rPr>
                <w:rFonts w:hint="default" w:ascii="Times New Roman" w:hAnsi="Times New Roman" w:cs="Times New Roman"/>
                <w:b w:val="0"/>
                <w:bCs/>
                <w:color w:val="auto"/>
                <w:sz w:val="24"/>
                <w:szCs w:val="24"/>
                <w:highlight w:val="none"/>
                <w:lang w:val="en-US" w:eastAsia="zh-CN"/>
              </w:rPr>
              <w:t>定期检修废气处理装置，确保净化效率符合要求</w:t>
            </w:r>
            <w:r>
              <w:rPr>
                <w:rFonts w:hint="eastAsia" w:ascii="Times New Roman" w:hAnsi="Times New Roman" w:cs="Times New Roman"/>
                <w:b w:val="0"/>
                <w:bCs/>
                <w:color w:val="auto"/>
                <w:sz w:val="24"/>
                <w:szCs w:val="24"/>
                <w:highlight w:val="none"/>
                <w:lang w:val="en-US" w:eastAsia="zh-CN"/>
              </w:rPr>
              <w:t>：</w:t>
            </w:r>
            <w:r>
              <w:rPr>
                <w:rFonts w:hint="default" w:ascii="Times New Roman" w:hAnsi="Times New Roman" w:cs="Times New Roman"/>
                <w:b w:val="0"/>
                <w:bCs/>
                <w:color w:val="auto"/>
                <w:sz w:val="24"/>
                <w:szCs w:val="24"/>
                <w:highlight w:val="none"/>
                <w:lang w:val="en-US" w:eastAsia="zh-CN"/>
              </w:rPr>
              <w:t>检修时应停止生产活动运行，杜绝废气未经处理直接排放。</w:t>
            </w:r>
          </w:p>
          <w:p w14:paraId="3D594AA9">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（3）</w:t>
            </w:r>
            <w:r>
              <w:rPr>
                <w:rFonts w:hint="default" w:ascii="Times New Roman" w:hAnsi="Times New Roman" w:cs="Times New Roman"/>
                <w:b w:val="0"/>
                <w:bCs/>
                <w:color w:val="auto"/>
                <w:sz w:val="24"/>
                <w:szCs w:val="24"/>
                <w:highlight w:val="none"/>
                <w:lang w:val="en-US" w:eastAsia="zh-CN"/>
              </w:rPr>
              <w:t>设环保管理专员，对环保管理人员及技术人员进行岗位培训，委托具有专业资质的环境检测单位对项目排放的各类废气污染物进行定期监测。</w:t>
            </w:r>
          </w:p>
          <w:p w14:paraId="7A9B4AE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6</w:t>
            </w:r>
            <w:r>
              <w:rPr>
                <w:rFonts w:hint="eastAsia" w:ascii="Times New Roman" w:hAnsi="Times New Roman" w:cs="Times New Roman"/>
                <w:color w:val="auto"/>
                <w:lang w:val="en-US" w:eastAsia="zh-CN"/>
              </w:rPr>
              <w:t>、</w:t>
            </w:r>
            <w:r>
              <w:rPr>
                <w:rFonts w:hint="default" w:ascii="Times New Roman" w:hAnsi="Times New Roman" w:cs="Times New Roman"/>
                <w:color w:val="auto"/>
              </w:rPr>
              <w:t>监测计划</w:t>
            </w:r>
          </w:p>
          <w:p w14:paraId="7D56524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依照</w:t>
            </w:r>
            <w:r>
              <w:rPr>
                <w:rFonts w:hint="default" w:ascii="Times New Roman" w:hAnsi="Times New Roman" w:cs="Times New Roman"/>
                <w:color w:val="auto"/>
                <w:lang w:val="en-US" w:eastAsia="zh-CN"/>
              </w:rPr>
              <w:t>《排污单位自行监测技术指南 总则》（HJ 819-2017）、</w:t>
            </w:r>
            <w:r>
              <w:rPr>
                <w:rFonts w:hint="eastAsia"/>
                <w:color w:val="auto"/>
                <w:lang w:eastAsia="zh-CN"/>
              </w:rPr>
              <w:t>《排污许可证申请与核发技术规范 石墨及其他非金属矿物制品制造》（HJ1119—2020）</w:t>
            </w:r>
            <w:r>
              <w:rPr>
                <w:rFonts w:hint="default" w:ascii="Times New Roman" w:hAnsi="Times New Roman" w:cs="Times New Roman"/>
                <w:color w:val="auto"/>
                <w:lang w:val="en-US" w:eastAsia="zh-CN"/>
              </w:rPr>
              <w:t>等文件要求</w:t>
            </w:r>
            <w:r>
              <w:rPr>
                <w:rFonts w:hint="default" w:ascii="Times New Roman" w:hAnsi="Times New Roman" w:cs="Times New Roman"/>
                <w:color w:val="auto"/>
              </w:rPr>
              <w:t>，</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需执行定期监测计划，并上报环境保护主管部门。</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建议的监测计划见表4-</w:t>
            </w:r>
            <w:r>
              <w:rPr>
                <w:rFonts w:hint="eastAsia" w:cs="Times New Roman"/>
                <w:color w:val="auto"/>
                <w:lang w:val="en-US" w:eastAsia="zh-CN"/>
              </w:rPr>
              <w:t>5</w:t>
            </w:r>
            <w:r>
              <w:rPr>
                <w:rFonts w:hint="default" w:ascii="Times New Roman" w:hAnsi="Times New Roman" w:cs="Times New Roman"/>
                <w:color w:val="auto"/>
              </w:rPr>
              <w:t>。</w:t>
            </w:r>
          </w:p>
          <w:p w14:paraId="2940478C">
            <w:pPr>
              <w:shd w:val="clear" w:color="auto" w:fill="auto"/>
              <w:spacing w:line="46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表4-</w:t>
            </w:r>
            <w:r>
              <w:rPr>
                <w:rFonts w:hint="eastAsia" w:cs="Times New Roman"/>
                <w:b/>
                <w:color w:val="auto"/>
                <w:sz w:val="24"/>
                <w:lang w:val="en-US" w:eastAsia="zh-CN"/>
              </w:rPr>
              <w:t>5</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w:t>
            </w:r>
            <w:r>
              <w:rPr>
                <w:rFonts w:hint="eastAsia" w:cs="Times New Roman"/>
                <w:b/>
                <w:color w:val="auto"/>
                <w:sz w:val="24"/>
                <w:lang w:val="en-US" w:eastAsia="zh-CN"/>
              </w:rPr>
              <w:t>废气</w:t>
            </w:r>
            <w:r>
              <w:rPr>
                <w:rFonts w:hint="default" w:ascii="Times New Roman" w:hAnsi="Times New Roman" w:cs="Times New Roman"/>
                <w:b/>
                <w:color w:val="auto"/>
                <w:sz w:val="24"/>
              </w:rPr>
              <w:t>监测计划一览表</w:t>
            </w:r>
          </w:p>
          <w:tbl>
            <w:tblPr>
              <w:tblStyle w:val="36"/>
              <w:tblW w:w="837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3" w:type="dxa"/>
                <w:bottom w:w="0" w:type="dxa"/>
                <w:right w:w="23" w:type="dxa"/>
              </w:tblCellMar>
            </w:tblPr>
            <w:tblGrid>
              <w:gridCol w:w="432"/>
              <w:gridCol w:w="2227"/>
              <w:gridCol w:w="1199"/>
              <w:gridCol w:w="1095"/>
              <w:gridCol w:w="2686"/>
              <w:gridCol w:w="731"/>
            </w:tblGrid>
            <w:tr w14:paraId="580D6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258" w:type="pct"/>
                  <w:tcBorders>
                    <w:left w:val="single" w:color="auto" w:sz="4" w:space="0"/>
                  </w:tcBorders>
                  <w:noWrap w:val="0"/>
                  <w:vAlign w:val="center"/>
                </w:tcPr>
                <w:p w14:paraId="0119C051">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类别</w:t>
                  </w:r>
                </w:p>
              </w:tc>
              <w:tc>
                <w:tcPr>
                  <w:tcW w:w="1330" w:type="pct"/>
                  <w:noWrap w:val="0"/>
                  <w:vAlign w:val="center"/>
                </w:tcPr>
                <w:p w14:paraId="12D46E7D">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监测位置</w:t>
                  </w:r>
                </w:p>
              </w:tc>
              <w:tc>
                <w:tcPr>
                  <w:tcW w:w="716" w:type="pct"/>
                  <w:noWrap w:val="0"/>
                  <w:vAlign w:val="center"/>
                </w:tcPr>
                <w:p w14:paraId="40F9220B">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监测项目</w:t>
                  </w:r>
                </w:p>
              </w:tc>
              <w:tc>
                <w:tcPr>
                  <w:tcW w:w="654" w:type="pct"/>
                  <w:noWrap w:val="0"/>
                  <w:vAlign w:val="center"/>
                </w:tcPr>
                <w:p w14:paraId="3B1E0FA1">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监测频率</w:t>
                  </w:r>
                </w:p>
              </w:tc>
              <w:tc>
                <w:tcPr>
                  <w:tcW w:w="1604" w:type="pct"/>
                  <w:noWrap w:val="0"/>
                  <w:vAlign w:val="center"/>
                </w:tcPr>
                <w:p w14:paraId="2AFEB396">
                  <w:pPr>
                    <w:shd w:val="clear" w:color="auto" w:fill="auto"/>
                    <w:spacing w:line="320" w:lineRule="exact"/>
                    <w:jc w:val="center"/>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排放标准</w:t>
                  </w:r>
                </w:p>
              </w:tc>
              <w:tc>
                <w:tcPr>
                  <w:tcW w:w="436" w:type="pct"/>
                  <w:noWrap w:val="0"/>
                  <w:vAlign w:val="center"/>
                </w:tcPr>
                <w:p w14:paraId="37C24AD2">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实施单位</w:t>
                  </w:r>
                </w:p>
              </w:tc>
            </w:tr>
            <w:tr w14:paraId="3BABEF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825" w:hRule="atLeast"/>
                <w:jc w:val="center"/>
              </w:trPr>
              <w:tc>
                <w:tcPr>
                  <w:tcW w:w="258" w:type="pct"/>
                  <w:vMerge w:val="restart"/>
                  <w:noWrap w:val="0"/>
                  <w:vAlign w:val="center"/>
                </w:tcPr>
                <w:p w14:paraId="76549227">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废气</w:t>
                  </w:r>
                </w:p>
              </w:tc>
              <w:tc>
                <w:tcPr>
                  <w:tcW w:w="1330" w:type="pct"/>
                  <w:noWrap w:val="0"/>
                  <w:vAlign w:val="center"/>
                </w:tcPr>
                <w:p w14:paraId="64853D7D">
                  <w:pPr>
                    <w:shd w:val="clear" w:color="auto" w:fill="auto"/>
                    <w:spacing w:line="320" w:lineRule="exact"/>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szCs w:val="21"/>
                      <w:lang w:val="en-US" w:eastAsia="zh-CN"/>
                    </w:rPr>
                    <w:t>东线</w:t>
                  </w:r>
                  <w:r>
                    <w:rPr>
                      <w:rFonts w:hint="eastAsia" w:cs="Times New Roman"/>
                      <w:color w:val="auto"/>
                      <w:szCs w:val="21"/>
                      <w:lang w:val="en-US" w:eastAsia="zh-CN"/>
                    </w:rPr>
                    <w:t>DA048</w:t>
                  </w:r>
                  <w:r>
                    <w:rPr>
                      <w:rFonts w:hint="eastAsia" w:ascii="Times New Roman" w:hAnsi="Times New Roman" w:cs="Times New Roman"/>
                      <w:color w:val="auto"/>
                      <w:szCs w:val="21"/>
                      <w:lang w:val="en-US" w:eastAsia="zh-CN"/>
                    </w:rPr>
                    <w:t>排气筒</w:t>
                  </w:r>
                </w:p>
              </w:tc>
              <w:tc>
                <w:tcPr>
                  <w:tcW w:w="716" w:type="pct"/>
                  <w:vMerge w:val="restart"/>
                  <w:noWrap w:val="0"/>
                  <w:vAlign w:val="center"/>
                </w:tcPr>
                <w:p w14:paraId="682AA12A">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654" w:type="pct"/>
                  <w:vMerge w:val="restart"/>
                  <w:noWrap w:val="0"/>
                  <w:vAlign w:val="center"/>
                </w:tcPr>
                <w:p w14:paraId="3DA8D088">
                  <w:pPr>
                    <w:shd w:val="clear" w:color="auto" w:fill="auto"/>
                    <w:spacing w:line="320" w:lineRule="exact"/>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lang w:val="en-GB"/>
                    </w:rPr>
                    <w:t>次</w:t>
                  </w:r>
                  <w:r>
                    <w:rPr>
                      <w:rFonts w:hint="eastAsia" w:ascii="Times New Roman" w:hAnsi="Times New Roman" w:cs="Times New Roman"/>
                      <w:color w:val="auto"/>
                      <w:szCs w:val="21"/>
                      <w:lang w:val="en-US" w:eastAsia="zh-CN"/>
                    </w:rPr>
                    <w:t>/半年</w:t>
                  </w:r>
                </w:p>
              </w:tc>
              <w:tc>
                <w:tcPr>
                  <w:tcW w:w="1604" w:type="pct"/>
                  <w:vMerge w:val="restart"/>
                  <w:noWrap w:val="0"/>
                  <w:vAlign w:val="center"/>
                </w:tcPr>
                <w:p w14:paraId="588C6015">
                  <w:pPr>
                    <w:shd w:val="clear" w:color="auto" w:fill="auto"/>
                    <w:spacing w:line="32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《铝工业污染物排放标准》（GB25465-2010）修改单</w:t>
                  </w:r>
                  <w:r>
                    <w:rPr>
                      <w:rFonts w:hint="eastAsia" w:ascii="Times New Roman" w:hAnsi="Times New Roman" w:eastAsia="宋体" w:cs="Times New Roman"/>
                      <w:color w:val="auto"/>
                      <w:szCs w:val="21"/>
                      <w:lang w:val="en-US" w:eastAsia="zh-CN"/>
                    </w:rPr>
                    <w:t>大气污染物特别排放限值表1“铝用炭素厂—其他”颗粒物排放限值</w:t>
                  </w:r>
                </w:p>
              </w:tc>
              <w:tc>
                <w:tcPr>
                  <w:tcW w:w="436" w:type="pct"/>
                  <w:vMerge w:val="restart"/>
                  <w:noWrap w:val="0"/>
                  <w:vAlign w:val="center"/>
                </w:tcPr>
                <w:p w14:paraId="2C12DCFA">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lang w:val="en-GB"/>
                    </w:rPr>
                    <w:t>委托有资质单位</w:t>
                  </w:r>
                </w:p>
              </w:tc>
            </w:tr>
            <w:tr w14:paraId="4D1DC1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317" w:hRule="atLeast"/>
                <w:jc w:val="center"/>
              </w:trPr>
              <w:tc>
                <w:tcPr>
                  <w:tcW w:w="258" w:type="pct"/>
                  <w:vMerge w:val="continue"/>
                  <w:noWrap w:val="0"/>
                  <w:vAlign w:val="center"/>
                </w:tcPr>
                <w:p w14:paraId="79A61983">
                  <w:pPr>
                    <w:shd w:val="clear" w:color="auto" w:fill="auto"/>
                    <w:spacing w:line="320" w:lineRule="exact"/>
                    <w:jc w:val="center"/>
                    <w:rPr>
                      <w:color w:val="auto"/>
                    </w:rPr>
                  </w:pPr>
                </w:p>
              </w:tc>
              <w:tc>
                <w:tcPr>
                  <w:tcW w:w="1330" w:type="pct"/>
                  <w:noWrap w:val="0"/>
                  <w:vAlign w:val="center"/>
                </w:tcPr>
                <w:p w14:paraId="2DDA971F">
                  <w:pPr>
                    <w:shd w:val="clear" w:color="auto" w:fill="auto"/>
                    <w:spacing w:line="320" w:lineRule="exact"/>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西线</w:t>
                  </w:r>
                  <w:r>
                    <w:rPr>
                      <w:rFonts w:hint="eastAsia" w:cs="Times New Roman"/>
                      <w:color w:val="auto"/>
                      <w:szCs w:val="21"/>
                      <w:lang w:val="en-US" w:eastAsia="zh-CN"/>
                    </w:rPr>
                    <w:t>DA054</w:t>
                  </w:r>
                  <w:r>
                    <w:rPr>
                      <w:rFonts w:hint="eastAsia" w:ascii="Times New Roman" w:hAnsi="Times New Roman" w:cs="Times New Roman"/>
                      <w:color w:val="auto"/>
                      <w:szCs w:val="21"/>
                      <w:lang w:val="en-US" w:eastAsia="zh-CN"/>
                    </w:rPr>
                    <w:t>排气筒</w:t>
                  </w:r>
                </w:p>
              </w:tc>
              <w:tc>
                <w:tcPr>
                  <w:tcW w:w="716" w:type="pct"/>
                  <w:vMerge w:val="continue"/>
                  <w:noWrap w:val="0"/>
                  <w:vAlign w:val="center"/>
                </w:tcPr>
                <w:p w14:paraId="1FCD9D24">
                  <w:pPr>
                    <w:shd w:val="clear" w:color="auto" w:fill="auto"/>
                    <w:spacing w:line="320" w:lineRule="exact"/>
                    <w:jc w:val="center"/>
                    <w:rPr>
                      <w:rFonts w:hint="eastAsia" w:ascii="Times New Roman" w:hAnsi="Times New Roman" w:cs="Times New Roman"/>
                      <w:color w:val="auto"/>
                      <w:szCs w:val="21"/>
                      <w:lang w:val="en-US" w:eastAsia="zh-CN"/>
                    </w:rPr>
                  </w:pPr>
                </w:p>
              </w:tc>
              <w:tc>
                <w:tcPr>
                  <w:tcW w:w="654" w:type="pct"/>
                  <w:vMerge w:val="continue"/>
                  <w:noWrap w:val="0"/>
                  <w:vAlign w:val="center"/>
                </w:tcPr>
                <w:p w14:paraId="61BBCD6C">
                  <w:pPr>
                    <w:shd w:val="clear" w:color="auto" w:fill="auto"/>
                    <w:spacing w:line="320" w:lineRule="exact"/>
                    <w:jc w:val="center"/>
                    <w:rPr>
                      <w:rFonts w:hint="eastAsia" w:ascii="Times New Roman" w:hAnsi="Times New Roman" w:cs="Times New Roman"/>
                      <w:color w:val="auto"/>
                      <w:szCs w:val="21"/>
                      <w:lang w:val="en-US" w:eastAsia="zh-CN"/>
                    </w:rPr>
                  </w:pPr>
                </w:p>
              </w:tc>
              <w:tc>
                <w:tcPr>
                  <w:tcW w:w="1604" w:type="pct"/>
                  <w:vMerge w:val="continue"/>
                  <w:noWrap w:val="0"/>
                  <w:vAlign w:val="center"/>
                </w:tcPr>
                <w:p w14:paraId="35253B7A">
                  <w:pPr>
                    <w:shd w:val="clear" w:color="auto" w:fill="auto"/>
                    <w:spacing w:line="320" w:lineRule="exact"/>
                    <w:jc w:val="center"/>
                    <w:rPr>
                      <w:rFonts w:hint="eastAsia" w:ascii="Times New Roman" w:hAnsi="Times New Roman" w:eastAsia="宋体" w:cs="Times New Roman"/>
                      <w:color w:val="auto"/>
                      <w:szCs w:val="21"/>
                      <w:lang w:val="en-US" w:eastAsia="zh-CN"/>
                    </w:rPr>
                  </w:pPr>
                </w:p>
              </w:tc>
              <w:tc>
                <w:tcPr>
                  <w:tcW w:w="436" w:type="pct"/>
                  <w:vMerge w:val="continue"/>
                  <w:noWrap w:val="0"/>
                  <w:vAlign w:val="center"/>
                </w:tcPr>
                <w:p w14:paraId="7EE0D209">
                  <w:pPr>
                    <w:shd w:val="clear" w:color="auto" w:fill="auto"/>
                    <w:spacing w:line="320" w:lineRule="exact"/>
                    <w:jc w:val="center"/>
                    <w:rPr>
                      <w:rFonts w:hint="eastAsia" w:ascii="Times New Roman" w:hAnsi="Times New Roman" w:cs="Times New Roman"/>
                      <w:color w:val="auto"/>
                      <w:szCs w:val="21"/>
                      <w:lang w:val="en-US" w:eastAsia="zh-CN"/>
                    </w:rPr>
                  </w:pPr>
                </w:p>
              </w:tc>
            </w:tr>
            <w:tr w14:paraId="5E89B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268" w:hRule="atLeast"/>
                <w:jc w:val="center"/>
              </w:trPr>
              <w:tc>
                <w:tcPr>
                  <w:tcW w:w="258" w:type="pct"/>
                  <w:vMerge w:val="continue"/>
                  <w:noWrap w:val="0"/>
                  <w:vAlign w:val="center"/>
                </w:tcPr>
                <w:p w14:paraId="10538E9E">
                  <w:pPr>
                    <w:shd w:val="clear" w:color="auto" w:fill="auto"/>
                    <w:spacing w:line="320" w:lineRule="exact"/>
                    <w:jc w:val="center"/>
                    <w:rPr>
                      <w:rFonts w:hint="default" w:ascii="Times New Roman" w:hAnsi="Times New Roman" w:cs="Times New Roman"/>
                      <w:color w:val="auto"/>
                      <w:szCs w:val="21"/>
                    </w:rPr>
                  </w:pPr>
                </w:p>
              </w:tc>
              <w:tc>
                <w:tcPr>
                  <w:tcW w:w="1330" w:type="pct"/>
                  <w:noWrap w:val="0"/>
                  <w:vAlign w:val="center"/>
                </w:tcPr>
                <w:p w14:paraId="25348383">
                  <w:pPr>
                    <w:shd w:val="clear" w:color="auto" w:fill="auto"/>
                    <w:spacing w:line="320" w:lineRule="exact"/>
                    <w:jc w:val="center"/>
                    <w:rPr>
                      <w:rFonts w:hint="default" w:ascii="Times New Roman" w:hAnsi="Times New Roman" w:cs="Times New Roman"/>
                      <w:color w:val="auto"/>
                      <w:szCs w:val="21"/>
                      <w:lang w:val="en-GB"/>
                    </w:rPr>
                  </w:pPr>
                  <w:r>
                    <w:rPr>
                      <w:rFonts w:hint="default" w:ascii="Times New Roman" w:hAnsi="Times New Roman" w:cs="Times New Roman"/>
                      <w:color w:val="auto"/>
                      <w:szCs w:val="21"/>
                      <w:lang w:val="en-GB"/>
                    </w:rPr>
                    <w:t>厂界</w:t>
                  </w:r>
                </w:p>
              </w:tc>
              <w:tc>
                <w:tcPr>
                  <w:tcW w:w="716" w:type="pct"/>
                  <w:noWrap w:val="0"/>
                  <w:vAlign w:val="center"/>
                </w:tcPr>
                <w:p w14:paraId="61E8F273">
                  <w:pPr>
                    <w:shd w:val="clear" w:color="auto" w:fill="auto"/>
                    <w:spacing w:line="320" w:lineRule="exact"/>
                    <w:jc w:val="center"/>
                    <w:rPr>
                      <w:rFonts w:hint="default" w:ascii="Times New Roman" w:hAnsi="Times New Roman" w:cs="Times New Roman"/>
                      <w:color w:val="auto"/>
                      <w:szCs w:val="21"/>
                      <w:lang w:val="en-GB"/>
                    </w:rPr>
                  </w:pPr>
                  <w:r>
                    <w:rPr>
                      <w:rFonts w:hint="default" w:ascii="Times New Roman" w:hAnsi="Times New Roman" w:cs="Times New Roman"/>
                      <w:color w:val="auto"/>
                      <w:szCs w:val="21"/>
                    </w:rPr>
                    <w:t>颗粒物</w:t>
                  </w:r>
                </w:p>
              </w:tc>
              <w:tc>
                <w:tcPr>
                  <w:tcW w:w="654" w:type="pct"/>
                  <w:noWrap w:val="0"/>
                  <w:vAlign w:val="center"/>
                </w:tcPr>
                <w:p w14:paraId="02A52BE0">
                  <w:pPr>
                    <w:shd w:val="clear" w:color="auto" w:fill="auto"/>
                    <w:spacing w:line="320" w:lineRule="exact"/>
                    <w:jc w:val="center"/>
                    <w:rPr>
                      <w:rFonts w:hint="default" w:ascii="Times New Roman" w:hAnsi="Times New Roman" w:cs="Times New Roman"/>
                      <w:color w:val="auto"/>
                      <w:szCs w:val="21"/>
                      <w:lang w:val="en-GB"/>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lang w:val="en-GB"/>
                    </w:rPr>
                    <w:t>次</w:t>
                  </w:r>
                  <w:r>
                    <w:rPr>
                      <w:rFonts w:hint="eastAsia" w:ascii="Times New Roman" w:hAnsi="Times New Roman" w:cs="Times New Roman"/>
                      <w:color w:val="auto"/>
                      <w:szCs w:val="21"/>
                      <w:lang w:val="en-US" w:eastAsia="zh-CN"/>
                    </w:rPr>
                    <w:t>/半年</w:t>
                  </w:r>
                </w:p>
              </w:tc>
              <w:tc>
                <w:tcPr>
                  <w:tcW w:w="1604" w:type="pct"/>
                  <w:noWrap w:val="0"/>
                  <w:vAlign w:val="center"/>
                </w:tcPr>
                <w:p w14:paraId="7691208A">
                  <w:pPr>
                    <w:shd w:val="clear" w:color="auto" w:fill="auto"/>
                    <w:spacing w:line="32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《铝工业污染物排放标准》（GB25465-2010）</w:t>
                  </w:r>
                  <w:r>
                    <w:rPr>
                      <w:rFonts w:hint="eastAsia" w:ascii="Times New Roman" w:hAnsi="Times New Roman" w:eastAsia="宋体" w:cs="Times New Roman"/>
                      <w:color w:val="auto"/>
                      <w:szCs w:val="21"/>
                      <w:lang w:val="en-US" w:eastAsia="zh-CN"/>
                    </w:rPr>
                    <w:t>表6企业边界大气污染物浓度限值</w:t>
                  </w:r>
                </w:p>
              </w:tc>
              <w:tc>
                <w:tcPr>
                  <w:tcW w:w="436" w:type="pct"/>
                  <w:vMerge w:val="continue"/>
                  <w:noWrap w:val="0"/>
                  <w:vAlign w:val="center"/>
                </w:tcPr>
                <w:p w14:paraId="3B81E731">
                  <w:pPr>
                    <w:shd w:val="clear" w:color="auto" w:fill="auto"/>
                    <w:spacing w:line="320" w:lineRule="exact"/>
                    <w:jc w:val="center"/>
                    <w:rPr>
                      <w:rFonts w:hint="default" w:ascii="Times New Roman" w:hAnsi="Times New Roman" w:cs="Times New Roman"/>
                      <w:color w:val="auto"/>
                      <w:szCs w:val="21"/>
                      <w:lang w:val="en-GB"/>
                    </w:rPr>
                  </w:pPr>
                </w:p>
              </w:tc>
            </w:tr>
          </w:tbl>
          <w:p w14:paraId="70DF6CE2">
            <w:pPr>
              <w:pStyle w:val="86"/>
              <w:keepNext w:val="0"/>
              <w:keepLines w:val="0"/>
              <w:pageBreakBefore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二、废水</w:t>
            </w:r>
          </w:p>
          <w:p w14:paraId="6362F937">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sz w:val="24"/>
                <w:lang w:eastAsia="zh-CN"/>
              </w:rPr>
              <w:t>生产不用水，劳动定员由厂内调剂，无新增生活用水，因此无新增废水产生。</w:t>
            </w:r>
            <w:r>
              <w:rPr>
                <w:rFonts w:hint="eastAsia" w:ascii="Times New Roman" w:hAnsi="Times New Roman" w:cs="Times New Roman"/>
                <w:color w:val="auto"/>
                <w:sz w:val="24"/>
                <w:lang w:val="en-US" w:eastAsia="zh-CN"/>
              </w:rPr>
              <w:t>因此，</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eastAsia="宋体" w:cs="Times New Roman"/>
                <w:color w:val="auto"/>
                <w:sz w:val="24"/>
                <w:lang w:val="en-US" w:eastAsia="zh-CN"/>
              </w:rPr>
              <w:t>不会对周围地表水环境产生影响。</w:t>
            </w:r>
          </w:p>
          <w:p w14:paraId="689D2451">
            <w:pPr>
              <w:pStyle w:val="86"/>
              <w:keepNext w:val="0"/>
              <w:keepLines w:val="0"/>
              <w:pageBreakBefore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三、噪声</w:t>
            </w:r>
          </w:p>
          <w:p w14:paraId="7D8FD093">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（1）噪声源强分析</w:t>
            </w:r>
          </w:p>
          <w:p w14:paraId="2D3013BA">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2"/>
                <w:sz w:val="24"/>
                <w:szCs w:val="24"/>
                <w:highlight w:val="none"/>
                <w:lang w:val="en-US" w:eastAsia="zh-CN" w:bidi="ar-SA"/>
              </w:rPr>
              <w:t>本项目磨粉车间内布置东线、西线两套磨粉系统；西线主用磨、西线备用磨、东线主用磨均布置于生产车间内部；东线新增备用磨 LYH998</w:t>
            </w:r>
            <w:r>
              <w:rPr>
                <w:rFonts w:hint="default" w:ascii="Times New Roman" w:hAnsi="Times New Roman" w:eastAsia="宋体" w:cs="Times New Roman"/>
                <w:color w:val="auto"/>
                <w:kern w:val="2"/>
                <w:sz w:val="24"/>
                <w:szCs w:val="24"/>
                <w:highlight w:val="none"/>
                <w:lang w:val="en-US" w:eastAsia="zh-CN" w:bidi="ar-SA"/>
              </w:rPr>
              <w:noBreakHyphen/>
            </w:r>
            <w:r>
              <w:rPr>
                <w:rFonts w:hint="default" w:ascii="Times New Roman" w:hAnsi="Times New Roman" w:eastAsia="宋体" w:cs="Times New Roman"/>
                <w:color w:val="auto"/>
                <w:kern w:val="2"/>
                <w:sz w:val="24"/>
                <w:szCs w:val="24"/>
                <w:highlight w:val="none"/>
                <w:lang w:val="en-US" w:eastAsia="zh-CN" w:bidi="ar-SA"/>
              </w:rPr>
              <w:t>75布置于车间外。 项目正常生产工况为东线、西线主用雷蒙磨同时运行（均为车间室内声源），作为噪声评价主要</w:t>
            </w:r>
            <w:r>
              <w:rPr>
                <w:rFonts w:hint="eastAsia" w:ascii="Times New Roman" w:hAnsi="Times New Roman" w:eastAsia="宋体" w:cs="Times New Roman"/>
                <w:color w:val="auto"/>
                <w:kern w:val="2"/>
                <w:sz w:val="24"/>
                <w:szCs w:val="24"/>
                <w:highlight w:val="none"/>
                <w:lang w:val="en-US" w:eastAsia="zh-CN" w:bidi="ar-SA"/>
              </w:rPr>
              <w:t>生产</w:t>
            </w:r>
            <w:r>
              <w:rPr>
                <w:rFonts w:hint="default" w:ascii="Times New Roman" w:hAnsi="Times New Roman" w:eastAsia="宋体" w:cs="Times New Roman"/>
                <w:color w:val="auto"/>
                <w:kern w:val="2"/>
                <w:sz w:val="24"/>
                <w:szCs w:val="24"/>
                <w:highlight w:val="none"/>
                <w:lang w:val="en-US" w:eastAsia="zh-CN" w:bidi="ar-SA"/>
              </w:rPr>
              <w:t>工况。 校核工况考虑设备故障检修的不利情景：东线切换启用车间外的东线备用磨LYH998</w:t>
            </w:r>
            <w:r>
              <w:rPr>
                <w:rFonts w:hint="default" w:ascii="Times New Roman" w:hAnsi="Times New Roman" w:eastAsia="宋体" w:cs="Times New Roman"/>
                <w:color w:val="auto"/>
                <w:kern w:val="2"/>
                <w:sz w:val="24"/>
                <w:szCs w:val="24"/>
                <w:highlight w:val="none"/>
                <w:lang w:val="en-US" w:eastAsia="zh-CN" w:bidi="ar-SA"/>
              </w:rPr>
              <w:noBreakHyphen/>
            </w:r>
            <w:r>
              <w:rPr>
                <w:rFonts w:hint="default" w:ascii="Times New Roman" w:hAnsi="Times New Roman" w:eastAsia="宋体" w:cs="Times New Roman"/>
                <w:color w:val="auto"/>
                <w:kern w:val="2"/>
                <w:sz w:val="24"/>
                <w:szCs w:val="24"/>
                <w:highlight w:val="none"/>
                <w:lang w:val="en-US" w:eastAsia="zh-CN" w:bidi="ar-SA"/>
              </w:rPr>
              <w:t>75运行，东线主用磨停机；西线仍保持车间内主用磨正常运行。该工况为非正常短时工况，仅在设备检修故障时启用，年运行时间 240h。</w:t>
            </w:r>
          </w:p>
          <w:p w14:paraId="3AA196E4">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ascii="宋体" w:hAnsi="宋体" w:eastAsia="宋体" w:cs="宋体"/>
                <w:color w:val="auto"/>
                <w:sz w:val="24"/>
                <w:szCs w:val="24"/>
              </w:rPr>
              <w:t>本项目噪声源主要来自雷蒙磨主机、配套循环风机、气力输送罗茨风机、布袋除尘器引风机、螺旋输送机等设备运行产生的机械振动噪声及气流噪声。</w:t>
            </w:r>
            <w:r>
              <w:rPr>
                <w:rFonts w:hint="default" w:ascii="Times New Roman" w:hAnsi="Times New Roman" w:eastAsia="宋体" w:cs="Times New Roman"/>
                <w:bCs/>
                <w:color w:val="auto"/>
                <w:sz w:val="24"/>
                <w:szCs w:val="24"/>
                <w:highlight w:val="none"/>
                <w:lang w:val="en-US" w:eastAsia="zh-CN"/>
              </w:rPr>
              <w:t>项目采取选用低噪声设备、基础减震、厂房隔声等措施控制噪声源对周边声环境的影响，可有效控制噪声对周围环境的影响，噪声源及防治措施见下表。</w:t>
            </w:r>
          </w:p>
          <w:p w14:paraId="1E88142B">
            <w:pPr>
              <w:spacing w:line="480" w:lineRule="exact"/>
              <w:ind w:firstLine="480"/>
              <w:jc w:val="center"/>
              <w:rPr>
                <w:rFonts w:hint="default" w:ascii="Times New Roman" w:hAnsi="Times New Roman" w:cs="Times New Roman"/>
                <w:b/>
                <w:color w:val="auto"/>
                <w:sz w:val="24"/>
                <w:highlight w:val="none"/>
              </w:rPr>
            </w:pPr>
            <w:r>
              <w:rPr>
                <w:rFonts w:hint="default" w:ascii="Times New Roman" w:hAnsi="Times New Roman" w:cs="Times New Roman"/>
                <w:b/>
                <w:bCs/>
                <w:color w:val="auto"/>
                <w:sz w:val="24"/>
                <w:highlight w:val="none"/>
              </w:rPr>
              <w:t>表</w:t>
            </w:r>
            <w:r>
              <w:rPr>
                <w:rFonts w:hint="default" w:ascii="Times New Roman" w:hAnsi="Times New Roman" w:cs="Times New Roman"/>
                <w:b/>
                <w:bCs/>
                <w:color w:val="auto"/>
                <w:sz w:val="24"/>
                <w:highlight w:val="none"/>
                <w:lang w:val="en-US" w:eastAsia="zh-CN"/>
              </w:rPr>
              <w:t>4-</w:t>
            </w:r>
            <w:r>
              <w:rPr>
                <w:rFonts w:hint="eastAsia" w:cs="Times New Roman"/>
                <w:b/>
                <w:bCs/>
                <w:color w:val="auto"/>
                <w:sz w:val="24"/>
                <w:highlight w:val="none"/>
                <w:lang w:val="en-US" w:eastAsia="zh-CN"/>
              </w:rPr>
              <w:t>6</w:t>
            </w:r>
            <w:r>
              <w:rPr>
                <w:rFonts w:hint="default" w:ascii="Times New Roman" w:hAnsi="Times New Roman" w:cs="Times New Roman"/>
                <w:b/>
                <w:bCs/>
                <w:color w:val="auto"/>
                <w:sz w:val="24"/>
                <w:highlight w:val="none"/>
              </w:rPr>
              <w:t xml:space="preserve">  </w:t>
            </w:r>
            <w:r>
              <w:rPr>
                <w:rFonts w:hint="eastAsia" w:cs="Times New Roman"/>
                <w:b/>
                <w:bCs/>
                <w:color w:val="auto"/>
                <w:sz w:val="24"/>
                <w:highlight w:val="none"/>
                <w:lang w:val="en-US" w:eastAsia="zh-CN"/>
              </w:rPr>
              <w:t>室内</w:t>
            </w:r>
            <w:r>
              <w:rPr>
                <w:rFonts w:hint="default" w:ascii="Times New Roman" w:hAnsi="Times New Roman" w:cs="Times New Roman"/>
                <w:b/>
                <w:bCs/>
                <w:color w:val="auto"/>
                <w:sz w:val="24"/>
                <w:highlight w:val="none"/>
              </w:rPr>
              <w:t>主</w:t>
            </w:r>
            <w:r>
              <w:rPr>
                <w:rFonts w:hint="default" w:ascii="Times New Roman" w:hAnsi="Times New Roman" w:cs="Times New Roman"/>
                <w:b/>
                <w:color w:val="auto"/>
                <w:sz w:val="24"/>
                <w:highlight w:val="none"/>
              </w:rPr>
              <w:t>要噪声源及控制措施</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6"/>
              <w:gridCol w:w="266"/>
              <w:gridCol w:w="532"/>
              <w:gridCol w:w="790"/>
              <w:gridCol w:w="489"/>
              <w:gridCol w:w="408"/>
              <w:gridCol w:w="430"/>
              <w:gridCol w:w="440"/>
              <w:gridCol w:w="888"/>
              <w:gridCol w:w="577"/>
              <w:gridCol w:w="741"/>
              <w:gridCol w:w="532"/>
              <w:gridCol w:w="607"/>
              <w:gridCol w:w="659"/>
              <w:gridCol w:w="735"/>
            </w:tblGrid>
            <w:tr w14:paraId="4F57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59" w:type="pct"/>
                  <w:vMerge w:val="restart"/>
                  <w:noWrap w:val="0"/>
                  <w:vAlign w:val="center"/>
                </w:tcPr>
                <w:p w14:paraId="030A1644">
                  <w:pPr>
                    <w:autoSpaceDE w:val="0"/>
                    <w:autoSpaceDN w:val="0"/>
                    <w:adjustRightInd w:val="0"/>
                    <w:snapToGrid w:val="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生产线</w:t>
                  </w:r>
                </w:p>
              </w:tc>
              <w:tc>
                <w:tcPr>
                  <w:tcW w:w="159" w:type="pct"/>
                  <w:vMerge w:val="restart"/>
                  <w:noWrap w:val="0"/>
                  <w:vAlign w:val="center"/>
                </w:tcPr>
                <w:p w14:paraId="0A139574">
                  <w:pPr>
                    <w:autoSpaceDE w:val="0"/>
                    <w:autoSpaceDN w:val="0"/>
                    <w:adjustRightInd w:val="0"/>
                    <w:snapToGrid w:val="0"/>
                    <w:jc w:val="center"/>
                    <w:rPr>
                      <w:color w:val="auto"/>
                      <w:sz w:val="18"/>
                      <w:szCs w:val="18"/>
                      <w:highlight w:val="none"/>
                    </w:rPr>
                  </w:pPr>
                  <w:r>
                    <w:rPr>
                      <w:color w:val="auto"/>
                      <w:sz w:val="18"/>
                      <w:szCs w:val="18"/>
                      <w:highlight w:val="none"/>
                    </w:rPr>
                    <w:t>建筑物名称</w:t>
                  </w:r>
                </w:p>
              </w:tc>
              <w:tc>
                <w:tcPr>
                  <w:tcW w:w="318" w:type="pct"/>
                  <w:vMerge w:val="restart"/>
                  <w:noWrap w:val="0"/>
                  <w:vAlign w:val="center"/>
                </w:tcPr>
                <w:p w14:paraId="3B226780">
                  <w:pPr>
                    <w:autoSpaceDE w:val="0"/>
                    <w:autoSpaceDN w:val="0"/>
                    <w:adjustRightInd w:val="0"/>
                    <w:snapToGrid w:val="0"/>
                    <w:jc w:val="center"/>
                    <w:rPr>
                      <w:color w:val="auto"/>
                      <w:sz w:val="18"/>
                      <w:szCs w:val="18"/>
                      <w:highlight w:val="none"/>
                    </w:rPr>
                  </w:pPr>
                  <w:r>
                    <w:rPr>
                      <w:color w:val="auto"/>
                      <w:sz w:val="18"/>
                      <w:szCs w:val="18"/>
                      <w:highlight w:val="none"/>
                    </w:rPr>
                    <w:t>声源名称</w:t>
                  </w:r>
                </w:p>
              </w:tc>
              <w:tc>
                <w:tcPr>
                  <w:tcW w:w="472" w:type="pct"/>
                  <w:noWrap w:val="0"/>
                  <w:vAlign w:val="center"/>
                </w:tcPr>
                <w:p w14:paraId="032929CD">
                  <w:pPr>
                    <w:autoSpaceDE w:val="0"/>
                    <w:autoSpaceDN w:val="0"/>
                    <w:adjustRightInd w:val="0"/>
                    <w:snapToGrid w:val="0"/>
                    <w:jc w:val="center"/>
                    <w:rPr>
                      <w:color w:val="auto"/>
                      <w:sz w:val="18"/>
                      <w:szCs w:val="18"/>
                      <w:highlight w:val="none"/>
                    </w:rPr>
                  </w:pPr>
                  <w:r>
                    <w:rPr>
                      <w:color w:val="auto"/>
                      <w:sz w:val="18"/>
                      <w:szCs w:val="18"/>
                      <w:highlight w:val="none"/>
                    </w:rPr>
                    <w:t>声源源强</w:t>
                  </w:r>
                </w:p>
              </w:tc>
              <w:tc>
                <w:tcPr>
                  <w:tcW w:w="292" w:type="pct"/>
                  <w:vMerge w:val="restart"/>
                  <w:noWrap w:val="0"/>
                  <w:vAlign w:val="center"/>
                </w:tcPr>
                <w:p w14:paraId="2F510055">
                  <w:pPr>
                    <w:autoSpaceDE w:val="0"/>
                    <w:autoSpaceDN w:val="0"/>
                    <w:adjustRightInd w:val="0"/>
                    <w:snapToGrid w:val="0"/>
                    <w:jc w:val="center"/>
                    <w:rPr>
                      <w:color w:val="auto"/>
                      <w:sz w:val="18"/>
                      <w:szCs w:val="18"/>
                      <w:highlight w:val="none"/>
                    </w:rPr>
                  </w:pPr>
                  <w:r>
                    <w:rPr>
                      <w:color w:val="auto"/>
                      <w:sz w:val="18"/>
                      <w:szCs w:val="18"/>
                      <w:highlight w:val="none"/>
                    </w:rPr>
                    <w:t>声源控制措施</w:t>
                  </w:r>
                </w:p>
                <w:p w14:paraId="2D60F0B1">
                  <w:pPr>
                    <w:autoSpaceDE w:val="0"/>
                    <w:autoSpaceDN w:val="0"/>
                    <w:adjustRightInd w:val="0"/>
                    <w:snapToGrid w:val="0"/>
                    <w:jc w:val="center"/>
                    <w:rPr>
                      <w:color w:val="auto"/>
                      <w:sz w:val="18"/>
                      <w:szCs w:val="18"/>
                      <w:highlight w:val="none"/>
                    </w:rPr>
                  </w:pPr>
                </w:p>
              </w:tc>
              <w:tc>
                <w:tcPr>
                  <w:tcW w:w="764" w:type="pct"/>
                  <w:gridSpan w:val="3"/>
                  <w:noWrap w:val="0"/>
                  <w:vAlign w:val="center"/>
                </w:tcPr>
                <w:p w14:paraId="1321356F">
                  <w:pPr>
                    <w:autoSpaceDE w:val="0"/>
                    <w:autoSpaceDN w:val="0"/>
                    <w:adjustRightInd w:val="0"/>
                    <w:snapToGrid w:val="0"/>
                    <w:jc w:val="center"/>
                    <w:rPr>
                      <w:color w:val="auto"/>
                      <w:sz w:val="18"/>
                      <w:szCs w:val="18"/>
                      <w:highlight w:val="none"/>
                    </w:rPr>
                  </w:pPr>
                  <w:r>
                    <w:rPr>
                      <w:color w:val="auto"/>
                      <w:sz w:val="18"/>
                      <w:szCs w:val="18"/>
                      <w:highlight w:val="none"/>
                    </w:rPr>
                    <w:t>空间相对位置/m</w:t>
                  </w:r>
                </w:p>
              </w:tc>
              <w:tc>
                <w:tcPr>
                  <w:tcW w:w="876" w:type="pct"/>
                  <w:gridSpan w:val="2"/>
                  <w:vMerge w:val="restart"/>
                  <w:noWrap w:val="0"/>
                  <w:vAlign w:val="center"/>
                </w:tcPr>
                <w:p w14:paraId="460D9E45">
                  <w:pPr>
                    <w:autoSpaceDE w:val="0"/>
                    <w:autoSpaceDN w:val="0"/>
                    <w:adjustRightInd w:val="0"/>
                    <w:snapToGrid w:val="0"/>
                    <w:jc w:val="center"/>
                    <w:rPr>
                      <w:color w:val="auto"/>
                      <w:sz w:val="18"/>
                      <w:szCs w:val="18"/>
                      <w:highlight w:val="none"/>
                    </w:rPr>
                  </w:pPr>
                  <w:r>
                    <w:rPr>
                      <w:color w:val="auto"/>
                      <w:sz w:val="18"/>
                      <w:szCs w:val="18"/>
                      <w:highlight w:val="none"/>
                    </w:rPr>
                    <w:t>距离室内边界距离/m</w:t>
                  </w:r>
                </w:p>
              </w:tc>
              <w:tc>
                <w:tcPr>
                  <w:tcW w:w="443" w:type="pct"/>
                  <w:vMerge w:val="restart"/>
                  <w:noWrap w:val="0"/>
                  <w:vAlign w:val="center"/>
                </w:tcPr>
                <w:p w14:paraId="27DF73EE">
                  <w:pPr>
                    <w:autoSpaceDE w:val="0"/>
                    <w:autoSpaceDN w:val="0"/>
                    <w:adjustRightInd w:val="0"/>
                    <w:snapToGrid w:val="0"/>
                    <w:jc w:val="center"/>
                    <w:rPr>
                      <w:color w:val="auto"/>
                      <w:sz w:val="18"/>
                      <w:szCs w:val="18"/>
                      <w:highlight w:val="none"/>
                    </w:rPr>
                  </w:pPr>
                  <w:r>
                    <w:rPr>
                      <w:color w:val="auto"/>
                      <w:sz w:val="18"/>
                      <w:szCs w:val="18"/>
                      <w:highlight w:val="none"/>
                    </w:rPr>
                    <w:t>室内边界声级/dB(A)</w:t>
                  </w:r>
                </w:p>
              </w:tc>
              <w:tc>
                <w:tcPr>
                  <w:tcW w:w="318" w:type="pct"/>
                  <w:vMerge w:val="restart"/>
                  <w:noWrap w:val="0"/>
                  <w:vAlign w:val="center"/>
                </w:tcPr>
                <w:p w14:paraId="676DA7CA">
                  <w:pPr>
                    <w:autoSpaceDE w:val="0"/>
                    <w:autoSpaceDN w:val="0"/>
                    <w:adjustRightInd w:val="0"/>
                    <w:snapToGrid w:val="0"/>
                    <w:jc w:val="center"/>
                    <w:rPr>
                      <w:color w:val="auto"/>
                      <w:sz w:val="18"/>
                      <w:szCs w:val="18"/>
                      <w:highlight w:val="none"/>
                    </w:rPr>
                  </w:pPr>
                  <w:r>
                    <w:rPr>
                      <w:color w:val="auto"/>
                      <w:sz w:val="18"/>
                      <w:szCs w:val="18"/>
                      <w:highlight w:val="none"/>
                    </w:rPr>
                    <w:t>运行时段</w:t>
                  </w:r>
                </w:p>
              </w:tc>
              <w:tc>
                <w:tcPr>
                  <w:tcW w:w="363" w:type="pct"/>
                  <w:vMerge w:val="restart"/>
                  <w:noWrap w:val="0"/>
                  <w:vAlign w:val="center"/>
                </w:tcPr>
                <w:p w14:paraId="64A2DB43">
                  <w:pPr>
                    <w:autoSpaceDE w:val="0"/>
                    <w:autoSpaceDN w:val="0"/>
                    <w:adjustRightInd w:val="0"/>
                    <w:snapToGrid w:val="0"/>
                    <w:jc w:val="center"/>
                    <w:rPr>
                      <w:color w:val="auto"/>
                      <w:sz w:val="18"/>
                      <w:szCs w:val="18"/>
                      <w:highlight w:val="none"/>
                    </w:rPr>
                  </w:pPr>
                  <w:r>
                    <w:rPr>
                      <w:color w:val="auto"/>
                      <w:sz w:val="18"/>
                      <w:szCs w:val="18"/>
                      <w:highlight w:val="none"/>
                    </w:rPr>
                    <w:t>建筑物插入损失/dB(A)</w:t>
                  </w:r>
                </w:p>
              </w:tc>
              <w:tc>
                <w:tcPr>
                  <w:tcW w:w="833" w:type="pct"/>
                  <w:gridSpan w:val="2"/>
                  <w:noWrap w:val="0"/>
                  <w:vAlign w:val="center"/>
                </w:tcPr>
                <w:p w14:paraId="1ED09BD5">
                  <w:pPr>
                    <w:autoSpaceDE w:val="0"/>
                    <w:autoSpaceDN w:val="0"/>
                    <w:adjustRightInd w:val="0"/>
                    <w:snapToGrid w:val="0"/>
                    <w:jc w:val="center"/>
                    <w:rPr>
                      <w:color w:val="auto"/>
                      <w:sz w:val="18"/>
                      <w:szCs w:val="18"/>
                      <w:highlight w:val="none"/>
                    </w:rPr>
                  </w:pPr>
                  <w:r>
                    <w:rPr>
                      <w:color w:val="auto"/>
                      <w:sz w:val="18"/>
                      <w:szCs w:val="18"/>
                      <w:highlight w:val="none"/>
                    </w:rPr>
                    <w:t>建筑物外噪声</w:t>
                  </w:r>
                </w:p>
              </w:tc>
            </w:tr>
            <w:tr w14:paraId="783E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0" w:hRule="atLeast"/>
                <w:jc w:val="center"/>
              </w:trPr>
              <w:tc>
                <w:tcPr>
                  <w:tcW w:w="159" w:type="pct"/>
                  <w:vMerge w:val="continue"/>
                  <w:noWrap w:val="0"/>
                  <w:vAlign w:val="center"/>
                </w:tcPr>
                <w:p w14:paraId="0C0F42B9">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A731AE8">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18DE4313">
                  <w:pPr>
                    <w:autoSpaceDE w:val="0"/>
                    <w:autoSpaceDN w:val="0"/>
                    <w:adjustRightInd w:val="0"/>
                    <w:snapToGrid w:val="0"/>
                    <w:jc w:val="center"/>
                    <w:rPr>
                      <w:color w:val="auto"/>
                      <w:sz w:val="18"/>
                      <w:szCs w:val="18"/>
                      <w:highlight w:val="none"/>
                    </w:rPr>
                  </w:pPr>
                </w:p>
              </w:tc>
              <w:tc>
                <w:tcPr>
                  <w:tcW w:w="472" w:type="pct"/>
                  <w:noWrap w:val="0"/>
                  <w:vAlign w:val="center"/>
                </w:tcPr>
                <w:p w14:paraId="75BCC98E">
                  <w:pPr>
                    <w:autoSpaceDE w:val="0"/>
                    <w:autoSpaceDN w:val="0"/>
                    <w:adjustRightInd w:val="0"/>
                    <w:snapToGrid w:val="0"/>
                    <w:jc w:val="center"/>
                    <w:rPr>
                      <w:color w:val="auto"/>
                      <w:sz w:val="18"/>
                      <w:szCs w:val="18"/>
                      <w:highlight w:val="none"/>
                    </w:rPr>
                  </w:pPr>
                  <w:r>
                    <w:rPr>
                      <w:color w:val="auto"/>
                      <w:sz w:val="18"/>
                      <w:szCs w:val="18"/>
                      <w:highlight w:val="none"/>
                    </w:rPr>
                    <w:t>声功率级/dB（A）</w:t>
                  </w:r>
                </w:p>
              </w:tc>
              <w:tc>
                <w:tcPr>
                  <w:tcW w:w="292" w:type="pct"/>
                  <w:vMerge w:val="continue"/>
                  <w:noWrap w:val="0"/>
                  <w:vAlign w:val="center"/>
                </w:tcPr>
                <w:p w14:paraId="247DBBC4">
                  <w:pPr>
                    <w:autoSpaceDE w:val="0"/>
                    <w:autoSpaceDN w:val="0"/>
                    <w:adjustRightInd w:val="0"/>
                    <w:snapToGrid w:val="0"/>
                    <w:jc w:val="center"/>
                    <w:rPr>
                      <w:color w:val="auto"/>
                      <w:sz w:val="18"/>
                      <w:szCs w:val="18"/>
                      <w:highlight w:val="none"/>
                    </w:rPr>
                  </w:pPr>
                </w:p>
              </w:tc>
              <w:tc>
                <w:tcPr>
                  <w:tcW w:w="244" w:type="pct"/>
                  <w:noWrap w:val="0"/>
                  <w:vAlign w:val="center"/>
                </w:tcPr>
                <w:p w14:paraId="1C3CDB06">
                  <w:pPr>
                    <w:autoSpaceDE w:val="0"/>
                    <w:autoSpaceDN w:val="0"/>
                    <w:adjustRightInd w:val="0"/>
                    <w:snapToGrid w:val="0"/>
                    <w:jc w:val="center"/>
                    <w:rPr>
                      <w:color w:val="auto"/>
                      <w:sz w:val="18"/>
                      <w:szCs w:val="18"/>
                      <w:highlight w:val="none"/>
                    </w:rPr>
                  </w:pPr>
                  <w:r>
                    <w:rPr>
                      <w:color w:val="auto"/>
                      <w:sz w:val="18"/>
                      <w:szCs w:val="18"/>
                      <w:highlight w:val="none"/>
                    </w:rPr>
                    <w:t>x</w:t>
                  </w:r>
                </w:p>
              </w:tc>
              <w:tc>
                <w:tcPr>
                  <w:tcW w:w="257" w:type="pct"/>
                  <w:noWrap w:val="0"/>
                  <w:vAlign w:val="center"/>
                </w:tcPr>
                <w:p w14:paraId="6C7F9E28">
                  <w:pPr>
                    <w:autoSpaceDE w:val="0"/>
                    <w:autoSpaceDN w:val="0"/>
                    <w:adjustRightInd w:val="0"/>
                    <w:snapToGrid w:val="0"/>
                    <w:jc w:val="center"/>
                    <w:rPr>
                      <w:color w:val="auto"/>
                      <w:sz w:val="18"/>
                      <w:szCs w:val="18"/>
                      <w:highlight w:val="none"/>
                    </w:rPr>
                  </w:pPr>
                  <w:r>
                    <w:rPr>
                      <w:color w:val="auto"/>
                      <w:sz w:val="18"/>
                      <w:szCs w:val="18"/>
                      <w:highlight w:val="none"/>
                    </w:rPr>
                    <w:t>y</w:t>
                  </w:r>
                </w:p>
              </w:tc>
              <w:tc>
                <w:tcPr>
                  <w:tcW w:w="263" w:type="pct"/>
                  <w:noWrap w:val="0"/>
                  <w:vAlign w:val="center"/>
                </w:tcPr>
                <w:p w14:paraId="51A18ACD">
                  <w:pPr>
                    <w:autoSpaceDE w:val="0"/>
                    <w:autoSpaceDN w:val="0"/>
                    <w:adjustRightInd w:val="0"/>
                    <w:snapToGrid w:val="0"/>
                    <w:jc w:val="center"/>
                    <w:rPr>
                      <w:color w:val="auto"/>
                      <w:sz w:val="18"/>
                      <w:szCs w:val="18"/>
                      <w:highlight w:val="none"/>
                    </w:rPr>
                  </w:pPr>
                  <w:r>
                    <w:rPr>
                      <w:color w:val="auto"/>
                      <w:sz w:val="18"/>
                      <w:szCs w:val="18"/>
                      <w:highlight w:val="none"/>
                    </w:rPr>
                    <w:t>z</w:t>
                  </w:r>
                </w:p>
              </w:tc>
              <w:tc>
                <w:tcPr>
                  <w:tcW w:w="876" w:type="pct"/>
                  <w:gridSpan w:val="2"/>
                  <w:vMerge w:val="continue"/>
                  <w:noWrap w:val="0"/>
                  <w:vAlign w:val="center"/>
                </w:tcPr>
                <w:p w14:paraId="472DF00E">
                  <w:pPr>
                    <w:autoSpaceDE w:val="0"/>
                    <w:autoSpaceDN w:val="0"/>
                    <w:adjustRightInd w:val="0"/>
                    <w:snapToGrid w:val="0"/>
                    <w:jc w:val="center"/>
                    <w:rPr>
                      <w:color w:val="auto"/>
                      <w:sz w:val="18"/>
                      <w:szCs w:val="18"/>
                      <w:highlight w:val="none"/>
                    </w:rPr>
                  </w:pPr>
                </w:p>
              </w:tc>
              <w:tc>
                <w:tcPr>
                  <w:tcW w:w="443" w:type="pct"/>
                  <w:vMerge w:val="continue"/>
                  <w:noWrap w:val="0"/>
                  <w:vAlign w:val="center"/>
                </w:tcPr>
                <w:p w14:paraId="421E5016">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263A5FA3">
                  <w:pPr>
                    <w:autoSpaceDE w:val="0"/>
                    <w:autoSpaceDN w:val="0"/>
                    <w:adjustRightInd w:val="0"/>
                    <w:snapToGrid w:val="0"/>
                    <w:jc w:val="center"/>
                    <w:rPr>
                      <w:color w:val="auto"/>
                      <w:sz w:val="18"/>
                      <w:szCs w:val="18"/>
                      <w:highlight w:val="none"/>
                    </w:rPr>
                  </w:pPr>
                </w:p>
              </w:tc>
              <w:tc>
                <w:tcPr>
                  <w:tcW w:w="363" w:type="pct"/>
                  <w:vMerge w:val="continue"/>
                  <w:noWrap w:val="0"/>
                  <w:vAlign w:val="center"/>
                </w:tcPr>
                <w:p w14:paraId="61B7B52F">
                  <w:pPr>
                    <w:autoSpaceDE w:val="0"/>
                    <w:autoSpaceDN w:val="0"/>
                    <w:adjustRightInd w:val="0"/>
                    <w:snapToGrid w:val="0"/>
                    <w:jc w:val="center"/>
                    <w:rPr>
                      <w:color w:val="auto"/>
                      <w:sz w:val="18"/>
                      <w:szCs w:val="18"/>
                      <w:highlight w:val="none"/>
                    </w:rPr>
                  </w:pPr>
                </w:p>
              </w:tc>
              <w:tc>
                <w:tcPr>
                  <w:tcW w:w="394" w:type="pct"/>
                  <w:noWrap w:val="0"/>
                  <w:vAlign w:val="center"/>
                </w:tcPr>
                <w:p w14:paraId="002CDE7B">
                  <w:pPr>
                    <w:autoSpaceDE w:val="0"/>
                    <w:autoSpaceDN w:val="0"/>
                    <w:adjustRightInd w:val="0"/>
                    <w:snapToGrid w:val="0"/>
                    <w:jc w:val="center"/>
                    <w:rPr>
                      <w:color w:val="auto"/>
                      <w:sz w:val="18"/>
                      <w:szCs w:val="18"/>
                      <w:highlight w:val="none"/>
                    </w:rPr>
                  </w:pPr>
                  <w:r>
                    <w:rPr>
                      <w:color w:val="auto"/>
                      <w:sz w:val="18"/>
                      <w:szCs w:val="18"/>
                      <w:highlight w:val="none"/>
                    </w:rPr>
                    <w:t>声压级/dB（A）</w:t>
                  </w:r>
                </w:p>
              </w:tc>
              <w:tc>
                <w:tcPr>
                  <w:tcW w:w="439" w:type="pct"/>
                  <w:noWrap w:val="0"/>
                  <w:vAlign w:val="center"/>
                </w:tcPr>
                <w:p w14:paraId="5602A8AF">
                  <w:pPr>
                    <w:autoSpaceDE w:val="0"/>
                    <w:autoSpaceDN w:val="0"/>
                    <w:adjustRightInd w:val="0"/>
                    <w:snapToGrid w:val="0"/>
                    <w:jc w:val="center"/>
                    <w:rPr>
                      <w:color w:val="auto"/>
                      <w:sz w:val="18"/>
                      <w:szCs w:val="18"/>
                      <w:highlight w:val="none"/>
                    </w:rPr>
                  </w:pPr>
                  <w:r>
                    <w:rPr>
                      <w:color w:val="auto"/>
                      <w:sz w:val="18"/>
                      <w:szCs w:val="18"/>
                      <w:highlight w:val="none"/>
                    </w:rPr>
                    <w:t>建筑物外距距离/m</w:t>
                  </w:r>
                </w:p>
              </w:tc>
            </w:tr>
            <w:tr w14:paraId="3126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restart"/>
                  <w:noWrap w:val="0"/>
                  <w:vAlign w:val="center"/>
                </w:tcPr>
                <w:p w14:paraId="682C6B5F">
                  <w:pPr>
                    <w:autoSpaceDE w:val="0"/>
                    <w:autoSpaceDN w:val="0"/>
                    <w:adjustRightInd w:val="0"/>
                    <w:snapToGrid w:val="0"/>
                    <w:jc w:val="center"/>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东线</w:t>
                  </w:r>
                </w:p>
              </w:tc>
              <w:tc>
                <w:tcPr>
                  <w:tcW w:w="159" w:type="pct"/>
                  <w:vMerge w:val="restart"/>
                  <w:noWrap w:val="0"/>
                  <w:vAlign w:val="center"/>
                </w:tcPr>
                <w:p w14:paraId="16BC4524">
                  <w:pPr>
                    <w:autoSpaceDE w:val="0"/>
                    <w:autoSpaceDN w:val="0"/>
                    <w:adjustRightInd w:val="0"/>
                    <w:snapToGrid w:val="0"/>
                    <w:jc w:val="center"/>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生产车间</w:t>
                  </w:r>
                </w:p>
              </w:tc>
              <w:tc>
                <w:tcPr>
                  <w:tcW w:w="318" w:type="pct"/>
                  <w:vMerge w:val="restart"/>
                  <w:noWrap w:val="0"/>
                  <w:vAlign w:val="center"/>
                </w:tcPr>
                <w:p w14:paraId="5C809A76">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主雷蒙磨</w:t>
                  </w:r>
                </w:p>
              </w:tc>
              <w:tc>
                <w:tcPr>
                  <w:tcW w:w="472" w:type="pct"/>
                  <w:vMerge w:val="restart"/>
                  <w:noWrap w:val="0"/>
                  <w:vAlign w:val="center"/>
                </w:tcPr>
                <w:p w14:paraId="5BE0012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110</w:t>
                  </w:r>
                </w:p>
              </w:tc>
              <w:tc>
                <w:tcPr>
                  <w:tcW w:w="292" w:type="pct"/>
                  <w:vMerge w:val="restart"/>
                  <w:noWrap w:val="0"/>
                  <w:vAlign w:val="center"/>
                </w:tcPr>
                <w:p w14:paraId="271141E7">
                  <w:pPr>
                    <w:autoSpaceDE w:val="0"/>
                    <w:autoSpaceDN w:val="0"/>
                    <w:adjustRightInd w:val="0"/>
                    <w:snapToGrid w:val="0"/>
                    <w:jc w:val="center"/>
                    <w:rPr>
                      <w:color w:val="auto"/>
                      <w:sz w:val="18"/>
                      <w:szCs w:val="18"/>
                      <w:highlight w:val="none"/>
                    </w:rPr>
                  </w:pPr>
                  <w:r>
                    <w:rPr>
                      <w:color w:val="auto"/>
                      <w:sz w:val="18"/>
                      <w:szCs w:val="18"/>
                      <w:highlight w:val="none"/>
                    </w:rPr>
                    <w:t>选用低噪设备，基础减振、</w:t>
                  </w:r>
                  <w:r>
                    <w:rPr>
                      <w:bCs/>
                      <w:color w:val="auto"/>
                      <w:sz w:val="18"/>
                      <w:szCs w:val="18"/>
                      <w:highlight w:val="none"/>
                    </w:rPr>
                    <w:t>厂房隔声等措施</w:t>
                  </w:r>
                </w:p>
              </w:tc>
              <w:tc>
                <w:tcPr>
                  <w:tcW w:w="244" w:type="pct"/>
                  <w:vMerge w:val="restart"/>
                  <w:noWrap w:val="0"/>
                  <w:vAlign w:val="center"/>
                </w:tcPr>
                <w:p w14:paraId="7C96CAC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490.89</w:t>
                  </w:r>
                </w:p>
              </w:tc>
              <w:tc>
                <w:tcPr>
                  <w:tcW w:w="257" w:type="pct"/>
                  <w:vMerge w:val="restart"/>
                  <w:noWrap w:val="0"/>
                  <w:vAlign w:val="center"/>
                </w:tcPr>
                <w:p w14:paraId="3125AB0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493.46</w:t>
                  </w:r>
                </w:p>
              </w:tc>
              <w:tc>
                <w:tcPr>
                  <w:tcW w:w="263" w:type="pct"/>
                  <w:vMerge w:val="restart"/>
                  <w:noWrap w:val="0"/>
                  <w:vAlign w:val="center"/>
                </w:tcPr>
                <w:p w14:paraId="7E5A4613">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w:t>
                  </w:r>
                </w:p>
              </w:tc>
              <w:tc>
                <w:tcPr>
                  <w:tcW w:w="531" w:type="pct"/>
                  <w:noWrap w:val="0"/>
                  <w:vAlign w:val="center"/>
                </w:tcPr>
                <w:p w14:paraId="14D5BC2F">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1D20B52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121E0B7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73.37</w:t>
                  </w:r>
                </w:p>
              </w:tc>
              <w:tc>
                <w:tcPr>
                  <w:tcW w:w="318" w:type="pct"/>
                  <w:vMerge w:val="restart"/>
                  <w:noWrap w:val="0"/>
                  <w:vAlign w:val="center"/>
                </w:tcPr>
                <w:p w14:paraId="37F30953">
                  <w:pPr>
                    <w:autoSpaceDE w:val="0"/>
                    <w:autoSpaceDN w:val="0"/>
                    <w:adjustRightInd w:val="0"/>
                    <w:snapToGrid w:val="0"/>
                    <w:jc w:val="center"/>
                    <w:rPr>
                      <w:color w:val="auto"/>
                      <w:sz w:val="18"/>
                      <w:szCs w:val="18"/>
                      <w:highlight w:val="none"/>
                    </w:rPr>
                  </w:pPr>
                  <w:r>
                    <w:rPr>
                      <w:color w:val="auto"/>
                      <w:sz w:val="18"/>
                      <w:szCs w:val="18"/>
                      <w:highlight w:val="none"/>
                    </w:rPr>
                    <w:t>昼</w:t>
                  </w:r>
                  <w:r>
                    <w:rPr>
                      <w:rFonts w:hint="eastAsia"/>
                      <w:color w:val="auto"/>
                      <w:sz w:val="18"/>
                      <w:szCs w:val="18"/>
                      <w:highlight w:val="none"/>
                    </w:rPr>
                    <w:t>、夜</w:t>
                  </w:r>
                </w:p>
              </w:tc>
              <w:tc>
                <w:tcPr>
                  <w:tcW w:w="363" w:type="pct"/>
                  <w:noWrap w:val="0"/>
                  <w:vAlign w:val="center"/>
                </w:tcPr>
                <w:p w14:paraId="709C0730">
                  <w:pPr>
                    <w:widowControl/>
                    <w:jc w:val="center"/>
                    <w:textAlignment w:val="center"/>
                    <w:rPr>
                      <w:rFonts w:hint="eastAsia" w:eastAsia="宋体"/>
                      <w:color w:val="auto"/>
                      <w:sz w:val="18"/>
                      <w:szCs w:val="18"/>
                      <w:highlight w:val="none"/>
                      <w:lang w:eastAsia="zh-CN"/>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BCCEECC">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83.37</w:t>
                  </w:r>
                </w:p>
              </w:tc>
              <w:tc>
                <w:tcPr>
                  <w:tcW w:w="439" w:type="pct"/>
                  <w:noWrap w:val="0"/>
                  <w:vAlign w:val="center"/>
                </w:tcPr>
                <w:p w14:paraId="7B3E156D">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61FF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8630D1E">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481A3D63">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4BDB72F">
                  <w:pPr>
                    <w:jc w:val="center"/>
                    <w:rPr>
                      <w:color w:val="auto"/>
                      <w:sz w:val="18"/>
                      <w:szCs w:val="18"/>
                      <w:highlight w:val="none"/>
                    </w:rPr>
                  </w:pPr>
                </w:p>
              </w:tc>
              <w:tc>
                <w:tcPr>
                  <w:tcW w:w="472" w:type="pct"/>
                  <w:vMerge w:val="continue"/>
                  <w:noWrap w:val="0"/>
                  <w:vAlign w:val="center"/>
                </w:tcPr>
                <w:p w14:paraId="7986249F">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1AD85A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F856C5D">
                  <w:pPr>
                    <w:widowControl/>
                    <w:jc w:val="center"/>
                    <w:textAlignment w:val="center"/>
                    <w:rPr>
                      <w:color w:val="auto"/>
                      <w:kern w:val="0"/>
                      <w:sz w:val="18"/>
                      <w:szCs w:val="18"/>
                      <w:highlight w:val="none"/>
                      <w:lang w:bidi="ar"/>
                    </w:rPr>
                  </w:pPr>
                </w:p>
              </w:tc>
              <w:tc>
                <w:tcPr>
                  <w:tcW w:w="257" w:type="pct"/>
                  <w:vMerge w:val="continue"/>
                  <w:noWrap w:val="0"/>
                  <w:vAlign w:val="center"/>
                </w:tcPr>
                <w:p w14:paraId="7CEDA92C">
                  <w:pPr>
                    <w:widowControl/>
                    <w:jc w:val="center"/>
                    <w:textAlignment w:val="center"/>
                    <w:rPr>
                      <w:color w:val="auto"/>
                      <w:kern w:val="0"/>
                      <w:sz w:val="18"/>
                      <w:szCs w:val="18"/>
                      <w:highlight w:val="none"/>
                      <w:lang w:bidi="ar"/>
                    </w:rPr>
                  </w:pPr>
                </w:p>
              </w:tc>
              <w:tc>
                <w:tcPr>
                  <w:tcW w:w="263" w:type="pct"/>
                  <w:vMerge w:val="continue"/>
                  <w:noWrap w:val="0"/>
                  <w:vAlign w:val="center"/>
                </w:tcPr>
                <w:p w14:paraId="7CF31FE9">
                  <w:pPr>
                    <w:widowControl/>
                    <w:jc w:val="center"/>
                    <w:textAlignment w:val="center"/>
                    <w:rPr>
                      <w:color w:val="auto"/>
                      <w:kern w:val="0"/>
                      <w:sz w:val="18"/>
                      <w:szCs w:val="18"/>
                      <w:highlight w:val="none"/>
                      <w:lang w:bidi="ar"/>
                    </w:rPr>
                  </w:pPr>
                </w:p>
              </w:tc>
              <w:tc>
                <w:tcPr>
                  <w:tcW w:w="531" w:type="pct"/>
                  <w:noWrap w:val="0"/>
                  <w:vAlign w:val="center"/>
                </w:tcPr>
                <w:p w14:paraId="7326E848">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91C022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443" w:type="pct"/>
                  <w:noWrap w:val="0"/>
                  <w:vAlign w:val="center"/>
                </w:tcPr>
                <w:p w14:paraId="6299668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76.89</w:t>
                  </w:r>
                </w:p>
              </w:tc>
              <w:tc>
                <w:tcPr>
                  <w:tcW w:w="318" w:type="pct"/>
                  <w:vMerge w:val="continue"/>
                  <w:noWrap w:val="0"/>
                  <w:vAlign w:val="center"/>
                </w:tcPr>
                <w:p w14:paraId="392999E5">
                  <w:pPr>
                    <w:autoSpaceDE w:val="0"/>
                    <w:autoSpaceDN w:val="0"/>
                    <w:adjustRightInd w:val="0"/>
                    <w:snapToGrid w:val="0"/>
                    <w:jc w:val="center"/>
                    <w:rPr>
                      <w:color w:val="auto"/>
                      <w:sz w:val="18"/>
                      <w:szCs w:val="18"/>
                      <w:highlight w:val="none"/>
                    </w:rPr>
                  </w:pPr>
                </w:p>
              </w:tc>
              <w:tc>
                <w:tcPr>
                  <w:tcW w:w="363" w:type="pct"/>
                  <w:noWrap w:val="0"/>
                  <w:vAlign w:val="center"/>
                </w:tcPr>
                <w:p w14:paraId="5CAD0503">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D2AA058">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56.89</w:t>
                  </w:r>
                </w:p>
              </w:tc>
              <w:tc>
                <w:tcPr>
                  <w:tcW w:w="439" w:type="pct"/>
                  <w:noWrap w:val="0"/>
                  <w:vAlign w:val="center"/>
                </w:tcPr>
                <w:p w14:paraId="10AF93E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1A9A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3EAC33A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5CD0045">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46FB031">
                  <w:pPr>
                    <w:jc w:val="center"/>
                    <w:rPr>
                      <w:color w:val="auto"/>
                      <w:sz w:val="18"/>
                      <w:szCs w:val="18"/>
                      <w:highlight w:val="none"/>
                    </w:rPr>
                  </w:pPr>
                </w:p>
              </w:tc>
              <w:tc>
                <w:tcPr>
                  <w:tcW w:w="472" w:type="pct"/>
                  <w:vMerge w:val="continue"/>
                  <w:noWrap w:val="0"/>
                  <w:vAlign w:val="center"/>
                </w:tcPr>
                <w:p w14:paraId="7DE7E23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27900C24">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B78994E">
                  <w:pPr>
                    <w:widowControl/>
                    <w:jc w:val="center"/>
                    <w:textAlignment w:val="center"/>
                    <w:rPr>
                      <w:color w:val="auto"/>
                      <w:kern w:val="0"/>
                      <w:sz w:val="18"/>
                      <w:szCs w:val="18"/>
                      <w:highlight w:val="none"/>
                      <w:lang w:bidi="ar"/>
                    </w:rPr>
                  </w:pPr>
                </w:p>
              </w:tc>
              <w:tc>
                <w:tcPr>
                  <w:tcW w:w="257" w:type="pct"/>
                  <w:vMerge w:val="continue"/>
                  <w:noWrap w:val="0"/>
                  <w:vAlign w:val="center"/>
                </w:tcPr>
                <w:p w14:paraId="6B9AFE4F">
                  <w:pPr>
                    <w:widowControl/>
                    <w:jc w:val="center"/>
                    <w:textAlignment w:val="center"/>
                    <w:rPr>
                      <w:color w:val="auto"/>
                      <w:kern w:val="0"/>
                      <w:sz w:val="18"/>
                      <w:szCs w:val="18"/>
                      <w:highlight w:val="none"/>
                      <w:lang w:bidi="ar"/>
                    </w:rPr>
                  </w:pPr>
                </w:p>
              </w:tc>
              <w:tc>
                <w:tcPr>
                  <w:tcW w:w="263" w:type="pct"/>
                  <w:vMerge w:val="continue"/>
                  <w:noWrap w:val="0"/>
                  <w:vAlign w:val="center"/>
                </w:tcPr>
                <w:p w14:paraId="360026D1">
                  <w:pPr>
                    <w:widowControl/>
                    <w:jc w:val="center"/>
                    <w:textAlignment w:val="center"/>
                    <w:rPr>
                      <w:color w:val="auto"/>
                      <w:kern w:val="0"/>
                      <w:sz w:val="18"/>
                      <w:szCs w:val="18"/>
                      <w:highlight w:val="none"/>
                      <w:lang w:bidi="ar"/>
                    </w:rPr>
                  </w:pPr>
                </w:p>
              </w:tc>
              <w:tc>
                <w:tcPr>
                  <w:tcW w:w="531" w:type="pct"/>
                  <w:noWrap w:val="0"/>
                  <w:vAlign w:val="center"/>
                </w:tcPr>
                <w:p w14:paraId="56673979">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6F3FFE6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0F50C0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73.70</w:t>
                  </w:r>
                </w:p>
              </w:tc>
              <w:tc>
                <w:tcPr>
                  <w:tcW w:w="318" w:type="pct"/>
                  <w:vMerge w:val="continue"/>
                  <w:noWrap w:val="0"/>
                  <w:vAlign w:val="center"/>
                </w:tcPr>
                <w:p w14:paraId="622F1884">
                  <w:pPr>
                    <w:autoSpaceDE w:val="0"/>
                    <w:autoSpaceDN w:val="0"/>
                    <w:adjustRightInd w:val="0"/>
                    <w:snapToGrid w:val="0"/>
                    <w:jc w:val="center"/>
                    <w:rPr>
                      <w:color w:val="auto"/>
                      <w:sz w:val="18"/>
                      <w:szCs w:val="18"/>
                      <w:highlight w:val="none"/>
                    </w:rPr>
                  </w:pPr>
                </w:p>
              </w:tc>
              <w:tc>
                <w:tcPr>
                  <w:tcW w:w="363" w:type="pct"/>
                  <w:noWrap w:val="0"/>
                  <w:vAlign w:val="center"/>
                </w:tcPr>
                <w:p w14:paraId="06F94413">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E5EFC1B">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53.70</w:t>
                  </w:r>
                </w:p>
              </w:tc>
              <w:tc>
                <w:tcPr>
                  <w:tcW w:w="439" w:type="pct"/>
                  <w:noWrap w:val="0"/>
                  <w:vAlign w:val="center"/>
                </w:tcPr>
                <w:p w14:paraId="7A4C5BBB">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F0F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0AEE358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2AC7EF2">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DDEC41A">
                  <w:pPr>
                    <w:jc w:val="center"/>
                    <w:rPr>
                      <w:color w:val="auto"/>
                      <w:sz w:val="18"/>
                      <w:szCs w:val="18"/>
                      <w:highlight w:val="none"/>
                    </w:rPr>
                  </w:pPr>
                </w:p>
              </w:tc>
              <w:tc>
                <w:tcPr>
                  <w:tcW w:w="472" w:type="pct"/>
                  <w:vMerge w:val="continue"/>
                  <w:noWrap w:val="0"/>
                  <w:vAlign w:val="center"/>
                </w:tcPr>
                <w:p w14:paraId="7F6416D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D9514E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AB873CB">
                  <w:pPr>
                    <w:widowControl/>
                    <w:jc w:val="center"/>
                    <w:textAlignment w:val="center"/>
                    <w:rPr>
                      <w:color w:val="auto"/>
                      <w:kern w:val="0"/>
                      <w:sz w:val="18"/>
                      <w:szCs w:val="18"/>
                      <w:highlight w:val="none"/>
                      <w:lang w:bidi="ar"/>
                    </w:rPr>
                  </w:pPr>
                </w:p>
              </w:tc>
              <w:tc>
                <w:tcPr>
                  <w:tcW w:w="257" w:type="pct"/>
                  <w:vMerge w:val="continue"/>
                  <w:noWrap w:val="0"/>
                  <w:vAlign w:val="center"/>
                </w:tcPr>
                <w:p w14:paraId="16289C5B">
                  <w:pPr>
                    <w:widowControl/>
                    <w:jc w:val="center"/>
                    <w:textAlignment w:val="center"/>
                    <w:rPr>
                      <w:color w:val="auto"/>
                      <w:kern w:val="0"/>
                      <w:sz w:val="18"/>
                      <w:szCs w:val="18"/>
                      <w:highlight w:val="none"/>
                      <w:lang w:bidi="ar"/>
                    </w:rPr>
                  </w:pPr>
                </w:p>
              </w:tc>
              <w:tc>
                <w:tcPr>
                  <w:tcW w:w="263" w:type="pct"/>
                  <w:vMerge w:val="continue"/>
                  <w:noWrap w:val="0"/>
                  <w:vAlign w:val="center"/>
                </w:tcPr>
                <w:p w14:paraId="560AD8B1">
                  <w:pPr>
                    <w:widowControl/>
                    <w:jc w:val="center"/>
                    <w:textAlignment w:val="center"/>
                    <w:rPr>
                      <w:color w:val="auto"/>
                      <w:kern w:val="0"/>
                      <w:sz w:val="18"/>
                      <w:szCs w:val="18"/>
                      <w:highlight w:val="none"/>
                      <w:lang w:bidi="ar"/>
                    </w:rPr>
                  </w:pPr>
                </w:p>
              </w:tc>
              <w:tc>
                <w:tcPr>
                  <w:tcW w:w="531" w:type="pct"/>
                  <w:noWrap w:val="0"/>
                  <w:vAlign w:val="center"/>
                </w:tcPr>
                <w:p w14:paraId="3B603BA5">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0DE1F9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10</w:t>
                  </w:r>
                </w:p>
              </w:tc>
              <w:tc>
                <w:tcPr>
                  <w:tcW w:w="443" w:type="pct"/>
                  <w:noWrap w:val="0"/>
                  <w:vAlign w:val="center"/>
                </w:tcPr>
                <w:p w14:paraId="4983DD7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82.0</w:t>
                  </w:r>
                </w:p>
              </w:tc>
              <w:tc>
                <w:tcPr>
                  <w:tcW w:w="318" w:type="pct"/>
                  <w:vMerge w:val="continue"/>
                  <w:noWrap w:val="0"/>
                  <w:vAlign w:val="center"/>
                </w:tcPr>
                <w:p w14:paraId="0D8BA260">
                  <w:pPr>
                    <w:autoSpaceDE w:val="0"/>
                    <w:autoSpaceDN w:val="0"/>
                    <w:adjustRightInd w:val="0"/>
                    <w:snapToGrid w:val="0"/>
                    <w:jc w:val="center"/>
                    <w:rPr>
                      <w:color w:val="auto"/>
                      <w:sz w:val="18"/>
                      <w:szCs w:val="18"/>
                      <w:highlight w:val="none"/>
                    </w:rPr>
                  </w:pPr>
                </w:p>
              </w:tc>
              <w:tc>
                <w:tcPr>
                  <w:tcW w:w="363" w:type="pct"/>
                  <w:noWrap w:val="0"/>
                  <w:vAlign w:val="center"/>
                </w:tcPr>
                <w:p w14:paraId="1A881DD2">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A6F0FBB">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62.0</w:t>
                  </w:r>
                </w:p>
              </w:tc>
              <w:tc>
                <w:tcPr>
                  <w:tcW w:w="439" w:type="pct"/>
                  <w:noWrap w:val="0"/>
                  <w:vAlign w:val="center"/>
                </w:tcPr>
                <w:p w14:paraId="709D81EF">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E97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2DF5A4E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2A6CEF2">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08AFC26E">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循环风机</w:t>
                  </w:r>
                </w:p>
              </w:tc>
              <w:tc>
                <w:tcPr>
                  <w:tcW w:w="472" w:type="pct"/>
                  <w:vMerge w:val="restart"/>
                  <w:noWrap w:val="0"/>
                  <w:vAlign w:val="center"/>
                </w:tcPr>
                <w:p w14:paraId="56A26525">
                  <w:pPr>
                    <w:widowControl/>
                    <w:jc w:val="center"/>
                    <w:textAlignment w:val="center"/>
                    <w:rPr>
                      <w:color w:val="auto"/>
                      <w:kern w:val="0"/>
                      <w:sz w:val="18"/>
                      <w:szCs w:val="18"/>
                      <w:highlight w:val="none"/>
                      <w:lang w:bidi="ar"/>
                    </w:rPr>
                  </w:pPr>
                  <w:r>
                    <w:rPr>
                      <w:color w:val="auto"/>
                      <w:kern w:val="0"/>
                      <w:sz w:val="18"/>
                      <w:szCs w:val="18"/>
                      <w:highlight w:val="none"/>
                      <w:lang w:bidi="ar"/>
                    </w:rPr>
                    <w:t>80</w:t>
                  </w:r>
                </w:p>
              </w:tc>
              <w:tc>
                <w:tcPr>
                  <w:tcW w:w="292" w:type="pct"/>
                  <w:vMerge w:val="continue"/>
                  <w:noWrap w:val="0"/>
                  <w:vAlign w:val="center"/>
                </w:tcPr>
                <w:p w14:paraId="181F11A2">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01244B2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489.31</w:t>
                  </w:r>
                </w:p>
              </w:tc>
              <w:tc>
                <w:tcPr>
                  <w:tcW w:w="257" w:type="pct"/>
                  <w:vMerge w:val="restart"/>
                  <w:noWrap w:val="0"/>
                  <w:vAlign w:val="center"/>
                </w:tcPr>
                <w:p w14:paraId="47F2C4D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494.09</w:t>
                  </w:r>
                </w:p>
              </w:tc>
              <w:tc>
                <w:tcPr>
                  <w:tcW w:w="263" w:type="pct"/>
                  <w:vMerge w:val="restart"/>
                  <w:noWrap w:val="0"/>
                  <w:vAlign w:val="center"/>
                </w:tcPr>
                <w:p w14:paraId="134027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531" w:type="pct"/>
                  <w:noWrap w:val="0"/>
                  <w:vAlign w:val="center"/>
                </w:tcPr>
                <w:p w14:paraId="500AAEED">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9C0F1F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w:t>
                  </w:r>
                </w:p>
              </w:tc>
              <w:tc>
                <w:tcPr>
                  <w:tcW w:w="443" w:type="pct"/>
                  <w:noWrap w:val="0"/>
                  <w:vAlign w:val="center"/>
                </w:tcPr>
                <w:p w14:paraId="06A86FF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42.75</w:t>
                  </w:r>
                </w:p>
              </w:tc>
              <w:tc>
                <w:tcPr>
                  <w:tcW w:w="318" w:type="pct"/>
                  <w:vMerge w:val="continue"/>
                  <w:noWrap w:val="0"/>
                  <w:vAlign w:val="center"/>
                </w:tcPr>
                <w:p w14:paraId="163F99E7">
                  <w:pPr>
                    <w:autoSpaceDE w:val="0"/>
                    <w:autoSpaceDN w:val="0"/>
                    <w:adjustRightInd w:val="0"/>
                    <w:snapToGrid w:val="0"/>
                    <w:jc w:val="center"/>
                    <w:rPr>
                      <w:color w:val="auto"/>
                      <w:sz w:val="18"/>
                      <w:szCs w:val="18"/>
                      <w:highlight w:val="none"/>
                    </w:rPr>
                  </w:pPr>
                </w:p>
              </w:tc>
              <w:tc>
                <w:tcPr>
                  <w:tcW w:w="363" w:type="pct"/>
                  <w:noWrap w:val="0"/>
                  <w:vAlign w:val="center"/>
                </w:tcPr>
                <w:p w14:paraId="32C5069B">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BDE986A">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22.75</w:t>
                  </w:r>
                </w:p>
              </w:tc>
              <w:tc>
                <w:tcPr>
                  <w:tcW w:w="439" w:type="pct"/>
                  <w:noWrap w:val="0"/>
                  <w:vAlign w:val="center"/>
                </w:tcPr>
                <w:p w14:paraId="28D04BBE">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3B2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53617E1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1F29CC0">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07B7126">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6D974B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7ED040E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AD2C6C6">
                  <w:pPr>
                    <w:widowControl/>
                    <w:jc w:val="center"/>
                    <w:textAlignment w:val="center"/>
                    <w:rPr>
                      <w:color w:val="auto"/>
                      <w:kern w:val="0"/>
                      <w:sz w:val="18"/>
                      <w:szCs w:val="18"/>
                      <w:highlight w:val="none"/>
                      <w:lang w:bidi="ar"/>
                    </w:rPr>
                  </w:pPr>
                </w:p>
              </w:tc>
              <w:tc>
                <w:tcPr>
                  <w:tcW w:w="257" w:type="pct"/>
                  <w:vMerge w:val="continue"/>
                  <w:noWrap w:val="0"/>
                  <w:vAlign w:val="center"/>
                </w:tcPr>
                <w:p w14:paraId="11C1D35B">
                  <w:pPr>
                    <w:widowControl/>
                    <w:jc w:val="center"/>
                    <w:textAlignment w:val="center"/>
                    <w:rPr>
                      <w:color w:val="auto"/>
                      <w:kern w:val="0"/>
                      <w:sz w:val="18"/>
                      <w:szCs w:val="18"/>
                      <w:highlight w:val="none"/>
                      <w:lang w:bidi="ar"/>
                    </w:rPr>
                  </w:pPr>
                </w:p>
              </w:tc>
              <w:tc>
                <w:tcPr>
                  <w:tcW w:w="263" w:type="pct"/>
                  <w:vMerge w:val="continue"/>
                  <w:noWrap w:val="0"/>
                  <w:vAlign w:val="center"/>
                </w:tcPr>
                <w:p w14:paraId="1F2B0B3D">
                  <w:pPr>
                    <w:widowControl/>
                    <w:jc w:val="center"/>
                    <w:textAlignment w:val="center"/>
                    <w:rPr>
                      <w:color w:val="auto"/>
                      <w:kern w:val="0"/>
                      <w:sz w:val="18"/>
                      <w:szCs w:val="18"/>
                      <w:highlight w:val="none"/>
                      <w:lang w:bidi="ar"/>
                    </w:rPr>
                  </w:pPr>
                </w:p>
              </w:tc>
              <w:tc>
                <w:tcPr>
                  <w:tcW w:w="531" w:type="pct"/>
                  <w:noWrap w:val="0"/>
                  <w:vAlign w:val="center"/>
                </w:tcPr>
                <w:p w14:paraId="5230115A">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3587D8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19</w:t>
                  </w:r>
                </w:p>
              </w:tc>
              <w:tc>
                <w:tcPr>
                  <w:tcW w:w="443" w:type="pct"/>
                  <w:noWrap w:val="0"/>
                  <w:vAlign w:val="center"/>
                </w:tcPr>
                <w:p w14:paraId="2997C99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46.42</w:t>
                  </w:r>
                </w:p>
              </w:tc>
              <w:tc>
                <w:tcPr>
                  <w:tcW w:w="318" w:type="pct"/>
                  <w:vMerge w:val="continue"/>
                  <w:noWrap w:val="0"/>
                  <w:vAlign w:val="center"/>
                </w:tcPr>
                <w:p w14:paraId="189F31F2">
                  <w:pPr>
                    <w:autoSpaceDE w:val="0"/>
                    <w:autoSpaceDN w:val="0"/>
                    <w:adjustRightInd w:val="0"/>
                    <w:snapToGrid w:val="0"/>
                    <w:jc w:val="center"/>
                    <w:rPr>
                      <w:color w:val="auto"/>
                      <w:sz w:val="18"/>
                      <w:szCs w:val="18"/>
                      <w:highlight w:val="none"/>
                    </w:rPr>
                  </w:pPr>
                </w:p>
              </w:tc>
              <w:tc>
                <w:tcPr>
                  <w:tcW w:w="363" w:type="pct"/>
                  <w:noWrap w:val="0"/>
                  <w:vAlign w:val="center"/>
                </w:tcPr>
                <w:p w14:paraId="61EB8172">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F1B0BF5">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26.42</w:t>
                  </w:r>
                </w:p>
              </w:tc>
              <w:tc>
                <w:tcPr>
                  <w:tcW w:w="439" w:type="pct"/>
                  <w:noWrap w:val="0"/>
                  <w:vAlign w:val="center"/>
                </w:tcPr>
                <w:p w14:paraId="683F206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227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4F9235E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444D4B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14143DC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D11E482">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1BC2EE9">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27088E7">
                  <w:pPr>
                    <w:widowControl/>
                    <w:jc w:val="center"/>
                    <w:textAlignment w:val="center"/>
                    <w:rPr>
                      <w:color w:val="auto"/>
                      <w:kern w:val="0"/>
                      <w:sz w:val="18"/>
                      <w:szCs w:val="18"/>
                      <w:highlight w:val="none"/>
                      <w:lang w:bidi="ar"/>
                    </w:rPr>
                  </w:pPr>
                </w:p>
              </w:tc>
              <w:tc>
                <w:tcPr>
                  <w:tcW w:w="257" w:type="pct"/>
                  <w:vMerge w:val="continue"/>
                  <w:noWrap w:val="0"/>
                  <w:vAlign w:val="center"/>
                </w:tcPr>
                <w:p w14:paraId="7F182F59">
                  <w:pPr>
                    <w:widowControl/>
                    <w:jc w:val="center"/>
                    <w:textAlignment w:val="center"/>
                    <w:rPr>
                      <w:color w:val="auto"/>
                      <w:kern w:val="0"/>
                      <w:sz w:val="18"/>
                      <w:szCs w:val="18"/>
                      <w:highlight w:val="none"/>
                      <w:lang w:bidi="ar"/>
                    </w:rPr>
                  </w:pPr>
                </w:p>
              </w:tc>
              <w:tc>
                <w:tcPr>
                  <w:tcW w:w="263" w:type="pct"/>
                  <w:vMerge w:val="continue"/>
                  <w:noWrap w:val="0"/>
                  <w:vAlign w:val="center"/>
                </w:tcPr>
                <w:p w14:paraId="2E526444">
                  <w:pPr>
                    <w:widowControl/>
                    <w:jc w:val="center"/>
                    <w:textAlignment w:val="center"/>
                    <w:rPr>
                      <w:color w:val="auto"/>
                      <w:kern w:val="0"/>
                      <w:sz w:val="18"/>
                      <w:szCs w:val="18"/>
                      <w:highlight w:val="none"/>
                      <w:lang w:bidi="ar"/>
                    </w:rPr>
                  </w:pPr>
                </w:p>
              </w:tc>
              <w:tc>
                <w:tcPr>
                  <w:tcW w:w="531" w:type="pct"/>
                  <w:noWrap w:val="0"/>
                  <w:vAlign w:val="center"/>
                </w:tcPr>
                <w:p w14:paraId="1238A28E">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1734C78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w:t>
                  </w:r>
                </w:p>
              </w:tc>
              <w:tc>
                <w:tcPr>
                  <w:tcW w:w="443" w:type="pct"/>
                  <w:noWrap w:val="0"/>
                  <w:vAlign w:val="center"/>
                </w:tcPr>
                <w:p w14:paraId="2A0B787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44.40</w:t>
                  </w:r>
                </w:p>
              </w:tc>
              <w:tc>
                <w:tcPr>
                  <w:tcW w:w="318" w:type="pct"/>
                  <w:vMerge w:val="continue"/>
                  <w:noWrap w:val="0"/>
                  <w:vAlign w:val="center"/>
                </w:tcPr>
                <w:p w14:paraId="26767B4A">
                  <w:pPr>
                    <w:autoSpaceDE w:val="0"/>
                    <w:autoSpaceDN w:val="0"/>
                    <w:adjustRightInd w:val="0"/>
                    <w:snapToGrid w:val="0"/>
                    <w:jc w:val="center"/>
                    <w:rPr>
                      <w:color w:val="auto"/>
                      <w:sz w:val="18"/>
                      <w:szCs w:val="18"/>
                      <w:highlight w:val="none"/>
                    </w:rPr>
                  </w:pPr>
                </w:p>
              </w:tc>
              <w:tc>
                <w:tcPr>
                  <w:tcW w:w="363" w:type="pct"/>
                  <w:noWrap w:val="0"/>
                  <w:vAlign w:val="center"/>
                </w:tcPr>
                <w:p w14:paraId="506CC3FD">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F43DB24">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24.40</w:t>
                  </w:r>
                </w:p>
              </w:tc>
              <w:tc>
                <w:tcPr>
                  <w:tcW w:w="439" w:type="pct"/>
                  <w:noWrap w:val="0"/>
                  <w:vAlign w:val="center"/>
                </w:tcPr>
                <w:p w14:paraId="1B6759D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0B8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370933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A3D2465">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63ACC98">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DBC782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432BAF0">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6C0D83A1">
                  <w:pPr>
                    <w:widowControl/>
                    <w:jc w:val="center"/>
                    <w:textAlignment w:val="center"/>
                    <w:rPr>
                      <w:color w:val="auto"/>
                      <w:kern w:val="0"/>
                      <w:sz w:val="18"/>
                      <w:szCs w:val="18"/>
                      <w:highlight w:val="none"/>
                      <w:lang w:bidi="ar"/>
                    </w:rPr>
                  </w:pPr>
                </w:p>
              </w:tc>
              <w:tc>
                <w:tcPr>
                  <w:tcW w:w="257" w:type="pct"/>
                  <w:vMerge w:val="continue"/>
                  <w:noWrap w:val="0"/>
                  <w:vAlign w:val="center"/>
                </w:tcPr>
                <w:p w14:paraId="37414E34">
                  <w:pPr>
                    <w:widowControl/>
                    <w:jc w:val="center"/>
                    <w:textAlignment w:val="center"/>
                    <w:rPr>
                      <w:color w:val="auto"/>
                      <w:kern w:val="0"/>
                      <w:sz w:val="18"/>
                      <w:szCs w:val="18"/>
                      <w:highlight w:val="none"/>
                      <w:lang w:bidi="ar"/>
                    </w:rPr>
                  </w:pPr>
                </w:p>
              </w:tc>
              <w:tc>
                <w:tcPr>
                  <w:tcW w:w="263" w:type="pct"/>
                  <w:vMerge w:val="continue"/>
                  <w:noWrap w:val="0"/>
                  <w:vAlign w:val="center"/>
                </w:tcPr>
                <w:p w14:paraId="3DDC94F2">
                  <w:pPr>
                    <w:widowControl/>
                    <w:jc w:val="center"/>
                    <w:textAlignment w:val="center"/>
                    <w:rPr>
                      <w:color w:val="auto"/>
                      <w:kern w:val="0"/>
                      <w:sz w:val="18"/>
                      <w:szCs w:val="18"/>
                      <w:highlight w:val="none"/>
                      <w:lang w:bidi="ar"/>
                    </w:rPr>
                  </w:pPr>
                </w:p>
              </w:tc>
              <w:tc>
                <w:tcPr>
                  <w:tcW w:w="531" w:type="pct"/>
                  <w:noWrap w:val="0"/>
                  <w:vAlign w:val="center"/>
                </w:tcPr>
                <w:p w14:paraId="2F67CAF4">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7935FAD">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9</w:t>
                  </w:r>
                </w:p>
              </w:tc>
              <w:tc>
                <w:tcPr>
                  <w:tcW w:w="443" w:type="pct"/>
                  <w:noWrap w:val="0"/>
                  <w:vAlign w:val="center"/>
                </w:tcPr>
                <w:p w14:paraId="6499E1F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52.92</w:t>
                  </w:r>
                </w:p>
              </w:tc>
              <w:tc>
                <w:tcPr>
                  <w:tcW w:w="318" w:type="pct"/>
                  <w:vMerge w:val="continue"/>
                  <w:noWrap w:val="0"/>
                  <w:vAlign w:val="center"/>
                </w:tcPr>
                <w:p w14:paraId="0259B144">
                  <w:pPr>
                    <w:autoSpaceDE w:val="0"/>
                    <w:autoSpaceDN w:val="0"/>
                    <w:adjustRightInd w:val="0"/>
                    <w:snapToGrid w:val="0"/>
                    <w:jc w:val="center"/>
                    <w:rPr>
                      <w:color w:val="auto"/>
                      <w:sz w:val="18"/>
                      <w:szCs w:val="18"/>
                      <w:highlight w:val="none"/>
                    </w:rPr>
                  </w:pPr>
                </w:p>
              </w:tc>
              <w:tc>
                <w:tcPr>
                  <w:tcW w:w="363" w:type="pct"/>
                  <w:noWrap w:val="0"/>
                  <w:vAlign w:val="center"/>
                </w:tcPr>
                <w:p w14:paraId="768A59EC">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F0F82AC">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32.92</w:t>
                  </w:r>
                </w:p>
              </w:tc>
              <w:tc>
                <w:tcPr>
                  <w:tcW w:w="439" w:type="pct"/>
                  <w:noWrap w:val="0"/>
                  <w:vAlign w:val="center"/>
                </w:tcPr>
                <w:p w14:paraId="4743D3A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AC6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77F073">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EC5F0B0">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362AF56C">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气力输送罗茨风机</w:t>
                  </w:r>
                </w:p>
              </w:tc>
              <w:tc>
                <w:tcPr>
                  <w:tcW w:w="472" w:type="pct"/>
                  <w:vMerge w:val="restart"/>
                  <w:noWrap w:val="0"/>
                  <w:vAlign w:val="center"/>
                </w:tcPr>
                <w:p w14:paraId="2DC19DFD">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90</w:t>
                  </w:r>
                </w:p>
              </w:tc>
              <w:tc>
                <w:tcPr>
                  <w:tcW w:w="292" w:type="pct"/>
                  <w:vMerge w:val="continue"/>
                  <w:noWrap w:val="0"/>
                  <w:vAlign w:val="center"/>
                </w:tcPr>
                <w:p w14:paraId="32EE1661">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4817773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491.52</w:t>
                  </w:r>
                </w:p>
              </w:tc>
              <w:tc>
                <w:tcPr>
                  <w:tcW w:w="257" w:type="pct"/>
                  <w:vMerge w:val="restart"/>
                  <w:noWrap w:val="0"/>
                  <w:vAlign w:val="center"/>
                </w:tcPr>
                <w:p w14:paraId="5D873DB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495.67</w:t>
                  </w:r>
                </w:p>
              </w:tc>
              <w:tc>
                <w:tcPr>
                  <w:tcW w:w="263" w:type="pct"/>
                  <w:vMerge w:val="restart"/>
                  <w:noWrap w:val="0"/>
                  <w:vAlign w:val="center"/>
                </w:tcPr>
                <w:p w14:paraId="48FB739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5AA55A0">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5687CD3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7A1AD1E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53.70</w:t>
                  </w:r>
                </w:p>
              </w:tc>
              <w:tc>
                <w:tcPr>
                  <w:tcW w:w="318" w:type="pct"/>
                  <w:vMerge w:val="continue"/>
                  <w:noWrap w:val="0"/>
                  <w:vAlign w:val="center"/>
                </w:tcPr>
                <w:p w14:paraId="7F6A17FE">
                  <w:pPr>
                    <w:autoSpaceDE w:val="0"/>
                    <w:autoSpaceDN w:val="0"/>
                    <w:adjustRightInd w:val="0"/>
                    <w:snapToGrid w:val="0"/>
                    <w:jc w:val="center"/>
                    <w:rPr>
                      <w:color w:val="auto"/>
                      <w:sz w:val="18"/>
                      <w:szCs w:val="18"/>
                      <w:highlight w:val="none"/>
                    </w:rPr>
                  </w:pPr>
                </w:p>
              </w:tc>
              <w:tc>
                <w:tcPr>
                  <w:tcW w:w="363" w:type="pct"/>
                  <w:noWrap w:val="0"/>
                  <w:vAlign w:val="center"/>
                </w:tcPr>
                <w:p w14:paraId="1AC9D529">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67828C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33.70</w:t>
                  </w:r>
                </w:p>
              </w:tc>
              <w:tc>
                <w:tcPr>
                  <w:tcW w:w="439" w:type="pct"/>
                  <w:noWrap w:val="0"/>
                  <w:vAlign w:val="center"/>
                </w:tcPr>
                <w:p w14:paraId="16063124">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0DA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25EF3F">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9AD3E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7589078">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5DBB0C8">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5665C6C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49C75BED">
                  <w:pPr>
                    <w:widowControl/>
                    <w:jc w:val="center"/>
                    <w:textAlignment w:val="center"/>
                    <w:rPr>
                      <w:color w:val="auto"/>
                      <w:kern w:val="0"/>
                      <w:sz w:val="18"/>
                      <w:szCs w:val="18"/>
                      <w:highlight w:val="none"/>
                      <w:lang w:bidi="ar"/>
                    </w:rPr>
                  </w:pPr>
                </w:p>
              </w:tc>
              <w:tc>
                <w:tcPr>
                  <w:tcW w:w="257" w:type="pct"/>
                  <w:vMerge w:val="continue"/>
                  <w:noWrap w:val="0"/>
                  <w:vAlign w:val="center"/>
                </w:tcPr>
                <w:p w14:paraId="23DF961C">
                  <w:pPr>
                    <w:widowControl/>
                    <w:jc w:val="center"/>
                    <w:textAlignment w:val="center"/>
                    <w:rPr>
                      <w:color w:val="auto"/>
                      <w:kern w:val="0"/>
                      <w:sz w:val="18"/>
                      <w:szCs w:val="18"/>
                      <w:highlight w:val="none"/>
                      <w:lang w:bidi="ar"/>
                    </w:rPr>
                  </w:pPr>
                </w:p>
              </w:tc>
              <w:tc>
                <w:tcPr>
                  <w:tcW w:w="263" w:type="pct"/>
                  <w:vMerge w:val="continue"/>
                  <w:noWrap w:val="0"/>
                  <w:vAlign w:val="center"/>
                </w:tcPr>
                <w:p w14:paraId="70E02A0C">
                  <w:pPr>
                    <w:widowControl/>
                    <w:jc w:val="center"/>
                    <w:textAlignment w:val="center"/>
                    <w:rPr>
                      <w:color w:val="auto"/>
                      <w:kern w:val="0"/>
                      <w:sz w:val="18"/>
                      <w:szCs w:val="18"/>
                      <w:highlight w:val="none"/>
                      <w:lang w:bidi="ar"/>
                    </w:rPr>
                  </w:pPr>
                </w:p>
              </w:tc>
              <w:tc>
                <w:tcPr>
                  <w:tcW w:w="531" w:type="pct"/>
                  <w:noWrap w:val="0"/>
                  <w:vAlign w:val="center"/>
                </w:tcPr>
                <w:p w14:paraId="00F2399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533CB5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19</w:t>
                  </w:r>
                </w:p>
              </w:tc>
              <w:tc>
                <w:tcPr>
                  <w:tcW w:w="443" w:type="pct"/>
                  <w:noWrap w:val="0"/>
                  <w:vAlign w:val="center"/>
                </w:tcPr>
                <w:p w14:paraId="311ED82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56.42</w:t>
                  </w:r>
                </w:p>
              </w:tc>
              <w:tc>
                <w:tcPr>
                  <w:tcW w:w="318" w:type="pct"/>
                  <w:vMerge w:val="continue"/>
                  <w:noWrap w:val="0"/>
                  <w:vAlign w:val="center"/>
                </w:tcPr>
                <w:p w14:paraId="03EB035B">
                  <w:pPr>
                    <w:autoSpaceDE w:val="0"/>
                    <w:autoSpaceDN w:val="0"/>
                    <w:adjustRightInd w:val="0"/>
                    <w:snapToGrid w:val="0"/>
                    <w:jc w:val="center"/>
                    <w:rPr>
                      <w:color w:val="auto"/>
                      <w:sz w:val="18"/>
                      <w:szCs w:val="18"/>
                      <w:highlight w:val="none"/>
                    </w:rPr>
                  </w:pPr>
                </w:p>
              </w:tc>
              <w:tc>
                <w:tcPr>
                  <w:tcW w:w="363" w:type="pct"/>
                  <w:noWrap w:val="0"/>
                  <w:vAlign w:val="center"/>
                </w:tcPr>
                <w:p w14:paraId="2BFEB4D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192B9B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36.42</w:t>
                  </w:r>
                </w:p>
              </w:tc>
              <w:tc>
                <w:tcPr>
                  <w:tcW w:w="439" w:type="pct"/>
                  <w:noWrap w:val="0"/>
                  <w:vAlign w:val="center"/>
                </w:tcPr>
                <w:p w14:paraId="50A8C5B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D3C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01DA522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FAC0520">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708EB4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4DEB6A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7384427">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628449E">
                  <w:pPr>
                    <w:widowControl/>
                    <w:jc w:val="center"/>
                    <w:textAlignment w:val="center"/>
                    <w:rPr>
                      <w:color w:val="auto"/>
                      <w:kern w:val="0"/>
                      <w:sz w:val="18"/>
                      <w:szCs w:val="18"/>
                      <w:highlight w:val="none"/>
                      <w:lang w:bidi="ar"/>
                    </w:rPr>
                  </w:pPr>
                </w:p>
              </w:tc>
              <w:tc>
                <w:tcPr>
                  <w:tcW w:w="257" w:type="pct"/>
                  <w:vMerge w:val="continue"/>
                  <w:noWrap w:val="0"/>
                  <w:vAlign w:val="center"/>
                </w:tcPr>
                <w:p w14:paraId="5F7BD1CB">
                  <w:pPr>
                    <w:widowControl/>
                    <w:jc w:val="center"/>
                    <w:textAlignment w:val="center"/>
                    <w:rPr>
                      <w:color w:val="auto"/>
                      <w:kern w:val="0"/>
                      <w:sz w:val="18"/>
                      <w:szCs w:val="18"/>
                      <w:highlight w:val="none"/>
                      <w:lang w:bidi="ar"/>
                    </w:rPr>
                  </w:pPr>
                </w:p>
              </w:tc>
              <w:tc>
                <w:tcPr>
                  <w:tcW w:w="263" w:type="pct"/>
                  <w:vMerge w:val="continue"/>
                  <w:noWrap w:val="0"/>
                  <w:vAlign w:val="center"/>
                </w:tcPr>
                <w:p w14:paraId="0CCCB534">
                  <w:pPr>
                    <w:widowControl/>
                    <w:jc w:val="center"/>
                    <w:textAlignment w:val="center"/>
                    <w:rPr>
                      <w:color w:val="auto"/>
                      <w:kern w:val="0"/>
                      <w:sz w:val="18"/>
                      <w:szCs w:val="18"/>
                      <w:highlight w:val="none"/>
                      <w:lang w:bidi="ar"/>
                    </w:rPr>
                  </w:pPr>
                </w:p>
              </w:tc>
              <w:tc>
                <w:tcPr>
                  <w:tcW w:w="531" w:type="pct"/>
                  <w:noWrap w:val="0"/>
                  <w:vAlign w:val="center"/>
                </w:tcPr>
                <w:p w14:paraId="2017E752">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7C84017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50B73C4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53.37</w:t>
                  </w:r>
                </w:p>
              </w:tc>
              <w:tc>
                <w:tcPr>
                  <w:tcW w:w="318" w:type="pct"/>
                  <w:vMerge w:val="continue"/>
                  <w:noWrap w:val="0"/>
                  <w:vAlign w:val="center"/>
                </w:tcPr>
                <w:p w14:paraId="3A6E625D">
                  <w:pPr>
                    <w:autoSpaceDE w:val="0"/>
                    <w:autoSpaceDN w:val="0"/>
                    <w:adjustRightInd w:val="0"/>
                    <w:snapToGrid w:val="0"/>
                    <w:jc w:val="center"/>
                    <w:rPr>
                      <w:color w:val="auto"/>
                      <w:sz w:val="18"/>
                      <w:szCs w:val="18"/>
                      <w:highlight w:val="none"/>
                    </w:rPr>
                  </w:pPr>
                </w:p>
              </w:tc>
              <w:tc>
                <w:tcPr>
                  <w:tcW w:w="363" w:type="pct"/>
                  <w:noWrap w:val="0"/>
                  <w:vAlign w:val="center"/>
                </w:tcPr>
                <w:p w14:paraId="52932BE8">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B205CC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33.37</w:t>
                  </w:r>
                </w:p>
              </w:tc>
              <w:tc>
                <w:tcPr>
                  <w:tcW w:w="439" w:type="pct"/>
                  <w:noWrap w:val="0"/>
                  <w:vAlign w:val="center"/>
                </w:tcPr>
                <w:p w14:paraId="5482EE1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34F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D6ED90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228D5D">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12F8F23">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CE47CE4">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4CE90E0">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4C14A05">
                  <w:pPr>
                    <w:widowControl/>
                    <w:jc w:val="center"/>
                    <w:textAlignment w:val="center"/>
                    <w:rPr>
                      <w:color w:val="auto"/>
                      <w:kern w:val="0"/>
                      <w:sz w:val="18"/>
                      <w:szCs w:val="18"/>
                      <w:highlight w:val="none"/>
                      <w:lang w:bidi="ar"/>
                    </w:rPr>
                  </w:pPr>
                </w:p>
              </w:tc>
              <w:tc>
                <w:tcPr>
                  <w:tcW w:w="257" w:type="pct"/>
                  <w:vMerge w:val="continue"/>
                  <w:noWrap w:val="0"/>
                  <w:vAlign w:val="center"/>
                </w:tcPr>
                <w:p w14:paraId="71E9DC4E">
                  <w:pPr>
                    <w:widowControl/>
                    <w:jc w:val="center"/>
                    <w:textAlignment w:val="center"/>
                    <w:rPr>
                      <w:color w:val="auto"/>
                      <w:kern w:val="0"/>
                      <w:sz w:val="18"/>
                      <w:szCs w:val="18"/>
                      <w:highlight w:val="none"/>
                      <w:lang w:bidi="ar"/>
                    </w:rPr>
                  </w:pPr>
                </w:p>
              </w:tc>
              <w:tc>
                <w:tcPr>
                  <w:tcW w:w="263" w:type="pct"/>
                  <w:vMerge w:val="continue"/>
                  <w:noWrap w:val="0"/>
                  <w:vAlign w:val="center"/>
                </w:tcPr>
                <w:p w14:paraId="1529C102">
                  <w:pPr>
                    <w:widowControl/>
                    <w:jc w:val="center"/>
                    <w:textAlignment w:val="center"/>
                    <w:rPr>
                      <w:color w:val="auto"/>
                      <w:kern w:val="0"/>
                      <w:sz w:val="18"/>
                      <w:szCs w:val="18"/>
                      <w:highlight w:val="none"/>
                      <w:lang w:bidi="ar"/>
                    </w:rPr>
                  </w:pPr>
                </w:p>
              </w:tc>
              <w:tc>
                <w:tcPr>
                  <w:tcW w:w="531" w:type="pct"/>
                  <w:noWrap w:val="0"/>
                  <w:vAlign w:val="center"/>
                </w:tcPr>
                <w:p w14:paraId="3F40CE77">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09F43373">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9</w:t>
                  </w:r>
                </w:p>
              </w:tc>
              <w:tc>
                <w:tcPr>
                  <w:tcW w:w="443" w:type="pct"/>
                  <w:noWrap w:val="0"/>
                  <w:vAlign w:val="center"/>
                </w:tcPr>
                <w:p w14:paraId="1C68F7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62.92</w:t>
                  </w:r>
                </w:p>
              </w:tc>
              <w:tc>
                <w:tcPr>
                  <w:tcW w:w="318" w:type="pct"/>
                  <w:vMerge w:val="continue"/>
                  <w:noWrap w:val="0"/>
                  <w:vAlign w:val="center"/>
                </w:tcPr>
                <w:p w14:paraId="3381649F">
                  <w:pPr>
                    <w:autoSpaceDE w:val="0"/>
                    <w:autoSpaceDN w:val="0"/>
                    <w:adjustRightInd w:val="0"/>
                    <w:snapToGrid w:val="0"/>
                    <w:jc w:val="center"/>
                    <w:rPr>
                      <w:color w:val="auto"/>
                      <w:sz w:val="18"/>
                      <w:szCs w:val="18"/>
                      <w:highlight w:val="none"/>
                    </w:rPr>
                  </w:pPr>
                </w:p>
              </w:tc>
              <w:tc>
                <w:tcPr>
                  <w:tcW w:w="363" w:type="pct"/>
                  <w:noWrap w:val="0"/>
                  <w:vAlign w:val="center"/>
                </w:tcPr>
                <w:p w14:paraId="65650092">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EF48C5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42.92</w:t>
                  </w:r>
                </w:p>
              </w:tc>
              <w:tc>
                <w:tcPr>
                  <w:tcW w:w="439" w:type="pct"/>
                  <w:noWrap w:val="0"/>
                  <w:vAlign w:val="center"/>
                </w:tcPr>
                <w:p w14:paraId="7BD579A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55D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E7DD012">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6FD0DA6">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4931ABAA">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螺旋输送机</w:t>
                  </w:r>
                </w:p>
              </w:tc>
              <w:tc>
                <w:tcPr>
                  <w:tcW w:w="472" w:type="pct"/>
                  <w:vMerge w:val="restart"/>
                  <w:noWrap w:val="0"/>
                  <w:vAlign w:val="center"/>
                </w:tcPr>
                <w:p w14:paraId="102191CC">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80</w:t>
                  </w:r>
                </w:p>
              </w:tc>
              <w:tc>
                <w:tcPr>
                  <w:tcW w:w="292" w:type="pct"/>
                  <w:vMerge w:val="continue"/>
                  <w:noWrap w:val="0"/>
                  <w:vAlign w:val="center"/>
                </w:tcPr>
                <w:p w14:paraId="56251131">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24482F1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493.1</w:t>
                  </w:r>
                </w:p>
              </w:tc>
              <w:tc>
                <w:tcPr>
                  <w:tcW w:w="257" w:type="pct"/>
                  <w:vMerge w:val="restart"/>
                  <w:noWrap w:val="0"/>
                  <w:vAlign w:val="center"/>
                </w:tcPr>
                <w:p w14:paraId="690F672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493.46</w:t>
                  </w:r>
                </w:p>
              </w:tc>
              <w:tc>
                <w:tcPr>
                  <w:tcW w:w="263" w:type="pct"/>
                  <w:vMerge w:val="restart"/>
                  <w:noWrap w:val="0"/>
                  <w:vAlign w:val="center"/>
                </w:tcPr>
                <w:p w14:paraId="298D52F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BEADC15">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1A641A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443" w:type="pct"/>
                  <w:noWrap w:val="0"/>
                  <w:vAlign w:val="center"/>
                </w:tcPr>
                <w:p w14:paraId="371A7D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41861FC6">
                  <w:pPr>
                    <w:autoSpaceDE w:val="0"/>
                    <w:autoSpaceDN w:val="0"/>
                    <w:adjustRightInd w:val="0"/>
                    <w:snapToGrid w:val="0"/>
                    <w:jc w:val="center"/>
                    <w:rPr>
                      <w:color w:val="auto"/>
                      <w:sz w:val="18"/>
                      <w:szCs w:val="18"/>
                      <w:highlight w:val="none"/>
                    </w:rPr>
                  </w:pPr>
                </w:p>
              </w:tc>
              <w:tc>
                <w:tcPr>
                  <w:tcW w:w="363" w:type="pct"/>
                  <w:noWrap w:val="0"/>
                  <w:vAlign w:val="center"/>
                </w:tcPr>
                <w:p w14:paraId="744BD55D">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BCF550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2062E28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78C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FCB234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3EC7336">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3B316D22">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14429039">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C1461CB">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D350209">
                  <w:pPr>
                    <w:widowControl/>
                    <w:jc w:val="center"/>
                    <w:textAlignment w:val="center"/>
                    <w:rPr>
                      <w:color w:val="auto"/>
                      <w:kern w:val="0"/>
                      <w:sz w:val="18"/>
                      <w:szCs w:val="18"/>
                      <w:highlight w:val="none"/>
                      <w:lang w:bidi="ar"/>
                    </w:rPr>
                  </w:pPr>
                </w:p>
              </w:tc>
              <w:tc>
                <w:tcPr>
                  <w:tcW w:w="257" w:type="pct"/>
                  <w:vMerge w:val="continue"/>
                  <w:noWrap w:val="0"/>
                  <w:vAlign w:val="center"/>
                </w:tcPr>
                <w:p w14:paraId="39AECB2F">
                  <w:pPr>
                    <w:widowControl/>
                    <w:jc w:val="center"/>
                    <w:textAlignment w:val="center"/>
                    <w:rPr>
                      <w:color w:val="auto"/>
                      <w:kern w:val="0"/>
                      <w:sz w:val="18"/>
                      <w:szCs w:val="18"/>
                      <w:highlight w:val="none"/>
                      <w:lang w:bidi="ar"/>
                    </w:rPr>
                  </w:pPr>
                </w:p>
              </w:tc>
              <w:tc>
                <w:tcPr>
                  <w:tcW w:w="263" w:type="pct"/>
                  <w:vMerge w:val="continue"/>
                  <w:noWrap w:val="0"/>
                  <w:vAlign w:val="center"/>
                </w:tcPr>
                <w:p w14:paraId="30436965">
                  <w:pPr>
                    <w:widowControl/>
                    <w:jc w:val="center"/>
                    <w:textAlignment w:val="center"/>
                    <w:rPr>
                      <w:color w:val="auto"/>
                      <w:kern w:val="0"/>
                      <w:sz w:val="18"/>
                      <w:szCs w:val="18"/>
                      <w:highlight w:val="none"/>
                      <w:lang w:bidi="ar"/>
                    </w:rPr>
                  </w:pPr>
                </w:p>
              </w:tc>
              <w:tc>
                <w:tcPr>
                  <w:tcW w:w="531" w:type="pct"/>
                  <w:noWrap w:val="0"/>
                  <w:vAlign w:val="center"/>
                </w:tcPr>
                <w:p w14:paraId="67D73FC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7DD47F6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17</w:t>
                  </w:r>
                </w:p>
              </w:tc>
              <w:tc>
                <w:tcPr>
                  <w:tcW w:w="443" w:type="pct"/>
                  <w:noWrap w:val="0"/>
                  <w:vAlign w:val="center"/>
                </w:tcPr>
                <w:p w14:paraId="605DCC5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47.37</w:t>
                  </w:r>
                </w:p>
              </w:tc>
              <w:tc>
                <w:tcPr>
                  <w:tcW w:w="318" w:type="pct"/>
                  <w:vMerge w:val="continue"/>
                  <w:noWrap w:val="0"/>
                  <w:vAlign w:val="center"/>
                </w:tcPr>
                <w:p w14:paraId="04BE7C64">
                  <w:pPr>
                    <w:autoSpaceDE w:val="0"/>
                    <w:autoSpaceDN w:val="0"/>
                    <w:adjustRightInd w:val="0"/>
                    <w:snapToGrid w:val="0"/>
                    <w:jc w:val="center"/>
                    <w:rPr>
                      <w:color w:val="auto"/>
                      <w:sz w:val="18"/>
                      <w:szCs w:val="18"/>
                      <w:highlight w:val="none"/>
                    </w:rPr>
                  </w:pPr>
                </w:p>
              </w:tc>
              <w:tc>
                <w:tcPr>
                  <w:tcW w:w="363" w:type="pct"/>
                  <w:noWrap w:val="0"/>
                  <w:vAlign w:val="center"/>
                </w:tcPr>
                <w:p w14:paraId="0A2D04AE">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88389B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27.37</w:t>
                  </w:r>
                </w:p>
              </w:tc>
              <w:tc>
                <w:tcPr>
                  <w:tcW w:w="439" w:type="pct"/>
                  <w:noWrap w:val="0"/>
                  <w:vAlign w:val="center"/>
                </w:tcPr>
                <w:p w14:paraId="6B5664A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F3D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677A76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9E5327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563186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49FF483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BAA80D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F6FAE94">
                  <w:pPr>
                    <w:widowControl/>
                    <w:jc w:val="center"/>
                    <w:textAlignment w:val="center"/>
                    <w:rPr>
                      <w:color w:val="auto"/>
                      <w:kern w:val="0"/>
                      <w:sz w:val="18"/>
                      <w:szCs w:val="18"/>
                      <w:highlight w:val="none"/>
                      <w:lang w:bidi="ar"/>
                    </w:rPr>
                  </w:pPr>
                </w:p>
              </w:tc>
              <w:tc>
                <w:tcPr>
                  <w:tcW w:w="257" w:type="pct"/>
                  <w:vMerge w:val="continue"/>
                  <w:noWrap w:val="0"/>
                  <w:vAlign w:val="center"/>
                </w:tcPr>
                <w:p w14:paraId="2E148609">
                  <w:pPr>
                    <w:widowControl/>
                    <w:jc w:val="center"/>
                    <w:textAlignment w:val="center"/>
                    <w:rPr>
                      <w:color w:val="auto"/>
                      <w:kern w:val="0"/>
                      <w:sz w:val="18"/>
                      <w:szCs w:val="18"/>
                      <w:highlight w:val="none"/>
                      <w:lang w:bidi="ar"/>
                    </w:rPr>
                  </w:pPr>
                </w:p>
              </w:tc>
              <w:tc>
                <w:tcPr>
                  <w:tcW w:w="263" w:type="pct"/>
                  <w:vMerge w:val="continue"/>
                  <w:noWrap w:val="0"/>
                  <w:vAlign w:val="center"/>
                </w:tcPr>
                <w:p w14:paraId="52A9364F">
                  <w:pPr>
                    <w:widowControl/>
                    <w:jc w:val="center"/>
                    <w:textAlignment w:val="center"/>
                    <w:rPr>
                      <w:color w:val="auto"/>
                      <w:kern w:val="0"/>
                      <w:sz w:val="18"/>
                      <w:szCs w:val="18"/>
                      <w:highlight w:val="none"/>
                      <w:lang w:bidi="ar"/>
                    </w:rPr>
                  </w:pPr>
                </w:p>
              </w:tc>
              <w:tc>
                <w:tcPr>
                  <w:tcW w:w="531" w:type="pct"/>
                  <w:noWrap w:val="0"/>
                  <w:vAlign w:val="center"/>
                </w:tcPr>
                <w:p w14:paraId="5DBDD0A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412D5C3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28</w:t>
                  </w:r>
                </w:p>
              </w:tc>
              <w:tc>
                <w:tcPr>
                  <w:tcW w:w="443" w:type="pct"/>
                  <w:noWrap w:val="0"/>
                  <w:vAlign w:val="center"/>
                </w:tcPr>
                <w:p w14:paraId="3614383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0B8E70E6">
                  <w:pPr>
                    <w:autoSpaceDE w:val="0"/>
                    <w:autoSpaceDN w:val="0"/>
                    <w:adjustRightInd w:val="0"/>
                    <w:snapToGrid w:val="0"/>
                    <w:jc w:val="center"/>
                    <w:rPr>
                      <w:color w:val="auto"/>
                      <w:sz w:val="18"/>
                      <w:szCs w:val="18"/>
                      <w:highlight w:val="none"/>
                    </w:rPr>
                  </w:pPr>
                </w:p>
              </w:tc>
              <w:tc>
                <w:tcPr>
                  <w:tcW w:w="363" w:type="pct"/>
                  <w:noWrap w:val="0"/>
                  <w:vAlign w:val="center"/>
                </w:tcPr>
                <w:p w14:paraId="425DA10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151E55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069A6374">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477C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610FF54D">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753382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E37B4ED">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72D07F45">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4AD7696">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0902B9A">
                  <w:pPr>
                    <w:widowControl/>
                    <w:jc w:val="center"/>
                    <w:textAlignment w:val="center"/>
                    <w:rPr>
                      <w:color w:val="auto"/>
                      <w:kern w:val="0"/>
                      <w:sz w:val="18"/>
                      <w:szCs w:val="18"/>
                      <w:highlight w:val="none"/>
                      <w:lang w:bidi="ar"/>
                    </w:rPr>
                  </w:pPr>
                </w:p>
              </w:tc>
              <w:tc>
                <w:tcPr>
                  <w:tcW w:w="257" w:type="pct"/>
                  <w:vMerge w:val="continue"/>
                  <w:noWrap w:val="0"/>
                  <w:vAlign w:val="center"/>
                </w:tcPr>
                <w:p w14:paraId="3143C8E7">
                  <w:pPr>
                    <w:widowControl/>
                    <w:jc w:val="center"/>
                    <w:textAlignment w:val="center"/>
                    <w:rPr>
                      <w:color w:val="auto"/>
                      <w:kern w:val="0"/>
                      <w:sz w:val="18"/>
                      <w:szCs w:val="18"/>
                      <w:highlight w:val="none"/>
                      <w:lang w:bidi="ar"/>
                    </w:rPr>
                  </w:pPr>
                </w:p>
              </w:tc>
              <w:tc>
                <w:tcPr>
                  <w:tcW w:w="263" w:type="pct"/>
                  <w:vMerge w:val="continue"/>
                  <w:noWrap w:val="0"/>
                  <w:vAlign w:val="center"/>
                </w:tcPr>
                <w:p w14:paraId="201F00E4">
                  <w:pPr>
                    <w:widowControl/>
                    <w:jc w:val="center"/>
                    <w:textAlignment w:val="center"/>
                    <w:rPr>
                      <w:color w:val="auto"/>
                      <w:kern w:val="0"/>
                      <w:sz w:val="18"/>
                      <w:szCs w:val="18"/>
                      <w:highlight w:val="none"/>
                      <w:lang w:bidi="ar"/>
                    </w:rPr>
                  </w:pPr>
                </w:p>
              </w:tc>
              <w:tc>
                <w:tcPr>
                  <w:tcW w:w="531" w:type="pct"/>
                  <w:noWrap w:val="0"/>
                  <w:vAlign w:val="center"/>
                </w:tcPr>
                <w:p w14:paraId="1F21AA09">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2931CBC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11</w:t>
                  </w:r>
                </w:p>
              </w:tc>
              <w:tc>
                <w:tcPr>
                  <w:tcW w:w="443" w:type="pct"/>
                  <w:noWrap w:val="0"/>
                  <w:vAlign w:val="center"/>
                </w:tcPr>
                <w:p w14:paraId="2E3692C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51.17</w:t>
                  </w:r>
                </w:p>
              </w:tc>
              <w:tc>
                <w:tcPr>
                  <w:tcW w:w="318" w:type="pct"/>
                  <w:vMerge w:val="continue"/>
                  <w:noWrap w:val="0"/>
                  <w:vAlign w:val="center"/>
                </w:tcPr>
                <w:p w14:paraId="24170372">
                  <w:pPr>
                    <w:autoSpaceDE w:val="0"/>
                    <w:autoSpaceDN w:val="0"/>
                    <w:adjustRightInd w:val="0"/>
                    <w:snapToGrid w:val="0"/>
                    <w:jc w:val="center"/>
                    <w:rPr>
                      <w:color w:val="auto"/>
                      <w:sz w:val="18"/>
                      <w:szCs w:val="18"/>
                      <w:highlight w:val="none"/>
                    </w:rPr>
                  </w:pPr>
                </w:p>
              </w:tc>
              <w:tc>
                <w:tcPr>
                  <w:tcW w:w="363" w:type="pct"/>
                  <w:noWrap w:val="0"/>
                  <w:vAlign w:val="center"/>
                </w:tcPr>
                <w:p w14:paraId="0CA80F1C">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B89CE6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31.17</w:t>
                  </w:r>
                </w:p>
              </w:tc>
              <w:tc>
                <w:tcPr>
                  <w:tcW w:w="439" w:type="pct"/>
                  <w:noWrap w:val="0"/>
                  <w:vAlign w:val="center"/>
                </w:tcPr>
                <w:p w14:paraId="5ABE51CA">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90E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restart"/>
                  <w:noWrap w:val="0"/>
                  <w:vAlign w:val="center"/>
                </w:tcPr>
                <w:p w14:paraId="6ADE5889">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西线</w:t>
                  </w:r>
                </w:p>
              </w:tc>
              <w:tc>
                <w:tcPr>
                  <w:tcW w:w="159" w:type="pct"/>
                  <w:vMerge w:val="continue"/>
                  <w:noWrap w:val="0"/>
                  <w:vAlign w:val="center"/>
                </w:tcPr>
                <w:p w14:paraId="671058DD">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788F1F7D">
                  <w:pPr>
                    <w:widowControl/>
                    <w:jc w:val="center"/>
                    <w:textAlignment w:val="center"/>
                    <w:rPr>
                      <w:color w:val="auto"/>
                      <w:sz w:val="18"/>
                      <w:szCs w:val="18"/>
                      <w:highlight w:val="none"/>
                    </w:rPr>
                  </w:pPr>
                  <w:r>
                    <w:rPr>
                      <w:rFonts w:hint="eastAsia"/>
                      <w:color w:val="auto"/>
                      <w:sz w:val="18"/>
                      <w:szCs w:val="18"/>
                      <w:highlight w:val="none"/>
                      <w:lang w:val="en-US" w:eastAsia="zh-CN"/>
                    </w:rPr>
                    <w:t>雷蒙磨</w:t>
                  </w:r>
                </w:p>
              </w:tc>
              <w:tc>
                <w:tcPr>
                  <w:tcW w:w="472" w:type="pct"/>
                  <w:vMerge w:val="restart"/>
                  <w:noWrap w:val="0"/>
                  <w:vAlign w:val="center"/>
                </w:tcPr>
                <w:p w14:paraId="7ED40208">
                  <w:pPr>
                    <w:widowControl/>
                    <w:jc w:val="center"/>
                    <w:textAlignment w:val="center"/>
                    <w:rPr>
                      <w:rFonts w:hint="default"/>
                      <w:color w:val="auto"/>
                      <w:sz w:val="18"/>
                      <w:szCs w:val="18"/>
                      <w:highlight w:val="none"/>
                      <w:lang w:val="en-US"/>
                    </w:rPr>
                  </w:pPr>
                  <w:r>
                    <w:rPr>
                      <w:rFonts w:hint="eastAsia"/>
                      <w:color w:val="auto"/>
                      <w:kern w:val="0"/>
                      <w:sz w:val="18"/>
                      <w:szCs w:val="18"/>
                      <w:highlight w:val="none"/>
                      <w:lang w:val="en-US" w:eastAsia="zh-CN" w:bidi="ar"/>
                    </w:rPr>
                    <w:t>110</w:t>
                  </w:r>
                </w:p>
              </w:tc>
              <w:tc>
                <w:tcPr>
                  <w:tcW w:w="292" w:type="pct"/>
                  <w:vMerge w:val="continue"/>
                  <w:noWrap w:val="0"/>
                  <w:vAlign w:val="center"/>
                </w:tcPr>
                <w:p w14:paraId="2E9BF7B8">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79F788A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493.1</w:t>
                  </w:r>
                </w:p>
              </w:tc>
              <w:tc>
                <w:tcPr>
                  <w:tcW w:w="257" w:type="pct"/>
                  <w:vMerge w:val="restart"/>
                  <w:noWrap w:val="0"/>
                  <w:vAlign w:val="center"/>
                </w:tcPr>
                <w:p w14:paraId="3B0612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488.09</w:t>
                  </w:r>
                </w:p>
              </w:tc>
              <w:tc>
                <w:tcPr>
                  <w:tcW w:w="263" w:type="pct"/>
                  <w:vMerge w:val="restart"/>
                  <w:noWrap w:val="0"/>
                  <w:vAlign w:val="center"/>
                </w:tcPr>
                <w:p w14:paraId="7547BF42">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w:t>
                  </w:r>
                </w:p>
              </w:tc>
              <w:tc>
                <w:tcPr>
                  <w:tcW w:w="531" w:type="pct"/>
                  <w:noWrap w:val="0"/>
                  <w:vAlign w:val="center"/>
                </w:tcPr>
                <w:p w14:paraId="25693A14">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00F05DF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40149BB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73.37</w:t>
                  </w:r>
                </w:p>
              </w:tc>
              <w:tc>
                <w:tcPr>
                  <w:tcW w:w="318" w:type="pct"/>
                  <w:vMerge w:val="restart"/>
                  <w:noWrap w:val="0"/>
                  <w:vAlign w:val="center"/>
                </w:tcPr>
                <w:p w14:paraId="1549DB2E">
                  <w:pPr>
                    <w:autoSpaceDE w:val="0"/>
                    <w:autoSpaceDN w:val="0"/>
                    <w:adjustRightInd w:val="0"/>
                    <w:snapToGrid w:val="0"/>
                    <w:jc w:val="center"/>
                    <w:rPr>
                      <w:color w:val="auto"/>
                      <w:sz w:val="18"/>
                      <w:szCs w:val="18"/>
                      <w:highlight w:val="none"/>
                    </w:rPr>
                  </w:pPr>
                  <w:r>
                    <w:rPr>
                      <w:color w:val="auto"/>
                      <w:sz w:val="18"/>
                      <w:szCs w:val="18"/>
                      <w:highlight w:val="none"/>
                    </w:rPr>
                    <w:t>昼</w:t>
                  </w:r>
                  <w:r>
                    <w:rPr>
                      <w:rFonts w:hint="eastAsia"/>
                      <w:color w:val="auto"/>
                      <w:sz w:val="18"/>
                      <w:szCs w:val="18"/>
                      <w:highlight w:val="none"/>
                    </w:rPr>
                    <w:t>、夜</w:t>
                  </w:r>
                </w:p>
              </w:tc>
              <w:tc>
                <w:tcPr>
                  <w:tcW w:w="363" w:type="pct"/>
                  <w:noWrap w:val="0"/>
                  <w:vAlign w:val="center"/>
                </w:tcPr>
                <w:p w14:paraId="74B5968B">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F2592E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53.37</w:t>
                  </w:r>
                </w:p>
              </w:tc>
              <w:tc>
                <w:tcPr>
                  <w:tcW w:w="439" w:type="pct"/>
                  <w:noWrap w:val="0"/>
                  <w:vAlign w:val="center"/>
                </w:tcPr>
                <w:p w14:paraId="3E0CDB0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A26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0BEF684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726D89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B72ADA0">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538909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2DD618B3">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96A66B2">
                  <w:pPr>
                    <w:widowControl/>
                    <w:jc w:val="center"/>
                    <w:textAlignment w:val="center"/>
                    <w:rPr>
                      <w:color w:val="auto"/>
                      <w:kern w:val="0"/>
                      <w:sz w:val="18"/>
                      <w:szCs w:val="18"/>
                      <w:highlight w:val="none"/>
                      <w:lang w:bidi="ar"/>
                    </w:rPr>
                  </w:pPr>
                </w:p>
              </w:tc>
              <w:tc>
                <w:tcPr>
                  <w:tcW w:w="257" w:type="pct"/>
                  <w:vMerge w:val="continue"/>
                  <w:noWrap w:val="0"/>
                  <w:vAlign w:val="center"/>
                </w:tcPr>
                <w:p w14:paraId="7F8E8B55">
                  <w:pPr>
                    <w:widowControl/>
                    <w:jc w:val="center"/>
                    <w:textAlignment w:val="center"/>
                    <w:rPr>
                      <w:color w:val="auto"/>
                      <w:kern w:val="0"/>
                      <w:sz w:val="18"/>
                      <w:szCs w:val="18"/>
                      <w:highlight w:val="none"/>
                      <w:lang w:bidi="ar"/>
                    </w:rPr>
                  </w:pPr>
                </w:p>
              </w:tc>
              <w:tc>
                <w:tcPr>
                  <w:tcW w:w="263" w:type="pct"/>
                  <w:vMerge w:val="continue"/>
                  <w:noWrap w:val="0"/>
                  <w:vAlign w:val="center"/>
                </w:tcPr>
                <w:p w14:paraId="63B9AD8A">
                  <w:pPr>
                    <w:widowControl/>
                    <w:jc w:val="center"/>
                    <w:textAlignment w:val="center"/>
                    <w:rPr>
                      <w:color w:val="auto"/>
                      <w:kern w:val="0"/>
                      <w:sz w:val="18"/>
                      <w:szCs w:val="18"/>
                      <w:highlight w:val="none"/>
                      <w:lang w:bidi="ar"/>
                    </w:rPr>
                  </w:pPr>
                </w:p>
              </w:tc>
              <w:tc>
                <w:tcPr>
                  <w:tcW w:w="531" w:type="pct"/>
                  <w:noWrap w:val="0"/>
                  <w:vAlign w:val="center"/>
                </w:tcPr>
                <w:p w14:paraId="51B6285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1534F5E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6B52E14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79.08</w:t>
                  </w:r>
                </w:p>
              </w:tc>
              <w:tc>
                <w:tcPr>
                  <w:tcW w:w="318" w:type="pct"/>
                  <w:vMerge w:val="continue"/>
                  <w:noWrap w:val="0"/>
                  <w:vAlign w:val="center"/>
                </w:tcPr>
                <w:p w14:paraId="2BFC05C8">
                  <w:pPr>
                    <w:autoSpaceDE w:val="0"/>
                    <w:autoSpaceDN w:val="0"/>
                    <w:adjustRightInd w:val="0"/>
                    <w:snapToGrid w:val="0"/>
                    <w:jc w:val="center"/>
                    <w:rPr>
                      <w:color w:val="auto"/>
                      <w:sz w:val="18"/>
                      <w:szCs w:val="18"/>
                      <w:highlight w:val="none"/>
                    </w:rPr>
                  </w:pPr>
                </w:p>
              </w:tc>
              <w:tc>
                <w:tcPr>
                  <w:tcW w:w="363" w:type="pct"/>
                  <w:noWrap w:val="0"/>
                  <w:vAlign w:val="center"/>
                </w:tcPr>
                <w:p w14:paraId="5E8C3B4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71660F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59.08</w:t>
                  </w:r>
                </w:p>
              </w:tc>
              <w:tc>
                <w:tcPr>
                  <w:tcW w:w="439" w:type="pct"/>
                  <w:noWrap w:val="0"/>
                  <w:vAlign w:val="center"/>
                </w:tcPr>
                <w:p w14:paraId="5BDB7869">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AF4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6BC63B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262BA93">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9799EE6">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BD40A59">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AE9386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2461219">
                  <w:pPr>
                    <w:widowControl/>
                    <w:jc w:val="center"/>
                    <w:textAlignment w:val="center"/>
                    <w:rPr>
                      <w:color w:val="auto"/>
                      <w:kern w:val="0"/>
                      <w:sz w:val="18"/>
                      <w:szCs w:val="18"/>
                      <w:highlight w:val="none"/>
                      <w:lang w:bidi="ar"/>
                    </w:rPr>
                  </w:pPr>
                </w:p>
              </w:tc>
              <w:tc>
                <w:tcPr>
                  <w:tcW w:w="257" w:type="pct"/>
                  <w:vMerge w:val="continue"/>
                  <w:noWrap w:val="0"/>
                  <w:vAlign w:val="center"/>
                </w:tcPr>
                <w:p w14:paraId="59B1A48A">
                  <w:pPr>
                    <w:widowControl/>
                    <w:jc w:val="center"/>
                    <w:textAlignment w:val="center"/>
                    <w:rPr>
                      <w:color w:val="auto"/>
                      <w:kern w:val="0"/>
                      <w:sz w:val="18"/>
                      <w:szCs w:val="18"/>
                      <w:highlight w:val="none"/>
                      <w:lang w:bidi="ar"/>
                    </w:rPr>
                  </w:pPr>
                </w:p>
              </w:tc>
              <w:tc>
                <w:tcPr>
                  <w:tcW w:w="263" w:type="pct"/>
                  <w:vMerge w:val="continue"/>
                  <w:noWrap w:val="0"/>
                  <w:vAlign w:val="center"/>
                </w:tcPr>
                <w:p w14:paraId="74B795DA">
                  <w:pPr>
                    <w:widowControl/>
                    <w:jc w:val="center"/>
                    <w:textAlignment w:val="center"/>
                    <w:rPr>
                      <w:color w:val="auto"/>
                      <w:kern w:val="0"/>
                      <w:sz w:val="18"/>
                      <w:szCs w:val="18"/>
                      <w:highlight w:val="none"/>
                      <w:lang w:bidi="ar"/>
                    </w:rPr>
                  </w:pPr>
                </w:p>
              </w:tc>
              <w:tc>
                <w:tcPr>
                  <w:tcW w:w="531" w:type="pct"/>
                  <w:noWrap w:val="0"/>
                  <w:vAlign w:val="center"/>
                </w:tcPr>
                <w:p w14:paraId="545BA070">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38DC1C0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4560074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73.70</w:t>
                  </w:r>
                </w:p>
              </w:tc>
              <w:tc>
                <w:tcPr>
                  <w:tcW w:w="318" w:type="pct"/>
                  <w:vMerge w:val="continue"/>
                  <w:noWrap w:val="0"/>
                  <w:vAlign w:val="center"/>
                </w:tcPr>
                <w:p w14:paraId="37108A08">
                  <w:pPr>
                    <w:autoSpaceDE w:val="0"/>
                    <w:autoSpaceDN w:val="0"/>
                    <w:adjustRightInd w:val="0"/>
                    <w:snapToGrid w:val="0"/>
                    <w:jc w:val="center"/>
                    <w:rPr>
                      <w:color w:val="auto"/>
                      <w:sz w:val="18"/>
                      <w:szCs w:val="18"/>
                      <w:highlight w:val="none"/>
                    </w:rPr>
                  </w:pPr>
                </w:p>
              </w:tc>
              <w:tc>
                <w:tcPr>
                  <w:tcW w:w="363" w:type="pct"/>
                  <w:noWrap w:val="0"/>
                  <w:vAlign w:val="center"/>
                </w:tcPr>
                <w:p w14:paraId="465A7544">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F6834F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53.70</w:t>
                  </w:r>
                </w:p>
              </w:tc>
              <w:tc>
                <w:tcPr>
                  <w:tcW w:w="439" w:type="pct"/>
                  <w:noWrap w:val="0"/>
                  <w:vAlign w:val="center"/>
                </w:tcPr>
                <w:p w14:paraId="289BA7B0">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C37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9807F22">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CB75911">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4B373EF">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C0B0AE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870579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AC656B2">
                  <w:pPr>
                    <w:widowControl/>
                    <w:jc w:val="center"/>
                    <w:textAlignment w:val="center"/>
                    <w:rPr>
                      <w:color w:val="auto"/>
                      <w:kern w:val="0"/>
                      <w:sz w:val="18"/>
                      <w:szCs w:val="18"/>
                      <w:highlight w:val="none"/>
                      <w:lang w:bidi="ar"/>
                    </w:rPr>
                  </w:pPr>
                </w:p>
              </w:tc>
              <w:tc>
                <w:tcPr>
                  <w:tcW w:w="257" w:type="pct"/>
                  <w:vMerge w:val="continue"/>
                  <w:noWrap w:val="0"/>
                  <w:vAlign w:val="center"/>
                </w:tcPr>
                <w:p w14:paraId="7DE346DD">
                  <w:pPr>
                    <w:widowControl/>
                    <w:jc w:val="center"/>
                    <w:textAlignment w:val="center"/>
                    <w:rPr>
                      <w:color w:val="auto"/>
                      <w:kern w:val="0"/>
                      <w:sz w:val="18"/>
                      <w:szCs w:val="18"/>
                      <w:highlight w:val="none"/>
                      <w:lang w:bidi="ar"/>
                    </w:rPr>
                  </w:pPr>
                </w:p>
              </w:tc>
              <w:tc>
                <w:tcPr>
                  <w:tcW w:w="263" w:type="pct"/>
                  <w:vMerge w:val="continue"/>
                  <w:noWrap w:val="0"/>
                  <w:vAlign w:val="center"/>
                </w:tcPr>
                <w:p w14:paraId="7E34651F">
                  <w:pPr>
                    <w:widowControl/>
                    <w:jc w:val="center"/>
                    <w:textAlignment w:val="center"/>
                    <w:rPr>
                      <w:color w:val="auto"/>
                      <w:kern w:val="0"/>
                      <w:sz w:val="18"/>
                      <w:szCs w:val="18"/>
                      <w:highlight w:val="none"/>
                      <w:lang w:bidi="ar"/>
                    </w:rPr>
                  </w:pPr>
                </w:p>
              </w:tc>
              <w:tc>
                <w:tcPr>
                  <w:tcW w:w="531" w:type="pct"/>
                  <w:noWrap w:val="0"/>
                  <w:vAlign w:val="center"/>
                </w:tcPr>
                <w:p w14:paraId="5CEA8DE7">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3951FCC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5C86B0A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79.08</w:t>
                  </w:r>
                </w:p>
              </w:tc>
              <w:tc>
                <w:tcPr>
                  <w:tcW w:w="318" w:type="pct"/>
                  <w:vMerge w:val="continue"/>
                  <w:noWrap w:val="0"/>
                  <w:vAlign w:val="center"/>
                </w:tcPr>
                <w:p w14:paraId="4F71FF6E">
                  <w:pPr>
                    <w:autoSpaceDE w:val="0"/>
                    <w:autoSpaceDN w:val="0"/>
                    <w:adjustRightInd w:val="0"/>
                    <w:snapToGrid w:val="0"/>
                    <w:jc w:val="center"/>
                    <w:rPr>
                      <w:color w:val="auto"/>
                      <w:sz w:val="18"/>
                      <w:szCs w:val="18"/>
                      <w:highlight w:val="none"/>
                    </w:rPr>
                  </w:pPr>
                </w:p>
              </w:tc>
              <w:tc>
                <w:tcPr>
                  <w:tcW w:w="363" w:type="pct"/>
                  <w:noWrap w:val="0"/>
                  <w:vAlign w:val="center"/>
                </w:tcPr>
                <w:p w14:paraId="3897E278">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19F35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59.08</w:t>
                  </w:r>
                </w:p>
              </w:tc>
              <w:tc>
                <w:tcPr>
                  <w:tcW w:w="439" w:type="pct"/>
                  <w:noWrap w:val="0"/>
                  <w:vAlign w:val="center"/>
                </w:tcPr>
                <w:p w14:paraId="20BCE94F">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CCC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A9676FF">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68BDC21">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74D8E0D7">
                  <w:pPr>
                    <w:widowControl/>
                    <w:jc w:val="center"/>
                    <w:textAlignment w:val="center"/>
                    <w:rPr>
                      <w:color w:val="auto"/>
                      <w:sz w:val="18"/>
                      <w:szCs w:val="18"/>
                      <w:highlight w:val="none"/>
                    </w:rPr>
                  </w:pPr>
                  <w:r>
                    <w:rPr>
                      <w:rFonts w:hint="eastAsia"/>
                      <w:color w:val="auto"/>
                      <w:sz w:val="18"/>
                      <w:szCs w:val="18"/>
                      <w:highlight w:val="none"/>
                      <w:lang w:val="en-US" w:eastAsia="zh-CN"/>
                    </w:rPr>
                    <w:t>循环风机</w:t>
                  </w:r>
                </w:p>
              </w:tc>
              <w:tc>
                <w:tcPr>
                  <w:tcW w:w="472" w:type="pct"/>
                  <w:vMerge w:val="restart"/>
                  <w:noWrap w:val="0"/>
                  <w:vAlign w:val="center"/>
                </w:tcPr>
                <w:p w14:paraId="70885D74">
                  <w:pPr>
                    <w:widowControl/>
                    <w:jc w:val="center"/>
                    <w:textAlignment w:val="center"/>
                    <w:rPr>
                      <w:color w:val="auto"/>
                      <w:sz w:val="18"/>
                      <w:szCs w:val="18"/>
                      <w:highlight w:val="none"/>
                    </w:rPr>
                  </w:pPr>
                  <w:r>
                    <w:rPr>
                      <w:color w:val="auto"/>
                      <w:kern w:val="0"/>
                      <w:sz w:val="18"/>
                      <w:szCs w:val="18"/>
                      <w:highlight w:val="none"/>
                      <w:lang w:bidi="ar"/>
                    </w:rPr>
                    <w:t>80</w:t>
                  </w:r>
                </w:p>
              </w:tc>
              <w:tc>
                <w:tcPr>
                  <w:tcW w:w="292" w:type="pct"/>
                  <w:vMerge w:val="continue"/>
                  <w:noWrap w:val="0"/>
                  <w:vAlign w:val="center"/>
                </w:tcPr>
                <w:p w14:paraId="7A913DD9">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4BC71E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490.89</w:t>
                  </w:r>
                </w:p>
              </w:tc>
              <w:tc>
                <w:tcPr>
                  <w:tcW w:w="257" w:type="pct"/>
                  <w:vMerge w:val="restart"/>
                  <w:noWrap w:val="0"/>
                  <w:vAlign w:val="center"/>
                </w:tcPr>
                <w:p w14:paraId="1734EA4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487.14</w:t>
                  </w:r>
                </w:p>
              </w:tc>
              <w:tc>
                <w:tcPr>
                  <w:tcW w:w="263" w:type="pct"/>
                  <w:vMerge w:val="restart"/>
                  <w:noWrap w:val="0"/>
                  <w:vAlign w:val="center"/>
                </w:tcPr>
                <w:p w14:paraId="0F9B2E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531" w:type="pct"/>
                  <w:noWrap w:val="0"/>
                  <w:vAlign w:val="center"/>
                </w:tcPr>
                <w:p w14:paraId="4FAC688F">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634D46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443" w:type="pct"/>
                  <w:noWrap w:val="0"/>
                  <w:vAlign w:val="center"/>
                </w:tcPr>
                <w:p w14:paraId="5FF816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3F0C45A9">
                  <w:pPr>
                    <w:autoSpaceDE w:val="0"/>
                    <w:autoSpaceDN w:val="0"/>
                    <w:adjustRightInd w:val="0"/>
                    <w:snapToGrid w:val="0"/>
                    <w:jc w:val="center"/>
                    <w:rPr>
                      <w:color w:val="auto"/>
                      <w:sz w:val="18"/>
                      <w:szCs w:val="18"/>
                      <w:highlight w:val="none"/>
                    </w:rPr>
                  </w:pPr>
                </w:p>
              </w:tc>
              <w:tc>
                <w:tcPr>
                  <w:tcW w:w="363" w:type="pct"/>
                  <w:noWrap w:val="0"/>
                  <w:vAlign w:val="center"/>
                </w:tcPr>
                <w:p w14:paraId="5BC39E7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5EC1D1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45F0D57B">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5F9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4D0262E">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CEA658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3BE6B6EF">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5B8C016C">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5BB29016">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346558E">
                  <w:pPr>
                    <w:widowControl/>
                    <w:jc w:val="center"/>
                    <w:textAlignment w:val="center"/>
                    <w:rPr>
                      <w:color w:val="auto"/>
                      <w:kern w:val="0"/>
                      <w:sz w:val="18"/>
                      <w:szCs w:val="18"/>
                      <w:highlight w:val="none"/>
                      <w:lang w:bidi="ar"/>
                    </w:rPr>
                  </w:pPr>
                </w:p>
              </w:tc>
              <w:tc>
                <w:tcPr>
                  <w:tcW w:w="257" w:type="pct"/>
                  <w:vMerge w:val="continue"/>
                  <w:noWrap w:val="0"/>
                  <w:vAlign w:val="center"/>
                </w:tcPr>
                <w:p w14:paraId="557F01A3">
                  <w:pPr>
                    <w:widowControl/>
                    <w:jc w:val="center"/>
                    <w:textAlignment w:val="center"/>
                    <w:rPr>
                      <w:color w:val="auto"/>
                      <w:kern w:val="0"/>
                      <w:sz w:val="18"/>
                      <w:szCs w:val="18"/>
                      <w:highlight w:val="none"/>
                      <w:lang w:bidi="ar"/>
                    </w:rPr>
                  </w:pPr>
                </w:p>
              </w:tc>
              <w:tc>
                <w:tcPr>
                  <w:tcW w:w="263" w:type="pct"/>
                  <w:vMerge w:val="continue"/>
                  <w:noWrap w:val="0"/>
                  <w:vAlign w:val="center"/>
                </w:tcPr>
                <w:p w14:paraId="1192BD62">
                  <w:pPr>
                    <w:widowControl/>
                    <w:jc w:val="center"/>
                    <w:textAlignment w:val="center"/>
                    <w:rPr>
                      <w:color w:val="auto"/>
                      <w:kern w:val="0"/>
                      <w:sz w:val="18"/>
                      <w:szCs w:val="18"/>
                      <w:highlight w:val="none"/>
                      <w:lang w:bidi="ar"/>
                    </w:rPr>
                  </w:pPr>
                </w:p>
              </w:tc>
              <w:tc>
                <w:tcPr>
                  <w:tcW w:w="531" w:type="pct"/>
                  <w:noWrap w:val="0"/>
                  <w:vAlign w:val="center"/>
                </w:tcPr>
                <w:p w14:paraId="74BD6618">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423E5FE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3DECE54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w:t>
                  </w:r>
                </w:p>
              </w:tc>
              <w:tc>
                <w:tcPr>
                  <w:tcW w:w="318" w:type="pct"/>
                  <w:vMerge w:val="continue"/>
                  <w:noWrap w:val="0"/>
                  <w:vAlign w:val="center"/>
                </w:tcPr>
                <w:p w14:paraId="22F85C18">
                  <w:pPr>
                    <w:autoSpaceDE w:val="0"/>
                    <w:autoSpaceDN w:val="0"/>
                    <w:adjustRightInd w:val="0"/>
                    <w:snapToGrid w:val="0"/>
                    <w:jc w:val="center"/>
                    <w:rPr>
                      <w:color w:val="auto"/>
                      <w:sz w:val="18"/>
                      <w:szCs w:val="18"/>
                      <w:highlight w:val="none"/>
                    </w:rPr>
                  </w:pPr>
                </w:p>
              </w:tc>
              <w:tc>
                <w:tcPr>
                  <w:tcW w:w="363" w:type="pct"/>
                  <w:noWrap w:val="0"/>
                  <w:vAlign w:val="center"/>
                </w:tcPr>
                <w:p w14:paraId="3E6519F0">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65DB95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29.08</w:t>
                  </w:r>
                </w:p>
              </w:tc>
              <w:tc>
                <w:tcPr>
                  <w:tcW w:w="439" w:type="pct"/>
                  <w:noWrap w:val="0"/>
                  <w:vAlign w:val="center"/>
                </w:tcPr>
                <w:p w14:paraId="4212C6F9">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036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427AD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28EE34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27D1A7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8DBA84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88D546A">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6D97C9B8">
                  <w:pPr>
                    <w:widowControl/>
                    <w:jc w:val="center"/>
                    <w:textAlignment w:val="center"/>
                    <w:rPr>
                      <w:color w:val="auto"/>
                      <w:kern w:val="0"/>
                      <w:sz w:val="18"/>
                      <w:szCs w:val="18"/>
                      <w:highlight w:val="none"/>
                      <w:lang w:bidi="ar"/>
                    </w:rPr>
                  </w:pPr>
                </w:p>
              </w:tc>
              <w:tc>
                <w:tcPr>
                  <w:tcW w:w="257" w:type="pct"/>
                  <w:vMerge w:val="continue"/>
                  <w:noWrap w:val="0"/>
                  <w:vAlign w:val="center"/>
                </w:tcPr>
                <w:p w14:paraId="65567931">
                  <w:pPr>
                    <w:widowControl/>
                    <w:jc w:val="center"/>
                    <w:textAlignment w:val="center"/>
                    <w:rPr>
                      <w:color w:val="auto"/>
                      <w:kern w:val="0"/>
                      <w:sz w:val="18"/>
                      <w:szCs w:val="18"/>
                      <w:highlight w:val="none"/>
                      <w:lang w:bidi="ar"/>
                    </w:rPr>
                  </w:pPr>
                </w:p>
              </w:tc>
              <w:tc>
                <w:tcPr>
                  <w:tcW w:w="263" w:type="pct"/>
                  <w:vMerge w:val="continue"/>
                  <w:noWrap w:val="0"/>
                  <w:vAlign w:val="center"/>
                </w:tcPr>
                <w:p w14:paraId="2D839A2A">
                  <w:pPr>
                    <w:widowControl/>
                    <w:jc w:val="center"/>
                    <w:textAlignment w:val="center"/>
                    <w:rPr>
                      <w:color w:val="auto"/>
                      <w:kern w:val="0"/>
                      <w:sz w:val="18"/>
                      <w:szCs w:val="18"/>
                      <w:highlight w:val="none"/>
                      <w:lang w:bidi="ar"/>
                    </w:rPr>
                  </w:pPr>
                </w:p>
              </w:tc>
              <w:tc>
                <w:tcPr>
                  <w:tcW w:w="531" w:type="pct"/>
                  <w:noWrap w:val="0"/>
                  <w:vAlign w:val="center"/>
                </w:tcPr>
                <w:p w14:paraId="0CBDF23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2455C89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28</w:t>
                  </w:r>
                </w:p>
              </w:tc>
              <w:tc>
                <w:tcPr>
                  <w:tcW w:w="443" w:type="pct"/>
                  <w:noWrap w:val="0"/>
                  <w:vAlign w:val="center"/>
                </w:tcPr>
                <w:p w14:paraId="09534D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4BF469BA">
                  <w:pPr>
                    <w:autoSpaceDE w:val="0"/>
                    <w:autoSpaceDN w:val="0"/>
                    <w:adjustRightInd w:val="0"/>
                    <w:snapToGrid w:val="0"/>
                    <w:jc w:val="center"/>
                    <w:rPr>
                      <w:color w:val="auto"/>
                      <w:sz w:val="18"/>
                      <w:szCs w:val="18"/>
                      <w:highlight w:val="none"/>
                    </w:rPr>
                  </w:pPr>
                </w:p>
              </w:tc>
              <w:tc>
                <w:tcPr>
                  <w:tcW w:w="363" w:type="pct"/>
                  <w:noWrap w:val="0"/>
                  <w:vAlign w:val="center"/>
                </w:tcPr>
                <w:p w14:paraId="6AFA35DE">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B81826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57DC1C5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07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6A42B15">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F556C1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FBA5620">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FE9476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DF09BB1">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3C9668D">
                  <w:pPr>
                    <w:widowControl/>
                    <w:jc w:val="center"/>
                    <w:textAlignment w:val="center"/>
                    <w:rPr>
                      <w:color w:val="auto"/>
                      <w:kern w:val="0"/>
                      <w:sz w:val="18"/>
                      <w:szCs w:val="18"/>
                      <w:highlight w:val="none"/>
                      <w:lang w:bidi="ar"/>
                    </w:rPr>
                  </w:pPr>
                </w:p>
              </w:tc>
              <w:tc>
                <w:tcPr>
                  <w:tcW w:w="257" w:type="pct"/>
                  <w:vMerge w:val="continue"/>
                  <w:noWrap w:val="0"/>
                  <w:vAlign w:val="center"/>
                </w:tcPr>
                <w:p w14:paraId="5AD3F916">
                  <w:pPr>
                    <w:widowControl/>
                    <w:jc w:val="center"/>
                    <w:textAlignment w:val="center"/>
                    <w:rPr>
                      <w:color w:val="auto"/>
                      <w:kern w:val="0"/>
                      <w:sz w:val="18"/>
                      <w:szCs w:val="18"/>
                      <w:highlight w:val="none"/>
                      <w:lang w:bidi="ar"/>
                    </w:rPr>
                  </w:pPr>
                </w:p>
              </w:tc>
              <w:tc>
                <w:tcPr>
                  <w:tcW w:w="263" w:type="pct"/>
                  <w:vMerge w:val="continue"/>
                  <w:noWrap w:val="0"/>
                  <w:vAlign w:val="center"/>
                </w:tcPr>
                <w:p w14:paraId="5B9AB988">
                  <w:pPr>
                    <w:widowControl/>
                    <w:jc w:val="center"/>
                    <w:textAlignment w:val="center"/>
                    <w:rPr>
                      <w:color w:val="auto"/>
                      <w:kern w:val="0"/>
                      <w:sz w:val="18"/>
                      <w:szCs w:val="18"/>
                      <w:highlight w:val="none"/>
                      <w:lang w:bidi="ar"/>
                    </w:rPr>
                  </w:pPr>
                </w:p>
              </w:tc>
              <w:tc>
                <w:tcPr>
                  <w:tcW w:w="531" w:type="pct"/>
                  <w:noWrap w:val="0"/>
                  <w:vAlign w:val="center"/>
                </w:tcPr>
                <w:p w14:paraId="65FB61DC">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C971B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2DC12CB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w:t>
                  </w:r>
                </w:p>
              </w:tc>
              <w:tc>
                <w:tcPr>
                  <w:tcW w:w="318" w:type="pct"/>
                  <w:vMerge w:val="continue"/>
                  <w:noWrap w:val="0"/>
                  <w:vAlign w:val="center"/>
                </w:tcPr>
                <w:p w14:paraId="53D5B3BC">
                  <w:pPr>
                    <w:autoSpaceDE w:val="0"/>
                    <w:autoSpaceDN w:val="0"/>
                    <w:adjustRightInd w:val="0"/>
                    <w:snapToGrid w:val="0"/>
                    <w:jc w:val="center"/>
                    <w:rPr>
                      <w:color w:val="auto"/>
                      <w:sz w:val="18"/>
                      <w:szCs w:val="18"/>
                      <w:highlight w:val="none"/>
                    </w:rPr>
                  </w:pPr>
                </w:p>
              </w:tc>
              <w:tc>
                <w:tcPr>
                  <w:tcW w:w="363" w:type="pct"/>
                  <w:noWrap w:val="0"/>
                  <w:vAlign w:val="center"/>
                </w:tcPr>
                <w:p w14:paraId="1C46436F">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418275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29.08</w:t>
                  </w:r>
                </w:p>
              </w:tc>
              <w:tc>
                <w:tcPr>
                  <w:tcW w:w="439" w:type="pct"/>
                  <w:noWrap w:val="0"/>
                  <w:vAlign w:val="center"/>
                </w:tcPr>
                <w:p w14:paraId="04C1337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490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D6E320">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02B47FB">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673B4627">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气力输送罗茨风机</w:t>
                  </w:r>
                </w:p>
              </w:tc>
              <w:tc>
                <w:tcPr>
                  <w:tcW w:w="472" w:type="pct"/>
                  <w:vMerge w:val="restart"/>
                  <w:noWrap w:val="0"/>
                  <w:vAlign w:val="center"/>
                </w:tcPr>
                <w:p w14:paraId="1593936F">
                  <w:pPr>
                    <w:autoSpaceDE w:val="0"/>
                    <w:autoSpaceDN w:val="0"/>
                    <w:adjustRightInd w:val="0"/>
                    <w:snapToGrid w:val="0"/>
                    <w:jc w:val="center"/>
                    <w:rPr>
                      <w:color w:val="auto"/>
                      <w:sz w:val="18"/>
                      <w:szCs w:val="18"/>
                      <w:highlight w:val="none"/>
                    </w:rPr>
                  </w:pPr>
                  <w:r>
                    <w:rPr>
                      <w:rFonts w:hint="eastAsia"/>
                      <w:color w:val="auto"/>
                      <w:sz w:val="18"/>
                      <w:szCs w:val="18"/>
                      <w:highlight w:val="none"/>
                      <w:lang w:val="en-US" w:eastAsia="zh-CN"/>
                    </w:rPr>
                    <w:t>90</w:t>
                  </w:r>
                </w:p>
              </w:tc>
              <w:tc>
                <w:tcPr>
                  <w:tcW w:w="292" w:type="pct"/>
                  <w:vMerge w:val="continue"/>
                  <w:noWrap w:val="0"/>
                  <w:vAlign w:val="center"/>
                </w:tcPr>
                <w:p w14:paraId="69A9CF34">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7E42F9C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495.95</w:t>
                  </w:r>
                </w:p>
              </w:tc>
              <w:tc>
                <w:tcPr>
                  <w:tcW w:w="257" w:type="pct"/>
                  <w:vMerge w:val="restart"/>
                  <w:noWrap w:val="0"/>
                  <w:vAlign w:val="center"/>
                </w:tcPr>
                <w:p w14:paraId="0636B5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488.09</w:t>
                  </w:r>
                </w:p>
              </w:tc>
              <w:tc>
                <w:tcPr>
                  <w:tcW w:w="263" w:type="pct"/>
                  <w:vMerge w:val="restart"/>
                  <w:noWrap w:val="0"/>
                  <w:vAlign w:val="center"/>
                </w:tcPr>
                <w:p w14:paraId="631594D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F7A547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6753C43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07D5333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61.70</w:t>
                  </w:r>
                </w:p>
              </w:tc>
              <w:tc>
                <w:tcPr>
                  <w:tcW w:w="318" w:type="pct"/>
                  <w:vMerge w:val="continue"/>
                  <w:noWrap w:val="0"/>
                  <w:vAlign w:val="center"/>
                </w:tcPr>
                <w:p w14:paraId="0FC12600">
                  <w:pPr>
                    <w:autoSpaceDE w:val="0"/>
                    <w:autoSpaceDN w:val="0"/>
                    <w:adjustRightInd w:val="0"/>
                    <w:snapToGrid w:val="0"/>
                    <w:jc w:val="center"/>
                    <w:rPr>
                      <w:color w:val="auto"/>
                      <w:sz w:val="18"/>
                      <w:szCs w:val="18"/>
                      <w:highlight w:val="none"/>
                    </w:rPr>
                  </w:pPr>
                </w:p>
              </w:tc>
              <w:tc>
                <w:tcPr>
                  <w:tcW w:w="363" w:type="pct"/>
                  <w:noWrap w:val="0"/>
                  <w:vAlign w:val="center"/>
                </w:tcPr>
                <w:p w14:paraId="02FEB5C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9C90D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41.70</w:t>
                  </w:r>
                </w:p>
              </w:tc>
              <w:tc>
                <w:tcPr>
                  <w:tcW w:w="439" w:type="pct"/>
                  <w:noWrap w:val="0"/>
                  <w:vAlign w:val="center"/>
                </w:tcPr>
                <w:p w14:paraId="7A1B760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950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95BD0AA">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77B36DE">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263C226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52D153FE">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7EDB17EE">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9BAE547">
                  <w:pPr>
                    <w:widowControl/>
                    <w:jc w:val="center"/>
                    <w:textAlignment w:val="center"/>
                    <w:rPr>
                      <w:color w:val="auto"/>
                      <w:kern w:val="0"/>
                      <w:sz w:val="18"/>
                      <w:szCs w:val="18"/>
                      <w:highlight w:val="none"/>
                      <w:lang w:bidi="ar"/>
                    </w:rPr>
                  </w:pPr>
                </w:p>
              </w:tc>
              <w:tc>
                <w:tcPr>
                  <w:tcW w:w="257" w:type="pct"/>
                  <w:vMerge w:val="continue"/>
                  <w:noWrap w:val="0"/>
                  <w:vAlign w:val="center"/>
                </w:tcPr>
                <w:p w14:paraId="74F631B1">
                  <w:pPr>
                    <w:widowControl/>
                    <w:jc w:val="center"/>
                    <w:textAlignment w:val="center"/>
                    <w:rPr>
                      <w:color w:val="auto"/>
                      <w:kern w:val="0"/>
                      <w:sz w:val="18"/>
                      <w:szCs w:val="18"/>
                      <w:highlight w:val="none"/>
                      <w:lang w:bidi="ar"/>
                    </w:rPr>
                  </w:pPr>
                </w:p>
              </w:tc>
              <w:tc>
                <w:tcPr>
                  <w:tcW w:w="263" w:type="pct"/>
                  <w:vMerge w:val="continue"/>
                  <w:noWrap w:val="0"/>
                  <w:vAlign w:val="center"/>
                </w:tcPr>
                <w:p w14:paraId="2AFA54DA">
                  <w:pPr>
                    <w:widowControl/>
                    <w:jc w:val="center"/>
                    <w:textAlignment w:val="center"/>
                    <w:rPr>
                      <w:color w:val="auto"/>
                      <w:kern w:val="0"/>
                      <w:sz w:val="18"/>
                      <w:szCs w:val="18"/>
                      <w:highlight w:val="none"/>
                      <w:lang w:bidi="ar"/>
                    </w:rPr>
                  </w:pPr>
                </w:p>
              </w:tc>
              <w:tc>
                <w:tcPr>
                  <w:tcW w:w="531" w:type="pct"/>
                  <w:noWrap w:val="0"/>
                  <w:vAlign w:val="center"/>
                </w:tcPr>
                <w:p w14:paraId="7FE4BAF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3393160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5C03481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67.08</w:t>
                  </w:r>
                </w:p>
              </w:tc>
              <w:tc>
                <w:tcPr>
                  <w:tcW w:w="318" w:type="pct"/>
                  <w:vMerge w:val="continue"/>
                  <w:noWrap w:val="0"/>
                  <w:vAlign w:val="center"/>
                </w:tcPr>
                <w:p w14:paraId="7025B389">
                  <w:pPr>
                    <w:autoSpaceDE w:val="0"/>
                    <w:autoSpaceDN w:val="0"/>
                    <w:adjustRightInd w:val="0"/>
                    <w:snapToGrid w:val="0"/>
                    <w:jc w:val="center"/>
                    <w:rPr>
                      <w:color w:val="auto"/>
                      <w:sz w:val="18"/>
                      <w:szCs w:val="18"/>
                      <w:highlight w:val="none"/>
                    </w:rPr>
                  </w:pPr>
                </w:p>
              </w:tc>
              <w:tc>
                <w:tcPr>
                  <w:tcW w:w="363" w:type="pct"/>
                  <w:noWrap w:val="0"/>
                  <w:vAlign w:val="center"/>
                </w:tcPr>
                <w:p w14:paraId="155B22D1">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51DE2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47.08</w:t>
                  </w:r>
                </w:p>
              </w:tc>
              <w:tc>
                <w:tcPr>
                  <w:tcW w:w="439" w:type="pct"/>
                  <w:noWrap w:val="0"/>
                  <w:vAlign w:val="center"/>
                </w:tcPr>
                <w:p w14:paraId="09A15D50">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761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4E705A4">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D40EB5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E3B8F3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7156135D">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E638E2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79C7351">
                  <w:pPr>
                    <w:widowControl/>
                    <w:jc w:val="center"/>
                    <w:textAlignment w:val="center"/>
                    <w:rPr>
                      <w:color w:val="auto"/>
                      <w:kern w:val="0"/>
                      <w:sz w:val="18"/>
                      <w:szCs w:val="18"/>
                      <w:highlight w:val="none"/>
                      <w:lang w:bidi="ar"/>
                    </w:rPr>
                  </w:pPr>
                </w:p>
              </w:tc>
              <w:tc>
                <w:tcPr>
                  <w:tcW w:w="257" w:type="pct"/>
                  <w:vMerge w:val="continue"/>
                  <w:noWrap w:val="0"/>
                  <w:vAlign w:val="center"/>
                </w:tcPr>
                <w:p w14:paraId="697C1591">
                  <w:pPr>
                    <w:widowControl/>
                    <w:jc w:val="center"/>
                    <w:textAlignment w:val="center"/>
                    <w:rPr>
                      <w:color w:val="auto"/>
                      <w:kern w:val="0"/>
                      <w:sz w:val="18"/>
                      <w:szCs w:val="18"/>
                      <w:highlight w:val="none"/>
                      <w:lang w:bidi="ar"/>
                    </w:rPr>
                  </w:pPr>
                </w:p>
              </w:tc>
              <w:tc>
                <w:tcPr>
                  <w:tcW w:w="263" w:type="pct"/>
                  <w:vMerge w:val="continue"/>
                  <w:noWrap w:val="0"/>
                  <w:vAlign w:val="center"/>
                </w:tcPr>
                <w:p w14:paraId="1CD9C843">
                  <w:pPr>
                    <w:widowControl/>
                    <w:jc w:val="center"/>
                    <w:textAlignment w:val="center"/>
                    <w:rPr>
                      <w:color w:val="auto"/>
                      <w:kern w:val="0"/>
                      <w:sz w:val="18"/>
                      <w:szCs w:val="18"/>
                      <w:highlight w:val="none"/>
                      <w:lang w:bidi="ar"/>
                    </w:rPr>
                  </w:pPr>
                </w:p>
              </w:tc>
              <w:tc>
                <w:tcPr>
                  <w:tcW w:w="531" w:type="pct"/>
                  <w:noWrap w:val="0"/>
                  <w:vAlign w:val="center"/>
                </w:tcPr>
                <w:p w14:paraId="52AA830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7407585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74B52E0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61.37</w:t>
                  </w:r>
                </w:p>
              </w:tc>
              <w:tc>
                <w:tcPr>
                  <w:tcW w:w="318" w:type="pct"/>
                  <w:vMerge w:val="continue"/>
                  <w:noWrap w:val="0"/>
                  <w:vAlign w:val="center"/>
                </w:tcPr>
                <w:p w14:paraId="43649536">
                  <w:pPr>
                    <w:autoSpaceDE w:val="0"/>
                    <w:autoSpaceDN w:val="0"/>
                    <w:adjustRightInd w:val="0"/>
                    <w:snapToGrid w:val="0"/>
                    <w:jc w:val="center"/>
                    <w:rPr>
                      <w:color w:val="auto"/>
                      <w:sz w:val="18"/>
                      <w:szCs w:val="18"/>
                      <w:highlight w:val="none"/>
                    </w:rPr>
                  </w:pPr>
                </w:p>
              </w:tc>
              <w:tc>
                <w:tcPr>
                  <w:tcW w:w="363" w:type="pct"/>
                  <w:noWrap w:val="0"/>
                  <w:vAlign w:val="center"/>
                </w:tcPr>
                <w:p w14:paraId="7DDCDF4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83F17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41.37</w:t>
                  </w:r>
                </w:p>
              </w:tc>
              <w:tc>
                <w:tcPr>
                  <w:tcW w:w="439" w:type="pct"/>
                  <w:noWrap w:val="0"/>
                  <w:vAlign w:val="center"/>
                </w:tcPr>
                <w:p w14:paraId="4DA9AF4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778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7352F078">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9642071">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571CE3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F46547E">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869E78F">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585D50D">
                  <w:pPr>
                    <w:widowControl/>
                    <w:jc w:val="center"/>
                    <w:textAlignment w:val="center"/>
                    <w:rPr>
                      <w:color w:val="auto"/>
                      <w:kern w:val="0"/>
                      <w:sz w:val="18"/>
                      <w:szCs w:val="18"/>
                      <w:highlight w:val="none"/>
                      <w:lang w:bidi="ar"/>
                    </w:rPr>
                  </w:pPr>
                </w:p>
              </w:tc>
              <w:tc>
                <w:tcPr>
                  <w:tcW w:w="257" w:type="pct"/>
                  <w:vMerge w:val="continue"/>
                  <w:noWrap w:val="0"/>
                  <w:vAlign w:val="center"/>
                </w:tcPr>
                <w:p w14:paraId="221B494C">
                  <w:pPr>
                    <w:widowControl/>
                    <w:jc w:val="center"/>
                    <w:textAlignment w:val="center"/>
                    <w:rPr>
                      <w:color w:val="auto"/>
                      <w:kern w:val="0"/>
                      <w:sz w:val="18"/>
                      <w:szCs w:val="18"/>
                      <w:highlight w:val="none"/>
                      <w:lang w:bidi="ar"/>
                    </w:rPr>
                  </w:pPr>
                </w:p>
              </w:tc>
              <w:tc>
                <w:tcPr>
                  <w:tcW w:w="263" w:type="pct"/>
                  <w:vMerge w:val="continue"/>
                  <w:noWrap w:val="0"/>
                  <w:vAlign w:val="center"/>
                </w:tcPr>
                <w:p w14:paraId="7901157B">
                  <w:pPr>
                    <w:widowControl/>
                    <w:jc w:val="center"/>
                    <w:textAlignment w:val="center"/>
                    <w:rPr>
                      <w:color w:val="auto"/>
                      <w:kern w:val="0"/>
                      <w:sz w:val="18"/>
                      <w:szCs w:val="18"/>
                      <w:highlight w:val="none"/>
                      <w:lang w:bidi="ar"/>
                    </w:rPr>
                  </w:pPr>
                </w:p>
              </w:tc>
              <w:tc>
                <w:tcPr>
                  <w:tcW w:w="531" w:type="pct"/>
                  <w:noWrap w:val="0"/>
                  <w:vAlign w:val="center"/>
                </w:tcPr>
                <w:p w14:paraId="1D628889">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03CD184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6F75598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67.08</w:t>
                  </w:r>
                </w:p>
              </w:tc>
              <w:tc>
                <w:tcPr>
                  <w:tcW w:w="318" w:type="pct"/>
                  <w:vMerge w:val="continue"/>
                  <w:noWrap w:val="0"/>
                  <w:vAlign w:val="center"/>
                </w:tcPr>
                <w:p w14:paraId="41011F6D">
                  <w:pPr>
                    <w:autoSpaceDE w:val="0"/>
                    <w:autoSpaceDN w:val="0"/>
                    <w:adjustRightInd w:val="0"/>
                    <w:snapToGrid w:val="0"/>
                    <w:jc w:val="center"/>
                    <w:rPr>
                      <w:color w:val="auto"/>
                      <w:sz w:val="18"/>
                      <w:szCs w:val="18"/>
                      <w:highlight w:val="none"/>
                    </w:rPr>
                  </w:pPr>
                </w:p>
              </w:tc>
              <w:tc>
                <w:tcPr>
                  <w:tcW w:w="363" w:type="pct"/>
                  <w:noWrap w:val="0"/>
                  <w:vAlign w:val="center"/>
                </w:tcPr>
                <w:p w14:paraId="53EB82D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65BA7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47.08</w:t>
                  </w:r>
                </w:p>
              </w:tc>
              <w:tc>
                <w:tcPr>
                  <w:tcW w:w="439" w:type="pct"/>
                  <w:noWrap w:val="0"/>
                  <w:vAlign w:val="center"/>
                </w:tcPr>
                <w:p w14:paraId="628D3AD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E8D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A923AC4">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B6468B">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3361163A">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螺旋输送机</w:t>
                  </w:r>
                </w:p>
              </w:tc>
              <w:tc>
                <w:tcPr>
                  <w:tcW w:w="472" w:type="pct"/>
                  <w:vMerge w:val="restart"/>
                  <w:noWrap w:val="0"/>
                  <w:vAlign w:val="center"/>
                </w:tcPr>
                <w:p w14:paraId="584F86A3">
                  <w:pPr>
                    <w:autoSpaceDE w:val="0"/>
                    <w:autoSpaceDN w:val="0"/>
                    <w:adjustRightInd w:val="0"/>
                    <w:snapToGrid w:val="0"/>
                    <w:jc w:val="center"/>
                    <w:rPr>
                      <w:color w:val="auto"/>
                      <w:sz w:val="18"/>
                      <w:szCs w:val="18"/>
                      <w:highlight w:val="none"/>
                    </w:rPr>
                  </w:pPr>
                  <w:r>
                    <w:rPr>
                      <w:rFonts w:hint="eastAsia"/>
                      <w:color w:val="auto"/>
                      <w:sz w:val="18"/>
                      <w:szCs w:val="18"/>
                      <w:highlight w:val="none"/>
                      <w:lang w:val="en-US" w:eastAsia="zh-CN"/>
                    </w:rPr>
                    <w:t>80</w:t>
                  </w:r>
                </w:p>
              </w:tc>
              <w:tc>
                <w:tcPr>
                  <w:tcW w:w="292" w:type="pct"/>
                  <w:vMerge w:val="continue"/>
                  <w:noWrap w:val="0"/>
                  <w:vAlign w:val="center"/>
                </w:tcPr>
                <w:p w14:paraId="158C3CA4">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145FD6D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494.05</w:t>
                  </w:r>
                </w:p>
              </w:tc>
              <w:tc>
                <w:tcPr>
                  <w:tcW w:w="257" w:type="pct"/>
                  <w:vMerge w:val="restart"/>
                  <w:noWrap w:val="0"/>
                  <w:vAlign w:val="center"/>
                </w:tcPr>
                <w:p w14:paraId="276BEA5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485.88</w:t>
                  </w:r>
                </w:p>
              </w:tc>
              <w:tc>
                <w:tcPr>
                  <w:tcW w:w="263" w:type="pct"/>
                  <w:vMerge w:val="restart"/>
                  <w:noWrap w:val="0"/>
                  <w:vAlign w:val="center"/>
                </w:tcPr>
                <w:p w14:paraId="25B9959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E94CB48">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F16911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1E2D71E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2A9379E4">
                  <w:pPr>
                    <w:autoSpaceDE w:val="0"/>
                    <w:autoSpaceDN w:val="0"/>
                    <w:adjustRightInd w:val="0"/>
                    <w:snapToGrid w:val="0"/>
                    <w:jc w:val="center"/>
                    <w:rPr>
                      <w:color w:val="auto"/>
                      <w:sz w:val="18"/>
                      <w:szCs w:val="18"/>
                      <w:highlight w:val="none"/>
                    </w:rPr>
                  </w:pPr>
                </w:p>
              </w:tc>
              <w:tc>
                <w:tcPr>
                  <w:tcW w:w="363" w:type="pct"/>
                  <w:noWrap w:val="0"/>
                  <w:vAlign w:val="center"/>
                </w:tcPr>
                <w:p w14:paraId="375E131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2BBDAC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22861A2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5A1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70F44F55">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BC7A24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C63881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A7CA306">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BC2DBB2">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4B969B39">
                  <w:pPr>
                    <w:widowControl/>
                    <w:jc w:val="center"/>
                    <w:textAlignment w:val="center"/>
                    <w:rPr>
                      <w:color w:val="auto"/>
                      <w:kern w:val="0"/>
                      <w:sz w:val="18"/>
                      <w:szCs w:val="18"/>
                      <w:highlight w:val="none"/>
                      <w:lang w:bidi="ar"/>
                    </w:rPr>
                  </w:pPr>
                </w:p>
              </w:tc>
              <w:tc>
                <w:tcPr>
                  <w:tcW w:w="257" w:type="pct"/>
                  <w:vMerge w:val="continue"/>
                  <w:noWrap w:val="0"/>
                  <w:vAlign w:val="center"/>
                </w:tcPr>
                <w:p w14:paraId="175BE3CE">
                  <w:pPr>
                    <w:widowControl/>
                    <w:jc w:val="center"/>
                    <w:textAlignment w:val="center"/>
                    <w:rPr>
                      <w:color w:val="auto"/>
                      <w:kern w:val="0"/>
                      <w:sz w:val="18"/>
                      <w:szCs w:val="18"/>
                      <w:highlight w:val="none"/>
                      <w:lang w:bidi="ar"/>
                    </w:rPr>
                  </w:pPr>
                </w:p>
              </w:tc>
              <w:tc>
                <w:tcPr>
                  <w:tcW w:w="263" w:type="pct"/>
                  <w:vMerge w:val="continue"/>
                  <w:noWrap w:val="0"/>
                  <w:vAlign w:val="center"/>
                </w:tcPr>
                <w:p w14:paraId="0AB60414">
                  <w:pPr>
                    <w:widowControl/>
                    <w:jc w:val="center"/>
                    <w:textAlignment w:val="center"/>
                    <w:rPr>
                      <w:color w:val="auto"/>
                      <w:kern w:val="0"/>
                      <w:sz w:val="18"/>
                      <w:szCs w:val="18"/>
                      <w:highlight w:val="none"/>
                      <w:lang w:bidi="ar"/>
                    </w:rPr>
                  </w:pPr>
                </w:p>
              </w:tc>
              <w:tc>
                <w:tcPr>
                  <w:tcW w:w="531" w:type="pct"/>
                  <w:noWrap w:val="0"/>
                  <w:vAlign w:val="center"/>
                </w:tcPr>
                <w:p w14:paraId="39A96446">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1B369E5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13</w:t>
                  </w:r>
                </w:p>
              </w:tc>
              <w:tc>
                <w:tcPr>
                  <w:tcW w:w="443" w:type="pct"/>
                  <w:noWrap w:val="0"/>
                  <w:vAlign w:val="center"/>
                </w:tcPr>
                <w:p w14:paraId="3103972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47.37</w:t>
                  </w:r>
                </w:p>
              </w:tc>
              <w:tc>
                <w:tcPr>
                  <w:tcW w:w="318" w:type="pct"/>
                  <w:vMerge w:val="continue"/>
                  <w:noWrap w:val="0"/>
                  <w:vAlign w:val="center"/>
                </w:tcPr>
                <w:p w14:paraId="4D990CF7">
                  <w:pPr>
                    <w:autoSpaceDE w:val="0"/>
                    <w:autoSpaceDN w:val="0"/>
                    <w:adjustRightInd w:val="0"/>
                    <w:snapToGrid w:val="0"/>
                    <w:jc w:val="center"/>
                    <w:rPr>
                      <w:color w:val="auto"/>
                      <w:sz w:val="18"/>
                      <w:szCs w:val="18"/>
                      <w:highlight w:val="none"/>
                    </w:rPr>
                  </w:pPr>
                </w:p>
              </w:tc>
              <w:tc>
                <w:tcPr>
                  <w:tcW w:w="363" w:type="pct"/>
                  <w:noWrap w:val="0"/>
                  <w:vAlign w:val="center"/>
                </w:tcPr>
                <w:p w14:paraId="08656DB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45E2E3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27.37</w:t>
                  </w:r>
                </w:p>
              </w:tc>
              <w:tc>
                <w:tcPr>
                  <w:tcW w:w="439" w:type="pct"/>
                  <w:noWrap w:val="0"/>
                  <w:vAlign w:val="center"/>
                </w:tcPr>
                <w:p w14:paraId="163C3DF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9D1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B9E9050">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F959F0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FB1E553">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1F64E627">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14F5F75F">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C2A8E4C">
                  <w:pPr>
                    <w:widowControl/>
                    <w:jc w:val="center"/>
                    <w:textAlignment w:val="center"/>
                    <w:rPr>
                      <w:color w:val="auto"/>
                      <w:kern w:val="0"/>
                      <w:sz w:val="18"/>
                      <w:szCs w:val="18"/>
                      <w:highlight w:val="none"/>
                      <w:lang w:bidi="ar"/>
                    </w:rPr>
                  </w:pPr>
                </w:p>
              </w:tc>
              <w:tc>
                <w:tcPr>
                  <w:tcW w:w="257" w:type="pct"/>
                  <w:vMerge w:val="continue"/>
                  <w:noWrap w:val="0"/>
                  <w:vAlign w:val="center"/>
                </w:tcPr>
                <w:p w14:paraId="02BF20C2">
                  <w:pPr>
                    <w:widowControl/>
                    <w:jc w:val="center"/>
                    <w:textAlignment w:val="center"/>
                    <w:rPr>
                      <w:color w:val="auto"/>
                      <w:kern w:val="0"/>
                      <w:sz w:val="18"/>
                      <w:szCs w:val="18"/>
                      <w:highlight w:val="none"/>
                      <w:lang w:bidi="ar"/>
                    </w:rPr>
                  </w:pPr>
                </w:p>
              </w:tc>
              <w:tc>
                <w:tcPr>
                  <w:tcW w:w="263" w:type="pct"/>
                  <w:vMerge w:val="continue"/>
                  <w:noWrap w:val="0"/>
                  <w:vAlign w:val="center"/>
                </w:tcPr>
                <w:p w14:paraId="61314360">
                  <w:pPr>
                    <w:widowControl/>
                    <w:jc w:val="center"/>
                    <w:textAlignment w:val="center"/>
                    <w:rPr>
                      <w:color w:val="auto"/>
                      <w:kern w:val="0"/>
                      <w:sz w:val="18"/>
                      <w:szCs w:val="18"/>
                      <w:highlight w:val="none"/>
                      <w:lang w:bidi="ar"/>
                    </w:rPr>
                  </w:pPr>
                </w:p>
              </w:tc>
              <w:tc>
                <w:tcPr>
                  <w:tcW w:w="531" w:type="pct"/>
                  <w:noWrap w:val="0"/>
                  <w:vAlign w:val="center"/>
                </w:tcPr>
                <w:p w14:paraId="41C06DD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5AA4DC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55C3630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6C58D0C3">
                  <w:pPr>
                    <w:autoSpaceDE w:val="0"/>
                    <w:autoSpaceDN w:val="0"/>
                    <w:adjustRightInd w:val="0"/>
                    <w:snapToGrid w:val="0"/>
                    <w:jc w:val="center"/>
                    <w:rPr>
                      <w:color w:val="auto"/>
                      <w:sz w:val="18"/>
                      <w:szCs w:val="18"/>
                      <w:highlight w:val="none"/>
                    </w:rPr>
                  </w:pPr>
                </w:p>
              </w:tc>
              <w:tc>
                <w:tcPr>
                  <w:tcW w:w="363" w:type="pct"/>
                  <w:noWrap w:val="0"/>
                  <w:vAlign w:val="center"/>
                </w:tcPr>
                <w:p w14:paraId="658C3C9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4C4FBB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4428464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517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6131DC7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2646A5E">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2270A1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67BB60C">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BC9B477">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2A8FFEC">
                  <w:pPr>
                    <w:widowControl/>
                    <w:jc w:val="center"/>
                    <w:textAlignment w:val="center"/>
                    <w:rPr>
                      <w:color w:val="auto"/>
                      <w:kern w:val="0"/>
                      <w:sz w:val="18"/>
                      <w:szCs w:val="18"/>
                      <w:highlight w:val="none"/>
                      <w:lang w:bidi="ar"/>
                    </w:rPr>
                  </w:pPr>
                </w:p>
              </w:tc>
              <w:tc>
                <w:tcPr>
                  <w:tcW w:w="257" w:type="pct"/>
                  <w:vMerge w:val="continue"/>
                  <w:noWrap w:val="0"/>
                  <w:vAlign w:val="center"/>
                </w:tcPr>
                <w:p w14:paraId="61DFE271">
                  <w:pPr>
                    <w:widowControl/>
                    <w:jc w:val="center"/>
                    <w:textAlignment w:val="center"/>
                    <w:rPr>
                      <w:color w:val="auto"/>
                      <w:kern w:val="0"/>
                      <w:sz w:val="18"/>
                      <w:szCs w:val="18"/>
                      <w:highlight w:val="none"/>
                      <w:lang w:bidi="ar"/>
                    </w:rPr>
                  </w:pPr>
                </w:p>
              </w:tc>
              <w:tc>
                <w:tcPr>
                  <w:tcW w:w="263" w:type="pct"/>
                  <w:vMerge w:val="continue"/>
                  <w:noWrap w:val="0"/>
                  <w:vAlign w:val="center"/>
                </w:tcPr>
                <w:p w14:paraId="21EDC868">
                  <w:pPr>
                    <w:widowControl/>
                    <w:jc w:val="center"/>
                    <w:textAlignment w:val="center"/>
                    <w:rPr>
                      <w:color w:val="auto"/>
                      <w:kern w:val="0"/>
                      <w:sz w:val="18"/>
                      <w:szCs w:val="18"/>
                      <w:highlight w:val="none"/>
                      <w:lang w:bidi="ar"/>
                    </w:rPr>
                  </w:pPr>
                </w:p>
              </w:tc>
              <w:tc>
                <w:tcPr>
                  <w:tcW w:w="531" w:type="pct"/>
                  <w:noWrap w:val="0"/>
                  <w:vAlign w:val="center"/>
                </w:tcPr>
                <w:p w14:paraId="2CF7E4EF">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7618865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15</w:t>
                  </w:r>
                </w:p>
              </w:tc>
              <w:tc>
                <w:tcPr>
                  <w:tcW w:w="443" w:type="pct"/>
                  <w:noWrap w:val="0"/>
                  <w:vAlign w:val="center"/>
                </w:tcPr>
                <w:p w14:paraId="26765F0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51.17</w:t>
                  </w:r>
                </w:p>
              </w:tc>
              <w:tc>
                <w:tcPr>
                  <w:tcW w:w="318" w:type="pct"/>
                  <w:vMerge w:val="continue"/>
                  <w:noWrap w:val="0"/>
                  <w:vAlign w:val="center"/>
                </w:tcPr>
                <w:p w14:paraId="422EC5C5">
                  <w:pPr>
                    <w:autoSpaceDE w:val="0"/>
                    <w:autoSpaceDN w:val="0"/>
                    <w:adjustRightInd w:val="0"/>
                    <w:snapToGrid w:val="0"/>
                    <w:jc w:val="center"/>
                    <w:rPr>
                      <w:color w:val="auto"/>
                      <w:sz w:val="18"/>
                      <w:szCs w:val="18"/>
                      <w:highlight w:val="none"/>
                    </w:rPr>
                  </w:pPr>
                </w:p>
              </w:tc>
              <w:tc>
                <w:tcPr>
                  <w:tcW w:w="363" w:type="pct"/>
                  <w:noWrap w:val="0"/>
                  <w:vAlign w:val="center"/>
                </w:tcPr>
                <w:p w14:paraId="520CE68F">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D7E6F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31.17</w:t>
                  </w:r>
                </w:p>
              </w:tc>
              <w:tc>
                <w:tcPr>
                  <w:tcW w:w="439" w:type="pct"/>
                  <w:noWrap w:val="0"/>
                  <w:vAlign w:val="center"/>
                </w:tcPr>
                <w:p w14:paraId="396773D2">
                  <w:pPr>
                    <w:autoSpaceDE w:val="0"/>
                    <w:autoSpaceDN w:val="0"/>
                    <w:adjustRightInd w:val="0"/>
                    <w:snapToGrid w:val="0"/>
                    <w:jc w:val="center"/>
                    <w:rPr>
                      <w:color w:val="auto"/>
                      <w:sz w:val="18"/>
                      <w:szCs w:val="18"/>
                      <w:highlight w:val="none"/>
                    </w:rPr>
                  </w:pPr>
                  <w:r>
                    <w:rPr>
                      <w:color w:val="auto"/>
                      <w:sz w:val="18"/>
                      <w:szCs w:val="18"/>
                      <w:highlight w:val="none"/>
                    </w:rPr>
                    <w:t>1</w:t>
                  </w:r>
                </w:p>
              </w:tc>
            </w:tr>
          </w:tbl>
          <w:p w14:paraId="31CA6C40">
            <w:pPr>
              <w:spacing w:line="480" w:lineRule="exact"/>
              <w:ind w:firstLine="480"/>
              <w:jc w:val="center"/>
              <w:rPr>
                <w:rFonts w:hint="default" w:cs="Times New Roman"/>
                <w:b/>
                <w:bCs/>
                <w:color w:val="auto"/>
                <w:sz w:val="24"/>
                <w:highlight w:val="none"/>
                <w:lang w:val="en-US" w:eastAsia="zh-CN"/>
              </w:rPr>
            </w:pPr>
            <w:r>
              <w:rPr>
                <w:rFonts w:hint="default" w:cs="Times New Roman"/>
                <w:b/>
                <w:bCs/>
                <w:color w:val="auto"/>
                <w:sz w:val="24"/>
                <w:highlight w:val="none"/>
                <w:lang w:val="en-US" w:eastAsia="zh-CN"/>
              </w:rPr>
              <w:t>表 4-</w:t>
            </w:r>
            <w:r>
              <w:rPr>
                <w:rFonts w:hint="eastAsia" w:cs="Times New Roman"/>
                <w:b/>
                <w:bCs/>
                <w:color w:val="auto"/>
                <w:sz w:val="24"/>
                <w:highlight w:val="none"/>
                <w:lang w:val="en-US" w:eastAsia="zh-CN"/>
              </w:rPr>
              <w:t>7</w:t>
            </w:r>
            <w:r>
              <w:rPr>
                <w:rFonts w:hint="default" w:cs="Times New Roman"/>
                <w:b/>
                <w:bCs/>
                <w:color w:val="auto"/>
                <w:sz w:val="24"/>
                <w:highlight w:val="none"/>
                <w:lang w:val="en-US" w:eastAsia="zh-CN"/>
              </w:rPr>
              <w:t xml:space="preserve">  项目室外噪声污染源强核算结果及相关参数一览表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626"/>
              <w:gridCol w:w="1735"/>
              <w:gridCol w:w="1481"/>
              <w:gridCol w:w="1524"/>
              <w:gridCol w:w="552"/>
              <w:gridCol w:w="594"/>
              <w:gridCol w:w="637"/>
              <w:gridCol w:w="1216"/>
            </w:tblGrid>
            <w:tr w14:paraId="0CA8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restart"/>
                  <w:shd w:val="clear" w:color="auto" w:fill="auto"/>
                  <w:noWrap/>
                  <w:vAlign w:val="center"/>
                </w:tcPr>
                <w:p w14:paraId="78D7E90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生产线</w:t>
                  </w:r>
                </w:p>
              </w:tc>
              <w:tc>
                <w:tcPr>
                  <w:tcW w:w="1037" w:type="pct"/>
                  <w:vMerge w:val="restart"/>
                  <w:shd w:val="clear" w:color="auto" w:fill="auto"/>
                  <w:noWrap/>
                  <w:vAlign w:val="center"/>
                </w:tcPr>
                <w:p w14:paraId="7C763E5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声源名称</w:t>
                  </w:r>
                </w:p>
              </w:tc>
              <w:tc>
                <w:tcPr>
                  <w:tcW w:w="885" w:type="pct"/>
                  <w:vMerge w:val="restart"/>
                  <w:shd w:val="clear" w:color="auto" w:fill="auto"/>
                  <w:noWrap/>
                  <w:vAlign w:val="center"/>
                </w:tcPr>
                <w:p w14:paraId="5E0EB67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声功率级/dB(A</w:t>
                  </w:r>
                  <w:r>
                    <w:rPr>
                      <w:rFonts w:hint="default" w:ascii="Times New Roman" w:hAnsi="Times New Roman" w:cs="Times New Roman"/>
                      <w:color w:val="auto"/>
                      <w:spacing w:val="-10"/>
                      <w:sz w:val="18"/>
                      <w:szCs w:val="18"/>
                      <w:highlight w:val="none"/>
                      <w:lang w:val="en-US" w:eastAsia="zh-CN"/>
                    </w:rPr>
                    <w:t>）</w:t>
                  </w:r>
                </w:p>
              </w:tc>
              <w:tc>
                <w:tcPr>
                  <w:tcW w:w="911" w:type="pct"/>
                  <w:vMerge w:val="restart"/>
                  <w:shd w:val="clear" w:color="auto" w:fill="auto"/>
                  <w:noWrap/>
                  <w:vAlign w:val="center"/>
                </w:tcPr>
                <w:p w14:paraId="1F904E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声源控制措施</w:t>
                  </w:r>
                </w:p>
              </w:tc>
              <w:tc>
                <w:tcPr>
                  <w:tcW w:w="1066" w:type="pct"/>
                  <w:gridSpan w:val="3"/>
                  <w:shd w:val="clear" w:color="auto" w:fill="auto"/>
                  <w:noWrap/>
                  <w:vAlign w:val="center"/>
                </w:tcPr>
                <w:p w14:paraId="5596941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空间相对位置/m</w:t>
                  </w:r>
                </w:p>
              </w:tc>
              <w:tc>
                <w:tcPr>
                  <w:tcW w:w="725" w:type="pct"/>
                  <w:vMerge w:val="restart"/>
                  <w:shd w:val="clear" w:color="auto" w:fill="auto"/>
                  <w:noWrap/>
                  <w:vAlign w:val="center"/>
                </w:tcPr>
                <w:p w14:paraId="6D20310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运行时段</w:t>
                  </w:r>
                </w:p>
              </w:tc>
            </w:tr>
            <w:tr w14:paraId="3DAF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7F96191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1037" w:type="pct"/>
                  <w:vMerge w:val="continue"/>
                  <w:shd w:val="clear" w:color="auto" w:fill="auto"/>
                  <w:noWrap/>
                  <w:vAlign w:val="center"/>
                </w:tcPr>
                <w:p w14:paraId="618B996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885" w:type="pct"/>
                  <w:vMerge w:val="continue"/>
                  <w:shd w:val="clear" w:color="auto" w:fill="auto"/>
                  <w:vAlign w:val="center"/>
                </w:tcPr>
                <w:p w14:paraId="4EAA9A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911" w:type="pct"/>
                  <w:vMerge w:val="continue"/>
                  <w:shd w:val="clear" w:color="auto" w:fill="auto"/>
                  <w:noWrap/>
                  <w:vAlign w:val="center"/>
                </w:tcPr>
                <w:p w14:paraId="5065081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506CE30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X</w:t>
                  </w:r>
                </w:p>
              </w:tc>
              <w:tc>
                <w:tcPr>
                  <w:tcW w:w="355" w:type="pct"/>
                  <w:shd w:val="clear" w:color="auto" w:fill="auto"/>
                  <w:noWrap/>
                  <w:vAlign w:val="center"/>
                </w:tcPr>
                <w:p w14:paraId="62448E4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Y</w:t>
                  </w:r>
                </w:p>
              </w:tc>
              <w:tc>
                <w:tcPr>
                  <w:tcW w:w="379" w:type="pct"/>
                  <w:shd w:val="clear" w:color="auto" w:fill="auto"/>
                  <w:noWrap/>
                  <w:vAlign w:val="center"/>
                </w:tcPr>
                <w:p w14:paraId="2342167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Z</w:t>
                  </w:r>
                </w:p>
              </w:tc>
              <w:tc>
                <w:tcPr>
                  <w:tcW w:w="725" w:type="pct"/>
                  <w:vMerge w:val="continue"/>
                  <w:shd w:val="clear" w:color="auto" w:fill="auto"/>
                  <w:noWrap/>
                  <w:vAlign w:val="center"/>
                </w:tcPr>
                <w:p w14:paraId="5616B28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126B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restart"/>
                  <w:shd w:val="clear" w:color="auto" w:fill="auto"/>
                  <w:noWrap/>
                  <w:vAlign w:val="center"/>
                </w:tcPr>
                <w:p w14:paraId="5D51CB3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东线</w:t>
                  </w:r>
                </w:p>
              </w:tc>
              <w:tc>
                <w:tcPr>
                  <w:tcW w:w="1037" w:type="pct"/>
                  <w:shd w:val="clear" w:color="auto" w:fill="auto"/>
                  <w:noWrap/>
                  <w:vAlign w:val="center"/>
                </w:tcPr>
                <w:p w14:paraId="70A5EB85">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备用雷蒙磨</w:t>
                  </w:r>
                </w:p>
              </w:tc>
              <w:tc>
                <w:tcPr>
                  <w:tcW w:w="885" w:type="pct"/>
                  <w:shd w:val="clear" w:color="auto" w:fill="auto"/>
                  <w:vAlign w:val="center"/>
                </w:tcPr>
                <w:p w14:paraId="1281B3DC">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kern w:val="0"/>
                      <w:sz w:val="18"/>
                      <w:szCs w:val="18"/>
                      <w:highlight w:val="none"/>
                      <w:lang w:val="en-US" w:eastAsia="zh-CN" w:bidi="ar"/>
                    </w:rPr>
                    <w:t>110</w:t>
                  </w:r>
                </w:p>
              </w:tc>
              <w:tc>
                <w:tcPr>
                  <w:tcW w:w="911" w:type="pct"/>
                  <w:vMerge w:val="restart"/>
                  <w:shd w:val="clear" w:color="auto" w:fill="auto"/>
                  <w:noWrap/>
                  <w:vAlign w:val="center"/>
                </w:tcPr>
                <w:p w14:paraId="6257498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选用低噪设备，</w:t>
                  </w:r>
                </w:p>
                <w:p w14:paraId="105BD9C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基础减振</w:t>
                  </w:r>
                </w:p>
              </w:tc>
              <w:tc>
                <w:tcPr>
                  <w:tcW w:w="330" w:type="pct"/>
                  <w:shd w:val="clear" w:color="auto" w:fill="auto"/>
                  <w:noWrap/>
                  <w:vAlign w:val="center"/>
                </w:tcPr>
                <w:p w14:paraId="3C0D54F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472.25</w:t>
                  </w:r>
                </w:p>
              </w:tc>
              <w:tc>
                <w:tcPr>
                  <w:tcW w:w="355" w:type="pct"/>
                  <w:shd w:val="clear" w:color="auto" w:fill="auto"/>
                  <w:noWrap/>
                  <w:vAlign w:val="center"/>
                </w:tcPr>
                <w:p w14:paraId="3751265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481.13</w:t>
                  </w:r>
                </w:p>
              </w:tc>
              <w:tc>
                <w:tcPr>
                  <w:tcW w:w="379" w:type="pct"/>
                  <w:shd w:val="clear" w:color="auto" w:fill="auto"/>
                  <w:noWrap/>
                  <w:vAlign w:val="center"/>
                </w:tcPr>
                <w:p w14:paraId="3D35E72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w:t>
                  </w:r>
                </w:p>
              </w:tc>
              <w:tc>
                <w:tcPr>
                  <w:tcW w:w="725" w:type="pct"/>
                  <w:vMerge w:val="restart"/>
                  <w:shd w:val="clear" w:color="auto" w:fill="auto"/>
                  <w:noWrap/>
                  <w:vAlign w:val="center"/>
                </w:tcPr>
                <w:p w14:paraId="621D3E7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cs="Times New Roman"/>
                      <w:color w:val="auto"/>
                      <w:spacing w:val="-10"/>
                      <w:sz w:val="18"/>
                      <w:szCs w:val="18"/>
                      <w:highlight w:val="none"/>
                      <w:lang w:val="en-US" w:eastAsia="zh-CN"/>
                    </w:rPr>
                    <w:t>昼、夜</w:t>
                  </w:r>
                </w:p>
              </w:tc>
            </w:tr>
            <w:tr w14:paraId="76A9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279E55A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6890B0BC">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循环风机</w:t>
                  </w:r>
                </w:p>
              </w:tc>
              <w:tc>
                <w:tcPr>
                  <w:tcW w:w="885" w:type="pct"/>
                  <w:shd w:val="clear" w:color="auto" w:fill="auto"/>
                  <w:vAlign w:val="center"/>
                </w:tcPr>
                <w:p w14:paraId="0140EF58">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color w:val="auto"/>
                      <w:kern w:val="0"/>
                      <w:sz w:val="18"/>
                      <w:szCs w:val="18"/>
                      <w:highlight w:val="none"/>
                      <w:lang w:bidi="ar"/>
                    </w:rPr>
                    <w:t>80</w:t>
                  </w:r>
                </w:p>
              </w:tc>
              <w:tc>
                <w:tcPr>
                  <w:tcW w:w="911" w:type="pct"/>
                  <w:vMerge w:val="continue"/>
                  <w:shd w:val="clear" w:color="auto" w:fill="auto"/>
                  <w:noWrap/>
                  <w:vAlign w:val="center"/>
                </w:tcPr>
                <w:p w14:paraId="439026F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3807A46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474.05</w:t>
                  </w:r>
                </w:p>
              </w:tc>
              <w:tc>
                <w:tcPr>
                  <w:tcW w:w="355" w:type="pct"/>
                  <w:shd w:val="clear" w:color="auto" w:fill="auto"/>
                  <w:noWrap/>
                  <w:vAlign w:val="center"/>
                </w:tcPr>
                <w:p w14:paraId="0FF3C14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479.32</w:t>
                  </w:r>
                </w:p>
              </w:tc>
              <w:tc>
                <w:tcPr>
                  <w:tcW w:w="379" w:type="pct"/>
                  <w:shd w:val="clear" w:color="auto" w:fill="auto"/>
                  <w:noWrap/>
                  <w:vAlign w:val="center"/>
                </w:tcPr>
                <w:p w14:paraId="3B8A12E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2.5</w:t>
                  </w:r>
                </w:p>
              </w:tc>
              <w:tc>
                <w:tcPr>
                  <w:tcW w:w="725" w:type="pct"/>
                  <w:vMerge w:val="continue"/>
                  <w:shd w:val="clear" w:color="auto" w:fill="auto"/>
                  <w:noWrap/>
                  <w:vAlign w:val="center"/>
                </w:tcPr>
                <w:p w14:paraId="3EB86C8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678C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243E403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43E949F4">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ascii="宋体" w:hAnsi="宋体" w:eastAsia="宋体" w:cs="宋体"/>
                      <w:color w:val="auto"/>
                      <w:sz w:val="18"/>
                      <w:szCs w:val="18"/>
                    </w:rPr>
                    <w:t>气力输送罗茨风机</w:t>
                  </w:r>
                </w:p>
              </w:tc>
              <w:tc>
                <w:tcPr>
                  <w:tcW w:w="885" w:type="pct"/>
                  <w:shd w:val="clear" w:color="auto" w:fill="auto"/>
                  <w:vAlign w:val="center"/>
                </w:tcPr>
                <w:p w14:paraId="234C12D2">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90</w:t>
                  </w:r>
                </w:p>
              </w:tc>
              <w:tc>
                <w:tcPr>
                  <w:tcW w:w="911" w:type="pct"/>
                  <w:vMerge w:val="continue"/>
                  <w:shd w:val="clear" w:color="auto" w:fill="auto"/>
                  <w:noWrap/>
                  <w:vAlign w:val="center"/>
                </w:tcPr>
                <w:p w14:paraId="01CD60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31CFEE0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472.85</w:t>
                  </w:r>
                </w:p>
              </w:tc>
              <w:tc>
                <w:tcPr>
                  <w:tcW w:w="355" w:type="pct"/>
                  <w:shd w:val="clear" w:color="auto" w:fill="auto"/>
                  <w:noWrap/>
                  <w:vAlign w:val="center"/>
                </w:tcPr>
                <w:p w14:paraId="34DC599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483.84</w:t>
                  </w:r>
                </w:p>
              </w:tc>
              <w:tc>
                <w:tcPr>
                  <w:tcW w:w="379" w:type="pct"/>
                  <w:shd w:val="clear" w:color="auto" w:fill="auto"/>
                  <w:noWrap/>
                  <w:vAlign w:val="center"/>
                </w:tcPr>
                <w:p w14:paraId="49A2A68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cs="Times New Roman"/>
                      <w:color w:val="auto"/>
                      <w:spacing w:val="-10"/>
                      <w:sz w:val="18"/>
                      <w:szCs w:val="18"/>
                      <w:highlight w:val="none"/>
                      <w:lang w:val="en-US" w:eastAsia="zh-CN"/>
                    </w:rPr>
                    <w:t>2</w:t>
                  </w:r>
                </w:p>
              </w:tc>
              <w:tc>
                <w:tcPr>
                  <w:tcW w:w="725" w:type="pct"/>
                  <w:vMerge w:val="continue"/>
                  <w:shd w:val="clear" w:color="auto" w:fill="auto"/>
                  <w:noWrap/>
                  <w:vAlign w:val="center"/>
                </w:tcPr>
                <w:p w14:paraId="70CF72E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3AF4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7CCDD53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0CB69514">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ascii="宋体" w:hAnsi="宋体" w:eastAsia="宋体" w:cs="宋体"/>
                      <w:color w:val="auto"/>
                      <w:sz w:val="18"/>
                      <w:szCs w:val="18"/>
                    </w:rPr>
                    <w:t>螺旋输送机</w:t>
                  </w:r>
                </w:p>
              </w:tc>
              <w:tc>
                <w:tcPr>
                  <w:tcW w:w="885" w:type="pct"/>
                  <w:shd w:val="clear" w:color="auto" w:fill="auto"/>
                  <w:vAlign w:val="center"/>
                </w:tcPr>
                <w:p w14:paraId="06081102">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80</w:t>
                  </w:r>
                </w:p>
              </w:tc>
              <w:tc>
                <w:tcPr>
                  <w:tcW w:w="911" w:type="pct"/>
                  <w:vMerge w:val="continue"/>
                  <w:shd w:val="clear" w:color="auto" w:fill="auto"/>
                  <w:noWrap/>
                  <w:vAlign w:val="center"/>
                </w:tcPr>
                <w:p w14:paraId="120856D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0A4B2C9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474.35</w:t>
                  </w:r>
                </w:p>
              </w:tc>
              <w:tc>
                <w:tcPr>
                  <w:tcW w:w="355" w:type="pct"/>
                  <w:shd w:val="clear" w:color="auto" w:fill="auto"/>
                  <w:noWrap/>
                  <w:vAlign w:val="center"/>
                </w:tcPr>
                <w:p w14:paraId="3E68216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482.03</w:t>
                  </w:r>
                </w:p>
              </w:tc>
              <w:tc>
                <w:tcPr>
                  <w:tcW w:w="379" w:type="pct"/>
                  <w:shd w:val="clear" w:color="auto" w:fill="auto"/>
                  <w:noWrap/>
                  <w:vAlign w:val="center"/>
                </w:tcPr>
                <w:p w14:paraId="75E22C5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1.8</w:t>
                  </w:r>
                </w:p>
              </w:tc>
              <w:tc>
                <w:tcPr>
                  <w:tcW w:w="725" w:type="pct"/>
                  <w:vMerge w:val="continue"/>
                  <w:shd w:val="clear" w:color="auto" w:fill="auto"/>
                  <w:noWrap/>
                  <w:vAlign w:val="center"/>
                </w:tcPr>
                <w:p w14:paraId="5D753AD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57E0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3B7D0E9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618DBD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除尘风机</w:t>
                  </w:r>
                </w:p>
              </w:tc>
              <w:tc>
                <w:tcPr>
                  <w:tcW w:w="885" w:type="pct"/>
                  <w:shd w:val="clear" w:color="auto" w:fill="auto"/>
                  <w:vAlign w:val="center"/>
                </w:tcPr>
                <w:p w14:paraId="1CCD443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90</w:t>
                  </w:r>
                </w:p>
              </w:tc>
              <w:tc>
                <w:tcPr>
                  <w:tcW w:w="911" w:type="pct"/>
                  <w:vMerge w:val="continue"/>
                  <w:shd w:val="clear" w:color="auto" w:fill="auto"/>
                  <w:noWrap/>
                  <w:vAlign w:val="center"/>
                </w:tcPr>
                <w:p w14:paraId="755E025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115734F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497.53</w:t>
                  </w:r>
                </w:p>
              </w:tc>
              <w:tc>
                <w:tcPr>
                  <w:tcW w:w="355" w:type="pct"/>
                  <w:shd w:val="clear" w:color="auto" w:fill="auto"/>
                  <w:noWrap/>
                  <w:vAlign w:val="center"/>
                </w:tcPr>
                <w:p w14:paraId="4E47ABA1">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499.79</w:t>
                  </w:r>
                </w:p>
              </w:tc>
              <w:tc>
                <w:tcPr>
                  <w:tcW w:w="379" w:type="pct"/>
                  <w:shd w:val="clear" w:color="auto" w:fill="auto"/>
                  <w:noWrap/>
                  <w:vAlign w:val="center"/>
                </w:tcPr>
                <w:p w14:paraId="5845885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15</w:t>
                  </w:r>
                </w:p>
              </w:tc>
              <w:tc>
                <w:tcPr>
                  <w:tcW w:w="725" w:type="pct"/>
                  <w:vMerge w:val="continue"/>
                  <w:shd w:val="clear" w:color="auto" w:fill="auto"/>
                  <w:noWrap/>
                  <w:vAlign w:val="center"/>
                </w:tcPr>
                <w:p w14:paraId="2CECE8C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2FF1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shd w:val="clear" w:color="auto" w:fill="auto"/>
                  <w:noWrap/>
                  <w:vAlign w:val="center"/>
                </w:tcPr>
                <w:p w14:paraId="544035D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cs="Times New Roman"/>
                      <w:color w:val="auto"/>
                      <w:spacing w:val="-10"/>
                      <w:sz w:val="18"/>
                      <w:szCs w:val="18"/>
                      <w:highlight w:val="none"/>
                      <w:lang w:val="en-US" w:eastAsia="zh-CN"/>
                    </w:rPr>
                  </w:pPr>
                  <w:r>
                    <w:rPr>
                      <w:rFonts w:hint="eastAsia" w:ascii="Times New Roman" w:hAnsi="Times New Roman" w:cs="Times New Roman"/>
                      <w:color w:val="auto"/>
                      <w:spacing w:val="-10"/>
                      <w:sz w:val="18"/>
                      <w:szCs w:val="18"/>
                      <w:highlight w:val="none"/>
                      <w:lang w:val="en-US" w:eastAsia="zh-CN"/>
                    </w:rPr>
                    <w:t>西线</w:t>
                  </w:r>
                </w:p>
              </w:tc>
              <w:tc>
                <w:tcPr>
                  <w:tcW w:w="1037" w:type="pct"/>
                  <w:shd w:val="clear" w:color="auto" w:fill="auto"/>
                  <w:noWrap/>
                  <w:vAlign w:val="center"/>
                </w:tcPr>
                <w:p w14:paraId="70F7A2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除尘风机</w:t>
                  </w:r>
                </w:p>
              </w:tc>
              <w:tc>
                <w:tcPr>
                  <w:tcW w:w="885" w:type="pct"/>
                  <w:shd w:val="clear" w:color="auto" w:fill="auto"/>
                  <w:vAlign w:val="center"/>
                </w:tcPr>
                <w:p w14:paraId="0646FE8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90</w:t>
                  </w:r>
                </w:p>
              </w:tc>
              <w:tc>
                <w:tcPr>
                  <w:tcW w:w="911" w:type="pct"/>
                  <w:vMerge w:val="continue"/>
                  <w:shd w:val="clear" w:color="auto" w:fill="auto"/>
                  <w:noWrap/>
                  <w:vAlign w:val="center"/>
                </w:tcPr>
                <w:p w14:paraId="1A00E1D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098B7DD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504.46</w:t>
                  </w:r>
                </w:p>
              </w:tc>
              <w:tc>
                <w:tcPr>
                  <w:tcW w:w="355" w:type="pct"/>
                  <w:shd w:val="clear" w:color="auto" w:fill="auto"/>
                  <w:noWrap/>
                  <w:vAlign w:val="center"/>
                </w:tcPr>
                <w:p w14:paraId="07F1B57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489.25</w:t>
                  </w:r>
                </w:p>
              </w:tc>
              <w:tc>
                <w:tcPr>
                  <w:tcW w:w="379" w:type="pct"/>
                  <w:shd w:val="clear" w:color="auto" w:fill="auto"/>
                  <w:noWrap/>
                  <w:vAlign w:val="center"/>
                </w:tcPr>
                <w:p w14:paraId="4F65893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15</w:t>
                  </w:r>
                </w:p>
              </w:tc>
              <w:tc>
                <w:tcPr>
                  <w:tcW w:w="725" w:type="pct"/>
                  <w:vMerge w:val="continue"/>
                  <w:shd w:val="clear" w:color="auto" w:fill="auto"/>
                  <w:noWrap/>
                  <w:vAlign w:val="center"/>
                </w:tcPr>
                <w:p w14:paraId="3B30303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4F44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5000" w:type="pct"/>
                  <w:gridSpan w:val="8"/>
                  <w:shd w:val="clear" w:color="auto" w:fill="auto"/>
                  <w:noWrap/>
                  <w:vAlign w:val="center"/>
                </w:tcPr>
                <w:p w14:paraId="4C8B74AA">
                  <w:pPr>
                    <w:keepNext w:val="0"/>
                    <w:keepLines w:val="0"/>
                    <w:pageBreakBefore w:val="0"/>
                    <w:widowControl w:val="0"/>
                    <w:kinsoku/>
                    <w:wordWrap/>
                    <w:overflowPunct/>
                    <w:topLinePunct w:val="0"/>
                    <w:autoSpaceDE w:val="0"/>
                    <w:autoSpaceDN w:val="0"/>
                    <w:bidi w:val="0"/>
                    <w:adjustRightInd w:val="0"/>
                    <w:snapToGrid/>
                    <w:spacing w:line="240" w:lineRule="exact"/>
                    <w:jc w:val="left"/>
                    <w:textAlignment w:val="auto"/>
                    <w:rPr>
                      <w:rFonts w:hint="default" w:ascii="Times New Roman" w:hAnsi="Times New Roman" w:cs="Times New Roman"/>
                      <w:color w:val="auto"/>
                      <w:spacing w:val="-10"/>
                      <w:sz w:val="18"/>
                      <w:szCs w:val="18"/>
                      <w:highlight w:val="none"/>
                      <w:lang w:val="en-US" w:eastAsia="zh-CN"/>
                    </w:rPr>
                  </w:pPr>
                  <w:r>
                    <w:rPr>
                      <w:rFonts w:hint="default" w:ascii="Times New Roman" w:hAnsi="Times New Roman" w:eastAsia="宋体" w:cs="Times New Roman"/>
                      <w:color w:val="auto"/>
                      <w:sz w:val="18"/>
                      <w:szCs w:val="18"/>
                      <w:highlight w:val="none"/>
                    </w:rPr>
                    <w:t>注：空间相对位置以厂区西</w:t>
                  </w:r>
                  <w:r>
                    <w:rPr>
                      <w:rFonts w:hint="default" w:ascii="Times New Roman" w:hAnsi="Times New Roman" w:eastAsia="宋体" w:cs="Times New Roman"/>
                      <w:color w:val="auto"/>
                      <w:sz w:val="18"/>
                      <w:szCs w:val="18"/>
                      <w:highlight w:val="none"/>
                      <w:lang w:val="en-US" w:eastAsia="zh-CN"/>
                    </w:rPr>
                    <w:t>南</w:t>
                  </w:r>
                  <w:r>
                    <w:rPr>
                      <w:rFonts w:hint="default" w:ascii="Times New Roman" w:hAnsi="Times New Roman" w:eastAsia="宋体" w:cs="Times New Roman"/>
                      <w:color w:val="auto"/>
                      <w:sz w:val="18"/>
                      <w:szCs w:val="18"/>
                      <w:highlight w:val="none"/>
                    </w:rPr>
                    <w:t>角为原点（0,0,0）。</w:t>
                  </w:r>
                </w:p>
              </w:tc>
            </w:tr>
          </w:tbl>
          <w:p w14:paraId="3E553D2B">
            <w:pPr>
              <w:keepNext w:val="0"/>
              <w:keepLines w:val="0"/>
              <w:pageBreakBefore w:val="0"/>
              <w:widowControl w:val="0"/>
              <w:kinsoku/>
              <w:wordWrap/>
              <w:overflowPunct/>
              <w:topLinePunct w:val="0"/>
              <w:autoSpaceDE/>
              <w:autoSpaceDN/>
              <w:bidi w:val="0"/>
              <w:adjustRightInd w:val="0"/>
              <w:snapToGrid/>
              <w:spacing w:line="520" w:lineRule="exact"/>
              <w:ind w:left="0" w:leftChars="0" w:right="0" w:rightChars="0"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（2）预测模式</w:t>
            </w:r>
          </w:p>
          <w:p w14:paraId="6BF237AD">
            <w:pPr>
              <w:keepNext w:val="0"/>
              <w:keepLines w:val="0"/>
              <w:pageBreakBefore w:val="0"/>
              <w:widowControl w:val="0"/>
              <w:kinsoku/>
              <w:wordWrap/>
              <w:overflowPunct/>
              <w:topLinePunct w:val="0"/>
              <w:autoSpaceDE/>
              <w:autoSpaceDN/>
              <w:bidi w:val="0"/>
              <w:snapToGrid/>
              <w:spacing w:line="520" w:lineRule="exact"/>
              <w:ind w:firstLine="500" w:firstLineChars="200"/>
              <w:rPr>
                <w:color w:val="auto"/>
                <w:spacing w:val="5"/>
                <w:sz w:val="24"/>
                <w:highlight w:val="none"/>
              </w:rPr>
            </w:pPr>
            <w:r>
              <w:rPr>
                <w:rFonts w:hint="eastAsia"/>
                <w:color w:val="auto"/>
                <w:spacing w:val="5"/>
                <w:sz w:val="24"/>
                <w:highlight w:val="none"/>
              </w:rPr>
              <w:t>1）</w:t>
            </w:r>
            <w:r>
              <w:rPr>
                <w:color w:val="auto"/>
                <w:spacing w:val="5"/>
                <w:sz w:val="24"/>
                <w:highlight w:val="none"/>
              </w:rPr>
              <w:t>单个室外点声源在预测点产生的声级计算基本公式</w:t>
            </w:r>
          </w:p>
          <w:p w14:paraId="49F02C77">
            <w:pPr>
              <w:keepNext w:val="0"/>
              <w:keepLines w:val="0"/>
              <w:pageBreakBefore w:val="0"/>
              <w:widowControl w:val="0"/>
              <w:kinsoku/>
              <w:wordWrap/>
              <w:overflowPunct/>
              <w:topLinePunct w:val="0"/>
              <w:autoSpaceDE/>
              <w:autoSpaceDN/>
              <w:bidi w:val="0"/>
              <w:snapToGrid/>
              <w:spacing w:line="520" w:lineRule="exact"/>
              <w:ind w:firstLine="500" w:firstLineChars="200"/>
              <w:rPr>
                <w:color w:val="auto"/>
                <w:spacing w:val="5"/>
                <w:sz w:val="24"/>
                <w:highlight w:val="none"/>
              </w:rPr>
            </w:pPr>
            <w:r>
              <w:rPr>
                <w:color w:val="auto"/>
                <w:spacing w:val="5"/>
                <w:sz w:val="24"/>
                <w:highlight w:val="none"/>
              </w:rPr>
              <w:t>已知声源的倍频带声功率级(从63Hz到8000Hz标称频带中心频率的8个倍频带)，预测点位置的倍频带声压级</w:t>
            </w:r>
            <w:r>
              <w:rPr>
                <w:color w:val="auto"/>
                <w:spacing w:val="5"/>
                <w:sz w:val="24"/>
                <w:highlight w:val="none"/>
              </w:rPr>
              <w:drawing>
                <wp:inline distT="0" distB="0" distL="114300" distR="114300">
                  <wp:extent cx="381635" cy="239395"/>
                  <wp:effectExtent l="0" t="0" r="18415" b="6985"/>
                  <wp:docPr id="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
                          <pic:cNvPicPr>
                            <a:picLocks noChangeAspect="1"/>
                          </pic:cNvPicPr>
                        </pic:nvPicPr>
                        <pic:blipFill>
                          <a:blip r:embed="rId10"/>
                          <a:stretch>
                            <a:fillRect/>
                          </a:stretch>
                        </pic:blipFill>
                        <pic:spPr>
                          <a:xfrm>
                            <a:off x="0" y="0"/>
                            <a:ext cx="381635" cy="239395"/>
                          </a:xfrm>
                          <a:prstGeom prst="rect">
                            <a:avLst/>
                          </a:prstGeom>
                          <a:noFill/>
                          <a:ln>
                            <a:noFill/>
                          </a:ln>
                        </pic:spPr>
                      </pic:pic>
                    </a:graphicData>
                  </a:graphic>
                </wp:inline>
              </w:drawing>
            </w:r>
            <w:r>
              <w:rPr>
                <w:color w:val="auto"/>
                <w:spacing w:val="5"/>
                <w:sz w:val="24"/>
                <w:highlight w:val="none"/>
              </w:rPr>
              <w:t>可按下式计算：</w:t>
            </w:r>
          </w:p>
          <w:p w14:paraId="48EFF4FD">
            <w:pPr>
              <w:spacing w:line="360" w:lineRule="auto"/>
              <w:ind w:firstLine="1125" w:firstLineChars="450"/>
              <w:rPr>
                <w:color w:val="auto"/>
                <w:spacing w:val="5"/>
                <w:sz w:val="24"/>
                <w:highlight w:val="none"/>
              </w:rPr>
            </w:pPr>
            <w:r>
              <w:rPr>
                <w:color w:val="auto"/>
                <w:spacing w:val="5"/>
                <w:sz w:val="24"/>
                <w:highlight w:val="none"/>
              </w:rPr>
              <w:drawing>
                <wp:inline distT="0" distB="0" distL="114300" distR="114300">
                  <wp:extent cx="1325245" cy="239395"/>
                  <wp:effectExtent l="0" t="0" r="8255" b="6985"/>
                  <wp:docPr id="1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
                          <pic:cNvPicPr>
                            <a:picLocks noChangeAspect="1"/>
                          </pic:cNvPicPr>
                        </pic:nvPicPr>
                        <pic:blipFill>
                          <a:blip r:embed="rId11"/>
                          <a:stretch>
                            <a:fillRect/>
                          </a:stretch>
                        </pic:blipFill>
                        <pic:spPr>
                          <a:xfrm>
                            <a:off x="0" y="0"/>
                            <a:ext cx="1325245" cy="239395"/>
                          </a:xfrm>
                          <a:prstGeom prst="rect">
                            <a:avLst/>
                          </a:prstGeom>
                          <a:noFill/>
                          <a:ln>
                            <a:noFill/>
                          </a:ln>
                        </pic:spPr>
                      </pic:pic>
                    </a:graphicData>
                  </a:graphic>
                </wp:inline>
              </w:drawing>
            </w:r>
          </w:p>
          <w:p w14:paraId="5D325E47">
            <w:pPr>
              <w:spacing w:line="360" w:lineRule="auto"/>
              <w:ind w:firstLine="1125" w:firstLineChars="450"/>
              <w:rPr>
                <w:color w:val="auto"/>
                <w:spacing w:val="5"/>
                <w:sz w:val="24"/>
                <w:highlight w:val="none"/>
              </w:rPr>
            </w:pPr>
            <w:r>
              <w:rPr>
                <w:color w:val="auto"/>
                <w:spacing w:val="5"/>
                <w:sz w:val="24"/>
                <w:highlight w:val="none"/>
              </w:rPr>
              <w:drawing>
                <wp:inline distT="0" distB="0" distL="114300" distR="114300">
                  <wp:extent cx="2102485" cy="239395"/>
                  <wp:effectExtent l="0" t="0" r="12065" b="6985"/>
                  <wp:docPr id="1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
                          <pic:cNvPicPr>
                            <a:picLocks noChangeAspect="1"/>
                          </pic:cNvPicPr>
                        </pic:nvPicPr>
                        <pic:blipFill>
                          <a:blip r:embed="rId12"/>
                          <a:stretch>
                            <a:fillRect/>
                          </a:stretch>
                        </pic:blipFill>
                        <pic:spPr>
                          <a:xfrm>
                            <a:off x="0" y="0"/>
                            <a:ext cx="2102485" cy="239395"/>
                          </a:xfrm>
                          <a:prstGeom prst="rect">
                            <a:avLst/>
                          </a:prstGeom>
                          <a:noFill/>
                          <a:ln>
                            <a:noFill/>
                          </a:ln>
                        </pic:spPr>
                      </pic:pic>
                    </a:graphicData>
                  </a:graphic>
                </wp:inline>
              </w:drawing>
            </w:r>
          </w:p>
          <w:p w14:paraId="7C7D09E8">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391160" cy="239395"/>
                  <wp:effectExtent l="0" t="0" r="8890" b="6985"/>
                  <wp:docPr id="1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
                          <pic:cNvPicPr>
                            <a:picLocks noChangeAspect="1"/>
                          </pic:cNvPicPr>
                        </pic:nvPicPr>
                        <pic:blipFill>
                          <a:blip r:embed="rId13"/>
                          <a:stretch>
                            <a:fillRect/>
                          </a:stretch>
                        </pic:blipFill>
                        <pic:spPr>
                          <a:xfrm>
                            <a:off x="0" y="0"/>
                            <a:ext cx="391160" cy="239395"/>
                          </a:xfrm>
                          <a:prstGeom prst="rect">
                            <a:avLst/>
                          </a:prstGeom>
                          <a:noFill/>
                          <a:ln>
                            <a:noFill/>
                          </a:ln>
                        </pic:spPr>
                      </pic:pic>
                    </a:graphicData>
                  </a:graphic>
                </wp:inline>
              </w:drawing>
            </w:r>
            <w:r>
              <w:rPr>
                <w:color w:val="auto"/>
                <w:spacing w:val="5"/>
                <w:sz w:val="24"/>
                <w:highlight w:val="none"/>
              </w:rPr>
              <w:t>——距离声源r处的倍频带声压级，dB；</w:t>
            </w:r>
          </w:p>
          <w:p w14:paraId="14619D34">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00660" cy="220345"/>
                  <wp:effectExtent l="0" t="0" r="8890" b="6985"/>
                  <wp:docPr id="1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5"/>
                          <pic:cNvPicPr>
                            <a:picLocks noChangeAspect="1"/>
                          </pic:cNvPicPr>
                        </pic:nvPicPr>
                        <pic:blipFill>
                          <a:blip r:embed="rId14"/>
                          <a:stretch>
                            <a:fillRect/>
                          </a:stretch>
                        </pic:blipFill>
                        <pic:spPr>
                          <a:xfrm>
                            <a:off x="0" y="0"/>
                            <a:ext cx="200660" cy="220345"/>
                          </a:xfrm>
                          <a:prstGeom prst="rect">
                            <a:avLst/>
                          </a:prstGeom>
                          <a:noFill/>
                          <a:ln>
                            <a:noFill/>
                          </a:ln>
                        </pic:spPr>
                      </pic:pic>
                    </a:graphicData>
                  </a:graphic>
                </wp:inline>
              </w:drawing>
            </w:r>
            <w:r>
              <w:rPr>
                <w:color w:val="auto"/>
                <w:spacing w:val="5"/>
                <w:sz w:val="24"/>
                <w:highlight w:val="none"/>
              </w:rPr>
              <w:t>——倍频带声功率级，dB；</w:t>
            </w:r>
          </w:p>
          <w:p w14:paraId="07028B89">
            <w:pPr>
              <w:spacing w:line="360" w:lineRule="auto"/>
              <w:ind w:firstLine="1222" w:firstLineChars="489"/>
              <w:rPr>
                <w:color w:val="auto"/>
                <w:spacing w:val="5"/>
                <w:sz w:val="24"/>
                <w:highlight w:val="none"/>
              </w:rPr>
            </w:pPr>
            <w:r>
              <w:rPr>
                <w:color w:val="auto"/>
                <w:spacing w:val="5"/>
                <w:sz w:val="24"/>
                <w:highlight w:val="none"/>
              </w:rPr>
              <w:drawing>
                <wp:inline distT="0" distB="0" distL="114300" distR="114300">
                  <wp:extent cx="200660" cy="239395"/>
                  <wp:effectExtent l="0" t="0" r="8890" b="6985"/>
                  <wp:docPr id="1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6"/>
                          <pic:cNvPicPr>
                            <a:picLocks noChangeAspect="1"/>
                          </pic:cNvPicPr>
                        </pic:nvPicPr>
                        <pic:blipFill>
                          <a:blip r:embed="rId15"/>
                          <a:stretch>
                            <a:fillRect/>
                          </a:stretch>
                        </pic:blipFill>
                        <pic:spPr>
                          <a:xfrm>
                            <a:off x="0" y="0"/>
                            <a:ext cx="200660" cy="239395"/>
                          </a:xfrm>
                          <a:prstGeom prst="rect">
                            <a:avLst/>
                          </a:prstGeom>
                          <a:noFill/>
                          <a:ln>
                            <a:noFill/>
                          </a:ln>
                        </pic:spPr>
                      </pic:pic>
                    </a:graphicData>
                  </a:graphic>
                </wp:inline>
              </w:drawing>
            </w:r>
            <w:r>
              <w:rPr>
                <w:color w:val="auto"/>
                <w:spacing w:val="5"/>
                <w:sz w:val="24"/>
                <w:highlight w:val="none"/>
              </w:rPr>
              <w:t>——指向性校正，dB；</w:t>
            </w:r>
          </w:p>
          <w:p w14:paraId="3F8B4DAF">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151765" cy="171450"/>
                  <wp:effectExtent l="0" t="0" r="635" b="0"/>
                  <wp:docPr id="1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7"/>
                          <pic:cNvPicPr>
                            <a:picLocks noChangeAspect="1"/>
                          </pic:cNvPicPr>
                        </pic:nvPicPr>
                        <pic:blipFill>
                          <a:blip r:embed="rId16"/>
                          <a:stretch>
                            <a:fillRect/>
                          </a:stretch>
                        </pic:blipFill>
                        <pic:spPr>
                          <a:xfrm>
                            <a:off x="0" y="0"/>
                            <a:ext cx="151765" cy="171450"/>
                          </a:xfrm>
                          <a:prstGeom prst="rect">
                            <a:avLst/>
                          </a:prstGeom>
                          <a:noFill/>
                          <a:ln>
                            <a:noFill/>
                          </a:ln>
                        </pic:spPr>
                      </pic:pic>
                    </a:graphicData>
                  </a:graphic>
                </wp:inline>
              </w:drawing>
            </w:r>
            <w:r>
              <w:rPr>
                <w:color w:val="auto"/>
                <w:spacing w:val="5"/>
                <w:sz w:val="24"/>
                <w:highlight w:val="none"/>
              </w:rPr>
              <w:t>——倍频带衰减，dB；</w:t>
            </w:r>
          </w:p>
          <w:p w14:paraId="24B18A8A">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64160" cy="220345"/>
                  <wp:effectExtent l="0" t="0" r="2540" b="6985"/>
                  <wp:docPr id="1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8"/>
                          <pic:cNvPicPr>
                            <a:picLocks noChangeAspect="1"/>
                          </pic:cNvPicPr>
                        </pic:nvPicPr>
                        <pic:blipFill>
                          <a:blip r:embed="rId17"/>
                          <a:stretch>
                            <a:fillRect/>
                          </a:stretch>
                        </pic:blipFill>
                        <pic:spPr>
                          <a:xfrm>
                            <a:off x="0" y="0"/>
                            <a:ext cx="264160" cy="220345"/>
                          </a:xfrm>
                          <a:prstGeom prst="rect">
                            <a:avLst/>
                          </a:prstGeom>
                          <a:noFill/>
                          <a:ln>
                            <a:noFill/>
                          </a:ln>
                        </pic:spPr>
                      </pic:pic>
                    </a:graphicData>
                  </a:graphic>
                </wp:inline>
              </w:drawing>
            </w:r>
            <w:r>
              <w:rPr>
                <w:color w:val="auto"/>
                <w:spacing w:val="5"/>
                <w:sz w:val="24"/>
                <w:highlight w:val="none"/>
              </w:rPr>
              <w:t>——几何发散引起的倍频带衰减，dB；</w:t>
            </w:r>
          </w:p>
          <w:p w14:paraId="7FB7629B">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39395" cy="259080"/>
                  <wp:effectExtent l="0" t="0" r="8255" b="5715"/>
                  <wp:docPr id="1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9"/>
                          <pic:cNvPicPr>
                            <a:picLocks noChangeAspect="1"/>
                          </pic:cNvPicPr>
                        </pic:nvPicPr>
                        <pic:blipFill>
                          <a:blip r:embed="rId18"/>
                          <a:stretch>
                            <a:fillRect/>
                          </a:stretch>
                        </pic:blipFill>
                        <pic:spPr>
                          <a:xfrm>
                            <a:off x="0" y="0"/>
                            <a:ext cx="239395" cy="259080"/>
                          </a:xfrm>
                          <a:prstGeom prst="rect">
                            <a:avLst/>
                          </a:prstGeom>
                          <a:noFill/>
                          <a:ln>
                            <a:noFill/>
                          </a:ln>
                        </pic:spPr>
                      </pic:pic>
                    </a:graphicData>
                  </a:graphic>
                </wp:inline>
              </w:drawing>
            </w:r>
            <w:r>
              <w:rPr>
                <w:color w:val="auto"/>
                <w:spacing w:val="5"/>
                <w:sz w:val="24"/>
                <w:highlight w:val="none"/>
              </w:rPr>
              <w:t>——地面效应引起的倍频带衰减，dB；</w:t>
            </w:r>
          </w:p>
          <w:p w14:paraId="4E7DAEAE">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78765" cy="220345"/>
                  <wp:effectExtent l="0" t="0" r="6985" b="6985"/>
                  <wp:docPr id="1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0"/>
                          <pic:cNvPicPr>
                            <a:picLocks noChangeAspect="1"/>
                          </pic:cNvPicPr>
                        </pic:nvPicPr>
                        <pic:blipFill>
                          <a:blip r:embed="rId19"/>
                          <a:stretch>
                            <a:fillRect/>
                          </a:stretch>
                        </pic:blipFill>
                        <pic:spPr>
                          <a:xfrm>
                            <a:off x="0" y="0"/>
                            <a:ext cx="278765" cy="220345"/>
                          </a:xfrm>
                          <a:prstGeom prst="rect">
                            <a:avLst/>
                          </a:prstGeom>
                          <a:noFill/>
                          <a:ln>
                            <a:noFill/>
                          </a:ln>
                        </pic:spPr>
                      </pic:pic>
                    </a:graphicData>
                  </a:graphic>
                </wp:inline>
              </w:drawing>
            </w:r>
            <w:r>
              <w:rPr>
                <w:color w:val="auto"/>
                <w:spacing w:val="5"/>
                <w:sz w:val="24"/>
                <w:highlight w:val="none"/>
              </w:rPr>
              <w:t>——大气吸收引起的倍频带衰减，dB；</w:t>
            </w:r>
          </w:p>
          <w:p w14:paraId="26AD0AEC">
            <w:pPr>
              <w:spacing w:line="360" w:lineRule="auto"/>
              <w:ind w:firstLine="1250" w:firstLineChars="500"/>
              <w:rPr>
                <w:color w:val="auto"/>
                <w:spacing w:val="5"/>
                <w:sz w:val="24"/>
                <w:highlight w:val="none"/>
              </w:rPr>
            </w:pPr>
            <w:r>
              <w:rPr>
                <w:color w:val="auto"/>
                <w:spacing w:val="5"/>
                <w:sz w:val="24"/>
                <w:highlight w:val="none"/>
              </w:rPr>
              <w:drawing>
                <wp:inline distT="0" distB="0" distL="114300" distR="114300">
                  <wp:extent cx="278765" cy="220345"/>
                  <wp:effectExtent l="0" t="0" r="6985" b="6985"/>
                  <wp:docPr id="1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1"/>
                          <pic:cNvPicPr>
                            <a:picLocks noChangeAspect="1"/>
                          </pic:cNvPicPr>
                        </pic:nvPicPr>
                        <pic:blipFill>
                          <a:blip r:embed="rId20"/>
                          <a:stretch>
                            <a:fillRect/>
                          </a:stretch>
                        </pic:blipFill>
                        <pic:spPr>
                          <a:xfrm>
                            <a:off x="0" y="0"/>
                            <a:ext cx="278765" cy="220345"/>
                          </a:xfrm>
                          <a:prstGeom prst="rect">
                            <a:avLst/>
                          </a:prstGeom>
                          <a:noFill/>
                          <a:ln>
                            <a:noFill/>
                          </a:ln>
                        </pic:spPr>
                      </pic:pic>
                    </a:graphicData>
                  </a:graphic>
                </wp:inline>
              </w:drawing>
            </w:r>
            <w:r>
              <w:rPr>
                <w:color w:val="auto"/>
                <w:spacing w:val="5"/>
                <w:sz w:val="24"/>
                <w:highlight w:val="none"/>
              </w:rPr>
              <w:t>——声屏障引起的倍频带衰减，dB；</w:t>
            </w:r>
          </w:p>
          <w:p w14:paraId="71415490">
            <w:pPr>
              <w:spacing w:line="360" w:lineRule="auto"/>
              <w:ind w:firstLine="1250" w:firstLineChars="500"/>
              <w:rPr>
                <w:color w:val="auto"/>
                <w:spacing w:val="5"/>
                <w:sz w:val="24"/>
                <w:highlight w:val="none"/>
              </w:rPr>
            </w:pPr>
            <w:r>
              <w:rPr>
                <w:color w:val="auto"/>
                <w:spacing w:val="5"/>
                <w:sz w:val="24"/>
                <w:highlight w:val="none"/>
              </w:rPr>
              <w:drawing>
                <wp:inline distT="0" distB="0" distL="114300" distR="114300">
                  <wp:extent cx="318135" cy="220345"/>
                  <wp:effectExtent l="0" t="0" r="5715" b="6985"/>
                  <wp:docPr id="1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2"/>
                          <pic:cNvPicPr>
                            <a:picLocks noChangeAspect="1"/>
                          </pic:cNvPicPr>
                        </pic:nvPicPr>
                        <pic:blipFill>
                          <a:blip r:embed="rId21"/>
                          <a:stretch>
                            <a:fillRect/>
                          </a:stretch>
                        </pic:blipFill>
                        <pic:spPr>
                          <a:xfrm>
                            <a:off x="0" y="0"/>
                            <a:ext cx="318135" cy="220345"/>
                          </a:xfrm>
                          <a:prstGeom prst="rect">
                            <a:avLst/>
                          </a:prstGeom>
                          <a:noFill/>
                          <a:ln>
                            <a:noFill/>
                          </a:ln>
                        </pic:spPr>
                      </pic:pic>
                    </a:graphicData>
                  </a:graphic>
                </wp:inline>
              </w:drawing>
            </w:r>
            <w:r>
              <w:rPr>
                <w:color w:val="auto"/>
                <w:spacing w:val="5"/>
                <w:sz w:val="24"/>
                <w:highlight w:val="none"/>
              </w:rPr>
              <w:t>——其它多方面效应引起的倍频带衰减，dB。</w:t>
            </w:r>
          </w:p>
          <w:p w14:paraId="6E280496">
            <w:pPr>
              <w:spacing w:line="360" w:lineRule="auto"/>
              <w:ind w:firstLine="500" w:firstLineChars="200"/>
              <w:rPr>
                <w:color w:val="auto"/>
                <w:spacing w:val="5"/>
                <w:sz w:val="24"/>
                <w:highlight w:val="none"/>
              </w:rPr>
            </w:pPr>
            <w:r>
              <w:rPr>
                <w:rFonts w:hint="eastAsia"/>
                <w:color w:val="auto"/>
                <w:spacing w:val="5"/>
                <w:sz w:val="24"/>
                <w:highlight w:val="none"/>
              </w:rPr>
              <w:t>2）</w:t>
            </w:r>
            <w:r>
              <w:rPr>
                <w:color w:val="auto"/>
                <w:spacing w:val="5"/>
                <w:sz w:val="24"/>
                <w:highlight w:val="none"/>
              </w:rPr>
              <w:t>室内点声源对厂界噪声预测点贡献值预测模式</w:t>
            </w:r>
          </w:p>
          <w:p w14:paraId="10F902FC">
            <w:pPr>
              <w:spacing w:line="360" w:lineRule="auto"/>
              <w:ind w:firstLine="500" w:firstLineChars="200"/>
              <w:rPr>
                <w:color w:val="auto"/>
                <w:spacing w:val="5"/>
                <w:sz w:val="24"/>
                <w:highlight w:val="none"/>
              </w:rPr>
            </w:pPr>
            <w:r>
              <w:rPr>
                <w:color w:val="auto"/>
                <w:spacing w:val="5"/>
                <w:sz w:val="24"/>
                <w:highlight w:val="none"/>
              </w:rPr>
              <w:t>室内声源首先换算为等效室外声源，再按各类声源模式计算。</w:t>
            </w:r>
          </w:p>
          <w:p w14:paraId="7469B323">
            <w:pPr>
              <w:spacing w:line="360" w:lineRule="auto"/>
              <w:ind w:firstLine="500" w:firstLineChars="200"/>
              <w:rPr>
                <w:color w:val="auto"/>
                <w:spacing w:val="5"/>
                <w:sz w:val="24"/>
                <w:highlight w:val="none"/>
              </w:rPr>
            </w:pPr>
            <w:r>
              <w:rPr>
                <w:color w:val="auto"/>
                <w:spacing w:val="5"/>
                <w:sz w:val="24"/>
                <w:highlight w:val="none"/>
              </w:rPr>
              <w:t>①首先计算出某个室内声源靠近围护结构处的倍频带声压级：</w:t>
            </w:r>
          </w:p>
          <w:p w14:paraId="0D288B35">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706245" cy="391160"/>
                  <wp:effectExtent l="0" t="0" r="0" b="8255"/>
                  <wp:docPr id="139" name="图片 13"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 descr="形状&#10;&#10;中度可信度描述已自动生成"/>
                          <pic:cNvPicPr>
                            <a:picLocks noChangeAspect="1"/>
                          </pic:cNvPicPr>
                        </pic:nvPicPr>
                        <pic:blipFill>
                          <a:blip r:embed="rId22"/>
                          <a:stretch>
                            <a:fillRect/>
                          </a:stretch>
                        </pic:blipFill>
                        <pic:spPr>
                          <a:xfrm>
                            <a:off x="0" y="0"/>
                            <a:ext cx="1706245" cy="391160"/>
                          </a:xfrm>
                          <a:prstGeom prst="rect">
                            <a:avLst/>
                          </a:prstGeom>
                          <a:noFill/>
                          <a:ln>
                            <a:noFill/>
                          </a:ln>
                        </pic:spPr>
                      </pic:pic>
                    </a:graphicData>
                  </a:graphic>
                </wp:inline>
              </w:drawing>
            </w:r>
          </w:p>
          <w:p w14:paraId="41BBCAD9">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220345" cy="239395"/>
                  <wp:effectExtent l="0" t="0" r="8255" b="6985"/>
                  <wp:docPr id="1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
                          <pic:cNvPicPr>
                            <a:picLocks noChangeAspect="1"/>
                          </pic:cNvPicPr>
                        </pic:nvPicPr>
                        <pic:blipFill>
                          <a:blip r:embed="rId23"/>
                          <a:stretch>
                            <a:fillRect/>
                          </a:stretch>
                        </pic:blipFill>
                        <pic:spPr>
                          <a:xfrm>
                            <a:off x="0" y="0"/>
                            <a:ext cx="220345" cy="239395"/>
                          </a:xfrm>
                          <a:prstGeom prst="rect">
                            <a:avLst/>
                          </a:prstGeom>
                          <a:noFill/>
                          <a:ln>
                            <a:noFill/>
                          </a:ln>
                        </pic:spPr>
                      </pic:pic>
                    </a:graphicData>
                  </a:graphic>
                </wp:inline>
              </w:drawing>
            </w:r>
            <w:r>
              <w:rPr>
                <w:color w:val="auto"/>
                <w:spacing w:val="5"/>
                <w:sz w:val="24"/>
                <w:highlight w:val="none"/>
              </w:rPr>
              <w:t>——室内声源在靠近围护结构处产生的倍频带声压级，dB；</w:t>
            </w:r>
          </w:p>
          <w:p w14:paraId="38E472BB">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200660" cy="220345"/>
                  <wp:effectExtent l="0" t="0" r="8890" b="6985"/>
                  <wp:docPr id="1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5"/>
                          <pic:cNvPicPr>
                            <a:picLocks noChangeAspect="1"/>
                          </pic:cNvPicPr>
                        </pic:nvPicPr>
                        <pic:blipFill>
                          <a:blip r:embed="rId14"/>
                          <a:stretch>
                            <a:fillRect/>
                          </a:stretch>
                        </pic:blipFill>
                        <pic:spPr>
                          <a:xfrm>
                            <a:off x="0" y="0"/>
                            <a:ext cx="200660" cy="220345"/>
                          </a:xfrm>
                          <a:prstGeom prst="rect">
                            <a:avLst/>
                          </a:prstGeom>
                          <a:noFill/>
                          <a:ln>
                            <a:noFill/>
                          </a:ln>
                        </pic:spPr>
                      </pic:pic>
                    </a:graphicData>
                  </a:graphic>
                </wp:inline>
              </w:drawing>
            </w:r>
            <w:r>
              <w:rPr>
                <w:color w:val="auto"/>
                <w:spacing w:val="5"/>
                <w:sz w:val="24"/>
                <w:highlight w:val="none"/>
              </w:rPr>
              <w:t>——声源的倍频带声功率级，dB；</w:t>
            </w:r>
          </w:p>
          <w:p w14:paraId="658C3201">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17475" cy="122555"/>
                  <wp:effectExtent l="0" t="0" r="15875" b="12065"/>
                  <wp:docPr id="1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6"/>
                          <pic:cNvPicPr>
                            <a:picLocks noChangeAspect="1"/>
                          </pic:cNvPicPr>
                        </pic:nvPicPr>
                        <pic:blipFill>
                          <a:blip r:embed="rId24"/>
                          <a:stretch>
                            <a:fillRect/>
                          </a:stretch>
                        </pic:blipFill>
                        <pic:spPr>
                          <a:xfrm>
                            <a:off x="0" y="0"/>
                            <a:ext cx="117475" cy="122555"/>
                          </a:xfrm>
                          <a:prstGeom prst="rect">
                            <a:avLst/>
                          </a:prstGeom>
                          <a:noFill/>
                          <a:ln>
                            <a:noFill/>
                          </a:ln>
                        </pic:spPr>
                      </pic:pic>
                    </a:graphicData>
                  </a:graphic>
                </wp:inline>
              </w:drawing>
            </w:r>
            <w:r>
              <w:rPr>
                <w:color w:val="auto"/>
                <w:spacing w:val="5"/>
                <w:sz w:val="24"/>
                <w:highlight w:val="none"/>
              </w:rPr>
              <w:t>——声源到靠近围护结构某点处的距离，m；</w:t>
            </w:r>
          </w:p>
          <w:p w14:paraId="0505DE58">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51765" cy="200660"/>
                  <wp:effectExtent l="0" t="0" r="635" b="6985"/>
                  <wp:docPr id="14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7"/>
                          <pic:cNvPicPr>
                            <a:picLocks noChangeAspect="1"/>
                          </pic:cNvPicPr>
                        </pic:nvPicPr>
                        <pic:blipFill>
                          <a:blip r:embed="rId25"/>
                          <a:stretch>
                            <a:fillRect/>
                          </a:stretch>
                        </pic:blipFill>
                        <pic:spPr>
                          <a:xfrm>
                            <a:off x="0" y="0"/>
                            <a:ext cx="151765" cy="200660"/>
                          </a:xfrm>
                          <a:prstGeom prst="rect">
                            <a:avLst/>
                          </a:prstGeom>
                          <a:noFill/>
                          <a:ln>
                            <a:noFill/>
                          </a:ln>
                        </pic:spPr>
                      </pic:pic>
                    </a:graphicData>
                  </a:graphic>
                </wp:inline>
              </w:drawing>
            </w:r>
            <w:r>
              <w:rPr>
                <w:color w:val="auto"/>
                <w:spacing w:val="5"/>
                <w:sz w:val="24"/>
                <w:highlight w:val="none"/>
              </w:rPr>
              <w:t>——指向性因子；</w:t>
            </w:r>
          </w:p>
          <w:p w14:paraId="5F9A41D3">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51765" cy="171450"/>
                  <wp:effectExtent l="0" t="0" r="635" b="0"/>
                  <wp:docPr id="1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8"/>
                          <pic:cNvPicPr>
                            <a:picLocks noChangeAspect="1"/>
                          </pic:cNvPicPr>
                        </pic:nvPicPr>
                        <pic:blipFill>
                          <a:blip r:embed="rId26"/>
                          <a:stretch>
                            <a:fillRect/>
                          </a:stretch>
                        </pic:blipFill>
                        <pic:spPr>
                          <a:xfrm>
                            <a:off x="0" y="0"/>
                            <a:ext cx="151765" cy="171450"/>
                          </a:xfrm>
                          <a:prstGeom prst="rect">
                            <a:avLst/>
                          </a:prstGeom>
                          <a:noFill/>
                          <a:ln>
                            <a:noFill/>
                          </a:ln>
                        </pic:spPr>
                      </pic:pic>
                    </a:graphicData>
                  </a:graphic>
                </wp:inline>
              </w:drawing>
            </w:r>
            <w:r>
              <w:rPr>
                <w:color w:val="auto"/>
                <w:spacing w:val="5"/>
                <w:sz w:val="24"/>
                <w:highlight w:val="none"/>
              </w:rPr>
              <w:t>——房间常数，</w:t>
            </w:r>
            <w:r>
              <w:rPr>
                <w:color w:val="auto"/>
                <w:spacing w:val="5"/>
                <w:sz w:val="24"/>
                <w:highlight w:val="none"/>
              </w:rPr>
              <w:drawing>
                <wp:inline distT="0" distB="0" distL="114300" distR="114300">
                  <wp:extent cx="963295" cy="200660"/>
                  <wp:effectExtent l="0" t="0" r="8255" b="8255"/>
                  <wp:docPr id="1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9"/>
                          <pic:cNvPicPr>
                            <a:picLocks noChangeAspect="1"/>
                          </pic:cNvPicPr>
                        </pic:nvPicPr>
                        <pic:blipFill>
                          <a:blip r:embed="rId27"/>
                          <a:stretch>
                            <a:fillRect/>
                          </a:stretch>
                        </pic:blipFill>
                        <pic:spPr>
                          <a:xfrm>
                            <a:off x="0" y="0"/>
                            <a:ext cx="963295" cy="200660"/>
                          </a:xfrm>
                          <a:prstGeom prst="rect">
                            <a:avLst/>
                          </a:prstGeom>
                          <a:noFill/>
                          <a:ln>
                            <a:noFill/>
                          </a:ln>
                        </pic:spPr>
                      </pic:pic>
                    </a:graphicData>
                  </a:graphic>
                </wp:inline>
              </w:drawing>
            </w:r>
            <w:r>
              <w:rPr>
                <w:color w:val="auto"/>
                <w:spacing w:val="5"/>
                <w:sz w:val="24"/>
                <w:highlight w:val="none"/>
              </w:rPr>
              <w:t>，</w:t>
            </w:r>
            <w:r>
              <w:rPr>
                <w:color w:val="auto"/>
                <w:spacing w:val="5"/>
                <w:sz w:val="24"/>
                <w:highlight w:val="none"/>
              </w:rPr>
              <w:drawing>
                <wp:inline distT="0" distB="0" distL="114300" distR="114300">
                  <wp:extent cx="141605" cy="180975"/>
                  <wp:effectExtent l="0" t="0" r="10795" b="7620"/>
                  <wp:docPr id="1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0"/>
                          <pic:cNvPicPr>
                            <a:picLocks noChangeAspect="1"/>
                          </pic:cNvPicPr>
                        </pic:nvPicPr>
                        <pic:blipFill>
                          <a:blip r:embed="rId28"/>
                          <a:stretch>
                            <a:fillRect/>
                          </a:stretch>
                        </pic:blipFill>
                        <pic:spPr>
                          <a:xfrm>
                            <a:off x="0" y="0"/>
                            <a:ext cx="141605" cy="180975"/>
                          </a:xfrm>
                          <a:prstGeom prst="rect">
                            <a:avLst/>
                          </a:prstGeom>
                          <a:noFill/>
                          <a:ln>
                            <a:noFill/>
                          </a:ln>
                        </pic:spPr>
                      </pic:pic>
                    </a:graphicData>
                  </a:graphic>
                </wp:inline>
              </w:drawing>
            </w:r>
            <w:r>
              <w:rPr>
                <w:color w:val="auto"/>
                <w:spacing w:val="5"/>
                <w:sz w:val="24"/>
                <w:highlight w:val="none"/>
              </w:rPr>
              <w:t>为房间内表面面积，m</w:t>
            </w:r>
            <w:r>
              <w:rPr>
                <w:color w:val="auto"/>
                <w:spacing w:val="5"/>
                <w:sz w:val="24"/>
                <w:highlight w:val="none"/>
                <w:vertAlign w:val="superscript"/>
              </w:rPr>
              <w:t>2</w:t>
            </w:r>
            <w:r>
              <w:rPr>
                <w:color w:val="auto"/>
                <w:spacing w:val="5"/>
                <w:sz w:val="24"/>
                <w:highlight w:val="none"/>
              </w:rPr>
              <w:t>，</w:t>
            </w:r>
            <w:r>
              <w:rPr>
                <w:color w:val="auto"/>
                <w:spacing w:val="5"/>
                <w:sz w:val="24"/>
                <w:highlight w:val="none"/>
              </w:rPr>
              <w:drawing>
                <wp:inline distT="0" distB="0" distL="114300" distR="114300">
                  <wp:extent cx="151765" cy="141605"/>
                  <wp:effectExtent l="0" t="0" r="635" b="12065"/>
                  <wp:docPr id="1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21"/>
                          <pic:cNvPicPr>
                            <a:picLocks noChangeAspect="1"/>
                          </pic:cNvPicPr>
                        </pic:nvPicPr>
                        <pic:blipFill>
                          <a:blip r:embed="rId29"/>
                          <a:stretch>
                            <a:fillRect/>
                          </a:stretch>
                        </pic:blipFill>
                        <pic:spPr>
                          <a:xfrm>
                            <a:off x="0" y="0"/>
                            <a:ext cx="151765" cy="141605"/>
                          </a:xfrm>
                          <a:prstGeom prst="rect">
                            <a:avLst/>
                          </a:prstGeom>
                          <a:noFill/>
                          <a:ln>
                            <a:noFill/>
                          </a:ln>
                        </pic:spPr>
                      </pic:pic>
                    </a:graphicData>
                  </a:graphic>
                </wp:inline>
              </w:drawing>
            </w:r>
            <w:r>
              <w:rPr>
                <w:color w:val="auto"/>
                <w:spacing w:val="5"/>
                <w:sz w:val="24"/>
                <w:highlight w:val="none"/>
              </w:rPr>
              <w:t>为平均吸声系数。</w:t>
            </w:r>
          </w:p>
          <w:p w14:paraId="51526254">
            <w:pPr>
              <w:spacing w:line="360" w:lineRule="auto"/>
              <w:ind w:firstLine="500" w:firstLineChars="200"/>
              <w:rPr>
                <w:color w:val="auto"/>
                <w:spacing w:val="5"/>
                <w:sz w:val="24"/>
                <w:highlight w:val="none"/>
              </w:rPr>
            </w:pPr>
            <w:r>
              <w:rPr>
                <w:color w:val="auto"/>
                <w:spacing w:val="5"/>
                <w:sz w:val="24"/>
                <w:highlight w:val="none"/>
              </w:rPr>
              <w:t>②计算出所有室内声源在靠近围护结构处产生的</w:t>
            </w:r>
            <w:r>
              <w:rPr>
                <w:color w:val="auto"/>
                <w:spacing w:val="5"/>
                <w:sz w:val="24"/>
                <w:highlight w:val="none"/>
              </w:rPr>
              <w:drawing>
                <wp:inline distT="0" distB="0" distL="114300" distR="114300">
                  <wp:extent cx="83185" cy="171450"/>
                  <wp:effectExtent l="0" t="0" r="12065" b="0"/>
                  <wp:docPr id="12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2"/>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倍频带叠加声压级：</w:t>
            </w:r>
          </w:p>
          <w:p w14:paraId="161BCC52">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657350" cy="445135"/>
                  <wp:effectExtent l="0" t="0" r="0" b="12065"/>
                  <wp:docPr id="148" name="图片 23"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3" descr="形状&#10;&#10;中度可信度描述已自动生成"/>
                          <pic:cNvPicPr>
                            <a:picLocks noChangeAspect="1"/>
                          </pic:cNvPicPr>
                        </pic:nvPicPr>
                        <pic:blipFill>
                          <a:blip r:embed="rId31"/>
                          <a:stretch>
                            <a:fillRect/>
                          </a:stretch>
                        </pic:blipFill>
                        <pic:spPr>
                          <a:xfrm>
                            <a:off x="0" y="0"/>
                            <a:ext cx="1657350" cy="445135"/>
                          </a:xfrm>
                          <a:prstGeom prst="rect">
                            <a:avLst/>
                          </a:prstGeom>
                          <a:noFill/>
                          <a:ln>
                            <a:noFill/>
                          </a:ln>
                        </pic:spPr>
                      </pic:pic>
                    </a:graphicData>
                  </a:graphic>
                </wp:inline>
              </w:drawing>
            </w:r>
          </w:p>
          <w:p w14:paraId="25358E2C">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464820" cy="239395"/>
                  <wp:effectExtent l="0" t="0" r="11430" b="6985"/>
                  <wp:docPr id="1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4"/>
                          <pic:cNvPicPr>
                            <a:picLocks noChangeAspect="1"/>
                          </pic:cNvPicPr>
                        </pic:nvPicPr>
                        <pic:blipFill>
                          <a:blip r:embed="rId32"/>
                          <a:stretch>
                            <a:fillRect/>
                          </a:stretch>
                        </pic:blipFill>
                        <pic:spPr>
                          <a:xfrm>
                            <a:off x="0" y="0"/>
                            <a:ext cx="464820" cy="239395"/>
                          </a:xfrm>
                          <a:prstGeom prst="rect">
                            <a:avLst/>
                          </a:prstGeom>
                          <a:noFill/>
                          <a:ln>
                            <a:noFill/>
                          </a:ln>
                        </pic:spPr>
                      </pic:pic>
                    </a:graphicData>
                  </a:graphic>
                </wp:inline>
              </w:drawing>
            </w:r>
            <w:r>
              <w:rPr>
                <w:color w:val="auto"/>
                <w:spacing w:val="5"/>
                <w:sz w:val="24"/>
                <w:highlight w:val="none"/>
              </w:rPr>
              <w:t>——靠近围护结构处室内N个声源</w:t>
            </w:r>
            <w:r>
              <w:rPr>
                <w:color w:val="auto"/>
                <w:spacing w:val="5"/>
                <w:sz w:val="24"/>
                <w:highlight w:val="none"/>
              </w:rPr>
              <w:drawing>
                <wp:inline distT="0" distB="0" distL="114300" distR="114300">
                  <wp:extent cx="83185" cy="171450"/>
                  <wp:effectExtent l="0" t="0" r="12065" b="0"/>
                  <wp:docPr id="13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5"/>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倍频带的叠加声压级，dB；</w:t>
            </w:r>
          </w:p>
          <w:p w14:paraId="0BC48287">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83845" cy="239395"/>
                  <wp:effectExtent l="0" t="0" r="1905" b="6985"/>
                  <wp:docPr id="14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6"/>
                          <pic:cNvPicPr>
                            <a:picLocks noChangeAspect="1"/>
                          </pic:cNvPicPr>
                        </pic:nvPicPr>
                        <pic:blipFill>
                          <a:blip r:embed="rId33"/>
                          <a:stretch>
                            <a:fillRect/>
                          </a:stretch>
                        </pic:blipFill>
                        <pic:spPr>
                          <a:xfrm>
                            <a:off x="0" y="0"/>
                            <a:ext cx="283845" cy="239395"/>
                          </a:xfrm>
                          <a:prstGeom prst="rect">
                            <a:avLst/>
                          </a:prstGeom>
                          <a:noFill/>
                          <a:ln>
                            <a:noFill/>
                          </a:ln>
                        </pic:spPr>
                      </pic:pic>
                    </a:graphicData>
                  </a:graphic>
                </wp:inline>
              </w:drawing>
            </w:r>
            <w:r>
              <w:rPr>
                <w:color w:val="auto"/>
                <w:spacing w:val="5"/>
                <w:sz w:val="24"/>
                <w:highlight w:val="none"/>
              </w:rPr>
              <w:t>——室内</w:t>
            </w:r>
            <w:r>
              <w:rPr>
                <w:color w:val="auto"/>
                <w:spacing w:val="5"/>
                <w:sz w:val="24"/>
                <w:highlight w:val="none"/>
              </w:rPr>
              <w:drawing>
                <wp:inline distT="0" distB="0" distL="114300" distR="114300">
                  <wp:extent cx="122555" cy="190500"/>
                  <wp:effectExtent l="0" t="0" r="10795" b="0"/>
                  <wp:docPr id="1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7"/>
                          <pic:cNvPicPr>
                            <a:picLocks noChangeAspect="1"/>
                          </pic:cNvPicPr>
                        </pic:nvPicPr>
                        <pic:blipFill>
                          <a:blip r:embed="rId34"/>
                          <a:stretch>
                            <a:fillRect/>
                          </a:stretch>
                        </pic:blipFill>
                        <pic:spPr>
                          <a:xfrm>
                            <a:off x="0" y="0"/>
                            <a:ext cx="122555" cy="190500"/>
                          </a:xfrm>
                          <a:prstGeom prst="rect">
                            <a:avLst/>
                          </a:prstGeom>
                          <a:noFill/>
                          <a:ln>
                            <a:noFill/>
                          </a:ln>
                        </pic:spPr>
                      </pic:pic>
                    </a:graphicData>
                  </a:graphic>
                </wp:inline>
              </w:drawing>
            </w:r>
            <w:r>
              <w:rPr>
                <w:color w:val="auto"/>
                <w:spacing w:val="5"/>
                <w:sz w:val="24"/>
                <w:highlight w:val="none"/>
              </w:rPr>
              <w:t>声源</w:t>
            </w:r>
            <w:r>
              <w:rPr>
                <w:color w:val="auto"/>
                <w:spacing w:val="5"/>
                <w:sz w:val="24"/>
                <w:highlight w:val="none"/>
              </w:rPr>
              <w:drawing>
                <wp:inline distT="0" distB="0" distL="114300" distR="114300">
                  <wp:extent cx="83185" cy="171450"/>
                  <wp:effectExtent l="0" t="0" r="12065" b="0"/>
                  <wp:docPr id="1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8"/>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倍频带的声压级，dB；</w:t>
            </w:r>
          </w:p>
          <w:p w14:paraId="23F1E9C9">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180975" cy="180975"/>
                  <wp:effectExtent l="0" t="0" r="9525" b="7620"/>
                  <wp:docPr id="14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9"/>
                          <pic:cNvPicPr>
                            <a:picLocks noChangeAspect="1"/>
                          </pic:cNvPicPr>
                        </pic:nvPicPr>
                        <pic:blipFill>
                          <a:blip r:embed="rId35"/>
                          <a:stretch>
                            <a:fillRect/>
                          </a:stretch>
                        </pic:blipFill>
                        <pic:spPr>
                          <a:xfrm>
                            <a:off x="0" y="0"/>
                            <a:ext cx="180975" cy="180975"/>
                          </a:xfrm>
                          <a:prstGeom prst="rect">
                            <a:avLst/>
                          </a:prstGeom>
                          <a:noFill/>
                          <a:ln>
                            <a:noFill/>
                          </a:ln>
                        </pic:spPr>
                      </pic:pic>
                    </a:graphicData>
                  </a:graphic>
                </wp:inline>
              </w:drawing>
            </w:r>
            <w:r>
              <w:rPr>
                <w:color w:val="auto"/>
                <w:spacing w:val="5"/>
                <w:sz w:val="24"/>
                <w:highlight w:val="none"/>
              </w:rPr>
              <w:t>——室内声源总数。</w:t>
            </w:r>
          </w:p>
          <w:p w14:paraId="00E401BD">
            <w:pPr>
              <w:spacing w:line="360" w:lineRule="auto"/>
              <w:ind w:firstLine="500" w:firstLineChars="200"/>
              <w:rPr>
                <w:color w:val="auto"/>
                <w:spacing w:val="5"/>
                <w:sz w:val="24"/>
                <w:highlight w:val="none"/>
              </w:rPr>
            </w:pPr>
            <w:r>
              <w:rPr>
                <w:color w:val="auto"/>
                <w:spacing w:val="5"/>
                <w:sz w:val="24"/>
                <w:highlight w:val="none"/>
              </w:rPr>
              <w:t>③计算出室外靠近围护结构处的声压级：</w:t>
            </w:r>
          </w:p>
          <w:p w14:paraId="3811F9FC">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779905" cy="239395"/>
                  <wp:effectExtent l="0" t="0" r="10795" b="6985"/>
                  <wp:docPr id="1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30"/>
                          <pic:cNvPicPr>
                            <a:picLocks noChangeAspect="1"/>
                          </pic:cNvPicPr>
                        </pic:nvPicPr>
                        <pic:blipFill>
                          <a:blip r:embed="rId36"/>
                          <a:stretch>
                            <a:fillRect/>
                          </a:stretch>
                        </pic:blipFill>
                        <pic:spPr>
                          <a:xfrm>
                            <a:off x="0" y="0"/>
                            <a:ext cx="1779905" cy="239395"/>
                          </a:xfrm>
                          <a:prstGeom prst="rect">
                            <a:avLst/>
                          </a:prstGeom>
                          <a:noFill/>
                          <a:ln>
                            <a:noFill/>
                          </a:ln>
                        </pic:spPr>
                      </pic:pic>
                    </a:graphicData>
                  </a:graphic>
                </wp:inline>
              </w:drawing>
            </w:r>
          </w:p>
          <w:p w14:paraId="5F2B35C4">
            <w:pPr>
              <w:spacing w:line="360" w:lineRule="auto"/>
              <w:ind w:firstLine="480" w:firstLineChars="200"/>
              <w:rPr>
                <w:color w:val="auto"/>
                <w:sz w:val="24"/>
                <w:highlight w:val="none"/>
              </w:rPr>
            </w:pPr>
            <w:r>
              <w:rPr>
                <w:color w:val="auto"/>
                <w:sz w:val="24"/>
                <w:highlight w:val="none"/>
              </w:rPr>
              <w:t>式中：</w:t>
            </w:r>
            <w:r>
              <w:rPr>
                <w:color w:val="auto"/>
                <w:spacing w:val="5"/>
                <w:sz w:val="24"/>
                <w:highlight w:val="none"/>
              </w:rPr>
              <w:drawing>
                <wp:inline distT="0" distB="0" distL="114300" distR="114300">
                  <wp:extent cx="503555" cy="239395"/>
                  <wp:effectExtent l="0" t="0" r="10795" b="6985"/>
                  <wp:docPr id="1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1"/>
                          <pic:cNvPicPr>
                            <a:picLocks noChangeAspect="1"/>
                          </pic:cNvPicPr>
                        </pic:nvPicPr>
                        <pic:blipFill>
                          <a:blip r:embed="rId37"/>
                          <a:stretch>
                            <a:fillRect/>
                          </a:stretch>
                        </pic:blipFill>
                        <pic:spPr>
                          <a:xfrm>
                            <a:off x="0" y="0"/>
                            <a:ext cx="503555" cy="239395"/>
                          </a:xfrm>
                          <a:prstGeom prst="rect">
                            <a:avLst/>
                          </a:prstGeom>
                          <a:noFill/>
                          <a:ln>
                            <a:noFill/>
                          </a:ln>
                        </pic:spPr>
                      </pic:pic>
                    </a:graphicData>
                  </a:graphic>
                </wp:inline>
              </w:drawing>
            </w:r>
            <w:r>
              <w:rPr>
                <w:color w:val="auto"/>
                <w:sz w:val="24"/>
                <w:highlight w:val="none"/>
              </w:rPr>
              <w:t>——靠近围护结构处室外N个声源</w:t>
            </w:r>
            <w:r>
              <w:rPr>
                <w:color w:val="auto"/>
                <w:spacing w:val="5"/>
                <w:sz w:val="24"/>
                <w:highlight w:val="none"/>
              </w:rPr>
              <w:drawing>
                <wp:inline distT="0" distB="0" distL="114300" distR="114300">
                  <wp:extent cx="83185" cy="171450"/>
                  <wp:effectExtent l="0" t="0" r="12065" b="0"/>
                  <wp:docPr id="15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32"/>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z w:val="24"/>
                <w:highlight w:val="none"/>
              </w:rPr>
              <w:t>倍频带的叠加声压级，dB；</w:t>
            </w:r>
          </w:p>
          <w:p w14:paraId="5A5D0A29">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39395" cy="239395"/>
                  <wp:effectExtent l="0" t="0" r="8255" b="6985"/>
                  <wp:docPr id="15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33"/>
                          <pic:cNvPicPr>
                            <a:picLocks noChangeAspect="1"/>
                          </pic:cNvPicPr>
                        </pic:nvPicPr>
                        <pic:blipFill>
                          <a:blip r:embed="rId38"/>
                          <a:stretch>
                            <a:fillRect/>
                          </a:stretch>
                        </pic:blipFill>
                        <pic:spPr>
                          <a:xfrm>
                            <a:off x="0" y="0"/>
                            <a:ext cx="239395" cy="239395"/>
                          </a:xfrm>
                          <a:prstGeom prst="rect">
                            <a:avLst/>
                          </a:prstGeom>
                          <a:noFill/>
                          <a:ln>
                            <a:noFill/>
                          </a:ln>
                        </pic:spPr>
                      </pic:pic>
                    </a:graphicData>
                  </a:graphic>
                </wp:inline>
              </w:drawing>
            </w:r>
            <w:r>
              <w:rPr>
                <w:color w:val="auto"/>
                <w:spacing w:val="5"/>
                <w:sz w:val="24"/>
                <w:highlight w:val="none"/>
              </w:rPr>
              <w:t>——围护结构</w:t>
            </w:r>
            <w:r>
              <w:rPr>
                <w:color w:val="auto"/>
                <w:spacing w:val="5"/>
                <w:sz w:val="24"/>
                <w:highlight w:val="none"/>
              </w:rPr>
              <w:drawing>
                <wp:inline distT="0" distB="0" distL="114300" distR="114300">
                  <wp:extent cx="83185" cy="171450"/>
                  <wp:effectExtent l="0" t="0" r="12065" b="0"/>
                  <wp:docPr id="15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4"/>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倍频带的隔声量，dB；</w:t>
            </w:r>
          </w:p>
          <w:p w14:paraId="40F624E8">
            <w:pPr>
              <w:spacing w:line="360" w:lineRule="auto"/>
              <w:ind w:firstLine="500" w:firstLineChars="200"/>
              <w:rPr>
                <w:color w:val="auto"/>
                <w:spacing w:val="5"/>
                <w:sz w:val="24"/>
                <w:highlight w:val="none"/>
              </w:rPr>
            </w:pPr>
            <w:r>
              <w:rPr>
                <w:color w:val="auto"/>
                <w:spacing w:val="5"/>
                <w:sz w:val="24"/>
                <w:highlight w:val="none"/>
              </w:rPr>
              <w:t>④将室外声源的声压级和透过面积换算成等效的室外声源，计算出中心位置位于透声面积(S)处的等效声源的倍频带声功率级。</w:t>
            </w:r>
          </w:p>
          <w:p w14:paraId="47564537">
            <w:pPr>
              <w:autoSpaceDE w:val="0"/>
              <w:autoSpaceDN w:val="0"/>
              <w:adjustRightInd w:val="0"/>
              <w:snapToGrid w:val="0"/>
              <w:spacing w:line="360" w:lineRule="auto"/>
              <w:ind w:firstLine="500" w:firstLineChars="200"/>
              <w:rPr>
                <w:color w:val="auto"/>
                <w:kern w:val="0"/>
                <w:sz w:val="24"/>
                <w:highlight w:val="none"/>
              </w:rPr>
            </w:pPr>
            <w:r>
              <w:rPr>
                <w:color w:val="auto"/>
                <w:spacing w:val="5"/>
                <w:sz w:val="24"/>
                <w:highlight w:val="none"/>
              </w:rPr>
              <w:drawing>
                <wp:inline distT="0" distB="0" distL="114300" distR="114300">
                  <wp:extent cx="1334770" cy="239395"/>
                  <wp:effectExtent l="0" t="0" r="17780" b="6985"/>
                  <wp:docPr id="15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5"/>
                          <pic:cNvPicPr>
                            <a:picLocks noChangeAspect="1"/>
                          </pic:cNvPicPr>
                        </pic:nvPicPr>
                        <pic:blipFill>
                          <a:blip r:embed="rId39"/>
                          <a:stretch>
                            <a:fillRect/>
                          </a:stretch>
                        </pic:blipFill>
                        <pic:spPr>
                          <a:xfrm>
                            <a:off x="0" y="0"/>
                            <a:ext cx="1334770" cy="239395"/>
                          </a:xfrm>
                          <a:prstGeom prst="rect">
                            <a:avLst/>
                          </a:prstGeom>
                          <a:noFill/>
                          <a:ln>
                            <a:noFill/>
                          </a:ln>
                        </pic:spPr>
                      </pic:pic>
                    </a:graphicData>
                  </a:graphic>
                </wp:inline>
              </w:drawing>
            </w:r>
          </w:p>
          <w:p w14:paraId="66C4D757">
            <w:pPr>
              <w:keepNext w:val="0"/>
              <w:keepLines w:val="0"/>
              <w:pageBreakBefore w:val="0"/>
              <w:widowControl w:val="0"/>
              <w:kinsoku/>
              <w:wordWrap/>
              <w:overflowPunct/>
              <w:topLinePunct w:val="0"/>
              <w:autoSpaceDE/>
              <w:autoSpaceDN/>
              <w:bidi w:val="0"/>
              <w:adjustRightInd w:val="0"/>
              <w:snapToGrid w:val="0"/>
              <w:spacing w:line="480" w:lineRule="exact"/>
              <w:ind w:firstLine="44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（3）声环境影响预测结果</w:t>
            </w:r>
          </w:p>
          <w:p w14:paraId="787EF4D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①</w:t>
            </w:r>
            <w:r>
              <w:rPr>
                <w:rFonts w:hint="default" w:ascii="Times New Roman" w:hAnsi="Times New Roman" w:eastAsia="宋体" w:cs="Times New Roman"/>
                <w:color w:val="auto"/>
                <w:sz w:val="24"/>
                <w:lang w:val="en-US" w:eastAsia="zh-CN"/>
              </w:rPr>
              <w:t>正常</w:t>
            </w:r>
            <w:r>
              <w:rPr>
                <w:rFonts w:hint="eastAsia" w:ascii="Times New Roman" w:hAnsi="Times New Roman" w:eastAsia="宋体" w:cs="Times New Roman"/>
                <w:color w:val="auto"/>
                <w:sz w:val="24"/>
                <w:lang w:val="en-US" w:eastAsia="zh-CN"/>
              </w:rPr>
              <w:t>生产</w:t>
            </w:r>
          </w:p>
          <w:p w14:paraId="1BBDABF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根据预测模式及噪声源强参数，预测</w:t>
            </w:r>
            <w:r>
              <w:rPr>
                <w:rFonts w:hint="eastAsia" w:eastAsia="宋体" w:cs="Times New Roman"/>
                <w:color w:val="auto"/>
                <w:sz w:val="24"/>
                <w:szCs w:val="24"/>
                <w:highlight w:val="none"/>
                <w:lang w:val="en-US" w:eastAsia="zh-CN"/>
              </w:rPr>
              <w:t>正常生产东西线主用磨粉机使用时，</w:t>
            </w:r>
            <w:r>
              <w:rPr>
                <w:rFonts w:hint="default" w:ascii="Times New Roman" w:hAnsi="Times New Roman" w:eastAsia="宋体" w:cs="Times New Roman"/>
                <w:color w:val="auto"/>
                <w:sz w:val="24"/>
                <w:szCs w:val="24"/>
                <w:highlight w:val="none"/>
              </w:rPr>
              <w:t>噪声源对厂界四周的影响，具体结果见</w:t>
            </w:r>
            <w:r>
              <w:rPr>
                <w:rFonts w:hint="eastAsia" w:eastAsia="宋体" w:cs="Times New Roman"/>
                <w:color w:val="auto"/>
                <w:sz w:val="24"/>
                <w:szCs w:val="24"/>
                <w:highlight w:val="none"/>
                <w:lang w:val="en-US" w:eastAsia="zh-CN"/>
              </w:rPr>
              <w:t>下图和下表</w:t>
            </w:r>
            <w:r>
              <w:rPr>
                <w:rFonts w:hint="default" w:ascii="Times New Roman" w:hAnsi="Times New Roman" w:eastAsia="宋体" w:cs="Times New Roman"/>
                <w:color w:val="auto"/>
                <w:sz w:val="24"/>
                <w:szCs w:val="24"/>
                <w:highlight w:val="none"/>
              </w:rPr>
              <w:t>。</w:t>
            </w:r>
          </w:p>
          <w:p w14:paraId="36B577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rPr>
                <w:rFonts w:hint="default" w:ascii="Times New Roman" w:hAnsi="Times New Roman" w:eastAsia="宋体" w:cs="Times New Roman"/>
                <w:color w:val="auto"/>
                <w:sz w:val="24"/>
                <w:szCs w:val="24"/>
                <w:highlight w:val="none"/>
              </w:rPr>
            </w:pPr>
            <w:r>
              <w:rPr>
                <w:color w:val="auto"/>
              </w:rPr>
              <w:drawing>
                <wp:anchor distT="0" distB="0" distL="114300" distR="114300" simplePos="0" relativeHeight="251722752" behindDoc="1" locked="0" layoutInCell="1" allowOverlap="1">
                  <wp:simplePos x="0" y="0"/>
                  <wp:positionH relativeFrom="column">
                    <wp:posOffset>422275</wp:posOffset>
                  </wp:positionH>
                  <wp:positionV relativeFrom="paragraph">
                    <wp:posOffset>76835</wp:posOffset>
                  </wp:positionV>
                  <wp:extent cx="4443730" cy="3183255"/>
                  <wp:effectExtent l="0" t="0" r="13970" b="17145"/>
                  <wp:wrapNone/>
                  <wp:docPr id="15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36"/>
                          <pic:cNvPicPr>
                            <a:picLocks noChangeAspect="1"/>
                          </pic:cNvPicPr>
                        </pic:nvPicPr>
                        <pic:blipFill>
                          <a:blip r:embed="rId40"/>
                          <a:stretch>
                            <a:fillRect/>
                          </a:stretch>
                        </pic:blipFill>
                        <pic:spPr>
                          <a:xfrm>
                            <a:off x="0" y="0"/>
                            <a:ext cx="4443730" cy="3183255"/>
                          </a:xfrm>
                          <a:prstGeom prst="rect">
                            <a:avLst/>
                          </a:prstGeom>
                          <a:noFill/>
                          <a:ln>
                            <a:noFill/>
                          </a:ln>
                        </pic:spPr>
                      </pic:pic>
                    </a:graphicData>
                  </a:graphic>
                </wp:anchor>
              </w:drawing>
            </w:r>
          </w:p>
          <w:p w14:paraId="5616453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1FCDFEA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2C39D69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F66C4A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5ACF55F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62B4186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54173C9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5ED2CD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1B017F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23F99489">
            <w:pPr>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图4-2  正常生产噪声预测等值线分布图</w:t>
            </w:r>
          </w:p>
          <w:p w14:paraId="14AFB344">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p>
          <w:p w14:paraId="1EDC7C0D">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r>
              <w:rPr>
                <w:rFonts w:hint="eastAsia" w:ascii="Times New Roman" w:hAnsi="Times New Roman" w:eastAsia="宋体" w:cs="Times New Roman"/>
                <w:b/>
                <w:snapToGrid w:val="0"/>
                <w:color w:val="auto"/>
                <w:kern w:val="2"/>
                <w:sz w:val="24"/>
                <w:szCs w:val="24"/>
                <w:highlight w:val="none"/>
                <w:lang w:val="en-US" w:eastAsia="zh-CN" w:bidi="ar-SA"/>
              </w:rPr>
              <w:t>表4-8  项目</w:t>
            </w:r>
            <w:r>
              <w:rPr>
                <w:rFonts w:hint="eastAsia" w:cs="Times New Roman"/>
                <w:b/>
                <w:snapToGrid w:val="0"/>
                <w:color w:val="auto"/>
                <w:kern w:val="2"/>
                <w:sz w:val="24"/>
                <w:szCs w:val="24"/>
                <w:highlight w:val="none"/>
                <w:lang w:val="en-US" w:eastAsia="zh-CN" w:bidi="ar-SA"/>
              </w:rPr>
              <w:t>正常工况</w:t>
            </w:r>
            <w:r>
              <w:rPr>
                <w:rFonts w:hint="eastAsia" w:ascii="Times New Roman" w:hAnsi="Times New Roman" w:eastAsia="宋体" w:cs="Times New Roman"/>
                <w:b/>
                <w:snapToGrid w:val="0"/>
                <w:color w:val="auto"/>
                <w:kern w:val="2"/>
                <w:sz w:val="24"/>
                <w:szCs w:val="24"/>
                <w:highlight w:val="none"/>
                <w:lang w:val="en-US" w:eastAsia="zh-CN" w:bidi="ar-SA"/>
              </w:rPr>
              <w:t>厂界噪声预测结果一览表  单位：dB（A）</w:t>
            </w:r>
          </w:p>
          <w:tbl>
            <w:tblPr>
              <w:tblStyle w:val="36"/>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3"/>
              <w:gridCol w:w="645"/>
              <w:gridCol w:w="719"/>
              <w:gridCol w:w="707"/>
              <w:gridCol w:w="707"/>
              <w:gridCol w:w="818"/>
              <w:gridCol w:w="834"/>
              <w:gridCol w:w="793"/>
              <w:gridCol w:w="734"/>
              <w:gridCol w:w="1047"/>
            </w:tblGrid>
            <w:tr w14:paraId="349E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restart"/>
                  <w:noWrap w:val="0"/>
                  <w:vAlign w:val="center"/>
                </w:tcPr>
                <w:p w14:paraId="3C0CD899">
                  <w:pPr>
                    <w:autoSpaceDE w:val="0"/>
                    <w:autoSpaceDN w:val="0"/>
                    <w:adjustRightInd w:val="0"/>
                    <w:jc w:val="center"/>
                    <w:rPr>
                      <w:color w:val="auto"/>
                      <w:szCs w:val="21"/>
                      <w:highlight w:val="none"/>
                    </w:rPr>
                  </w:pPr>
                  <w:r>
                    <w:rPr>
                      <w:color w:val="auto"/>
                      <w:szCs w:val="21"/>
                      <w:highlight w:val="none"/>
                    </w:rPr>
                    <w:t>名称</w:t>
                  </w:r>
                </w:p>
              </w:tc>
              <w:tc>
                <w:tcPr>
                  <w:tcW w:w="793" w:type="pct"/>
                  <w:gridSpan w:val="2"/>
                  <w:noWrap w:val="0"/>
                  <w:vAlign w:val="center"/>
                </w:tcPr>
                <w:p w14:paraId="41CE3C90">
                  <w:pPr>
                    <w:autoSpaceDE w:val="0"/>
                    <w:autoSpaceDN w:val="0"/>
                    <w:adjustRightInd w:val="0"/>
                    <w:jc w:val="center"/>
                    <w:rPr>
                      <w:color w:val="auto"/>
                      <w:szCs w:val="21"/>
                      <w:highlight w:val="none"/>
                    </w:rPr>
                  </w:pPr>
                  <w:r>
                    <w:rPr>
                      <w:rFonts w:hint="eastAsia"/>
                      <w:color w:val="auto"/>
                      <w:szCs w:val="21"/>
                      <w:highlight w:val="none"/>
                    </w:rPr>
                    <w:t>背景</w:t>
                  </w:r>
                  <w:r>
                    <w:rPr>
                      <w:color w:val="auto"/>
                      <w:szCs w:val="21"/>
                      <w:highlight w:val="none"/>
                    </w:rPr>
                    <w:t>值</w:t>
                  </w:r>
                </w:p>
              </w:tc>
              <w:tc>
                <w:tcPr>
                  <w:tcW w:w="822" w:type="pct"/>
                  <w:gridSpan w:val="2"/>
                  <w:noWrap w:val="0"/>
                  <w:vAlign w:val="center"/>
                </w:tcPr>
                <w:p w14:paraId="5CD4280C">
                  <w:pPr>
                    <w:autoSpaceDE w:val="0"/>
                    <w:autoSpaceDN w:val="0"/>
                    <w:adjustRightInd w:val="0"/>
                    <w:jc w:val="center"/>
                    <w:rPr>
                      <w:rFonts w:hint="eastAsia" w:eastAsia="宋体"/>
                      <w:color w:val="auto"/>
                      <w:szCs w:val="21"/>
                      <w:highlight w:val="none"/>
                      <w:lang w:val="en-US" w:eastAsia="zh-CN"/>
                    </w:rPr>
                  </w:pPr>
                  <w:r>
                    <w:rPr>
                      <w:rFonts w:hint="eastAsia"/>
                      <w:color w:val="auto"/>
                      <w:szCs w:val="21"/>
                      <w:highlight w:val="none"/>
                      <w:lang w:val="en-US" w:eastAsia="zh-CN"/>
                    </w:rPr>
                    <w:t>贡献值</w:t>
                  </w:r>
                </w:p>
              </w:tc>
              <w:tc>
                <w:tcPr>
                  <w:tcW w:w="961" w:type="pct"/>
                  <w:gridSpan w:val="2"/>
                  <w:noWrap w:val="0"/>
                  <w:vAlign w:val="center"/>
                </w:tcPr>
                <w:p w14:paraId="42128967">
                  <w:pPr>
                    <w:autoSpaceDE w:val="0"/>
                    <w:autoSpaceDN w:val="0"/>
                    <w:adjustRightInd w:val="0"/>
                    <w:jc w:val="center"/>
                    <w:rPr>
                      <w:color w:val="auto"/>
                      <w:szCs w:val="21"/>
                      <w:highlight w:val="none"/>
                    </w:rPr>
                  </w:pPr>
                  <w:r>
                    <w:rPr>
                      <w:color w:val="auto"/>
                      <w:szCs w:val="21"/>
                      <w:highlight w:val="none"/>
                    </w:rPr>
                    <w:t>预测值</w:t>
                  </w:r>
                </w:p>
              </w:tc>
              <w:tc>
                <w:tcPr>
                  <w:tcW w:w="888" w:type="pct"/>
                  <w:gridSpan w:val="2"/>
                  <w:noWrap w:val="0"/>
                  <w:vAlign w:val="center"/>
                </w:tcPr>
                <w:p w14:paraId="23C2DB87">
                  <w:pPr>
                    <w:autoSpaceDE w:val="0"/>
                    <w:autoSpaceDN w:val="0"/>
                    <w:adjustRightInd w:val="0"/>
                    <w:jc w:val="center"/>
                    <w:rPr>
                      <w:color w:val="auto"/>
                      <w:szCs w:val="21"/>
                      <w:highlight w:val="none"/>
                    </w:rPr>
                  </w:pPr>
                  <w:r>
                    <w:rPr>
                      <w:color w:val="auto"/>
                      <w:szCs w:val="21"/>
                      <w:highlight w:val="none"/>
                    </w:rPr>
                    <w:t>标准值</w:t>
                  </w:r>
                </w:p>
              </w:tc>
              <w:tc>
                <w:tcPr>
                  <w:tcW w:w="606" w:type="pct"/>
                  <w:vMerge w:val="restart"/>
                  <w:noWrap w:val="0"/>
                  <w:vAlign w:val="center"/>
                </w:tcPr>
                <w:p w14:paraId="1E506E2B">
                  <w:pPr>
                    <w:autoSpaceDE w:val="0"/>
                    <w:autoSpaceDN w:val="0"/>
                    <w:adjustRightInd w:val="0"/>
                    <w:jc w:val="center"/>
                    <w:rPr>
                      <w:color w:val="auto"/>
                      <w:szCs w:val="21"/>
                      <w:highlight w:val="none"/>
                    </w:rPr>
                  </w:pPr>
                  <w:r>
                    <w:rPr>
                      <w:color w:val="auto"/>
                      <w:szCs w:val="21"/>
                      <w:highlight w:val="none"/>
                    </w:rPr>
                    <w:t>达标分析</w:t>
                  </w:r>
                </w:p>
              </w:tc>
            </w:tr>
            <w:tr w14:paraId="4331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continue"/>
                  <w:noWrap w:val="0"/>
                  <w:vAlign w:val="center"/>
                </w:tcPr>
                <w:p w14:paraId="647C6AA6">
                  <w:pPr>
                    <w:autoSpaceDE w:val="0"/>
                    <w:autoSpaceDN w:val="0"/>
                    <w:adjustRightInd w:val="0"/>
                    <w:jc w:val="center"/>
                    <w:rPr>
                      <w:color w:val="auto"/>
                      <w:szCs w:val="21"/>
                      <w:highlight w:val="none"/>
                    </w:rPr>
                  </w:pPr>
                </w:p>
              </w:tc>
              <w:tc>
                <w:tcPr>
                  <w:tcW w:w="375" w:type="pct"/>
                  <w:noWrap w:val="0"/>
                  <w:vAlign w:val="center"/>
                </w:tcPr>
                <w:p w14:paraId="305A595C">
                  <w:pPr>
                    <w:adjustRightInd w:val="0"/>
                    <w:snapToGrid w:val="0"/>
                    <w:jc w:val="center"/>
                    <w:rPr>
                      <w:color w:val="auto"/>
                      <w:highlight w:val="none"/>
                    </w:rPr>
                  </w:pPr>
                  <w:r>
                    <w:rPr>
                      <w:color w:val="auto"/>
                      <w:highlight w:val="none"/>
                    </w:rPr>
                    <w:t>昼间</w:t>
                  </w:r>
                </w:p>
              </w:tc>
              <w:tc>
                <w:tcPr>
                  <w:tcW w:w="418" w:type="pct"/>
                  <w:noWrap w:val="0"/>
                  <w:vAlign w:val="center"/>
                </w:tcPr>
                <w:p w14:paraId="5481AB0B">
                  <w:pPr>
                    <w:adjustRightInd w:val="0"/>
                    <w:snapToGrid w:val="0"/>
                    <w:jc w:val="center"/>
                    <w:rPr>
                      <w:color w:val="auto"/>
                      <w:highlight w:val="none"/>
                    </w:rPr>
                  </w:pPr>
                  <w:r>
                    <w:rPr>
                      <w:color w:val="auto"/>
                      <w:highlight w:val="none"/>
                    </w:rPr>
                    <w:t>夜间</w:t>
                  </w:r>
                </w:p>
              </w:tc>
              <w:tc>
                <w:tcPr>
                  <w:tcW w:w="411" w:type="pct"/>
                  <w:noWrap w:val="0"/>
                  <w:vAlign w:val="center"/>
                </w:tcPr>
                <w:p w14:paraId="1EFFD5EC">
                  <w:pPr>
                    <w:adjustRightInd w:val="0"/>
                    <w:snapToGrid w:val="0"/>
                    <w:jc w:val="center"/>
                    <w:rPr>
                      <w:color w:val="auto"/>
                      <w:highlight w:val="none"/>
                    </w:rPr>
                  </w:pPr>
                  <w:r>
                    <w:rPr>
                      <w:color w:val="auto"/>
                      <w:highlight w:val="none"/>
                    </w:rPr>
                    <w:t>昼间</w:t>
                  </w:r>
                </w:p>
              </w:tc>
              <w:tc>
                <w:tcPr>
                  <w:tcW w:w="411" w:type="pct"/>
                  <w:noWrap w:val="0"/>
                  <w:vAlign w:val="center"/>
                </w:tcPr>
                <w:p w14:paraId="4A03D217">
                  <w:pPr>
                    <w:adjustRightInd w:val="0"/>
                    <w:snapToGrid w:val="0"/>
                    <w:jc w:val="center"/>
                    <w:rPr>
                      <w:color w:val="auto"/>
                      <w:highlight w:val="none"/>
                    </w:rPr>
                  </w:pPr>
                  <w:r>
                    <w:rPr>
                      <w:color w:val="auto"/>
                      <w:highlight w:val="none"/>
                    </w:rPr>
                    <w:t>夜间</w:t>
                  </w:r>
                </w:p>
              </w:tc>
              <w:tc>
                <w:tcPr>
                  <w:tcW w:w="476" w:type="pct"/>
                  <w:noWrap w:val="0"/>
                  <w:vAlign w:val="center"/>
                </w:tcPr>
                <w:p w14:paraId="15E8A3A2">
                  <w:pPr>
                    <w:adjustRightInd w:val="0"/>
                    <w:snapToGrid w:val="0"/>
                    <w:jc w:val="center"/>
                    <w:rPr>
                      <w:color w:val="auto"/>
                      <w:highlight w:val="none"/>
                    </w:rPr>
                  </w:pPr>
                  <w:r>
                    <w:rPr>
                      <w:color w:val="auto"/>
                      <w:highlight w:val="none"/>
                    </w:rPr>
                    <w:t>昼间</w:t>
                  </w:r>
                </w:p>
              </w:tc>
              <w:tc>
                <w:tcPr>
                  <w:tcW w:w="485" w:type="pct"/>
                  <w:noWrap w:val="0"/>
                  <w:vAlign w:val="center"/>
                </w:tcPr>
                <w:p w14:paraId="48069074">
                  <w:pPr>
                    <w:adjustRightInd w:val="0"/>
                    <w:snapToGrid w:val="0"/>
                    <w:jc w:val="center"/>
                    <w:rPr>
                      <w:color w:val="auto"/>
                      <w:highlight w:val="none"/>
                    </w:rPr>
                  </w:pPr>
                  <w:r>
                    <w:rPr>
                      <w:color w:val="auto"/>
                      <w:highlight w:val="none"/>
                    </w:rPr>
                    <w:t>夜间</w:t>
                  </w:r>
                </w:p>
              </w:tc>
              <w:tc>
                <w:tcPr>
                  <w:tcW w:w="461" w:type="pct"/>
                  <w:noWrap w:val="0"/>
                  <w:vAlign w:val="center"/>
                </w:tcPr>
                <w:p w14:paraId="088549A4">
                  <w:pPr>
                    <w:adjustRightInd w:val="0"/>
                    <w:snapToGrid w:val="0"/>
                    <w:jc w:val="center"/>
                    <w:rPr>
                      <w:color w:val="auto"/>
                      <w:highlight w:val="none"/>
                    </w:rPr>
                  </w:pPr>
                  <w:r>
                    <w:rPr>
                      <w:color w:val="auto"/>
                      <w:highlight w:val="none"/>
                    </w:rPr>
                    <w:t>昼间</w:t>
                  </w:r>
                </w:p>
              </w:tc>
              <w:tc>
                <w:tcPr>
                  <w:tcW w:w="427" w:type="pct"/>
                  <w:noWrap w:val="0"/>
                  <w:vAlign w:val="center"/>
                </w:tcPr>
                <w:p w14:paraId="01F8C45B">
                  <w:pPr>
                    <w:adjustRightInd w:val="0"/>
                    <w:snapToGrid w:val="0"/>
                    <w:jc w:val="center"/>
                    <w:rPr>
                      <w:color w:val="auto"/>
                      <w:highlight w:val="none"/>
                    </w:rPr>
                  </w:pPr>
                  <w:r>
                    <w:rPr>
                      <w:color w:val="auto"/>
                      <w:highlight w:val="none"/>
                    </w:rPr>
                    <w:t>夜间</w:t>
                  </w:r>
                </w:p>
              </w:tc>
              <w:tc>
                <w:tcPr>
                  <w:tcW w:w="606" w:type="pct"/>
                  <w:vMerge w:val="continue"/>
                  <w:noWrap w:val="0"/>
                  <w:vAlign w:val="center"/>
                </w:tcPr>
                <w:p w14:paraId="79B8993F">
                  <w:pPr>
                    <w:autoSpaceDE w:val="0"/>
                    <w:autoSpaceDN w:val="0"/>
                    <w:adjustRightInd w:val="0"/>
                    <w:jc w:val="center"/>
                    <w:rPr>
                      <w:color w:val="auto"/>
                      <w:szCs w:val="21"/>
                      <w:highlight w:val="none"/>
                    </w:rPr>
                  </w:pPr>
                </w:p>
              </w:tc>
            </w:tr>
            <w:tr w14:paraId="53B8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4187756">
                  <w:pPr>
                    <w:autoSpaceDE w:val="0"/>
                    <w:autoSpaceDN w:val="0"/>
                    <w:adjustRightInd w:val="0"/>
                    <w:jc w:val="center"/>
                    <w:rPr>
                      <w:color w:val="auto"/>
                      <w:szCs w:val="21"/>
                      <w:highlight w:val="none"/>
                    </w:rPr>
                  </w:pPr>
                  <w:r>
                    <w:rPr>
                      <w:color w:val="auto"/>
                      <w:szCs w:val="21"/>
                      <w:highlight w:val="none"/>
                    </w:rPr>
                    <w:t>东厂界</w:t>
                  </w:r>
                </w:p>
              </w:tc>
              <w:tc>
                <w:tcPr>
                  <w:tcW w:w="375" w:type="pct"/>
                  <w:noWrap w:val="0"/>
                  <w:vAlign w:val="center"/>
                </w:tcPr>
                <w:p w14:paraId="3AA9CBF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56.7</w:t>
                  </w:r>
                </w:p>
              </w:tc>
              <w:tc>
                <w:tcPr>
                  <w:tcW w:w="418" w:type="pct"/>
                  <w:noWrap w:val="0"/>
                  <w:vAlign w:val="center"/>
                </w:tcPr>
                <w:p w14:paraId="035CA44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51.6</w:t>
                  </w:r>
                </w:p>
              </w:tc>
              <w:tc>
                <w:tcPr>
                  <w:tcW w:w="411" w:type="pct"/>
                  <w:noWrap w:val="0"/>
                  <w:vAlign w:val="center"/>
                </w:tcPr>
                <w:p w14:paraId="3D00FA8E">
                  <w:pPr>
                    <w:autoSpaceDE w:val="0"/>
                    <w:autoSpaceDN w:val="0"/>
                    <w:adjustRightIn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40.64</w:t>
                  </w:r>
                </w:p>
              </w:tc>
              <w:tc>
                <w:tcPr>
                  <w:tcW w:w="707" w:type="dxa"/>
                  <w:noWrap w:val="0"/>
                  <w:vAlign w:val="center"/>
                </w:tcPr>
                <w:p w14:paraId="3F696E9C">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40.64</w:t>
                  </w:r>
                </w:p>
              </w:tc>
              <w:tc>
                <w:tcPr>
                  <w:tcW w:w="476" w:type="pct"/>
                  <w:noWrap w:val="0"/>
                  <w:vAlign w:val="center"/>
                </w:tcPr>
                <w:p w14:paraId="01F92A94">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56.81</w:t>
                  </w:r>
                </w:p>
              </w:tc>
              <w:tc>
                <w:tcPr>
                  <w:tcW w:w="485" w:type="pct"/>
                  <w:noWrap w:val="0"/>
                  <w:vAlign w:val="center"/>
                </w:tcPr>
                <w:p w14:paraId="754E784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51.93</w:t>
                  </w:r>
                </w:p>
              </w:tc>
              <w:tc>
                <w:tcPr>
                  <w:tcW w:w="461" w:type="pct"/>
                  <w:noWrap w:val="0"/>
                  <w:vAlign w:val="center"/>
                </w:tcPr>
                <w:p w14:paraId="6ED10FA2">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427" w:type="pct"/>
                  <w:noWrap w:val="0"/>
                  <w:vAlign w:val="center"/>
                </w:tcPr>
                <w:p w14:paraId="192FA99B">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606" w:type="pct"/>
                  <w:noWrap w:val="0"/>
                  <w:vAlign w:val="center"/>
                </w:tcPr>
                <w:p w14:paraId="30C4AAB0">
                  <w:pPr>
                    <w:autoSpaceDE w:val="0"/>
                    <w:autoSpaceDN w:val="0"/>
                    <w:adjustRightInd w:val="0"/>
                    <w:jc w:val="center"/>
                    <w:rPr>
                      <w:color w:val="auto"/>
                      <w:szCs w:val="21"/>
                      <w:highlight w:val="none"/>
                    </w:rPr>
                  </w:pPr>
                  <w:r>
                    <w:rPr>
                      <w:color w:val="auto"/>
                      <w:szCs w:val="21"/>
                      <w:highlight w:val="none"/>
                    </w:rPr>
                    <w:t>达标</w:t>
                  </w:r>
                </w:p>
              </w:tc>
            </w:tr>
            <w:tr w14:paraId="5BBC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1009666C">
                  <w:pPr>
                    <w:autoSpaceDE w:val="0"/>
                    <w:autoSpaceDN w:val="0"/>
                    <w:adjustRightInd w:val="0"/>
                    <w:jc w:val="center"/>
                    <w:rPr>
                      <w:color w:val="auto"/>
                      <w:szCs w:val="21"/>
                      <w:highlight w:val="none"/>
                    </w:rPr>
                  </w:pPr>
                  <w:r>
                    <w:rPr>
                      <w:color w:val="auto"/>
                      <w:szCs w:val="21"/>
                      <w:highlight w:val="none"/>
                    </w:rPr>
                    <w:t>南厂界</w:t>
                  </w:r>
                </w:p>
              </w:tc>
              <w:tc>
                <w:tcPr>
                  <w:tcW w:w="375" w:type="pct"/>
                  <w:noWrap w:val="0"/>
                  <w:vAlign w:val="center"/>
                </w:tcPr>
                <w:p w14:paraId="73E852CF">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58.6</w:t>
                  </w:r>
                </w:p>
              </w:tc>
              <w:tc>
                <w:tcPr>
                  <w:tcW w:w="418" w:type="pct"/>
                  <w:noWrap w:val="0"/>
                  <w:vAlign w:val="center"/>
                </w:tcPr>
                <w:p w14:paraId="6C720618">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52.8</w:t>
                  </w:r>
                </w:p>
              </w:tc>
              <w:tc>
                <w:tcPr>
                  <w:tcW w:w="411" w:type="pct"/>
                  <w:noWrap w:val="0"/>
                  <w:vAlign w:val="center"/>
                </w:tcPr>
                <w:p w14:paraId="6954C5D6">
                  <w:pPr>
                    <w:autoSpaceDE w:val="0"/>
                    <w:autoSpaceDN w:val="0"/>
                    <w:adjustRightIn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31.32</w:t>
                  </w:r>
                </w:p>
              </w:tc>
              <w:tc>
                <w:tcPr>
                  <w:tcW w:w="707" w:type="dxa"/>
                  <w:noWrap w:val="0"/>
                  <w:vAlign w:val="center"/>
                </w:tcPr>
                <w:p w14:paraId="56D7795A">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31.32</w:t>
                  </w:r>
                </w:p>
              </w:tc>
              <w:tc>
                <w:tcPr>
                  <w:tcW w:w="476" w:type="pct"/>
                  <w:noWrap w:val="0"/>
                  <w:vAlign w:val="center"/>
                </w:tcPr>
                <w:p w14:paraId="55F5E4E9">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58.60</w:t>
                  </w:r>
                </w:p>
              </w:tc>
              <w:tc>
                <w:tcPr>
                  <w:tcW w:w="485" w:type="pct"/>
                  <w:noWrap w:val="0"/>
                  <w:vAlign w:val="center"/>
                </w:tcPr>
                <w:p w14:paraId="62B39E2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52.83</w:t>
                  </w:r>
                </w:p>
              </w:tc>
              <w:tc>
                <w:tcPr>
                  <w:tcW w:w="461" w:type="pct"/>
                  <w:noWrap w:val="0"/>
                  <w:vAlign w:val="center"/>
                </w:tcPr>
                <w:p w14:paraId="369F59EF">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33386839">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480CF6A4">
                  <w:pPr>
                    <w:autoSpaceDE w:val="0"/>
                    <w:autoSpaceDN w:val="0"/>
                    <w:adjustRightInd w:val="0"/>
                    <w:jc w:val="center"/>
                    <w:rPr>
                      <w:color w:val="auto"/>
                      <w:szCs w:val="21"/>
                      <w:highlight w:val="none"/>
                    </w:rPr>
                  </w:pPr>
                  <w:r>
                    <w:rPr>
                      <w:color w:val="auto"/>
                      <w:szCs w:val="21"/>
                      <w:highlight w:val="none"/>
                    </w:rPr>
                    <w:t>达标</w:t>
                  </w:r>
                </w:p>
              </w:tc>
            </w:tr>
            <w:tr w14:paraId="6FA3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7" w:type="pct"/>
                  <w:noWrap w:val="0"/>
                  <w:vAlign w:val="center"/>
                </w:tcPr>
                <w:p w14:paraId="17FC3322">
                  <w:pPr>
                    <w:autoSpaceDE w:val="0"/>
                    <w:autoSpaceDN w:val="0"/>
                    <w:adjustRightInd w:val="0"/>
                    <w:jc w:val="center"/>
                    <w:rPr>
                      <w:color w:val="auto"/>
                      <w:szCs w:val="21"/>
                      <w:highlight w:val="none"/>
                    </w:rPr>
                  </w:pPr>
                  <w:r>
                    <w:rPr>
                      <w:rFonts w:hint="eastAsia"/>
                      <w:color w:val="auto"/>
                      <w:szCs w:val="21"/>
                      <w:highlight w:val="none"/>
                    </w:rPr>
                    <w:t>西</w:t>
                  </w:r>
                  <w:r>
                    <w:rPr>
                      <w:color w:val="auto"/>
                      <w:szCs w:val="21"/>
                      <w:highlight w:val="none"/>
                    </w:rPr>
                    <w:t>厂界</w:t>
                  </w:r>
                </w:p>
              </w:tc>
              <w:tc>
                <w:tcPr>
                  <w:tcW w:w="375" w:type="pct"/>
                  <w:noWrap w:val="0"/>
                  <w:vAlign w:val="center"/>
                </w:tcPr>
                <w:p w14:paraId="54B08B0D">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58.0</w:t>
                  </w:r>
                </w:p>
              </w:tc>
              <w:tc>
                <w:tcPr>
                  <w:tcW w:w="418" w:type="pct"/>
                  <w:noWrap w:val="0"/>
                  <w:vAlign w:val="center"/>
                </w:tcPr>
                <w:p w14:paraId="00824E45">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51.0</w:t>
                  </w:r>
                </w:p>
              </w:tc>
              <w:tc>
                <w:tcPr>
                  <w:tcW w:w="411" w:type="pct"/>
                  <w:noWrap w:val="0"/>
                  <w:vAlign w:val="center"/>
                </w:tcPr>
                <w:p w14:paraId="16D9DE06">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34.99</w:t>
                  </w:r>
                </w:p>
              </w:tc>
              <w:tc>
                <w:tcPr>
                  <w:tcW w:w="707" w:type="dxa"/>
                  <w:noWrap w:val="0"/>
                  <w:vAlign w:val="center"/>
                </w:tcPr>
                <w:p w14:paraId="77B02B93">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34.99</w:t>
                  </w:r>
                </w:p>
              </w:tc>
              <w:tc>
                <w:tcPr>
                  <w:tcW w:w="476" w:type="pct"/>
                  <w:noWrap w:val="0"/>
                  <w:vAlign w:val="center"/>
                </w:tcPr>
                <w:p w14:paraId="45EFC7D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58.02</w:t>
                  </w:r>
                </w:p>
              </w:tc>
              <w:tc>
                <w:tcPr>
                  <w:tcW w:w="485" w:type="pct"/>
                  <w:noWrap w:val="0"/>
                  <w:vAlign w:val="center"/>
                </w:tcPr>
                <w:p w14:paraId="1FDECF7B">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51.11</w:t>
                  </w:r>
                </w:p>
              </w:tc>
              <w:tc>
                <w:tcPr>
                  <w:tcW w:w="461" w:type="pct"/>
                  <w:noWrap w:val="0"/>
                  <w:vAlign w:val="center"/>
                </w:tcPr>
                <w:p w14:paraId="53997165">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5DF20BB0">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58904574">
                  <w:pPr>
                    <w:autoSpaceDE w:val="0"/>
                    <w:autoSpaceDN w:val="0"/>
                    <w:adjustRightInd w:val="0"/>
                    <w:jc w:val="center"/>
                    <w:rPr>
                      <w:color w:val="auto"/>
                      <w:szCs w:val="21"/>
                      <w:highlight w:val="none"/>
                    </w:rPr>
                  </w:pPr>
                  <w:r>
                    <w:rPr>
                      <w:color w:val="auto"/>
                      <w:szCs w:val="21"/>
                      <w:highlight w:val="none"/>
                    </w:rPr>
                    <w:t>达标</w:t>
                  </w:r>
                </w:p>
              </w:tc>
            </w:tr>
            <w:tr w14:paraId="3A76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BBEBCEC">
                  <w:pPr>
                    <w:autoSpaceDE w:val="0"/>
                    <w:autoSpaceDN w:val="0"/>
                    <w:adjustRightInd w:val="0"/>
                    <w:jc w:val="center"/>
                    <w:rPr>
                      <w:color w:val="auto"/>
                      <w:szCs w:val="21"/>
                      <w:highlight w:val="none"/>
                    </w:rPr>
                  </w:pPr>
                  <w:r>
                    <w:rPr>
                      <w:rFonts w:hint="eastAsia"/>
                      <w:color w:val="auto"/>
                      <w:szCs w:val="21"/>
                      <w:highlight w:val="none"/>
                    </w:rPr>
                    <w:t>北</w:t>
                  </w:r>
                  <w:r>
                    <w:rPr>
                      <w:color w:val="auto"/>
                      <w:szCs w:val="21"/>
                      <w:highlight w:val="none"/>
                    </w:rPr>
                    <w:t>厂界</w:t>
                  </w:r>
                </w:p>
              </w:tc>
              <w:tc>
                <w:tcPr>
                  <w:tcW w:w="375" w:type="pct"/>
                  <w:noWrap w:val="0"/>
                  <w:vAlign w:val="center"/>
                </w:tcPr>
                <w:p w14:paraId="1EDC52F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61.7</w:t>
                  </w:r>
                </w:p>
              </w:tc>
              <w:tc>
                <w:tcPr>
                  <w:tcW w:w="418" w:type="pct"/>
                  <w:noWrap w:val="0"/>
                  <w:vAlign w:val="center"/>
                </w:tcPr>
                <w:p w14:paraId="5699A2B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50.8</w:t>
                  </w:r>
                </w:p>
              </w:tc>
              <w:tc>
                <w:tcPr>
                  <w:tcW w:w="411" w:type="pct"/>
                  <w:noWrap w:val="0"/>
                  <w:vAlign w:val="center"/>
                </w:tcPr>
                <w:p w14:paraId="0B7C3AA3">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39.41</w:t>
                  </w:r>
                </w:p>
              </w:tc>
              <w:tc>
                <w:tcPr>
                  <w:tcW w:w="707" w:type="dxa"/>
                  <w:noWrap w:val="0"/>
                  <w:vAlign w:val="center"/>
                </w:tcPr>
                <w:p w14:paraId="41D3ADAC">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39.41</w:t>
                  </w:r>
                </w:p>
              </w:tc>
              <w:tc>
                <w:tcPr>
                  <w:tcW w:w="476" w:type="pct"/>
                  <w:noWrap w:val="0"/>
                  <w:vAlign w:val="center"/>
                </w:tcPr>
                <w:p w14:paraId="60EC214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61.73</w:t>
                  </w:r>
                </w:p>
              </w:tc>
              <w:tc>
                <w:tcPr>
                  <w:tcW w:w="485" w:type="pct"/>
                  <w:noWrap w:val="0"/>
                  <w:vAlign w:val="center"/>
                </w:tcPr>
                <w:p w14:paraId="30534DB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51.10</w:t>
                  </w:r>
                </w:p>
              </w:tc>
              <w:tc>
                <w:tcPr>
                  <w:tcW w:w="461" w:type="pct"/>
                  <w:noWrap w:val="0"/>
                  <w:vAlign w:val="center"/>
                </w:tcPr>
                <w:p w14:paraId="09055144">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69906E18">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7F8FC154">
                  <w:pPr>
                    <w:autoSpaceDE w:val="0"/>
                    <w:autoSpaceDN w:val="0"/>
                    <w:adjustRightInd w:val="0"/>
                    <w:jc w:val="center"/>
                    <w:rPr>
                      <w:color w:val="auto"/>
                      <w:szCs w:val="21"/>
                      <w:highlight w:val="none"/>
                    </w:rPr>
                  </w:pPr>
                  <w:r>
                    <w:rPr>
                      <w:color w:val="auto"/>
                      <w:szCs w:val="21"/>
                      <w:highlight w:val="none"/>
                    </w:rPr>
                    <w:t>达标</w:t>
                  </w:r>
                </w:p>
              </w:tc>
            </w:tr>
            <w:tr w14:paraId="5EE3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00" w:type="pct"/>
                  <w:gridSpan w:val="10"/>
                  <w:noWrap w:val="0"/>
                  <w:vAlign w:val="center"/>
                </w:tcPr>
                <w:p w14:paraId="6CBBF5EB">
                  <w:pPr>
                    <w:autoSpaceDE w:val="0"/>
                    <w:autoSpaceDN w:val="0"/>
                    <w:adjustRightInd w:val="0"/>
                    <w:jc w:val="left"/>
                    <w:rPr>
                      <w:rFonts w:hint="default" w:eastAsia="宋体"/>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注：厂界背景值，取自</w:t>
                  </w:r>
                  <w:r>
                    <w:rPr>
                      <w:rFonts w:hint="default" w:ascii="Times New Roman" w:hAnsi="Times New Roman" w:eastAsia="宋体" w:cs="Times New Roman"/>
                      <w:color w:val="auto"/>
                      <w:szCs w:val="21"/>
                      <w:highlight w:val="none"/>
                    </w:rPr>
                    <w:t>根据《河北鸿科碳素有限公司自行监测季测报告》（2025年12月25日，RFJC自行监测[2025]J176号）</w:t>
                  </w:r>
                </w:p>
              </w:tc>
            </w:tr>
          </w:tbl>
          <w:p w14:paraId="232C19B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color w:val="auto"/>
                <w:sz w:val="24"/>
                <w:highlight w:val="none"/>
              </w:rPr>
            </w:pPr>
            <w:r>
              <w:rPr>
                <w:color w:val="auto"/>
                <w:sz w:val="24"/>
                <w:highlight w:val="none"/>
              </w:rPr>
              <w:t>根据噪声预测结果</w:t>
            </w:r>
            <w:r>
              <w:rPr>
                <w:rFonts w:hint="eastAsia"/>
                <w:color w:val="auto"/>
                <w:sz w:val="24"/>
                <w:highlight w:val="none"/>
              </w:rPr>
              <w:t>，</w:t>
            </w:r>
            <w:r>
              <w:rPr>
                <w:color w:val="auto"/>
                <w:sz w:val="24"/>
                <w:highlight w:val="none"/>
              </w:rPr>
              <w:t>项目</w:t>
            </w:r>
            <w:r>
              <w:rPr>
                <w:rFonts w:hint="eastAsia"/>
                <w:color w:val="auto"/>
                <w:sz w:val="24"/>
                <w:highlight w:val="none"/>
                <w:lang w:val="en-US" w:eastAsia="zh-CN"/>
              </w:rPr>
              <w:t>正常生产工况下</w:t>
            </w:r>
            <w:r>
              <w:rPr>
                <w:color w:val="auto"/>
                <w:sz w:val="24"/>
                <w:highlight w:val="none"/>
              </w:rPr>
              <w:t>噪声源对厂界</w:t>
            </w:r>
            <w:r>
              <w:rPr>
                <w:rFonts w:hint="eastAsia"/>
                <w:color w:val="auto"/>
                <w:sz w:val="24"/>
                <w:highlight w:val="none"/>
                <w:lang w:val="en-US" w:eastAsia="zh-CN"/>
              </w:rPr>
              <w:t>贡献值在31.32</w:t>
            </w:r>
            <w:r>
              <w:rPr>
                <w:rFonts w:hint="eastAsia"/>
                <w:color w:val="auto"/>
                <w:sz w:val="24"/>
                <w:highlight w:val="none"/>
              </w:rPr>
              <w:t>-4</w:t>
            </w:r>
            <w:r>
              <w:rPr>
                <w:rFonts w:hint="eastAsia"/>
                <w:color w:val="auto"/>
                <w:sz w:val="24"/>
                <w:highlight w:val="none"/>
                <w:lang w:val="en-US" w:eastAsia="zh-CN"/>
              </w:rPr>
              <w:t>0.64</w:t>
            </w:r>
            <w:r>
              <w:rPr>
                <w:color w:val="auto"/>
                <w:sz w:val="24"/>
                <w:highlight w:val="none"/>
              </w:rPr>
              <w:t>dB（A）</w:t>
            </w:r>
            <w:r>
              <w:rPr>
                <w:rFonts w:hint="eastAsia"/>
                <w:color w:val="auto"/>
                <w:sz w:val="24"/>
                <w:highlight w:val="none"/>
                <w:lang w:val="en-US" w:eastAsia="zh-CN"/>
              </w:rPr>
              <w:t>之间，叠加背景值后，</w:t>
            </w:r>
            <w:r>
              <w:rPr>
                <w:rFonts w:hint="eastAsia"/>
                <w:color w:val="auto"/>
                <w:sz w:val="24"/>
                <w:highlight w:val="none"/>
              </w:rPr>
              <w:t>预测</w:t>
            </w:r>
            <w:r>
              <w:rPr>
                <w:color w:val="auto"/>
                <w:sz w:val="24"/>
                <w:highlight w:val="none"/>
              </w:rPr>
              <w:t>值昼间为</w:t>
            </w:r>
            <w:r>
              <w:rPr>
                <w:rFonts w:hint="eastAsia"/>
                <w:color w:val="auto"/>
                <w:sz w:val="24"/>
                <w:highlight w:val="none"/>
                <w:lang w:val="en-US" w:eastAsia="zh-CN"/>
              </w:rPr>
              <w:t>56.81</w:t>
            </w:r>
            <w:r>
              <w:rPr>
                <w:rFonts w:hint="eastAsia"/>
                <w:color w:val="auto"/>
                <w:sz w:val="24"/>
                <w:highlight w:val="none"/>
              </w:rPr>
              <w:t>-</w:t>
            </w:r>
            <w:r>
              <w:rPr>
                <w:rFonts w:hint="eastAsia"/>
                <w:color w:val="auto"/>
                <w:sz w:val="24"/>
                <w:highlight w:val="none"/>
                <w:lang w:val="en-US" w:eastAsia="zh-CN"/>
              </w:rPr>
              <w:t>61.73</w:t>
            </w:r>
            <w:r>
              <w:rPr>
                <w:color w:val="auto"/>
                <w:sz w:val="24"/>
                <w:highlight w:val="none"/>
              </w:rPr>
              <w:t>dB（A）</w:t>
            </w:r>
            <w:r>
              <w:rPr>
                <w:color w:val="auto"/>
                <w:kern w:val="0"/>
                <w:sz w:val="24"/>
                <w:highlight w:val="none"/>
              </w:rPr>
              <w:t>，</w:t>
            </w:r>
            <w:r>
              <w:rPr>
                <w:rFonts w:hint="eastAsia"/>
                <w:color w:val="auto"/>
                <w:kern w:val="0"/>
                <w:sz w:val="24"/>
                <w:highlight w:val="none"/>
              </w:rPr>
              <w:t>夜间预测</w:t>
            </w:r>
            <w:r>
              <w:rPr>
                <w:color w:val="auto"/>
                <w:kern w:val="0"/>
                <w:sz w:val="24"/>
                <w:highlight w:val="none"/>
              </w:rPr>
              <w:t>值为</w:t>
            </w:r>
            <w:r>
              <w:rPr>
                <w:rFonts w:hint="eastAsia"/>
                <w:color w:val="auto"/>
                <w:sz w:val="24"/>
                <w:highlight w:val="none"/>
                <w:lang w:val="en-US" w:eastAsia="zh-CN"/>
              </w:rPr>
              <w:t>51.10</w:t>
            </w:r>
            <w:r>
              <w:rPr>
                <w:rFonts w:hint="eastAsia"/>
                <w:color w:val="auto"/>
                <w:sz w:val="24"/>
                <w:highlight w:val="none"/>
              </w:rPr>
              <w:t>-</w:t>
            </w:r>
            <w:r>
              <w:rPr>
                <w:rFonts w:hint="eastAsia"/>
                <w:color w:val="auto"/>
                <w:sz w:val="24"/>
                <w:highlight w:val="none"/>
                <w:lang w:val="en-US" w:eastAsia="zh-CN"/>
              </w:rPr>
              <w:t>52.83</w:t>
            </w:r>
            <w:r>
              <w:rPr>
                <w:color w:val="auto"/>
                <w:kern w:val="0"/>
                <w:sz w:val="24"/>
                <w:highlight w:val="none"/>
              </w:rPr>
              <w:t>dB（A）</w:t>
            </w:r>
            <w:r>
              <w:rPr>
                <w:color w:val="auto"/>
                <w:sz w:val="24"/>
                <w:highlight w:val="none"/>
              </w:rPr>
              <w:t>，通过采取基础减振、厂房隔声防治措施及距离衰减后，项目厂界噪声满足《工业企业厂界环境噪声排放标准》（GB12348-2008）中的</w:t>
            </w:r>
            <w:r>
              <w:rPr>
                <w:rFonts w:hint="eastAsia"/>
                <w:color w:val="auto"/>
                <w:sz w:val="24"/>
                <w:highlight w:val="none"/>
                <w:lang w:val="en-US" w:eastAsia="zh-CN"/>
              </w:rPr>
              <w:t>3</w:t>
            </w:r>
            <w:r>
              <w:rPr>
                <w:color w:val="auto"/>
                <w:sz w:val="24"/>
                <w:highlight w:val="none"/>
              </w:rPr>
              <w:t>类标准</w:t>
            </w:r>
            <w:r>
              <w:rPr>
                <w:rFonts w:hint="eastAsia"/>
                <w:color w:val="auto"/>
                <w:kern w:val="0"/>
                <w:sz w:val="24"/>
                <w:highlight w:val="none"/>
              </w:rPr>
              <w:t>。</w:t>
            </w:r>
          </w:p>
          <w:p w14:paraId="4B53CFA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②非正常工况</w:t>
            </w:r>
          </w:p>
          <w:p w14:paraId="64A9257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根据预测模式及噪声源强参数，</w:t>
            </w:r>
            <w:r>
              <w:rPr>
                <w:rFonts w:hint="eastAsia" w:ascii="Times New Roman" w:hAnsi="Times New Roman" w:eastAsia="宋体" w:cs="Times New Roman"/>
                <w:color w:val="auto"/>
                <w:sz w:val="24"/>
                <w:szCs w:val="24"/>
                <w:highlight w:val="none"/>
                <w:lang w:val="en-US" w:eastAsia="zh-CN"/>
              </w:rPr>
              <w:t>该工况下</w:t>
            </w:r>
            <w:r>
              <w:rPr>
                <w:rFonts w:hint="eastAsia"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噪声源对厂界四周的影响，具体结果见</w:t>
            </w:r>
            <w:r>
              <w:rPr>
                <w:rFonts w:hint="eastAsia" w:eastAsia="宋体" w:cs="Times New Roman"/>
                <w:color w:val="auto"/>
                <w:sz w:val="24"/>
                <w:szCs w:val="24"/>
                <w:highlight w:val="none"/>
                <w:lang w:val="en-US" w:eastAsia="zh-CN"/>
              </w:rPr>
              <w:t>下图和下表</w:t>
            </w:r>
            <w:r>
              <w:rPr>
                <w:rFonts w:hint="default" w:ascii="Times New Roman" w:hAnsi="Times New Roman" w:eastAsia="宋体" w:cs="Times New Roman"/>
                <w:color w:val="auto"/>
                <w:sz w:val="24"/>
                <w:szCs w:val="24"/>
                <w:highlight w:val="none"/>
              </w:rPr>
              <w:t>。</w:t>
            </w:r>
          </w:p>
          <w:p w14:paraId="16A011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rPr>
                <w:rFonts w:hint="default" w:ascii="Times New Roman" w:hAnsi="Times New Roman" w:eastAsia="宋体" w:cs="Times New Roman"/>
                <w:color w:val="auto"/>
                <w:sz w:val="24"/>
                <w:szCs w:val="24"/>
                <w:highlight w:val="none"/>
              </w:rPr>
            </w:pPr>
            <w:r>
              <w:rPr>
                <w:color w:val="auto"/>
              </w:rPr>
              <w:drawing>
                <wp:anchor distT="0" distB="0" distL="114300" distR="114300" simplePos="0" relativeHeight="251722752" behindDoc="1" locked="0" layoutInCell="1" allowOverlap="1">
                  <wp:simplePos x="0" y="0"/>
                  <wp:positionH relativeFrom="column">
                    <wp:posOffset>527050</wp:posOffset>
                  </wp:positionH>
                  <wp:positionV relativeFrom="paragraph">
                    <wp:posOffset>16510</wp:posOffset>
                  </wp:positionV>
                  <wp:extent cx="4394200" cy="3302000"/>
                  <wp:effectExtent l="0" t="0" r="6350" b="12700"/>
                  <wp:wrapNone/>
                  <wp:docPr id="15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7"/>
                          <pic:cNvPicPr>
                            <a:picLocks noChangeAspect="1"/>
                          </pic:cNvPicPr>
                        </pic:nvPicPr>
                        <pic:blipFill>
                          <a:blip r:embed="rId41"/>
                          <a:stretch>
                            <a:fillRect/>
                          </a:stretch>
                        </pic:blipFill>
                        <pic:spPr>
                          <a:xfrm>
                            <a:off x="0" y="0"/>
                            <a:ext cx="4394200" cy="3302000"/>
                          </a:xfrm>
                          <a:prstGeom prst="rect">
                            <a:avLst/>
                          </a:prstGeom>
                          <a:noFill/>
                          <a:ln>
                            <a:noFill/>
                          </a:ln>
                        </pic:spPr>
                      </pic:pic>
                    </a:graphicData>
                  </a:graphic>
                </wp:anchor>
              </w:drawing>
            </w:r>
          </w:p>
          <w:p w14:paraId="0AC5B25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0197618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6559B1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6DC8C8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348F5FE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33E9480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124D705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03A92B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4A83EE75">
            <w:pPr>
              <w:jc w:val="center"/>
              <w:rPr>
                <w:rFonts w:hint="eastAsia" w:ascii="Times New Roman" w:hAnsi="Times New Roman" w:eastAsia="宋体" w:cs="Times New Roman"/>
                <w:b/>
                <w:bCs/>
                <w:color w:val="auto"/>
                <w:sz w:val="24"/>
                <w:lang w:val="en-US" w:eastAsia="zh-CN"/>
              </w:rPr>
            </w:pPr>
          </w:p>
          <w:p w14:paraId="30ACE101">
            <w:pPr>
              <w:jc w:val="center"/>
              <w:rPr>
                <w:rFonts w:hint="eastAsia" w:ascii="Times New Roman" w:hAnsi="Times New Roman" w:eastAsia="宋体" w:cs="Times New Roman"/>
                <w:b/>
                <w:bCs/>
                <w:color w:val="auto"/>
                <w:sz w:val="24"/>
                <w:lang w:val="en-US" w:eastAsia="zh-CN"/>
              </w:rPr>
            </w:pPr>
          </w:p>
          <w:p w14:paraId="0168D789">
            <w:pPr>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图4-3  非正常工况噪声预测等值线分布图</w:t>
            </w:r>
          </w:p>
          <w:p w14:paraId="26246E1B">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r>
              <w:rPr>
                <w:rFonts w:hint="eastAsia" w:ascii="Times New Roman" w:hAnsi="Times New Roman" w:eastAsia="宋体" w:cs="Times New Roman"/>
                <w:b/>
                <w:snapToGrid w:val="0"/>
                <w:color w:val="auto"/>
                <w:kern w:val="2"/>
                <w:sz w:val="24"/>
                <w:szCs w:val="24"/>
                <w:highlight w:val="none"/>
                <w:lang w:val="en-US" w:eastAsia="zh-CN" w:bidi="ar-SA"/>
              </w:rPr>
              <w:t>表4-</w:t>
            </w:r>
            <w:r>
              <w:rPr>
                <w:rFonts w:hint="eastAsia" w:cs="Times New Roman"/>
                <w:b/>
                <w:snapToGrid w:val="0"/>
                <w:color w:val="auto"/>
                <w:kern w:val="2"/>
                <w:sz w:val="24"/>
                <w:szCs w:val="24"/>
                <w:highlight w:val="none"/>
                <w:lang w:val="en-US" w:eastAsia="zh-CN" w:bidi="ar-SA"/>
              </w:rPr>
              <w:t>9</w:t>
            </w:r>
            <w:r>
              <w:rPr>
                <w:rFonts w:hint="eastAsia" w:ascii="Times New Roman" w:hAnsi="Times New Roman" w:eastAsia="宋体" w:cs="Times New Roman"/>
                <w:b/>
                <w:snapToGrid w:val="0"/>
                <w:color w:val="auto"/>
                <w:kern w:val="2"/>
                <w:sz w:val="24"/>
                <w:szCs w:val="24"/>
                <w:highlight w:val="none"/>
                <w:lang w:val="en-US" w:eastAsia="zh-CN" w:bidi="ar-SA"/>
              </w:rPr>
              <w:t xml:space="preserve">  项目</w:t>
            </w:r>
            <w:r>
              <w:rPr>
                <w:rFonts w:hint="eastAsia" w:cs="Times New Roman"/>
                <w:b/>
                <w:snapToGrid w:val="0"/>
                <w:color w:val="auto"/>
                <w:kern w:val="2"/>
                <w:sz w:val="24"/>
                <w:szCs w:val="24"/>
                <w:highlight w:val="none"/>
                <w:lang w:val="en-US" w:eastAsia="zh-CN" w:bidi="ar-SA"/>
              </w:rPr>
              <w:t>非正常工况</w:t>
            </w:r>
            <w:r>
              <w:rPr>
                <w:rFonts w:hint="eastAsia" w:ascii="Times New Roman" w:hAnsi="Times New Roman" w:eastAsia="宋体" w:cs="Times New Roman"/>
                <w:b/>
                <w:snapToGrid w:val="0"/>
                <w:color w:val="auto"/>
                <w:kern w:val="2"/>
                <w:sz w:val="24"/>
                <w:szCs w:val="24"/>
                <w:highlight w:val="none"/>
                <w:lang w:val="en-US" w:eastAsia="zh-CN" w:bidi="ar-SA"/>
              </w:rPr>
              <w:t>厂界噪声预测结果一览表  单位：dB（A）</w:t>
            </w:r>
          </w:p>
          <w:tbl>
            <w:tblPr>
              <w:tblStyle w:val="36"/>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3"/>
              <w:gridCol w:w="645"/>
              <w:gridCol w:w="719"/>
              <w:gridCol w:w="707"/>
              <w:gridCol w:w="707"/>
              <w:gridCol w:w="818"/>
              <w:gridCol w:w="834"/>
              <w:gridCol w:w="793"/>
              <w:gridCol w:w="734"/>
              <w:gridCol w:w="1047"/>
            </w:tblGrid>
            <w:tr w14:paraId="28B6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restart"/>
                  <w:noWrap w:val="0"/>
                  <w:vAlign w:val="center"/>
                </w:tcPr>
                <w:p w14:paraId="2E6EDDF5">
                  <w:pPr>
                    <w:autoSpaceDE w:val="0"/>
                    <w:autoSpaceDN w:val="0"/>
                    <w:adjustRightInd w:val="0"/>
                    <w:jc w:val="center"/>
                    <w:rPr>
                      <w:color w:val="auto"/>
                      <w:szCs w:val="21"/>
                      <w:highlight w:val="none"/>
                    </w:rPr>
                  </w:pPr>
                  <w:r>
                    <w:rPr>
                      <w:color w:val="auto"/>
                      <w:szCs w:val="21"/>
                      <w:highlight w:val="none"/>
                    </w:rPr>
                    <w:t>名称</w:t>
                  </w:r>
                </w:p>
              </w:tc>
              <w:tc>
                <w:tcPr>
                  <w:tcW w:w="793" w:type="pct"/>
                  <w:gridSpan w:val="2"/>
                  <w:noWrap w:val="0"/>
                  <w:vAlign w:val="center"/>
                </w:tcPr>
                <w:p w14:paraId="4E4FA5B6">
                  <w:pPr>
                    <w:autoSpaceDE w:val="0"/>
                    <w:autoSpaceDN w:val="0"/>
                    <w:adjustRightInd w:val="0"/>
                    <w:jc w:val="center"/>
                    <w:rPr>
                      <w:color w:val="auto"/>
                      <w:szCs w:val="21"/>
                      <w:highlight w:val="none"/>
                    </w:rPr>
                  </w:pPr>
                  <w:r>
                    <w:rPr>
                      <w:rFonts w:hint="eastAsia"/>
                      <w:color w:val="auto"/>
                      <w:szCs w:val="21"/>
                      <w:highlight w:val="none"/>
                    </w:rPr>
                    <w:t>背景</w:t>
                  </w:r>
                  <w:r>
                    <w:rPr>
                      <w:color w:val="auto"/>
                      <w:szCs w:val="21"/>
                      <w:highlight w:val="none"/>
                    </w:rPr>
                    <w:t>值</w:t>
                  </w:r>
                </w:p>
              </w:tc>
              <w:tc>
                <w:tcPr>
                  <w:tcW w:w="822" w:type="pct"/>
                  <w:gridSpan w:val="2"/>
                  <w:noWrap w:val="0"/>
                  <w:vAlign w:val="center"/>
                </w:tcPr>
                <w:p w14:paraId="771365D7">
                  <w:pPr>
                    <w:autoSpaceDE w:val="0"/>
                    <w:autoSpaceDN w:val="0"/>
                    <w:adjustRightInd w:val="0"/>
                    <w:jc w:val="center"/>
                    <w:rPr>
                      <w:rFonts w:hint="eastAsia" w:eastAsia="宋体"/>
                      <w:color w:val="auto"/>
                      <w:szCs w:val="21"/>
                      <w:highlight w:val="none"/>
                      <w:lang w:val="en-US" w:eastAsia="zh-CN"/>
                    </w:rPr>
                  </w:pPr>
                  <w:r>
                    <w:rPr>
                      <w:rFonts w:hint="eastAsia"/>
                      <w:color w:val="auto"/>
                      <w:szCs w:val="21"/>
                      <w:highlight w:val="none"/>
                      <w:lang w:val="en-US" w:eastAsia="zh-CN"/>
                    </w:rPr>
                    <w:t>贡献值</w:t>
                  </w:r>
                </w:p>
              </w:tc>
              <w:tc>
                <w:tcPr>
                  <w:tcW w:w="961" w:type="pct"/>
                  <w:gridSpan w:val="2"/>
                  <w:noWrap w:val="0"/>
                  <w:vAlign w:val="center"/>
                </w:tcPr>
                <w:p w14:paraId="4039C537">
                  <w:pPr>
                    <w:autoSpaceDE w:val="0"/>
                    <w:autoSpaceDN w:val="0"/>
                    <w:adjustRightInd w:val="0"/>
                    <w:jc w:val="center"/>
                    <w:rPr>
                      <w:color w:val="auto"/>
                      <w:szCs w:val="21"/>
                      <w:highlight w:val="none"/>
                    </w:rPr>
                  </w:pPr>
                  <w:r>
                    <w:rPr>
                      <w:color w:val="auto"/>
                      <w:szCs w:val="21"/>
                      <w:highlight w:val="none"/>
                    </w:rPr>
                    <w:t>预测值</w:t>
                  </w:r>
                </w:p>
              </w:tc>
              <w:tc>
                <w:tcPr>
                  <w:tcW w:w="888" w:type="pct"/>
                  <w:gridSpan w:val="2"/>
                  <w:noWrap w:val="0"/>
                  <w:vAlign w:val="center"/>
                </w:tcPr>
                <w:p w14:paraId="48AF3516">
                  <w:pPr>
                    <w:autoSpaceDE w:val="0"/>
                    <w:autoSpaceDN w:val="0"/>
                    <w:adjustRightInd w:val="0"/>
                    <w:jc w:val="center"/>
                    <w:rPr>
                      <w:color w:val="auto"/>
                      <w:szCs w:val="21"/>
                      <w:highlight w:val="none"/>
                    </w:rPr>
                  </w:pPr>
                  <w:r>
                    <w:rPr>
                      <w:color w:val="auto"/>
                      <w:szCs w:val="21"/>
                      <w:highlight w:val="none"/>
                    </w:rPr>
                    <w:t>标准值</w:t>
                  </w:r>
                </w:p>
              </w:tc>
              <w:tc>
                <w:tcPr>
                  <w:tcW w:w="606" w:type="pct"/>
                  <w:vMerge w:val="restart"/>
                  <w:noWrap w:val="0"/>
                  <w:vAlign w:val="center"/>
                </w:tcPr>
                <w:p w14:paraId="6C96ADDD">
                  <w:pPr>
                    <w:autoSpaceDE w:val="0"/>
                    <w:autoSpaceDN w:val="0"/>
                    <w:adjustRightInd w:val="0"/>
                    <w:jc w:val="center"/>
                    <w:rPr>
                      <w:color w:val="auto"/>
                      <w:szCs w:val="21"/>
                      <w:highlight w:val="none"/>
                    </w:rPr>
                  </w:pPr>
                  <w:r>
                    <w:rPr>
                      <w:color w:val="auto"/>
                      <w:szCs w:val="21"/>
                      <w:highlight w:val="none"/>
                    </w:rPr>
                    <w:t>达标分析</w:t>
                  </w:r>
                </w:p>
              </w:tc>
            </w:tr>
            <w:tr w14:paraId="4040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continue"/>
                  <w:noWrap w:val="0"/>
                  <w:vAlign w:val="center"/>
                </w:tcPr>
                <w:p w14:paraId="1B9F2823">
                  <w:pPr>
                    <w:autoSpaceDE w:val="0"/>
                    <w:autoSpaceDN w:val="0"/>
                    <w:adjustRightInd w:val="0"/>
                    <w:jc w:val="center"/>
                    <w:rPr>
                      <w:color w:val="auto"/>
                      <w:szCs w:val="21"/>
                      <w:highlight w:val="none"/>
                    </w:rPr>
                  </w:pPr>
                </w:p>
              </w:tc>
              <w:tc>
                <w:tcPr>
                  <w:tcW w:w="375" w:type="pct"/>
                  <w:noWrap w:val="0"/>
                  <w:vAlign w:val="center"/>
                </w:tcPr>
                <w:p w14:paraId="46DC490A">
                  <w:pPr>
                    <w:adjustRightInd w:val="0"/>
                    <w:snapToGrid w:val="0"/>
                    <w:jc w:val="center"/>
                    <w:rPr>
                      <w:color w:val="auto"/>
                      <w:highlight w:val="none"/>
                    </w:rPr>
                  </w:pPr>
                  <w:r>
                    <w:rPr>
                      <w:color w:val="auto"/>
                      <w:highlight w:val="none"/>
                    </w:rPr>
                    <w:t>昼间</w:t>
                  </w:r>
                </w:p>
              </w:tc>
              <w:tc>
                <w:tcPr>
                  <w:tcW w:w="418" w:type="pct"/>
                  <w:noWrap w:val="0"/>
                  <w:vAlign w:val="center"/>
                </w:tcPr>
                <w:p w14:paraId="0AD27B1A">
                  <w:pPr>
                    <w:adjustRightInd w:val="0"/>
                    <w:snapToGrid w:val="0"/>
                    <w:jc w:val="center"/>
                    <w:rPr>
                      <w:color w:val="auto"/>
                      <w:highlight w:val="none"/>
                    </w:rPr>
                  </w:pPr>
                  <w:r>
                    <w:rPr>
                      <w:color w:val="auto"/>
                      <w:highlight w:val="none"/>
                    </w:rPr>
                    <w:t>夜间</w:t>
                  </w:r>
                </w:p>
              </w:tc>
              <w:tc>
                <w:tcPr>
                  <w:tcW w:w="411" w:type="pct"/>
                  <w:noWrap w:val="0"/>
                  <w:vAlign w:val="center"/>
                </w:tcPr>
                <w:p w14:paraId="125DD8BF">
                  <w:pPr>
                    <w:adjustRightInd w:val="0"/>
                    <w:snapToGrid w:val="0"/>
                    <w:jc w:val="center"/>
                    <w:rPr>
                      <w:color w:val="auto"/>
                      <w:highlight w:val="none"/>
                    </w:rPr>
                  </w:pPr>
                  <w:r>
                    <w:rPr>
                      <w:color w:val="auto"/>
                      <w:highlight w:val="none"/>
                    </w:rPr>
                    <w:t>昼间</w:t>
                  </w:r>
                </w:p>
              </w:tc>
              <w:tc>
                <w:tcPr>
                  <w:tcW w:w="411" w:type="pct"/>
                  <w:noWrap w:val="0"/>
                  <w:vAlign w:val="center"/>
                </w:tcPr>
                <w:p w14:paraId="4BFFD9E7">
                  <w:pPr>
                    <w:adjustRightInd w:val="0"/>
                    <w:snapToGrid w:val="0"/>
                    <w:jc w:val="center"/>
                    <w:rPr>
                      <w:color w:val="auto"/>
                      <w:highlight w:val="none"/>
                    </w:rPr>
                  </w:pPr>
                  <w:r>
                    <w:rPr>
                      <w:color w:val="auto"/>
                      <w:highlight w:val="none"/>
                    </w:rPr>
                    <w:t>夜间</w:t>
                  </w:r>
                </w:p>
              </w:tc>
              <w:tc>
                <w:tcPr>
                  <w:tcW w:w="476" w:type="pct"/>
                  <w:noWrap w:val="0"/>
                  <w:vAlign w:val="center"/>
                </w:tcPr>
                <w:p w14:paraId="4A99B5F0">
                  <w:pPr>
                    <w:adjustRightInd w:val="0"/>
                    <w:snapToGrid w:val="0"/>
                    <w:jc w:val="center"/>
                    <w:rPr>
                      <w:color w:val="auto"/>
                      <w:highlight w:val="none"/>
                    </w:rPr>
                  </w:pPr>
                  <w:r>
                    <w:rPr>
                      <w:color w:val="auto"/>
                      <w:highlight w:val="none"/>
                    </w:rPr>
                    <w:t>昼间</w:t>
                  </w:r>
                </w:p>
              </w:tc>
              <w:tc>
                <w:tcPr>
                  <w:tcW w:w="485" w:type="pct"/>
                  <w:noWrap w:val="0"/>
                  <w:vAlign w:val="center"/>
                </w:tcPr>
                <w:p w14:paraId="11708811">
                  <w:pPr>
                    <w:adjustRightInd w:val="0"/>
                    <w:snapToGrid w:val="0"/>
                    <w:jc w:val="center"/>
                    <w:rPr>
                      <w:color w:val="auto"/>
                      <w:highlight w:val="none"/>
                    </w:rPr>
                  </w:pPr>
                  <w:r>
                    <w:rPr>
                      <w:color w:val="auto"/>
                      <w:highlight w:val="none"/>
                    </w:rPr>
                    <w:t>夜间</w:t>
                  </w:r>
                </w:p>
              </w:tc>
              <w:tc>
                <w:tcPr>
                  <w:tcW w:w="461" w:type="pct"/>
                  <w:noWrap w:val="0"/>
                  <w:vAlign w:val="center"/>
                </w:tcPr>
                <w:p w14:paraId="34A2CDAF">
                  <w:pPr>
                    <w:adjustRightInd w:val="0"/>
                    <w:snapToGrid w:val="0"/>
                    <w:jc w:val="center"/>
                    <w:rPr>
                      <w:color w:val="auto"/>
                      <w:highlight w:val="none"/>
                    </w:rPr>
                  </w:pPr>
                  <w:r>
                    <w:rPr>
                      <w:color w:val="auto"/>
                      <w:highlight w:val="none"/>
                    </w:rPr>
                    <w:t>昼间</w:t>
                  </w:r>
                </w:p>
              </w:tc>
              <w:tc>
                <w:tcPr>
                  <w:tcW w:w="427" w:type="pct"/>
                  <w:noWrap w:val="0"/>
                  <w:vAlign w:val="center"/>
                </w:tcPr>
                <w:p w14:paraId="7B1AB2BE">
                  <w:pPr>
                    <w:adjustRightInd w:val="0"/>
                    <w:snapToGrid w:val="0"/>
                    <w:jc w:val="center"/>
                    <w:rPr>
                      <w:color w:val="auto"/>
                      <w:highlight w:val="none"/>
                    </w:rPr>
                  </w:pPr>
                  <w:r>
                    <w:rPr>
                      <w:color w:val="auto"/>
                      <w:highlight w:val="none"/>
                    </w:rPr>
                    <w:t>夜间</w:t>
                  </w:r>
                </w:p>
              </w:tc>
              <w:tc>
                <w:tcPr>
                  <w:tcW w:w="606" w:type="pct"/>
                  <w:vMerge w:val="continue"/>
                  <w:noWrap w:val="0"/>
                  <w:vAlign w:val="center"/>
                </w:tcPr>
                <w:p w14:paraId="6C104AEA">
                  <w:pPr>
                    <w:autoSpaceDE w:val="0"/>
                    <w:autoSpaceDN w:val="0"/>
                    <w:adjustRightInd w:val="0"/>
                    <w:jc w:val="center"/>
                    <w:rPr>
                      <w:color w:val="auto"/>
                      <w:szCs w:val="21"/>
                      <w:highlight w:val="none"/>
                    </w:rPr>
                  </w:pPr>
                </w:p>
              </w:tc>
            </w:tr>
            <w:tr w14:paraId="24D3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hRule="atLeast"/>
                <w:jc w:val="center"/>
              </w:trPr>
              <w:tc>
                <w:tcPr>
                  <w:tcW w:w="927" w:type="pct"/>
                  <w:noWrap w:val="0"/>
                  <w:vAlign w:val="center"/>
                </w:tcPr>
                <w:p w14:paraId="2DA4A633">
                  <w:pPr>
                    <w:autoSpaceDE w:val="0"/>
                    <w:autoSpaceDN w:val="0"/>
                    <w:adjustRightInd w:val="0"/>
                    <w:jc w:val="center"/>
                    <w:rPr>
                      <w:color w:val="auto"/>
                      <w:szCs w:val="21"/>
                      <w:highlight w:val="none"/>
                    </w:rPr>
                  </w:pPr>
                  <w:r>
                    <w:rPr>
                      <w:color w:val="auto"/>
                      <w:szCs w:val="21"/>
                      <w:highlight w:val="none"/>
                    </w:rPr>
                    <w:t>东厂界</w:t>
                  </w:r>
                </w:p>
              </w:tc>
              <w:tc>
                <w:tcPr>
                  <w:tcW w:w="375" w:type="pct"/>
                  <w:noWrap w:val="0"/>
                  <w:vAlign w:val="center"/>
                </w:tcPr>
                <w:p w14:paraId="45493E03">
                  <w:pPr>
                    <w:autoSpaceDE w:val="0"/>
                    <w:autoSpaceDN w:val="0"/>
                    <w:adjustRightInd w:val="0"/>
                    <w:jc w:val="center"/>
                    <w:rPr>
                      <w:color w:val="auto"/>
                      <w:szCs w:val="21"/>
                      <w:highlight w:val="none"/>
                    </w:rPr>
                  </w:pPr>
                  <w:r>
                    <w:rPr>
                      <w:rFonts w:hint="eastAsia"/>
                      <w:color w:val="auto"/>
                      <w:szCs w:val="21"/>
                      <w:highlight w:val="none"/>
                      <w:lang w:val="en-US" w:eastAsia="zh-CN"/>
                    </w:rPr>
                    <w:t>56.7</w:t>
                  </w:r>
                </w:p>
              </w:tc>
              <w:tc>
                <w:tcPr>
                  <w:tcW w:w="418" w:type="pct"/>
                  <w:noWrap w:val="0"/>
                  <w:vAlign w:val="center"/>
                </w:tcPr>
                <w:p w14:paraId="33ACD417">
                  <w:pPr>
                    <w:autoSpaceDE w:val="0"/>
                    <w:autoSpaceDN w:val="0"/>
                    <w:adjustRightInd w:val="0"/>
                    <w:jc w:val="center"/>
                    <w:rPr>
                      <w:color w:val="auto"/>
                      <w:szCs w:val="21"/>
                      <w:highlight w:val="none"/>
                    </w:rPr>
                  </w:pPr>
                  <w:r>
                    <w:rPr>
                      <w:rFonts w:hint="eastAsia"/>
                      <w:color w:val="auto"/>
                      <w:szCs w:val="21"/>
                      <w:highlight w:val="none"/>
                      <w:lang w:val="en-US" w:eastAsia="zh-CN"/>
                    </w:rPr>
                    <w:t>51.6</w:t>
                  </w:r>
                </w:p>
              </w:tc>
              <w:tc>
                <w:tcPr>
                  <w:tcW w:w="411" w:type="pct"/>
                  <w:noWrap w:val="0"/>
                  <w:vAlign w:val="center"/>
                </w:tcPr>
                <w:p w14:paraId="505014E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42.28</w:t>
                  </w:r>
                </w:p>
              </w:tc>
              <w:tc>
                <w:tcPr>
                  <w:tcW w:w="707" w:type="dxa"/>
                  <w:noWrap w:val="0"/>
                  <w:vAlign w:val="center"/>
                </w:tcPr>
                <w:p w14:paraId="66DCAA71">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42.28</w:t>
                  </w:r>
                </w:p>
              </w:tc>
              <w:tc>
                <w:tcPr>
                  <w:tcW w:w="476" w:type="pct"/>
                  <w:noWrap w:val="0"/>
                  <w:vAlign w:val="center"/>
                </w:tcPr>
                <w:p w14:paraId="1289DECE">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56.85</w:t>
                  </w:r>
                </w:p>
              </w:tc>
              <w:tc>
                <w:tcPr>
                  <w:tcW w:w="485" w:type="pct"/>
                  <w:noWrap w:val="0"/>
                  <w:vAlign w:val="center"/>
                </w:tcPr>
                <w:p w14:paraId="09592D5B">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52.08</w:t>
                  </w:r>
                </w:p>
              </w:tc>
              <w:tc>
                <w:tcPr>
                  <w:tcW w:w="461" w:type="pct"/>
                  <w:noWrap w:val="0"/>
                  <w:vAlign w:val="center"/>
                </w:tcPr>
                <w:p w14:paraId="4F7A6796">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427" w:type="pct"/>
                  <w:noWrap w:val="0"/>
                  <w:vAlign w:val="center"/>
                </w:tcPr>
                <w:p w14:paraId="63F7A577">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606" w:type="pct"/>
                  <w:noWrap w:val="0"/>
                  <w:vAlign w:val="center"/>
                </w:tcPr>
                <w:p w14:paraId="15F4CD72">
                  <w:pPr>
                    <w:autoSpaceDE w:val="0"/>
                    <w:autoSpaceDN w:val="0"/>
                    <w:adjustRightInd w:val="0"/>
                    <w:jc w:val="center"/>
                    <w:rPr>
                      <w:color w:val="auto"/>
                      <w:szCs w:val="21"/>
                      <w:highlight w:val="none"/>
                    </w:rPr>
                  </w:pPr>
                  <w:r>
                    <w:rPr>
                      <w:color w:val="auto"/>
                      <w:szCs w:val="21"/>
                      <w:highlight w:val="none"/>
                    </w:rPr>
                    <w:t>达标</w:t>
                  </w:r>
                </w:p>
              </w:tc>
            </w:tr>
            <w:tr w14:paraId="324D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069833EC">
                  <w:pPr>
                    <w:autoSpaceDE w:val="0"/>
                    <w:autoSpaceDN w:val="0"/>
                    <w:adjustRightInd w:val="0"/>
                    <w:jc w:val="center"/>
                    <w:rPr>
                      <w:color w:val="auto"/>
                      <w:szCs w:val="21"/>
                      <w:highlight w:val="none"/>
                    </w:rPr>
                  </w:pPr>
                  <w:r>
                    <w:rPr>
                      <w:color w:val="auto"/>
                      <w:szCs w:val="21"/>
                      <w:highlight w:val="none"/>
                    </w:rPr>
                    <w:t>南厂界</w:t>
                  </w:r>
                </w:p>
              </w:tc>
              <w:tc>
                <w:tcPr>
                  <w:tcW w:w="375" w:type="pct"/>
                  <w:noWrap w:val="0"/>
                  <w:vAlign w:val="center"/>
                </w:tcPr>
                <w:p w14:paraId="50FF47E3">
                  <w:pPr>
                    <w:autoSpaceDE w:val="0"/>
                    <w:autoSpaceDN w:val="0"/>
                    <w:adjustRightInd w:val="0"/>
                    <w:jc w:val="center"/>
                    <w:rPr>
                      <w:color w:val="auto"/>
                      <w:szCs w:val="21"/>
                      <w:highlight w:val="none"/>
                    </w:rPr>
                  </w:pPr>
                  <w:r>
                    <w:rPr>
                      <w:rFonts w:hint="eastAsia"/>
                      <w:color w:val="auto"/>
                      <w:szCs w:val="21"/>
                      <w:highlight w:val="none"/>
                      <w:lang w:val="en-US" w:eastAsia="zh-CN"/>
                    </w:rPr>
                    <w:t>58.6</w:t>
                  </w:r>
                </w:p>
              </w:tc>
              <w:tc>
                <w:tcPr>
                  <w:tcW w:w="418" w:type="pct"/>
                  <w:noWrap w:val="0"/>
                  <w:vAlign w:val="center"/>
                </w:tcPr>
                <w:p w14:paraId="4E9C8BA8">
                  <w:pPr>
                    <w:autoSpaceDE w:val="0"/>
                    <w:autoSpaceDN w:val="0"/>
                    <w:adjustRightInd w:val="0"/>
                    <w:jc w:val="center"/>
                    <w:rPr>
                      <w:color w:val="auto"/>
                      <w:szCs w:val="21"/>
                      <w:highlight w:val="none"/>
                    </w:rPr>
                  </w:pPr>
                  <w:r>
                    <w:rPr>
                      <w:rFonts w:hint="eastAsia"/>
                      <w:color w:val="auto"/>
                      <w:szCs w:val="21"/>
                      <w:highlight w:val="none"/>
                      <w:lang w:val="en-US" w:eastAsia="zh-CN"/>
                    </w:rPr>
                    <w:t>52.8</w:t>
                  </w:r>
                </w:p>
              </w:tc>
              <w:tc>
                <w:tcPr>
                  <w:tcW w:w="411" w:type="pct"/>
                  <w:noWrap w:val="0"/>
                  <w:vAlign w:val="center"/>
                </w:tcPr>
                <w:p w14:paraId="430E4B0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35.14</w:t>
                  </w:r>
                </w:p>
              </w:tc>
              <w:tc>
                <w:tcPr>
                  <w:tcW w:w="707" w:type="dxa"/>
                  <w:noWrap w:val="0"/>
                  <w:vAlign w:val="center"/>
                </w:tcPr>
                <w:p w14:paraId="6E279518">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35.14</w:t>
                  </w:r>
                </w:p>
              </w:tc>
              <w:tc>
                <w:tcPr>
                  <w:tcW w:w="476" w:type="pct"/>
                  <w:noWrap w:val="0"/>
                  <w:vAlign w:val="center"/>
                </w:tcPr>
                <w:p w14:paraId="52A39F88">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58.62</w:t>
                  </w:r>
                </w:p>
              </w:tc>
              <w:tc>
                <w:tcPr>
                  <w:tcW w:w="485" w:type="pct"/>
                  <w:noWrap w:val="0"/>
                  <w:vAlign w:val="center"/>
                </w:tcPr>
                <w:p w14:paraId="6B978F4D">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52.87</w:t>
                  </w:r>
                </w:p>
              </w:tc>
              <w:tc>
                <w:tcPr>
                  <w:tcW w:w="461" w:type="pct"/>
                  <w:noWrap w:val="0"/>
                  <w:vAlign w:val="center"/>
                </w:tcPr>
                <w:p w14:paraId="1F19BE1A">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3F77C45D">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323EFEBB">
                  <w:pPr>
                    <w:autoSpaceDE w:val="0"/>
                    <w:autoSpaceDN w:val="0"/>
                    <w:adjustRightInd w:val="0"/>
                    <w:jc w:val="center"/>
                    <w:rPr>
                      <w:color w:val="auto"/>
                      <w:szCs w:val="21"/>
                      <w:highlight w:val="none"/>
                    </w:rPr>
                  </w:pPr>
                  <w:r>
                    <w:rPr>
                      <w:color w:val="auto"/>
                      <w:szCs w:val="21"/>
                      <w:highlight w:val="none"/>
                    </w:rPr>
                    <w:t>达标</w:t>
                  </w:r>
                </w:p>
              </w:tc>
            </w:tr>
            <w:tr w14:paraId="3959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7" w:type="pct"/>
                  <w:noWrap w:val="0"/>
                  <w:vAlign w:val="center"/>
                </w:tcPr>
                <w:p w14:paraId="1B828CA5">
                  <w:pPr>
                    <w:autoSpaceDE w:val="0"/>
                    <w:autoSpaceDN w:val="0"/>
                    <w:adjustRightInd w:val="0"/>
                    <w:jc w:val="center"/>
                    <w:rPr>
                      <w:color w:val="auto"/>
                      <w:szCs w:val="21"/>
                      <w:highlight w:val="none"/>
                    </w:rPr>
                  </w:pPr>
                  <w:r>
                    <w:rPr>
                      <w:rFonts w:hint="eastAsia"/>
                      <w:color w:val="auto"/>
                      <w:szCs w:val="21"/>
                      <w:highlight w:val="none"/>
                    </w:rPr>
                    <w:t>西</w:t>
                  </w:r>
                  <w:r>
                    <w:rPr>
                      <w:color w:val="auto"/>
                      <w:szCs w:val="21"/>
                      <w:highlight w:val="none"/>
                    </w:rPr>
                    <w:t>厂界</w:t>
                  </w:r>
                </w:p>
              </w:tc>
              <w:tc>
                <w:tcPr>
                  <w:tcW w:w="375" w:type="pct"/>
                  <w:noWrap w:val="0"/>
                  <w:vAlign w:val="center"/>
                </w:tcPr>
                <w:p w14:paraId="5594C4B7">
                  <w:pPr>
                    <w:autoSpaceDE w:val="0"/>
                    <w:autoSpaceDN w:val="0"/>
                    <w:adjustRightInd w:val="0"/>
                    <w:jc w:val="center"/>
                    <w:rPr>
                      <w:color w:val="auto"/>
                      <w:szCs w:val="21"/>
                      <w:highlight w:val="none"/>
                    </w:rPr>
                  </w:pPr>
                  <w:r>
                    <w:rPr>
                      <w:rFonts w:hint="eastAsia"/>
                      <w:color w:val="auto"/>
                      <w:szCs w:val="21"/>
                      <w:highlight w:val="none"/>
                      <w:lang w:val="en-US" w:eastAsia="zh-CN"/>
                    </w:rPr>
                    <w:t>58.0</w:t>
                  </w:r>
                </w:p>
              </w:tc>
              <w:tc>
                <w:tcPr>
                  <w:tcW w:w="418" w:type="pct"/>
                  <w:noWrap w:val="0"/>
                  <w:vAlign w:val="center"/>
                </w:tcPr>
                <w:p w14:paraId="37159567">
                  <w:pPr>
                    <w:autoSpaceDE w:val="0"/>
                    <w:autoSpaceDN w:val="0"/>
                    <w:adjustRightInd w:val="0"/>
                    <w:jc w:val="center"/>
                    <w:rPr>
                      <w:color w:val="auto"/>
                      <w:szCs w:val="21"/>
                      <w:highlight w:val="none"/>
                    </w:rPr>
                  </w:pPr>
                  <w:r>
                    <w:rPr>
                      <w:rFonts w:hint="eastAsia"/>
                      <w:color w:val="auto"/>
                      <w:szCs w:val="21"/>
                      <w:highlight w:val="none"/>
                      <w:lang w:val="en-US" w:eastAsia="zh-CN"/>
                    </w:rPr>
                    <w:t>51.0</w:t>
                  </w:r>
                </w:p>
              </w:tc>
              <w:tc>
                <w:tcPr>
                  <w:tcW w:w="411" w:type="pct"/>
                  <w:noWrap w:val="0"/>
                  <w:vAlign w:val="center"/>
                </w:tcPr>
                <w:p w14:paraId="2DFA5AC7">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47.52</w:t>
                  </w:r>
                </w:p>
              </w:tc>
              <w:tc>
                <w:tcPr>
                  <w:tcW w:w="707" w:type="dxa"/>
                  <w:noWrap w:val="0"/>
                  <w:vAlign w:val="center"/>
                </w:tcPr>
                <w:p w14:paraId="16C7D25A">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47.52</w:t>
                  </w:r>
                </w:p>
              </w:tc>
              <w:tc>
                <w:tcPr>
                  <w:tcW w:w="476" w:type="pct"/>
                  <w:noWrap w:val="0"/>
                  <w:vAlign w:val="center"/>
                </w:tcPr>
                <w:p w14:paraId="41A6C130">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58.37</w:t>
                  </w:r>
                </w:p>
              </w:tc>
              <w:tc>
                <w:tcPr>
                  <w:tcW w:w="485" w:type="pct"/>
                  <w:noWrap w:val="0"/>
                  <w:vAlign w:val="center"/>
                </w:tcPr>
                <w:p w14:paraId="72EEFB39">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52.61</w:t>
                  </w:r>
                </w:p>
              </w:tc>
              <w:tc>
                <w:tcPr>
                  <w:tcW w:w="461" w:type="pct"/>
                  <w:noWrap w:val="0"/>
                  <w:vAlign w:val="center"/>
                </w:tcPr>
                <w:p w14:paraId="7805E065">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1B265FE1">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69D993E9">
                  <w:pPr>
                    <w:autoSpaceDE w:val="0"/>
                    <w:autoSpaceDN w:val="0"/>
                    <w:adjustRightInd w:val="0"/>
                    <w:jc w:val="center"/>
                    <w:rPr>
                      <w:color w:val="auto"/>
                      <w:szCs w:val="21"/>
                      <w:highlight w:val="none"/>
                    </w:rPr>
                  </w:pPr>
                  <w:r>
                    <w:rPr>
                      <w:color w:val="auto"/>
                      <w:szCs w:val="21"/>
                      <w:highlight w:val="none"/>
                    </w:rPr>
                    <w:t>达标</w:t>
                  </w:r>
                </w:p>
              </w:tc>
            </w:tr>
            <w:tr w14:paraId="291A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55E03AC">
                  <w:pPr>
                    <w:autoSpaceDE w:val="0"/>
                    <w:autoSpaceDN w:val="0"/>
                    <w:adjustRightInd w:val="0"/>
                    <w:jc w:val="center"/>
                    <w:rPr>
                      <w:color w:val="auto"/>
                      <w:szCs w:val="21"/>
                      <w:highlight w:val="none"/>
                    </w:rPr>
                  </w:pPr>
                  <w:r>
                    <w:rPr>
                      <w:rFonts w:hint="eastAsia"/>
                      <w:color w:val="auto"/>
                      <w:szCs w:val="21"/>
                      <w:highlight w:val="none"/>
                    </w:rPr>
                    <w:t>北</w:t>
                  </w:r>
                  <w:r>
                    <w:rPr>
                      <w:color w:val="auto"/>
                      <w:szCs w:val="21"/>
                      <w:highlight w:val="none"/>
                    </w:rPr>
                    <w:t>厂界</w:t>
                  </w:r>
                </w:p>
              </w:tc>
              <w:tc>
                <w:tcPr>
                  <w:tcW w:w="375" w:type="pct"/>
                  <w:noWrap w:val="0"/>
                  <w:vAlign w:val="center"/>
                </w:tcPr>
                <w:p w14:paraId="7CEBE169">
                  <w:pPr>
                    <w:autoSpaceDE w:val="0"/>
                    <w:autoSpaceDN w:val="0"/>
                    <w:adjustRightInd w:val="0"/>
                    <w:jc w:val="center"/>
                    <w:rPr>
                      <w:color w:val="auto"/>
                      <w:szCs w:val="21"/>
                      <w:highlight w:val="none"/>
                    </w:rPr>
                  </w:pPr>
                  <w:r>
                    <w:rPr>
                      <w:rFonts w:hint="eastAsia"/>
                      <w:color w:val="auto"/>
                      <w:szCs w:val="21"/>
                      <w:highlight w:val="none"/>
                      <w:lang w:val="en-US" w:eastAsia="zh-CN"/>
                    </w:rPr>
                    <w:t>61.7</w:t>
                  </w:r>
                </w:p>
              </w:tc>
              <w:tc>
                <w:tcPr>
                  <w:tcW w:w="418" w:type="pct"/>
                  <w:noWrap w:val="0"/>
                  <w:vAlign w:val="center"/>
                </w:tcPr>
                <w:p w14:paraId="38D76245">
                  <w:pPr>
                    <w:autoSpaceDE w:val="0"/>
                    <w:autoSpaceDN w:val="0"/>
                    <w:adjustRightInd w:val="0"/>
                    <w:jc w:val="center"/>
                    <w:rPr>
                      <w:color w:val="auto"/>
                      <w:szCs w:val="21"/>
                      <w:highlight w:val="none"/>
                    </w:rPr>
                  </w:pPr>
                  <w:r>
                    <w:rPr>
                      <w:rFonts w:hint="eastAsia"/>
                      <w:color w:val="auto"/>
                      <w:szCs w:val="21"/>
                      <w:highlight w:val="none"/>
                      <w:lang w:val="en-US" w:eastAsia="zh-CN"/>
                    </w:rPr>
                    <w:t>50.8</w:t>
                  </w:r>
                </w:p>
              </w:tc>
              <w:tc>
                <w:tcPr>
                  <w:tcW w:w="411" w:type="pct"/>
                  <w:noWrap w:val="0"/>
                  <w:vAlign w:val="center"/>
                </w:tcPr>
                <w:p w14:paraId="0FA47C4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43.54</w:t>
                  </w:r>
                </w:p>
              </w:tc>
              <w:tc>
                <w:tcPr>
                  <w:tcW w:w="707" w:type="dxa"/>
                  <w:noWrap w:val="0"/>
                  <w:vAlign w:val="center"/>
                </w:tcPr>
                <w:p w14:paraId="1372696D">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43.54</w:t>
                  </w:r>
                </w:p>
              </w:tc>
              <w:tc>
                <w:tcPr>
                  <w:tcW w:w="476" w:type="pct"/>
                  <w:noWrap w:val="0"/>
                  <w:vAlign w:val="center"/>
                </w:tcPr>
                <w:p w14:paraId="2DE3CF56">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61.77</w:t>
                  </w:r>
                </w:p>
              </w:tc>
              <w:tc>
                <w:tcPr>
                  <w:tcW w:w="485" w:type="pct"/>
                  <w:noWrap w:val="0"/>
                  <w:vAlign w:val="center"/>
                </w:tcPr>
                <w:p w14:paraId="1842B1C2">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51.55</w:t>
                  </w:r>
                </w:p>
              </w:tc>
              <w:tc>
                <w:tcPr>
                  <w:tcW w:w="461" w:type="pct"/>
                  <w:noWrap w:val="0"/>
                  <w:vAlign w:val="center"/>
                </w:tcPr>
                <w:p w14:paraId="1A89AA74">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282DCEE8">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19C025C5">
                  <w:pPr>
                    <w:autoSpaceDE w:val="0"/>
                    <w:autoSpaceDN w:val="0"/>
                    <w:adjustRightInd w:val="0"/>
                    <w:jc w:val="center"/>
                    <w:rPr>
                      <w:color w:val="auto"/>
                      <w:szCs w:val="21"/>
                      <w:highlight w:val="none"/>
                    </w:rPr>
                  </w:pPr>
                  <w:r>
                    <w:rPr>
                      <w:color w:val="auto"/>
                      <w:szCs w:val="21"/>
                      <w:highlight w:val="none"/>
                    </w:rPr>
                    <w:t>达标</w:t>
                  </w:r>
                </w:p>
              </w:tc>
            </w:tr>
            <w:tr w14:paraId="321B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00" w:type="pct"/>
                  <w:gridSpan w:val="10"/>
                  <w:noWrap w:val="0"/>
                  <w:vAlign w:val="center"/>
                </w:tcPr>
                <w:p w14:paraId="718C65A9">
                  <w:pPr>
                    <w:autoSpaceDE w:val="0"/>
                    <w:autoSpaceDN w:val="0"/>
                    <w:adjustRightInd w:val="0"/>
                    <w:jc w:val="left"/>
                    <w:rPr>
                      <w:color w:val="auto"/>
                      <w:szCs w:val="21"/>
                      <w:highlight w:val="none"/>
                    </w:rPr>
                  </w:pPr>
                  <w:r>
                    <w:rPr>
                      <w:rFonts w:hint="eastAsia" w:ascii="Times New Roman" w:hAnsi="Times New Roman" w:eastAsia="宋体" w:cs="Times New Roman"/>
                      <w:color w:val="auto"/>
                      <w:szCs w:val="21"/>
                      <w:highlight w:val="none"/>
                      <w:lang w:val="en-US" w:eastAsia="zh-CN"/>
                    </w:rPr>
                    <w:t>注：厂界背景值，取自</w:t>
                  </w:r>
                  <w:r>
                    <w:rPr>
                      <w:rFonts w:hint="default" w:ascii="Times New Roman" w:hAnsi="Times New Roman" w:eastAsia="宋体" w:cs="Times New Roman"/>
                      <w:color w:val="auto"/>
                      <w:szCs w:val="21"/>
                      <w:highlight w:val="none"/>
                    </w:rPr>
                    <w:t>根据《河北鸿科碳素有限公司自行监测季测报告》（2025年12月25日，RFJC自行监测[2025]J176号）</w:t>
                  </w:r>
                </w:p>
              </w:tc>
            </w:tr>
          </w:tbl>
          <w:p w14:paraId="7F4A96C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color w:val="auto"/>
                <w:kern w:val="0"/>
                <w:sz w:val="24"/>
                <w:highlight w:val="none"/>
              </w:rPr>
            </w:pPr>
            <w:r>
              <w:rPr>
                <w:color w:val="auto"/>
                <w:sz w:val="24"/>
                <w:highlight w:val="none"/>
              </w:rPr>
              <w:t>根据噪声预测结果</w:t>
            </w:r>
            <w:r>
              <w:rPr>
                <w:rFonts w:hint="eastAsia"/>
                <w:color w:val="auto"/>
                <w:sz w:val="24"/>
                <w:highlight w:val="none"/>
              </w:rPr>
              <w:t>，</w:t>
            </w:r>
            <w:r>
              <w:rPr>
                <w:color w:val="auto"/>
                <w:sz w:val="24"/>
                <w:highlight w:val="none"/>
              </w:rPr>
              <w:t>项目</w:t>
            </w:r>
            <w:r>
              <w:rPr>
                <w:rFonts w:hint="eastAsia"/>
                <w:color w:val="auto"/>
                <w:sz w:val="24"/>
                <w:highlight w:val="none"/>
                <w:lang w:val="en-US" w:eastAsia="zh-CN"/>
              </w:rPr>
              <w:t>启用备用磨粉机非正常生产工况下</w:t>
            </w:r>
            <w:r>
              <w:rPr>
                <w:color w:val="auto"/>
                <w:sz w:val="24"/>
                <w:highlight w:val="none"/>
              </w:rPr>
              <w:t>噪声源对厂界</w:t>
            </w:r>
            <w:r>
              <w:rPr>
                <w:rFonts w:hint="eastAsia"/>
                <w:color w:val="auto"/>
                <w:sz w:val="24"/>
                <w:highlight w:val="none"/>
                <w:lang w:val="en-US" w:eastAsia="zh-CN"/>
              </w:rPr>
              <w:t>贡献值在35.14</w:t>
            </w:r>
            <w:r>
              <w:rPr>
                <w:rFonts w:hint="eastAsia"/>
                <w:color w:val="auto"/>
                <w:sz w:val="24"/>
                <w:highlight w:val="none"/>
              </w:rPr>
              <w:t>-</w:t>
            </w:r>
            <w:r>
              <w:rPr>
                <w:rFonts w:hint="eastAsia"/>
                <w:color w:val="auto"/>
                <w:sz w:val="24"/>
                <w:highlight w:val="none"/>
                <w:lang w:val="en-US" w:eastAsia="zh-CN"/>
              </w:rPr>
              <w:t>47.52</w:t>
            </w:r>
            <w:r>
              <w:rPr>
                <w:color w:val="auto"/>
                <w:sz w:val="24"/>
                <w:highlight w:val="none"/>
              </w:rPr>
              <w:t>dB（A）</w:t>
            </w:r>
            <w:r>
              <w:rPr>
                <w:rFonts w:hint="eastAsia"/>
                <w:color w:val="auto"/>
                <w:sz w:val="24"/>
                <w:highlight w:val="none"/>
                <w:lang w:val="en-US" w:eastAsia="zh-CN"/>
              </w:rPr>
              <w:t>之间，叠加背景值后，</w:t>
            </w:r>
            <w:r>
              <w:rPr>
                <w:rFonts w:hint="eastAsia"/>
                <w:color w:val="auto"/>
                <w:sz w:val="24"/>
                <w:highlight w:val="none"/>
              </w:rPr>
              <w:t>预测</w:t>
            </w:r>
            <w:r>
              <w:rPr>
                <w:color w:val="auto"/>
                <w:sz w:val="24"/>
                <w:highlight w:val="none"/>
              </w:rPr>
              <w:t>值昼间为</w:t>
            </w:r>
            <w:r>
              <w:rPr>
                <w:rFonts w:hint="eastAsia"/>
                <w:color w:val="auto"/>
                <w:sz w:val="24"/>
                <w:highlight w:val="none"/>
                <w:lang w:val="en-US" w:eastAsia="zh-CN"/>
              </w:rPr>
              <w:t>56.85</w:t>
            </w:r>
            <w:r>
              <w:rPr>
                <w:rFonts w:hint="eastAsia"/>
                <w:color w:val="auto"/>
                <w:sz w:val="24"/>
                <w:highlight w:val="none"/>
              </w:rPr>
              <w:t>-</w:t>
            </w:r>
            <w:r>
              <w:rPr>
                <w:rFonts w:hint="eastAsia"/>
                <w:color w:val="auto"/>
                <w:sz w:val="24"/>
                <w:highlight w:val="none"/>
                <w:lang w:val="en-US" w:eastAsia="zh-CN"/>
              </w:rPr>
              <w:t>61.77</w:t>
            </w:r>
            <w:r>
              <w:rPr>
                <w:color w:val="auto"/>
                <w:sz w:val="24"/>
                <w:highlight w:val="none"/>
              </w:rPr>
              <w:t>dB（A）</w:t>
            </w:r>
            <w:r>
              <w:rPr>
                <w:color w:val="auto"/>
                <w:kern w:val="0"/>
                <w:sz w:val="24"/>
                <w:highlight w:val="none"/>
              </w:rPr>
              <w:t>，</w:t>
            </w:r>
            <w:r>
              <w:rPr>
                <w:rFonts w:hint="eastAsia"/>
                <w:color w:val="auto"/>
                <w:kern w:val="0"/>
                <w:sz w:val="24"/>
                <w:highlight w:val="none"/>
              </w:rPr>
              <w:t>夜间预测</w:t>
            </w:r>
            <w:r>
              <w:rPr>
                <w:color w:val="auto"/>
                <w:kern w:val="0"/>
                <w:sz w:val="24"/>
                <w:highlight w:val="none"/>
              </w:rPr>
              <w:t>值为</w:t>
            </w:r>
            <w:r>
              <w:rPr>
                <w:rFonts w:hint="eastAsia"/>
                <w:color w:val="auto"/>
                <w:sz w:val="24"/>
                <w:highlight w:val="none"/>
                <w:lang w:val="en-US" w:eastAsia="zh-CN"/>
              </w:rPr>
              <w:t>51.55</w:t>
            </w:r>
            <w:r>
              <w:rPr>
                <w:rFonts w:hint="eastAsia"/>
                <w:color w:val="auto"/>
                <w:sz w:val="24"/>
                <w:highlight w:val="none"/>
              </w:rPr>
              <w:t>-</w:t>
            </w:r>
            <w:r>
              <w:rPr>
                <w:rFonts w:hint="eastAsia"/>
                <w:color w:val="auto"/>
                <w:sz w:val="24"/>
                <w:highlight w:val="none"/>
                <w:lang w:val="en-US" w:eastAsia="zh-CN"/>
              </w:rPr>
              <w:t>52.87</w:t>
            </w:r>
            <w:r>
              <w:rPr>
                <w:color w:val="auto"/>
                <w:kern w:val="0"/>
                <w:sz w:val="24"/>
                <w:highlight w:val="none"/>
              </w:rPr>
              <w:t>dB（A）</w:t>
            </w:r>
            <w:r>
              <w:rPr>
                <w:color w:val="auto"/>
                <w:sz w:val="24"/>
                <w:highlight w:val="none"/>
              </w:rPr>
              <w:t>，项目厂界噪声满足《工业企业厂界环境噪声排放标准》（GB12348-2008）中的</w:t>
            </w:r>
            <w:r>
              <w:rPr>
                <w:rFonts w:hint="eastAsia"/>
                <w:color w:val="auto"/>
                <w:sz w:val="24"/>
                <w:highlight w:val="none"/>
                <w:lang w:val="en-US" w:eastAsia="zh-CN"/>
              </w:rPr>
              <w:t>3</w:t>
            </w:r>
            <w:r>
              <w:rPr>
                <w:color w:val="auto"/>
                <w:sz w:val="24"/>
                <w:highlight w:val="none"/>
              </w:rPr>
              <w:t>类标准</w:t>
            </w:r>
            <w:r>
              <w:rPr>
                <w:rFonts w:hint="eastAsia"/>
                <w:color w:val="auto"/>
                <w:kern w:val="0"/>
                <w:sz w:val="24"/>
                <w:highlight w:val="none"/>
              </w:rPr>
              <w:t>。</w:t>
            </w:r>
          </w:p>
          <w:p w14:paraId="24B8D4D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为控制非正常工况噪声对周边环境的影响，采取以下措施：</w:t>
            </w:r>
          </w:p>
          <w:p w14:paraId="08642AC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①优化生产调度管理，备用磨粉机应急启用尽量安排在昼间，最大限度减少夜间非正常工况运行时间；</w:t>
            </w:r>
          </w:p>
          <w:p w14:paraId="212C99B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②对罗茨风机进出口加装阻抗复合消声器，底座设置弹簧减振器，管道连接处采用柔性软接，气力输送管道外壁包覆隔声棉，磨粉机底座增设复合减振垫，从声源处降低设备振动及气流噪声；</w:t>
            </w:r>
          </w:p>
          <w:p w14:paraId="13FE600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③磨粉车间非正常工况运行时全部关闭门窗，优先采用隔声门窗，罗茨风机设置带通风消声通道的封闭式隔声罩，强化噪声传播途径阻隔；</w:t>
            </w:r>
          </w:p>
          <w:p w14:paraId="7211CF1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④定期开展设备巡检维护，建立运维台账，及时检修磨损部件，保证减振、消声装置完好有效；</w:t>
            </w:r>
          </w:p>
          <w:p w14:paraId="68943FA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eastAsia="宋体" w:cs="Times New Roman"/>
                <w:color w:val="auto"/>
                <w:sz w:val="24"/>
                <w:szCs w:val="24"/>
              </w:rPr>
              <w:t>⑤加强厂界噪声监测，非正常工况下重点关注夜间厂界噪声，若出现噪声异常及时停机排查处置，确保厂界噪声满足《工业企业厂界环境噪声排放标准》（GB12348</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2008）3 类标准要求。</w:t>
            </w:r>
          </w:p>
          <w:p w14:paraId="78064CB4">
            <w:pPr>
              <w:pStyle w:val="1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color w:val="auto"/>
                <w:sz w:val="24"/>
                <w:highlight w:val="none"/>
              </w:rPr>
              <w:t>综上，项目噪声对周围环境的影响较小。</w:t>
            </w:r>
          </w:p>
          <w:p w14:paraId="62EF46D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（4）噪声监测计划</w:t>
            </w:r>
          </w:p>
          <w:p w14:paraId="4EC215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根据《排污单位自行监测技术指南 总则》（HJ819-2017）</w:t>
            </w:r>
            <w:r>
              <w:rPr>
                <w:rFonts w:hint="default" w:ascii="Times New Roman" w:hAnsi="Times New Roman" w:eastAsia="宋体" w:cs="Times New Roman"/>
                <w:bCs/>
                <w:color w:val="auto"/>
                <w:szCs w:val="24"/>
                <w:highlight w:val="none"/>
              </w:rPr>
              <w:t>，</w:t>
            </w:r>
            <w:r>
              <w:rPr>
                <w:rFonts w:hint="default" w:ascii="Times New Roman" w:hAnsi="Times New Roman" w:eastAsia="宋体" w:cs="Times New Roman"/>
                <w:color w:val="auto"/>
                <w:sz w:val="24"/>
                <w:highlight w:val="none"/>
              </w:rPr>
              <w:t>本项目噪声监测要求见</w:t>
            </w:r>
            <w:r>
              <w:rPr>
                <w:rFonts w:hint="default" w:ascii="Times New Roman" w:hAnsi="Times New Roman" w:eastAsia="宋体" w:cs="Times New Roman"/>
                <w:color w:val="auto"/>
                <w:sz w:val="24"/>
                <w:highlight w:val="none"/>
                <w:lang w:val="en-US" w:eastAsia="zh-CN"/>
              </w:rPr>
              <w:t>下</w:t>
            </w:r>
            <w:r>
              <w:rPr>
                <w:rFonts w:hint="default" w:ascii="Times New Roman" w:hAnsi="Times New Roman" w:eastAsia="宋体" w:cs="Times New Roman"/>
                <w:color w:val="auto"/>
                <w:sz w:val="24"/>
                <w:highlight w:val="none"/>
              </w:rPr>
              <w:t>表。</w:t>
            </w:r>
          </w:p>
          <w:p w14:paraId="6737744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表4</w:t>
            </w: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10</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项目噪声污染源监测计划一览表</w:t>
            </w:r>
          </w:p>
          <w:tbl>
            <w:tblPr>
              <w:tblStyle w:val="36"/>
              <w:tblpPr w:leftFromText="180" w:rightFromText="180" w:vertAnchor="text" w:horzAnchor="margin" w:tblpY="28"/>
              <w:tblOverlap w:val="never"/>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80"/>
              <w:gridCol w:w="1275"/>
              <w:gridCol w:w="3345"/>
              <w:gridCol w:w="1570"/>
            </w:tblGrid>
            <w:tr w14:paraId="34A9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2" w:type="pct"/>
                  <w:tcBorders>
                    <w:tl2br w:val="nil"/>
                    <w:tr2bl w:val="nil"/>
                  </w:tcBorders>
                  <w:noWrap w:val="0"/>
                  <w:vAlign w:val="center"/>
                </w:tcPr>
                <w:p w14:paraId="76571F84">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监测项目</w:t>
                  </w:r>
                </w:p>
              </w:tc>
              <w:tc>
                <w:tcPr>
                  <w:tcW w:w="645" w:type="pct"/>
                  <w:tcBorders>
                    <w:tl2br w:val="nil"/>
                    <w:tr2bl w:val="nil"/>
                  </w:tcBorders>
                  <w:noWrap w:val="0"/>
                  <w:vAlign w:val="center"/>
                </w:tcPr>
                <w:p w14:paraId="78183D79">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监测因子</w:t>
                  </w:r>
                </w:p>
              </w:tc>
              <w:tc>
                <w:tcPr>
                  <w:tcW w:w="762" w:type="pct"/>
                  <w:tcBorders>
                    <w:tl2br w:val="nil"/>
                    <w:tr2bl w:val="nil"/>
                  </w:tcBorders>
                  <w:noWrap w:val="0"/>
                  <w:vAlign w:val="center"/>
                </w:tcPr>
                <w:p w14:paraId="7661E075">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监测频率</w:t>
                  </w:r>
                </w:p>
              </w:tc>
              <w:tc>
                <w:tcPr>
                  <w:tcW w:w="2000" w:type="pct"/>
                  <w:tcBorders>
                    <w:tl2br w:val="nil"/>
                    <w:tr2bl w:val="nil"/>
                  </w:tcBorders>
                  <w:noWrap w:val="0"/>
                  <w:vAlign w:val="center"/>
                </w:tcPr>
                <w:p w14:paraId="4969081E">
                  <w:pPr>
                    <w:keepNext w:val="0"/>
                    <w:keepLines w:val="0"/>
                    <w:pageBreakBefore w:val="0"/>
                    <w:widowControl w:val="0"/>
                    <w:kinsoku/>
                    <w:wordWrap/>
                    <w:overflowPunct/>
                    <w:topLinePunct w:val="0"/>
                    <w:autoSpaceDE w:val="0"/>
                    <w:autoSpaceDN w:val="0"/>
                    <w:bidi w:val="0"/>
                    <w:adjustRightInd w:val="0"/>
                    <w:snapToGrid w:val="0"/>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执行标准</w:t>
                  </w:r>
                </w:p>
              </w:tc>
              <w:tc>
                <w:tcPr>
                  <w:tcW w:w="938" w:type="pct"/>
                  <w:tcBorders>
                    <w:tl2br w:val="nil"/>
                    <w:tr2bl w:val="nil"/>
                  </w:tcBorders>
                  <w:noWrap w:val="0"/>
                  <w:vAlign w:val="center"/>
                </w:tcPr>
                <w:p w14:paraId="36E5EFAB">
                  <w:pPr>
                    <w:keepNext w:val="0"/>
                    <w:keepLines w:val="0"/>
                    <w:pageBreakBefore w:val="0"/>
                    <w:widowControl w:val="0"/>
                    <w:kinsoku/>
                    <w:wordWrap/>
                    <w:overflowPunct/>
                    <w:topLinePunct w:val="0"/>
                    <w:autoSpaceDE w:val="0"/>
                    <w:autoSpaceDN w:val="0"/>
                    <w:bidi w:val="0"/>
                    <w:adjustRightInd w:val="0"/>
                    <w:snapToGrid w:val="0"/>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标准限值</w:t>
                  </w:r>
                </w:p>
              </w:tc>
            </w:tr>
            <w:tr w14:paraId="1CBE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2" w:type="pct"/>
                  <w:tcBorders>
                    <w:tl2br w:val="nil"/>
                    <w:tr2bl w:val="nil"/>
                  </w:tcBorders>
                  <w:noWrap w:val="0"/>
                  <w:vAlign w:val="center"/>
                </w:tcPr>
                <w:p w14:paraId="6A56ABD5">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厂界外1</w:t>
                  </w:r>
                  <w:r>
                    <w:rPr>
                      <w:rFonts w:hint="eastAsia" w:cs="Times New Roman"/>
                      <w:color w:val="auto"/>
                      <w:sz w:val="21"/>
                      <w:szCs w:val="21"/>
                      <w:highlight w:val="none"/>
                      <w:lang w:val="en-US" w:eastAsia="zh-CN"/>
                    </w:rPr>
                    <w:t>m</w:t>
                  </w:r>
                </w:p>
              </w:tc>
              <w:tc>
                <w:tcPr>
                  <w:tcW w:w="645" w:type="pct"/>
                  <w:tcBorders>
                    <w:tl2br w:val="nil"/>
                    <w:tr2bl w:val="nil"/>
                  </w:tcBorders>
                  <w:noWrap w:val="0"/>
                  <w:vAlign w:val="center"/>
                </w:tcPr>
                <w:p w14:paraId="19C4C7BB">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smallCaps w:val="0"/>
                      <w:color w:val="auto"/>
                      <w:spacing w:val="0"/>
                      <w:highlight w:val="none"/>
                    </w:rPr>
                    <w:t>Leq（A）</w:t>
                  </w:r>
                </w:p>
              </w:tc>
              <w:tc>
                <w:tcPr>
                  <w:tcW w:w="762" w:type="pct"/>
                  <w:tcBorders>
                    <w:tl2br w:val="nil"/>
                    <w:tr2bl w:val="nil"/>
                  </w:tcBorders>
                  <w:noWrap w:val="0"/>
                  <w:vAlign w:val="center"/>
                </w:tcPr>
                <w:p w14:paraId="79F3DFE9">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次/每季度</w:t>
                  </w:r>
                </w:p>
              </w:tc>
              <w:tc>
                <w:tcPr>
                  <w:tcW w:w="2000" w:type="pct"/>
                  <w:tcBorders>
                    <w:tl2br w:val="nil"/>
                    <w:tr2bl w:val="nil"/>
                  </w:tcBorders>
                  <w:noWrap w:val="0"/>
                  <w:vAlign w:val="center"/>
                </w:tcPr>
                <w:p w14:paraId="2DF0A0D7">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《工业企业厂界环境噪声排放标准》（GB12348-2008）3类标准</w:t>
                  </w:r>
                </w:p>
              </w:tc>
              <w:tc>
                <w:tcPr>
                  <w:tcW w:w="938" w:type="pct"/>
                  <w:tcBorders>
                    <w:tl2br w:val="nil"/>
                    <w:tr2bl w:val="nil"/>
                  </w:tcBorders>
                  <w:noWrap w:val="0"/>
                  <w:vAlign w:val="center"/>
                </w:tcPr>
                <w:p w14:paraId="752276CE">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昼间≤6</w:t>
                  </w: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dB</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p>
                <w:p w14:paraId="0C7DCBBC">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夜</w:t>
                  </w:r>
                  <w:r>
                    <w:rPr>
                      <w:rFonts w:hint="default" w:ascii="Times New Roman" w:hAnsi="Times New Roman" w:eastAsia="宋体" w:cs="Times New Roman"/>
                      <w:color w:val="auto"/>
                      <w:sz w:val="21"/>
                      <w:szCs w:val="21"/>
                      <w:highlight w:val="none"/>
                    </w:rPr>
                    <w:t>间≤</w:t>
                  </w:r>
                  <w:r>
                    <w:rPr>
                      <w:rFonts w:hint="default" w:ascii="Times New Roman" w:hAnsi="Times New Roman" w:cs="Times New Roman"/>
                      <w:color w:val="auto"/>
                      <w:sz w:val="21"/>
                      <w:szCs w:val="21"/>
                      <w:highlight w:val="none"/>
                      <w:lang w:val="en-US" w:eastAsia="zh-CN"/>
                    </w:rPr>
                    <w:t>55</w:t>
                  </w:r>
                  <w:r>
                    <w:rPr>
                      <w:rFonts w:hint="default" w:ascii="Times New Roman" w:hAnsi="Times New Roman" w:eastAsia="宋体" w:cs="Times New Roman"/>
                      <w:color w:val="auto"/>
                      <w:sz w:val="21"/>
                      <w:szCs w:val="21"/>
                      <w:highlight w:val="none"/>
                    </w:rPr>
                    <w:t>dB</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p>
              </w:tc>
            </w:tr>
          </w:tbl>
          <w:p w14:paraId="400DD10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四、固体废物</w:t>
            </w:r>
          </w:p>
          <w:p w14:paraId="19307AD8">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本次技改为制粉工序系统优化项目，不涉及产能扩增，生产工艺、生产规模保持不变，固体废物种类、产生量与技改前一致，无新增固废及污染排放。具体固废产生及管理情况如下：</w:t>
            </w:r>
          </w:p>
          <w:p w14:paraId="36853D8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1、固废产生情况</w:t>
            </w:r>
          </w:p>
          <w:p w14:paraId="65C127F4">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除尘器收集粉尘：来源于布袋除尘器，属于一般工业固体废物，</w:t>
            </w:r>
            <w:r>
              <w:rPr>
                <w:rFonts w:hint="eastAsia" w:cs="Times New Roman"/>
                <w:b w:val="0"/>
                <w:bCs w:val="0"/>
                <w:color w:val="auto"/>
                <w:sz w:val="24"/>
                <w:highlight w:val="none"/>
                <w:lang w:val="en-US" w:eastAsia="zh-CN"/>
              </w:rPr>
              <w:t>由前文可知，单台磨粉机粉尘产生量为7.14kg/h，</w:t>
            </w:r>
            <w:r>
              <w:rPr>
                <w:rFonts w:hint="eastAsia" w:cs="Times New Roman"/>
                <w:color w:val="auto"/>
                <w:sz w:val="24"/>
                <w:highlight w:val="none"/>
                <w:lang w:val="en-US" w:eastAsia="zh-CN"/>
              </w:rPr>
              <w:t>废气收集效率98%，覆膜滤料布袋</w:t>
            </w:r>
            <w:r>
              <w:rPr>
                <w:rFonts w:hint="eastAsia" w:cs="Times New Roman"/>
                <w:b w:val="0"/>
                <w:bCs w:val="0"/>
                <w:color w:val="auto"/>
                <w:sz w:val="24"/>
                <w:highlight w:val="none"/>
                <w:lang w:val="en-US" w:eastAsia="zh-CN"/>
              </w:rPr>
              <w:t>除尘器系统综合处理效率 99.5%，则除尘灰</w:t>
            </w:r>
            <w:r>
              <w:rPr>
                <w:rFonts w:hint="eastAsia" w:ascii="Times New Roman" w:hAnsi="Times New Roman" w:eastAsia="宋体" w:cs="Times New Roman"/>
                <w:b w:val="0"/>
                <w:bCs w:val="0"/>
                <w:color w:val="auto"/>
                <w:sz w:val="24"/>
                <w:highlight w:val="none"/>
                <w:lang w:val="en-US" w:eastAsia="zh-CN"/>
              </w:rPr>
              <w:t>产生量</w:t>
            </w:r>
            <w:r>
              <w:rPr>
                <w:rFonts w:hint="eastAsia" w:cs="Times New Roman"/>
                <w:b w:val="0"/>
                <w:bCs w:val="0"/>
                <w:color w:val="auto"/>
                <w:sz w:val="24"/>
                <w:highlight w:val="none"/>
                <w:lang w:val="en-US" w:eastAsia="zh-CN"/>
              </w:rPr>
              <w:t>=7.14</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98%</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99.5%</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7200</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1000</w:t>
            </w:r>
            <w:r>
              <w:rPr>
                <w:rFonts w:hint="default" w:ascii="Arial" w:hAnsi="Arial" w:cs="Arial"/>
                <w:b w:val="0"/>
                <w:bCs w:val="0"/>
                <w:color w:val="auto"/>
                <w:sz w:val="24"/>
                <w:highlight w:val="none"/>
                <w:lang w:val="en-US" w:eastAsia="zh-CN"/>
              </w:rPr>
              <w:t>×</w:t>
            </w:r>
            <w:r>
              <w:rPr>
                <w:rFonts w:hint="default" w:ascii="Times New Roman" w:hAnsi="Times New Roman" w:cs="Times New Roman"/>
                <w:b w:val="0"/>
                <w:bCs w:val="0"/>
                <w:color w:val="auto"/>
                <w:sz w:val="24"/>
                <w:highlight w:val="none"/>
                <w:lang w:val="en-US" w:eastAsia="zh-CN"/>
              </w:rPr>
              <w:t>2</w:t>
            </w:r>
            <w:r>
              <w:rPr>
                <w:rFonts w:hint="eastAsia" w:ascii="微软雅黑" w:hAnsi="微软雅黑" w:eastAsia="微软雅黑" w:cs="微软雅黑"/>
                <w:b w:val="0"/>
                <w:bCs w:val="0"/>
                <w:color w:val="auto"/>
                <w:sz w:val="24"/>
                <w:highlight w:val="none"/>
                <w:lang w:val="en-US" w:eastAsia="zh-CN"/>
              </w:rPr>
              <w:t>≈</w:t>
            </w:r>
            <w:r>
              <w:rPr>
                <w:rFonts w:hint="eastAsia" w:cs="Times New Roman"/>
                <w:b w:val="0"/>
                <w:bCs w:val="0"/>
                <w:color w:val="auto"/>
                <w:sz w:val="24"/>
                <w:highlight w:val="none"/>
                <w:lang w:val="en-US" w:eastAsia="zh-CN"/>
              </w:rPr>
              <w:t>100.26</w:t>
            </w:r>
            <w:r>
              <w:rPr>
                <w:rFonts w:hint="eastAsia" w:ascii="Times New Roman" w:hAnsi="Times New Roman" w:eastAsia="宋体" w:cs="Times New Roman"/>
                <w:b w:val="0"/>
                <w:bCs w:val="0"/>
                <w:color w:val="auto"/>
                <w:sz w:val="24"/>
                <w:highlight w:val="none"/>
                <w:lang w:val="en-US" w:eastAsia="zh-CN"/>
              </w:rPr>
              <w:t xml:space="preserve"> t/a，收集后回用于生产。</w:t>
            </w:r>
          </w:p>
          <w:p w14:paraId="0F04E3EF">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废布袋：</w:t>
            </w:r>
            <w:r>
              <w:rPr>
                <w:rFonts w:hint="eastAsia"/>
                <w:color w:val="auto"/>
                <w:kern w:val="0"/>
                <w:sz w:val="24"/>
                <w:highlight w:val="none"/>
              </w:rPr>
              <w:t>布袋除尘器</w:t>
            </w:r>
            <w:r>
              <w:rPr>
                <w:rFonts w:hint="eastAsia"/>
                <w:color w:val="auto"/>
                <w:kern w:val="0"/>
                <w:sz w:val="24"/>
                <w:highlight w:val="none"/>
                <w:lang w:val="en-US" w:eastAsia="zh-CN"/>
              </w:rPr>
              <w:t>每半年更换一次</w:t>
            </w:r>
            <w:r>
              <w:rPr>
                <w:rFonts w:hint="eastAsia"/>
                <w:color w:val="auto"/>
                <w:kern w:val="0"/>
                <w:sz w:val="24"/>
                <w:highlight w:val="none"/>
              </w:rPr>
              <w:t>布袋</w:t>
            </w:r>
            <w:r>
              <w:rPr>
                <w:rFonts w:hint="eastAsia"/>
                <w:color w:val="auto"/>
                <w:kern w:val="0"/>
                <w:sz w:val="24"/>
                <w:highlight w:val="none"/>
                <w:lang w:eastAsia="zh-CN"/>
              </w:rPr>
              <w:t>，</w:t>
            </w:r>
            <w:r>
              <w:rPr>
                <w:rFonts w:hint="eastAsia"/>
                <w:color w:val="auto"/>
                <w:kern w:val="0"/>
                <w:sz w:val="24"/>
                <w:highlight w:val="none"/>
              </w:rPr>
              <w:t>废布袋</w:t>
            </w:r>
            <w:r>
              <w:rPr>
                <w:rFonts w:hint="eastAsia"/>
                <w:color w:val="auto"/>
                <w:kern w:val="0"/>
                <w:sz w:val="24"/>
                <w:highlight w:val="none"/>
                <w:lang w:val="en-US" w:eastAsia="zh-CN"/>
              </w:rPr>
              <w:t>产生量约为</w:t>
            </w:r>
            <w:r>
              <w:rPr>
                <w:rFonts w:hint="eastAsia"/>
                <w:color w:val="auto"/>
                <w:kern w:val="0"/>
                <w:sz w:val="24"/>
                <w:highlight w:val="none"/>
              </w:rPr>
              <w:t>0.3</w:t>
            </w:r>
            <w:r>
              <w:rPr>
                <w:color w:val="auto"/>
                <w:kern w:val="0"/>
                <w:sz w:val="24"/>
                <w:highlight w:val="none"/>
              </w:rPr>
              <w:t>t/a</w:t>
            </w:r>
            <w:r>
              <w:rPr>
                <w:rFonts w:hint="eastAsia"/>
                <w:color w:val="auto"/>
                <w:kern w:val="0"/>
                <w:sz w:val="24"/>
                <w:highlight w:val="none"/>
                <w:lang w:eastAsia="zh-CN"/>
              </w:rPr>
              <w:t>，</w:t>
            </w:r>
            <w:r>
              <w:rPr>
                <w:rFonts w:hint="eastAsia"/>
                <w:color w:val="auto"/>
                <w:kern w:val="0"/>
                <w:sz w:val="24"/>
                <w:highlight w:val="none"/>
                <w:lang w:val="en-US" w:eastAsia="zh-CN"/>
              </w:rPr>
              <w:t>收集后外售。</w:t>
            </w:r>
          </w:p>
          <w:p w14:paraId="3677AFF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废机油：设备维护过程中产生，属于危险废物（HW08 废矿物油与含矿物油废物，代码：900-214-08），产生量约 0.05t/a，随产随清，交由有资质单位处置。</w:t>
            </w:r>
          </w:p>
          <w:p w14:paraId="7B7B473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废油桶：设备维护过程中产生，属于危险废物（HW08 废矿物油与含矿物油废物，代码：900-249-08），产生量约 0.01t/a，随产随清，交由有资质单位处置。</w:t>
            </w:r>
          </w:p>
          <w:p w14:paraId="5FDD2E3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生活垃圾：技改项目不新增劳动定员，本工段现有员工</w:t>
            </w:r>
            <w:r>
              <w:rPr>
                <w:rFonts w:hint="eastAsia" w:ascii="Times New Roman" w:hAnsi="Times New Roman" w:eastAsia="宋体" w:cs="Times New Roman"/>
                <w:smallCaps w:val="0"/>
                <w:snapToGrid w:val="0"/>
                <w:color w:val="auto"/>
                <w:spacing w:val="0"/>
                <w:kern w:val="2"/>
                <w:sz w:val="24"/>
                <w:szCs w:val="24"/>
                <w:highlight w:val="none"/>
                <w:lang w:val="en-US" w:eastAsia="zh-CN" w:bidi="ar-SA"/>
              </w:rPr>
              <w:t>6人，生活垃圾产生量按0.50kg/人·d，年工作300d计，则生活垃圾产生量为0.9t/a，</w:t>
            </w:r>
            <w:r>
              <w:rPr>
                <w:rFonts w:hint="eastAsia" w:ascii="Times New Roman" w:hAnsi="Times New Roman" w:eastAsia="宋体" w:cs="Times New Roman"/>
                <w:b w:val="0"/>
                <w:bCs w:val="0"/>
                <w:color w:val="auto"/>
                <w:kern w:val="2"/>
                <w:sz w:val="24"/>
                <w:szCs w:val="24"/>
                <w:highlight w:val="none"/>
                <w:lang w:val="en-US" w:eastAsia="zh-CN" w:bidi="ar-SA"/>
              </w:rPr>
              <w:t>收集后交由环卫部门处理。</w:t>
            </w:r>
          </w:p>
          <w:p w14:paraId="043B044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2、固体废物环境管理要求</w:t>
            </w:r>
          </w:p>
          <w:p w14:paraId="5865173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（1）一般工业固体废物</w:t>
            </w:r>
          </w:p>
          <w:p w14:paraId="1482FF8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除尘灰</w:t>
            </w:r>
            <w:r>
              <w:rPr>
                <w:rFonts w:hint="default" w:ascii="Times New Roman" w:hAnsi="Times New Roman" w:eastAsia="宋体" w:cs="Times New Roman"/>
                <w:b w:val="0"/>
                <w:bCs w:val="0"/>
                <w:color w:val="auto"/>
                <w:sz w:val="24"/>
                <w:highlight w:val="none"/>
                <w:lang w:val="en-US" w:eastAsia="zh-CN"/>
              </w:rPr>
              <w:t>全部密闭收集后回用于制粉生产</w:t>
            </w:r>
            <w:r>
              <w:rPr>
                <w:rFonts w:hint="eastAsia" w:ascii="Times New Roman" w:hAnsi="Times New Roman" w:eastAsia="宋体" w:cs="Times New Roman"/>
                <w:b w:val="0"/>
                <w:bCs w:val="0"/>
                <w:color w:val="auto"/>
                <w:kern w:val="2"/>
                <w:sz w:val="24"/>
                <w:szCs w:val="24"/>
                <w:highlight w:val="none"/>
                <w:lang w:val="en-US" w:eastAsia="zh-CN" w:bidi="ar-SA"/>
              </w:rPr>
              <w:t>，废布袋集中收集、定期外售。一般固废堆放区域采取硬化、防风、防雨、防流失措施，严禁露天堆放。建立规范固废管理台账，如实记录产生、贮存、回用及外销情况，台账保存期限不少于5年。</w:t>
            </w:r>
          </w:p>
          <w:p w14:paraId="1E0FFF2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（2）危险废物</w:t>
            </w:r>
          </w:p>
          <w:p w14:paraId="6F2CFCB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本项目位于饮用水水源准保护区，环境敏感性较高，危险废物严格执行《危险废物贮存污染控制标准》（GB18597-2023），实行随产随清、即产即运，厂区零暂存管控模式。</w:t>
            </w:r>
          </w:p>
          <w:p w14:paraId="1B502EF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①</w:t>
            </w:r>
            <w:r>
              <w:rPr>
                <w:rFonts w:hint="eastAsia" w:ascii="Times New Roman" w:hAnsi="Times New Roman" w:eastAsia="宋体" w:cs="Times New Roman"/>
                <w:b w:val="0"/>
                <w:bCs w:val="0"/>
                <w:color w:val="auto"/>
                <w:kern w:val="2"/>
                <w:sz w:val="24"/>
                <w:szCs w:val="24"/>
                <w:highlight w:val="none"/>
                <w:lang w:val="en-US" w:eastAsia="zh-CN" w:bidi="ar-SA"/>
              </w:rPr>
              <w:t>提前对接具备资质的危废处置单位，维保作业前预约上门清运，实现危废产生后即时转运，从源头杜绝厂区贮存风险。</w:t>
            </w:r>
          </w:p>
          <w:p w14:paraId="2A3D64D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②</w:t>
            </w:r>
            <w:r>
              <w:rPr>
                <w:rFonts w:hint="eastAsia" w:ascii="Times New Roman" w:hAnsi="Times New Roman" w:eastAsia="宋体" w:cs="Times New Roman"/>
                <w:b w:val="0"/>
                <w:bCs w:val="0"/>
                <w:color w:val="auto"/>
                <w:kern w:val="2"/>
                <w:sz w:val="24"/>
                <w:szCs w:val="24"/>
                <w:highlight w:val="none"/>
                <w:lang w:val="en-US" w:eastAsia="zh-CN" w:bidi="ar-SA"/>
              </w:rPr>
              <w:t>设备维修区域采取硬化防渗措施，作业过程全程收集滴落废油，油品容器密闭存放，杜绝洒落、下渗污染土壤及地下水。</w:t>
            </w:r>
          </w:p>
          <w:p w14:paraId="1955205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③</w:t>
            </w:r>
            <w:r>
              <w:rPr>
                <w:rFonts w:hint="eastAsia" w:ascii="Times New Roman" w:hAnsi="Times New Roman" w:eastAsia="宋体" w:cs="Times New Roman"/>
                <w:b w:val="0"/>
                <w:bCs w:val="0"/>
                <w:color w:val="auto"/>
                <w:kern w:val="2"/>
                <w:sz w:val="24"/>
                <w:szCs w:val="24"/>
                <w:highlight w:val="none"/>
                <w:lang w:val="en-US" w:eastAsia="zh-CN" w:bidi="ar-SA"/>
              </w:rPr>
              <w:t>严格执行危废转移联单制度，建立完整管理台账，全程追溯，台账保存不少于10年，严禁私自倾倒、流失危废。</w:t>
            </w:r>
          </w:p>
          <w:p w14:paraId="1F62D92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④</w:t>
            </w:r>
            <w:r>
              <w:rPr>
                <w:rFonts w:hint="eastAsia" w:ascii="Times New Roman" w:hAnsi="Times New Roman" w:eastAsia="宋体" w:cs="Times New Roman"/>
                <w:b w:val="0"/>
                <w:bCs w:val="0"/>
                <w:color w:val="auto"/>
                <w:kern w:val="2"/>
                <w:sz w:val="24"/>
                <w:szCs w:val="24"/>
                <w:highlight w:val="none"/>
                <w:lang w:val="en-US" w:eastAsia="zh-CN" w:bidi="ar-SA"/>
              </w:rPr>
              <w:t>现场配备吸油毡、应急收集桶等物资，制定泄漏应急处置措施，及时处置突发油品泄漏风险，保障水源保护区环境安全。</w:t>
            </w:r>
          </w:p>
          <w:p w14:paraId="033236D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（3）生活垃圾</w:t>
            </w:r>
          </w:p>
          <w:p w14:paraId="1264064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生活垃圾采用密闭收集桶集中收集，交由环卫部门统一清运处理。</w:t>
            </w:r>
          </w:p>
          <w:p w14:paraId="783760F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综上，项目各类固体废物</w:t>
            </w:r>
            <w:r>
              <w:rPr>
                <w:rFonts w:hint="default" w:ascii="Times New Roman" w:hAnsi="Times New Roman" w:eastAsia="宋体" w:cs="Times New Roman"/>
                <w:color w:val="auto"/>
                <w:sz w:val="24"/>
                <w:szCs w:val="24"/>
                <w:highlight w:val="none"/>
                <w:lang w:val="en-US" w:eastAsia="zh-CN"/>
              </w:rPr>
              <w:t>均能够得到妥善处理，不会对周围环境产生明显影响</w:t>
            </w:r>
            <w:r>
              <w:rPr>
                <w:rFonts w:hint="eastAsia" w:ascii="Times New Roman" w:hAnsi="Times New Roman" w:eastAsia="宋体" w:cs="Times New Roman"/>
                <w:b w:val="0"/>
                <w:bCs w:val="0"/>
                <w:color w:val="auto"/>
                <w:kern w:val="2"/>
                <w:sz w:val="24"/>
                <w:szCs w:val="24"/>
                <w:highlight w:val="none"/>
                <w:lang w:val="en-US" w:eastAsia="zh-CN" w:bidi="ar-SA"/>
              </w:rPr>
              <w:t>。</w:t>
            </w:r>
          </w:p>
          <w:p w14:paraId="5C4C0B7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五、土壤及地下水</w:t>
            </w:r>
          </w:p>
          <w:p w14:paraId="7E523C47">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生产不用水，劳动定员由厂内调剂，无新增生活用水，因此无新增废水产生</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不涉及地下水及土壤污染途径。</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sz w:val="24"/>
                <w:szCs w:val="24"/>
                <w:highlight w:val="none"/>
              </w:rPr>
              <w:t>建设不会对周围地下水</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土壤环境造成不利影响</w:t>
            </w:r>
            <w:r>
              <w:rPr>
                <w:rFonts w:hint="default" w:ascii="Times New Roman" w:hAnsi="Times New Roman" w:eastAsia="宋体" w:cs="Times New Roman"/>
                <w:snapToGrid w:val="0"/>
                <w:color w:val="auto"/>
                <w:kern w:val="0"/>
                <w:sz w:val="24"/>
                <w:szCs w:val="24"/>
                <w:highlight w:val="none"/>
              </w:rPr>
              <w:t>。</w:t>
            </w:r>
          </w:p>
          <w:p w14:paraId="6B09D0D6">
            <w:pPr>
              <w:keepNext w:val="0"/>
              <w:keepLines w:val="0"/>
              <w:pageBreakBefore w:val="0"/>
              <w:widowControl w:val="0"/>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bCs/>
                <w:snapToGrid w:val="0"/>
                <w:color w:val="auto"/>
                <w:kern w:val="0"/>
                <w:sz w:val="24"/>
                <w:szCs w:val="24"/>
                <w:highlight w:val="none"/>
                <w:lang w:val="en-US" w:eastAsia="zh-CN"/>
              </w:rPr>
            </w:pPr>
            <w:r>
              <w:rPr>
                <w:rFonts w:hint="eastAsia" w:ascii="Times New Roman" w:hAnsi="Times New Roman" w:eastAsia="宋体" w:cs="Times New Roman"/>
                <w:b w:val="0"/>
                <w:bCs w:val="0"/>
                <w:snapToGrid w:val="0"/>
                <w:color w:val="auto"/>
                <w:kern w:val="0"/>
                <w:sz w:val="24"/>
                <w:szCs w:val="24"/>
                <w:highlight w:val="none"/>
                <w:lang w:val="en-US" w:eastAsia="zh-CN"/>
              </w:rPr>
              <w:t>项目利用现有厂房进行建设，车间均已按一般防渗要求进行了防渗，主要措施为</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地面水泥硬化，渗透系数≤10</w:t>
            </w:r>
            <w:r>
              <w:rPr>
                <w:rFonts w:hint="default" w:ascii="Times New Roman" w:hAnsi="Times New Roman" w:cs="Times New Roman"/>
                <w:color w:val="auto"/>
                <w:sz w:val="24"/>
                <w:szCs w:val="24"/>
                <w:highlight w:val="none"/>
                <w:vertAlign w:val="superscript"/>
                <w:lang w:eastAsia="zh-CN"/>
              </w:rPr>
              <w:t>-7</w:t>
            </w:r>
            <w:r>
              <w:rPr>
                <w:rFonts w:hint="default" w:ascii="Times New Roman" w:hAnsi="Times New Roman" w:cs="Times New Roman"/>
                <w:color w:val="auto"/>
                <w:sz w:val="24"/>
                <w:szCs w:val="24"/>
                <w:highlight w:val="none"/>
                <w:lang w:eastAsia="zh-CN"/>
              </w:rPr>
              <w:t>m/s，可以有效防止生产过程中的跑、冒、滴、漏对土壤造成的影响</w:t>
            </w:r>
            <w:r>
              <w:rPr>
                <w:rFonts w:hint="eastAsia" w:ascii="Times New Roman" w:hAnsi="Times New Roman" w:cs="Times New Roman"/>
                <w:color w:val="auto"/>
                <w:sz w:val="24"/>
                <w:szCs w:val="24"/>
                <w:highlight w:val="none"/>
                <w:lang w:eastAsia="zh-CN"/>
              </w:rPr>
              <w:t>。</w:t>
            </w:r>
          </w:p>
          <w:p w14:paraId="2BFE4A58">
            <w:pPr>
              <w:keepNext w:val="0"/>
              <w:keepLines w:val="0"/>
              <w:pageBreakBefore w:val="0"/>
              <w:widowControl w:val="0"/>
              <w:kinsoku/>
              <w:wordWrap/>
              <w:overflowPunct/>
              <w:topLinePunct w:val="0"/>
              <w:autoSpaceDE/>
              <w:autoSpaceDN/>
              <w:bidi w:val="0"/>
              <w:adjustRightInd w:val="0"/>
              <w:snapToGrid w:val="0"/>
              <w:spacing w:line="480" w:lineRule="exact"/>
              <w:ind w:leftChars="0" w:firstLine="482" w:firstLineChars="200"/>
              <w:textAlignment w:val="auto"/>
              <w:rPr>
                <w:rFonts w:hint="default" w:ascii="Times New Roman" w:hAnsi="Times New Roman" w:eastAsia="宋体" w:cs="Times New Roman"/>
                <w:b/>
                <w:bCs/>
                <w:snapToGrid w:val="0"/>
                <w:color w:val="auto"/>
                <w:kern w:val="0"/>
                <w:sz w:val="24"/>
                <w:szCs w:val="24"/>
                <w:highlight w:val="none"/>
              </w:rPr>
            </w:pPr>
            <w:r>
              <w:rPr>
                <w:rFonts w:hint="default" w:ascii="Times New Roman" w:hAnsi="Times New Roman" w:eastAsia="宋体" w:cs="Times New Roman"/>
                <w:b/>
                <w:bCs/>
                <w:snapToGrid w:val="0"/>
                <w:color w:val="auto"/>
                <w:kern w:val="0"/>
                <w:sz w:val="24"/>
                <w:szCs w:val="24"/>
                <w:highlight w:val="none"/>
                <w:lang w:val="en-US" w:eastAsia="zh-CN"/>
              </w:rPr>
              <w:t>六</w:t>
            </w:r>
            <w:r>
              <w:rPr>
                <w:rFonts w:hint="default" w:ascii="Times New Roman" w:hAnsi="Times New Roman" w:eastAsia="宋体" w:cs="Times New Roman"/>
                <w:b/>
                <w:bCs/>
                <w:snapToGrid w:val="0"/>
                <w:color w:val="auto"/>
                <w:kern w:val="0"/>
                <w:sz w:val="24"/>
                <w:szCs w:val="24"/>
                <w:highlight w:val="none"/>
              </w:rPr>
              <w:t>、环境风险影响</w:t>
            </w:r>
          </w:p>
          <w:p w14:paraId="12A93F5F">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（1）环境风险识别</w:t>
            </w:r>
          </w:p>
          <w:p w14:paraId="41B70EA8">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1）</w:t>
            </w:r>
            <w:r>
              <w:rPr>
                <w:rFonts w:hint="default"/>
                <w:color w:val="auto"/>
                <w:sz w:val="24"/>
                <w:szCs w:val="20"/>
                <w:highlight w:val="none"/>
              </w:rPr>
              <w:t>物质危险性识别</w:t>
            </w:r>
          </w:p>
          <w:p w14:paraId="1634DC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根据《建设项目环境风险评价技术导则》（HJ169-2018）附录B可知，本项目涉及的风险物质为</w:t>
            </w:r>
            <w:r>
              <w:rPr>
                <w:rFonts w:hint="eastAsia"/>
                <w:color w:val="auto"/>
                <w:kern w:val="0"/>
                <w:sz w:val="24"/>
                <w:szCs w:val="20"/>
                <w:highlight w:val="none"/>
                <w:lang w:val="en-US" w:eastAsia="zh-CN"/>
              </w:rPr>
              <w:t>废机油</w:t>
            </w:r>
            <w:r>
              <w:rPr>
                <w:rFonts w:hint="eastAsia"/>
                <w:color w:val="auto"/>
                <w:kern w:val="0"/>
                <w:sz w:val="24"/>
                <w:szCs w:val="20"/>
                <w:highlight w:val="none"/>
              </w:rPr>
              <w:t>；废</w:t>
            </w:r>
            <w:r>
              <w:rPr>
                <w:rFonts w:hint="eastAsia"/>
                <w:color w:val="auto"/>
                <w:kern w:val="0"/>
                <w:sz w:val="24"/>
                <w:szCs w:val="20"/>
                <w:highlight w:val="none"/>
                <w:lang w:val="en-US" w:eastAsia="zh-CN"/>
              </w:rPr>
              <w:t>机油</w:t>
            </w:r>
            <w:r>
              <w:rPr>
                <w:rFonts w:hint="eastAsia"/>
                <w:color w:val="auto"/>
                <w:kern w:val="0"/>
                <w:sz w:val="24"/>
                <w:szCs w:val="20"/>
                <w:highlight w:val="none"/>
              </w:rPr>
              <w:t>、废油桶不在厂内存储，</w:t>
            </w:r>
            <w:r>
              <w:rPr>
                <w:rFonts w:hint="eastAsia"/>
                <w:color w:val="auto"/>
                <w:kern w:val="0"/>
                <w:sz w:val="24"/>
                <w:szCs w:val="20"/>
                <w:highlight w:val="none"/>
                <w:lang w:val="en-US" w:eastAsia="zh-CN"/>
              </w:rPr>
              <w:t>随产随清，</w:t>
            </w:r>
            <w:r>
              <w:rPr>
                <w:rFonts w:hint="eastAsia"/>
                <w:color w:val="auto"/>
                <w:kern w:val="0"/>
                <w:sz w:val="24"/>
                <w:szCs w:val="20"/>
                <w:highlight w:val="none"/>
              </w:rPr>
              <w:t>更换时由具有危废处置资质的单位及时到厂清运</w:t>
            </w:r>
            <w:r>
              <w:rPr>
                <w:rFonts w:hint="default"/>
                <w:color w:val="auto"/>
                <w:kern w:val="0"/>
                <w:sz w:val="24"/>
                <w:szCs w:val="20"/>
                <w:highlight w:val="none"/>
              </w:rPr>
              <w:t>。</w:t>
            </w:r>
          </w:p>
          <w:p w14:paraId="518BEBC2">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kern w:val="0"/>
                <w:sz w:val="24"/>
                <w:szCs w:val="20"/>
                <w:highlight w:val="none"/>
              </w:rPr>
              <w:t>2）</w:t>
            </w:r>
            <w:r>
              <w:rPr>
                <w:rFonts w:hint="default"/>
                <w:color w:val="auto"/>
                <w:sz w:val="24"/>
                <w:szCs w:val="20"/>
                <w:highlight w:val="none"/>
              </w:rPr>
              <w:t>生产系统危险性识别</w:t>
            </w:r>
          </w:p>
          <w:p w14:paraId="40EDC770">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sz w:val="24"/>
                <w:szCs w:val="20"/>
                <w:highlight w:val="none"/>
              </w:rPr>
              <w:t>生产系统危险性识别，包括主要生产装置、储运设施、公用工程和辅助生产设施，以及环境保护设施等。项目生产系统危险性识别主要为</w:t>
            </w:r>
            <w:r>
              <w:rPr>
                <w:rFonts w:hint="eastAsia"/>
                <w:color w:val="auto"/>
                <w:sz w:val="24"/>
                <w:szCs w:val="20"/>
                <w:highlight w:val="none"/>
              </w:rPr>
              <w:t>生产车间</w:t>
            </w:r>
            <w:r>
              <w:rPr>
                <w:rFonts w:hint="default"/>
                <w:color w:val="auto"/>
                <w:sz w:val="24"/>
                <w:szCs w:val="20"/>
                <w:highlight w:val="none"/>
              </w:rPr>
              <w:t>。</w:t>
            </w:r>
          </w:p>
          <w:p w14:paraId="731EEC2D">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kern w:val="0"/>
                <w:sz w:val="24"/>
                <w:szCs w:val="20"/>
                <w:highlight w:val="none"/>
              </w:rPr>
              <w:t>3）</w:t>
            </w:r>
            <w:r>
              <w:rPr>
                <w:rFonts w:hint="default"/>
                <w:color w:val="auto"/>
                <w:sz w:val="24"/>
                <w:szCs w:val="20"/>
                <w:highlight w:val="none"/>
              </w:rPr>
              <w:t>危险物质向环境转移的途径识别</w:t>
            </w:r>
          </w:p>
          <w:p w14:paraId="0F1F6DA0">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color w:val="auto"/>
                <w:sz w:val="24"/>
                <w:szCs w:val="20"/>
                <w:highlight w:val="none"/>
              </w:rPr>
            </w:pPr>
            <w:r>
              <w:rPr>
                <w:rFonts w:hint="default"/>
                <w:color w:val="auto"/>
                <w:sz w:val="24"/>
                <w:szCs w:val="20"/>
                <w:highlight w:val="none"/>
              </w:rPr>
              <w:t>①</w:t>
            </w:r>
            <w:r>
              <w:rPr>
                <w:rFonts w:hint="eastAsia"/>
                <w:color w:val="auto"/>
                <w:sz w:val="24"/>
                <w:szCs w:val="20"/>
                <w:highlight w:val="none"/>
                <w:lang w:val="en-US" w:eastAsia="zh-CN"/>
              </w:rPr>
              <w:t>废</w:t>
            </w:r>
            <w:r>
              <w:rPr>
                <w:rFonts w:hint="eastAsia"/>
                <w:color w:val="auto"/>
                <w:kern w:val="0"/>
                <w:sz w:val="24"/>
                <w:szCs w:val="20"/>
                <w:highlight w:val="none"/>
                <w:lang w:val="en-US" w:eastAsia="zh-CN"/>
              </w:rPr>
              <w:t>机油</w:t>
            </w:r>
            <w:r>
              <w:rPr>
                <w:rFonts w:hint="eastAsia"/>
                <w:color w:val="auto"/>
                <w:sz w:val="24"/>
                <w:szCs w:val="20"/>
                <w:highlight w:val="none"/>
              </w:rPr>
              <w:t>风险</w:t>
            </w:r>
            <w:r>
              <w:rPr>
                <w:rFonts w:hint="default"/>
                <w:color w:val="auto"/>
                <w:sz w:val="24"/>
                <w:szCs w:val="20"/>
                <w:highlight w:val="none"/>
              </w:rPr>
              <w:t>扩散途径主要为火灾产生的次生污染物向大气扩散。本项目涉及的风险物质</w:t>
            </w:r>
            <w:r>
              <w:rPr>
                <w:rFonts w:hint="eastAsia"/>
                <w:color w:val="auto"/>
                <w:sz w:val="24"/>
                <w:szCs w:val="20"/>
                <w:highlight w:val="none"/>
              </w:rPr>
              <w:t>如下表所示。</w:t>
            </w:r>
          </w:p>
          <w:p w14:paraId="6D8C929C">
            <w:pPr>
              <w:keepNext w:val="0"/>
              <w:keepLines w:val="0"/>
              <w:suppressLineNumbers w:val="0"/>
              <w:spacing w:before="0" w:beforeAutospacing="0" w:after="0" w:afterAutospacing="0" w:line="480" w:lineRule="exact"/>
              <w:ind w:left="0" w:right="0"/>
              <w:jc w:val="center"/>
              <w:rPr>
                <w:rFonts w:hint="eastAsia"/>
                <w:b/>
                <w:color w:val="auto"/>
                <w:spacing w:val="4"/>
                <w:sz w:val="24"/>
                <w:szCs w:val="20"/>
                <w:highlight w:val="none"/>
              </w:rPr>
            </w:pPr>
            <w:r>
              <w:rPr>
                <w:rFonts w:hint="eastAsia"/>
                <w:b/>
                <w:color w:val="auto"/>
                <w:spacing w:val="4"/>
                <w:sz w:val="24"/>
                <w:szCs w:val="20"/>
                <w:highlight w:val="none"/>
              </w:rPr>
              <w:t>表4-1</w:t>
            </w:r>
            <w:r>
              <w:rPr>
                <w:rFonts w:hint="eastAsia"/>
                <w:b/>
                <w:color w:val="auto"/>
                <w:spacing w:val="4"/>
                <w:sz w:val="24"/>
                <w:szCs w:val="20"/>
                <w:highlight w:val="none"/>
                <w:lang w:val="en-US" w:eastAsia="zh-CN"/>
              </w:rPr>
              <w:t xml:space="preserve">1  </w:t>
            </w:r>
            <w:r>
              <w:rPr>
                <w:rFonts w:hint="eastAsia"/>
                <w:b/>
                <w:color w:val="auto"/>
                <w:spacing w:val="4"/>
                <w:sz w:val="24"/>
                <w:szCs w:val="20"/>
                <w:highlight w:val="none"/>
              </w:rPr>
              <w:t xml:space="preserve">  项目危险物质的数量和分布情况</w:t>
            </w:r>
          </w:p>
          <w:tbl>
            <w:tblPr>
              <w:tblStyle w:val="36"/>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0"/>
              <w:gridCol w:w="1892"/>
              <w:gridCol w:w="1897"/>
              <w:gridCol w:w="2073"/>
            </w:tblGrid>
            <w:tr w14:paraId="2528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2" w:type="pct"/>
                  <w:tcBorders>
                    <w:tl2br w:val="nil"/>
                    <w:tr2bl w:val="nil"/>
                  </w:tcBorders>
                  <w:noWrap w:val="0"/>
                  <w:vAlign w:val="center"/>
                </w:tcPr>
                <w:p w14:paraId="0021EAC7">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名称</w:t>
                  </w:r>
                </w:p>
              </w:tc>
              <w:tc>
                <w:tcPr>
                  <w:tcW w:w="1135" w:type="pct"/>
                  <w:tcBorders>
                    <w:tl2br w:val="nil"/>
                    <w:tr2bl w:val="nil"/>
                  </w:tcBorders>
                  <w:noWrap w:val="0"/>
                  <w:vAlign w:val="center"/>
                </w:tcPr>
                <w:p w14:paraId="7B49AF00">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储存位置</w:t>
                  </w:r>
                </w:p>
              </w:tc>
              <w:tc>
                <w:tcPr>
                  <w:tcW w:w="1138" w:type="pct"/>
                  <w:tcBorders>
                    <w:tl2br w:val="nil"/>
                    <w:tr2bl w:val="nil"/>
                  </w:tcBorders>
                  <w:noWrap w:val="0"/>
                  <w:vAlign w:val="center"/>
                </w:tcPr>
                <w:p w14:paraId="04E14CC9">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CAS号</w:t>
                  </w:r>
                </w:p>
              </w:tc>
              <w:tc>
                <w:tcPr>
                  <w:tcW w:w="1243" w:type="pct"/>
                  <w:tcBorders>
                    <w:tl2br w:val="nil"/>
                    <w:tr2bl w:val="nil"/>
                  </w:tcBorders>
                  <w:noWrap w:val="0"/>
                  <w:vAlign w:val="center"/>
                </w:tcPr>
                <w:p w14:paraId="12154213">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最大储存量</w:t>
                  </w:r>
                </w:p>
              </w:tc>
            </w:tr>
            <w:tr w14:paraId="2003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2" w:type="pct"/>
                  <w:tcBorders>
                    <w:tl2br w:val="nil"/>
                    <w:tr2bl w:val="nil"/>
                  </w:tcBorders>
                  <w:noWrap w:val="0"/>
                  <w:vAlign w:val="center"/>
                </w:tcPr>
                <w:p w14:paraId="383FABEE">
                  <w:pPr>
                    <w:keepNext w:val="0"/>
                    <w:keepLines w:val="0"/>
                    <w:suppressLineNumbers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val="en-US" w:eastAsia="zh-CN"/>
                    </w:rPr>
                    <w:t>废机油</w:t>
                  </w:r>
                </w:p>
              </w:tc>
              <w:tc>
                <w:tcPr>
                  <w:tcW w:w="1135" w:type="pct"/>
                  <w:tcBorders>
                    <w:tl2br w:val="nil"/>
                    <w:tr2bl w:val="nil"/>
                  </w:tcBorders>
                  <w:noWrap w:val="0"/>
                  <w:vAlign w:val="center"/>
                </w:tcPr>
                <w:p w14:paraId="2CC31668">
                  <w:pPr>
                    <w:keepNext w:val="0"/>
                    <w:keepLines w:val="0"/>
                    <w:suppressLineNumbers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设备</w:t>
                  </w:r>
                </w:p>
              </w:tc>
              <w:tc>
                <w:tcPr>
                  <w:tcW w:w="1138" w:type="pct"/>
                  <w:tcBorders>
                    <w:tl2br w:val="nil"/>
                    <w:tr2bl w:val="nil"/>
                  </w:tcBorders>
                  <w:noWrap w:val="0"/>
                  <w:vAlign w:val="center"/>
                </w:tcPr>
                <w:p w14:paraId="7B9B29ED">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c>
                <w:tcPr>
                  <w:tcW w:w="1243" w:type="pct"/>
                  <w:tcBorders>
                    <w:tl2br w:val="nil"/>
                    <w:tr2bl w:val="nil"/>
                  </w:tcBorders>
                  <w:noWrap w:val="0"/>
                  <w:vAlign w:val="center"/>
                </w:tcPr>
                <w:p w14:paraId="7DAC6250">
                  <w:pPr>
                    <w:keepNext w:val="0"/>
                    <w:keepLines w:val="0"/>
                    <w:suppressLineNumbers w:val="0"/>
                    <w:snapToGrid w:val="0"/>
                    <w:spacing w:before="0" w:beforeAutospacing="0" w:after="0" w:afterAutospacing="0" w:line="300" w:lineRule="exact"/>
                    <w:ind w:left="0" w:right="0"/>
                    <w:jc w:val="center"/>
                    <w:rPr>
                      <w:rFonts w:hint="default"/>
                      <w:color w:val="auto"/>
                      <w:szCs w:val="21"/>
                      <w:highlight w:val="none"/>
                    </w:rPr>
                  </w:pPr>
                  <w:r>
                    <w:rPr>
                      <w:rFonts w:hint="eastAsia"/>
                      <w:color w:val="auto"/>
                      <w:szCs w:val="21"/>
                      <w:highlight w:val="none"/>
                    </w:rPr>
                    <w:t>0.0</w:t>
                  </w:r>
                  <w:r>
                    <w:rPr>
                      <w:rFonts w:hint="eastAsia"/>
                      <w:color w:val="auto"/>
                      <w:szCs w:val="21"/>
                      <w:highlight w:val="none"/>
                      <w:lang w:val="en-US" w:eastAsia="zh-CN"/>
                    </w:rPr>
                    <w:t>5</w:t>
                  </w:r>
                  <w:r>
                    <w:rPr>
                      <w:rFonts w:hint="default"/>
                      <w:color w:val="auto"/>
                      <w:szCs w:val="21"/>
                      <w:highlight w:val="none"/>
                    </w:rPr>
                    <w:t>t/a</w:t>
                  </w:r>
                </w:p>
              </w:tc>
            </w:tr>
          </w:tbl>
          <w:p w14:paraId="593FC0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②环境风险潜势初判</w:t>
            </w:r>
          </w:p>
          <w:p w14:paraId="49CF271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80" w:lineRule="exact"/>
              <w:ind w:left="0" w:right="0" w:firstLine="480" w:firstLineChars="200"/>
              <w:jc w:val="left"/>
              <w:textAlignment w:val="auto"/>
              <w:rPr>
                <w:rFonts w:hint="default"/>
                <w:color w:val="auto"/>
                <w:sz w:val="24"/>
                <w:szCs w:val="20"/>
                <w:highlight w:val="none"/>
              </w:rPr>
            </w:pPr>
            <w:r>
              <w:rPr>
                <w:rFonts w:hint="default"/>
                <w:color w:val="auto"/>
                <w:sz w:val="24"/>
                <w:szCs w:val="20"/>
                <w:highlight w:val="none"/>
              </w:rPr>
              <w:t>对照《建设项目环境风险评价技术导则》（HJ169-2018）的规定，项目Q值计算如下：本项目涉及物料Q值确定情况见</w:t>
            </w:r>
            <w:r>
              <w:rPr>
                <w:rFonts w:hint="eastAsia"/>
                <w:color w:val="auto"/>
                <w:sz w:val="24"/>
                <w:szCs w:val="20"/>
                <w:highlight w:val="none"/>
                <w:lang w:val="en-US" w:eastAsia="zh-CN"/>
              </w:rPr>
              <w:t>下表</w:t>
            </w:r>
            <w:r>
              <w:rPr>
                <w:rFonts w:hint="default"/>
                <w:color w:val="auto"/>
                <w:sz w:val="24"/>
                <w:szCs w:val="20"/>
                <w:highlight w:val="none"/>
              </w:rPr>
              <w:t>。</w:t>
            </w:r>
          </w:p>
          <w:p w14:paraId="1D18D43F">
            <w:pPr>
              <w:keepNext w:val="0"/>
              <w:keepLines w:val="0"/>
              <w:suppressLineNumbers w:val="0"/>
              <w:spacing w:before="0" w:beforeAutospacing="0" w:after="0" w:afterAutospacing="0" w:line="480" w:lineRule="exact"/>
              <w:ind w:left="0" w:right="0"/>
              <w:jc w:val="center"/>
              <w:rPr>
                <w:rFonts w:hint="eastAsia"/>
                <w:b/>
                <w:color w:val="auto"/>
                <w:spacing w:val="4"/>
                <w:sz w:val="24"/>
                <w:szCs w:val="20"/>
                <w:highlight w:val="none"/>
              </w:rPr>
            </w:pPr>
            <w:r>
              <w:rPr>
                <w:rFonts w:hint="eastAsia"/>
                <w:b/>
                <w:color w:val="auto"/>
                <w:spacing w:val="4"/>
                <w:sz w:val="24"/>
                <w:szCs w:val="20"/>
                <w:highlight w:val="none"/>
              </w:rPr>
              <w:t>表4-</w:t>
            </w:r>
            <w:r>
              <w:rPr>
                <w:rFonts w:hint="eastAsia"/>
                <w:b/>
                <w:color w:val="auto"/>
                <w:spacing w:val="4"/>
                <w:sz w:val="24"/>
                <w:szCs w:val="20"/>
                <w:highlight w:val="none"/>
                <w:lang w:val="en-US" w:eastAsia="zh-CN"/>
              </w:rPr>
              <w:t>12</w:t>
            </w:r>
            <w:r>
              <w:rPr>
                <w:rFonts w:hint="eastAsia"/>
                <w:b/>
                <w:color w:val="auto"/>
                <w:spacing w:val="4"/>
                <w:sz w:val="24"/>
                <w:szCs w:val="20"/>
                <w:highlight w:val="none"/>
              </w:rPr>
              <w:t xml:space="preserve">  </w:t>
            </w:r>
            <w:r>
              <w:rPr>
                <w:rFonts w:hint="eastAsia"/>
                <w:b/>
                <w:color w:val="auto"/>
                <w:spacing w:val="4"/>
                <w:sz w:val="24"/>
                <w:szCs w:val="20"/>
                <w:highlight w:val="none"/>
                <w:lang w:val="en-US" w:eastAsia="zh-CN"/>
              </w:rPr>
              <w:t xml:space="preserve">  </w:t>
            </w:r>
            <w:r>
              <w:rPr>
                <w:rFonts w:hint="eastAsia"/>
                <w:b/>
                <w:color w:val="auto"/>
                <w:spacing w:val="4"/>
                <w:sz w:val="24"/>
                <w:szCs w:val="20"/>
                <w:highlight w:val="none"/>
              </w:rPr>
              <w:t>项目风险潜势确定表</w:t>
            </w:r>
          </w:p>
          <w:tbl>
            <w:tblPr>
              <w:tblStyle w:val="36"/>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38"/>
              <w:gridCol w:w="1861"/>
              <w:gridCol w:w="1794"/>
              <w:gridCol w:w="1705"/>
              <w:gridCol w:w="2158"/>
            </w:tblGrid>
            <w:tr w14:paraId="69F6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501" w:type="pct"/>
                  <w:tcBorders>
                    <w:tl2br w:val="nil"/>
                    <w:tr2bl w:val="nil"/>
                  </w:tcBorders>
                  <w:noWrap w:val="0"/>
                  <w:vAlign w:val="center"/>
                </w:tcPr>
                <w:p w14:paraId="5A6A2C02">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序号</w:t>
                  </w:r>
                </w:p>
              </w:tc>
              <w:tc>
                <w:tcPr>
                  <w:tcW w:w="1113" w:type="pct"/>
                  <w:tcBorders>
                    <w:tl2br w:val="nil"/>
                    <w:tr2bl w:val="nil"/>
                  </w:tcBorders>
                  <w:noWrap w:val="0"/>
                  <w:vAlign w:val="center"/>
                </w:tcPr>
                <w:p w14:paraId="51423D46">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风险物质名称</w:t>
                  </w:r>
                </w:p>
              </w:tc>
              <w:tc>
                <w:tcPr>
                  <w:tcW w:w="1073" w:type="pct"/>
                  <w:tcBorders>
                    <w:tl2br w:val="nil"/>
                    <w:tr2bl w:val="nil"/>
                  </w:tcBorders>
                  <w:noWrap w:val="0"/>
                  <w:vAlign w:val="center"/>
                </w:tcPr>
                <w:p w14:paraId="1EAB632E">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最大存在量/t</w:t>
                  </w:r>
                </w:p>
              </w:tc>
              <w:tc>
                <w:tcPr>
                  <w:tcW w:w="1020" w:type="pct"/>
                  <w:tcBorders>
                    <w:tl2br w:val="nil"/>
                    <w:tr2bl w:val="nil"/>
                  </w:tcBorders>
                  <w:noWrap w:val="0"/>
                  <w:vAlign w:val="center"/>
                </w:tcPr>
                <w:p w14:paraId="602113E1">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临界量Q</w:t>
                  </w:r>
                  <w:r>
                    <w:rPr>
                      <w:rFonts w:hint="default"/>
                      <w:b w:val="0"/>
                      <w:bCs w:val="0"/>
                      <w:color w:val="auto"/>
                      <w:kern w:val="0"/>
                      <w:szCs w:val="21"/>
                      <w:highlight w:val="none"/>
                      <w:vertAlign w:val="subscript"/>
                    </w:rPr>
                    <w:t>n</w:t>
                  </w:r>
                  <w:r>
                    <w:rPr>
                      <w:rFonts w:hint="default"/>
                      <w:b w:val="0"/>
                      <w:bCs w:val="0"/>
                      <w:color w:val="auto"/>
                      <w:kern w:val="0"/>
                      <w:szCs w:val="21"/>
                      <w:highlight w:val="none"/>
                    </w:rPr>
                    <w:t>/t</w:t>
                  </w:r>
                </w:p>
              </w:tc>
              <w:tc>
                <w:tcPr>
                  <w:tcW w:w="1291" w:type="pct"/>
                  <w:tcBorders>
                    <w:tl2br w:val="nil"/>
                    <w:tr2bl w:val="nil"/>
                  </w:tcBorders>
                  <w:noWrap w:val="0"/>
                  <w:vAlign w:val="center"/>
                </w:tcPr>
                <w:p w14:paraId="6F16EE54">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风险物质Q值</w:t>
                  </w:r>
                </w:p>
              </w:tc>
            </w:tr>
            <w:tr w14:paraId="5BE9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jc w:val="center"/>
              </w:trPr>
              <w:tc>
                <w:tcPr>
                  <w:tcW w:w="501" w:type="pct"/>
                  <w:tcBorders>
                    <w:tl2br w:val="nil"/>
                    <w:tr2bl w:val="nil"/>
                  </w:tcBorders>
                  <w:noWrap w:val="0"/>
                  <w:vAlign w:val="center"/>
                </w:tcPr>
                <w:p w14:paraId="797497CE">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default"/>
                      <w:color w:val="auto"/>
                      <w:kern w:val="0"/>
                      <w:szCs w:val="21"/>
                      <w:highlight w:val="none"/>
                    </w:rPr>
                    <w:t>1</w:t>
                  </w:r>
                </w:p>
              </w:tc>
              <w:tc>
                <w:tcPr>
                  <w:tcW w:w="1113" w:type="pct"/>
                  <w:tcBorders>
                    <w:tl2br w:val="nil"/>
                    <w:tr2bl w:val="nil"/>
                  </w:tcBorders>
                  <w:noWrap w:val="0"/>
                  <w:vAlign w:val="center"/>
                </w:tcPr>
                <w:p w14:paraId="04D93657">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废机油</w:t>
                  </w:r>
                </w:p>
              </w:tc>
              <w:tc>
                <w:tcPr>
                  <w:tcW w:w="1073" w:type="pct"/>
                  <w:tcBorders>
                    <w:tl2br w:val="nil"/>
                    <w:tr2bl w:val="nil"/>
                  </w:tcBorders>
                  <w:noWrap w:val="0"/>
                  <w:vAlign w:val="center"/>
                </w:tcPr>
                <w:p w14:paraId="4E6EB5BF">
                  <w:pPr>
                    <w:keepNext w:val="0"/>
                    <w:keepLines w:val="0"/>
                    <w:suppressLineNumbers w:val="0"/>
                    <w:snapToGrid w:val="0"/>
                    <w:spacing w:before="0" w:beforeAutospacing="0" w:after="0" w:afterAutospacing="0" w:line="300" w:lineRule="exact"/>
                    <w:ind w:left="0" w:right="0"/>
                    <w:jc w:val="center"/>
                    <w:rPr>
                      <w:rFonts w:hint="default"/>
                      <w:color w:val="auto"/>
                      <w:szCs w:val="21"/>
                      <w:highlight w:val="none"/>
                    </w:rPr>
                  </w:pPr>
                  <w:r>
                    <w:rPr>
                      <w:rFonts w:hint="default"/>
                      <w:color w:val="auto"/>
                      <w:szCs w:val="21"/>
                      <w:highlight w:val="none"/>
                    </w:rPr>
                    <w:t>0.</w:t>
                  </w:r>
                  <w:r>
                    <w:rPr>
                      <w:rFonts w:hint="eastAsia"/>
                      <w:color w:val="auto"/>
                      <w:szCs w:val="21"/>
                      <w:highlight w:val="none"/>
                    </w:rPr>
                    <w:t>0</w:t>
                  </w:r>
                  <w:r>
                    <w:rPr>
                      <w:rFonts w:hint="eastAsia"/>
                      <w:color w:val="auto"/>
                      <w:szCs w:val="21"/>
                      <w:highlight w:val="none"/>
                      <w:lang w:val="en-US" w:eastAsia="zh-CN"/>
                    </w:rPr>
                    <w:t>5</w:t>
                  </w:r>
                  <w:r>
                    <w:rPr>
                      <w:rFonts w:hint="default"/>
                      <w:color w:val="auto"/>
                      <w:szCs w:val="21"/>
                      <w:highlight w:val="none"/>
                    </w:rPr>
                    <w:t>t/a</w:t>
                  </w:r>
                </w:p>
              </w:tc>
              <w:tc>
                <w:tcPr>
                  <w:tcW w:w="1020" w:type="pct"/>
                  <w:tcBorders>
                    <w:tl2br w:val="nil"/>
                    <w:tr2bl w:val="nil"/>
                  </w:tcBorders>
                  <w:noWrap w:val="0"/>
                  <w:vAlign w:val="center"/>
                </w:tcPr>
                <w:p w14:paraId="0557AD3F">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eastAsia"/>
                      <w:color w:val="auto"/>
                      <w:kern w:val="0"/>
                      <w:szCs w:val="21"/>
                      <w:highlight w:val="none"/>
                    </w:rPr>
                    <w:t>2500</w:t>
                  </w:r>
                </w:p>
              </w:tc>
              <w:tc>
                <w:tcPr>
                  <w:tcW w:w="1291" w:type="pct"/>
                  <w:tcBorders>
                    <w:tl2br w:val="nil"/>
                    <w:tr2bl w:val="nil"/>
                  </w:tcBorders>
                  <w:noWrap w:val="0"/>
                  <w:vAlign w:val="center"/>
                </w:tcPr>
                <w:p w14:paraId="6DFD71FB">
                  <w:pPr>
                    <w:keepNext w:val="0"/>
                    <w:keepLines w:val="0"/>
                    <w:widowControl/>
                    <w:suppressLineNumbers w:val="0"/>
                    <w:snapToGrid w:val="0"/>
                    <w:spacing w:before="0" w:beforeAutospacing="0" w:after="0" w:afterAutospacing="0"/>
                    <w:ind w:left="0" w:right="0"/>
                    <w:jc w:val="center"/>
                    <w:rPr>
                      <w:rFonts w:hint="default" w:eastAsia="宋体"/>
                      <w:color w:val="auto"/>
                      <w:kern w:val="0"/>
                      <w:szCs w:val="21"/>
                      <w:highlight w:val="none"/>
                      <w:lang w:val="en-US" w:eastAsia="zh-CN" w:bidi="ar"/>
                    </w:rPr>
                  </w:pPr>
                  <w:r>
                    <w:rPr>
                      <w:rFonts w:hint="eastAsia"/>
                      <w:color w:val="auto"/>
                      <w:kern w:val="0"/>
                      <w:szCs w:val="21"/>
                      <w:highlight w:val="none"/>
                      <w:lang w:bidi="ar"/>
                    </w:rPr>
                    <w:t>0.</w:t>
                  </w:r>
                  <w:r>
                    <w:rPr>
                      <w:rFonts w:hint="eastAsia"/>
                      <w:color w:val="auto"/>
                      <w:kern w:val="0"/>
                      <w:szCs w:val="21"/>
                      <w:highlight w:val="none"/>
                      <w:lang w:val="en-US" w:eastAsia="zh-CN" w:bidi="ar"/>
                    </w:rPr>
                    <w:t>00002</w:t>
                  </w:r>
                </w:p>
              </w:tc>
            </w:tr>
            <w:tr w14:paraId="3285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3708" w:type="pct"/>
                  <w:gridSpan w:val="4"/>
                  <w:tcBorders>
                    <w:tl2br w:val="nil"/>
                    <w:tr2bl w:val="nil"/>
                  </w:tcBorders>
                  <w:noWrap w:val="0"/>
                  <w:vAlign w:val="center"/>
                </w:tcPr>
                <w:p w14:paraId="02AFA841">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default"/>
                      <w:color w:val="auto"/>
                      <w:kern w:val="0"/>
                      <w:szCs w:val="21"/>
                      <w:highlight w:val="none"/>
                    </w:rPr>
                    <w:t>项目Q值Σ</w:t>
                  </w:r>
                </w:p>
              </w:tc>
              <w:tc>
                <w:tcPr>
                  <w:tcW w:w="1291" w:type="pct"/>
                  <w:tcBorders>
                    <w:tl2br w:val="nil"/>
                    <w:tr2bl w:val="nil"/>
                  </w:tcBorders>
                  <w:noWrap w:val="0"/>
                  <w:vAlign w:val="center"/>
                </w:tcPr>
                <w:p w14:paraId="021F2FBF">
                  <w:pPr>
                    <w:keepNext w:val="0"/>
                    <w:keepLines w:val="0"/>
                    <w:widowControl/>
                    <w:suppressLineNumbers w:val="0"/>
                    <w:snapToGrid w:val="0"/>
                    <w:spacing w:before="0" w:beforeAutospacing="0" w:after="0" w:afterAutospacing="0"/>
                    <w:ind w:left="0" w:right="0"/>
                    <w:jc w:val="center"/>
                    <w:rPr>
                      <w:rFonts w:hint="default" w:eastAsia="宋体"/>
                      <w:color w:val="auto"/>
                      <w:kern w:val="0"/>
                      <w:szCs w:val="21"/>
                      <w:highlight w:val="none"/>
                      <w:lang w:val="en-US" w:eastAsia="zh-CN"/>
                    </w:rPr>
                  </w:pPr>
                  <w:r>
                    <w:rPr>
                      <w:rFonts w:hint="eastAsia"/>
                      <w:color w:val="auto"/>
                      <w:kern w:val="0"/>
                      <w:szCs w:val="21"/>
                      <w:highlight w:val="none"/>
                    </w:rPr>
                    <w:t>0.0000</w:t>
                  </w:r>
                  <w:r>
                    <w:rPr>
                      <w:rFonts w:hint="eastAsia"/>
                      <w:color w:val="auto"/>
                      <w:kern w:val="0"/>
                      <w:szCs w:val="21"/>
                      <w:highlight w:val="none"/>
                      <w:lang w:val="en-US" w:eastAsia="zh-CN"/>
                    </w:rPr>
                    <w:t>2</w:t>
                  </w:r>
                </w:p>
              </w:tc>
            </w:tr>
          </w:tbl>
          <w:p w14:paraId="6CB48CCD">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项目Q=0.000</w:t>
            </w:r>
            <w:r>
              <w:rPr>
                <w:rFonts w:hint="eastAsia"/>
                <w:color w:val="auto"/>
                <w:kern w:val="0"/>
                <w:sz w:val="24"/>
                <w:szCs w:val="20"/>
                <w:highlight w:val="none"/>
              </w:rPr>
              <w:t>0</w:t>
            </w:r>
            <w:r>
              <w:rPr>
                <w:rFonts w:hint="eastAsia"/>
                <w:color w:val="auto"/>
                <w:kern w:val="0"/>
                <w:sz w:val="24"/>
                <w:szCs w:val="20"/>
                <w:highlight w:val="none"/>
                <w:lang w:val="en-US" w:eastAsia="zh-CN"/>
              </w:rPr>
              <w:t>2</w:t>
            </w:r>
            <w:r>
              <w:rPr>
                <w:rFonts w:hint="default"/>
                <w:color w:val="auto"/>
                <w:kern w:val="0"/>
                <w:sz w:val="24"/>
                <w:szCs w:val="20"/>
                <w:highlight w:val="none"/>
              </w:rPr>
              <w:t>＜1。</w:t>
            </w:r>
          </w:p>
          <w:p w14:paraId="0E11629C">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left"/>
              <w:textAlignment w:val="auto"/>
              <w:rPr>
                <w:rFonts w:hint="default"/>
                <w:color w:val="auto"/>
                <w:sz w:val="24"/>
                <w:szCs w:val="22"/>
                <w:highlight w:val="none"/>
              </w:rPr>
            </w:pPr>
            <w:r>
              <w:rPr>
                <w:rFonts w:hint="default"/>
                <w:color w:val="auto"/>
                <w:kern w:val="0"/>
                <w:sz w:val="24"/>
                <w:szCs w:val="20"/>
                <w:highlight w:val="none"/>
              </w:rPr>
              <w:t>（2）</w:t>
            </w:r>
            <w:r>
              <w:rPr>
                <w:rFonts w:hint="default"/>
                <w:color w:val="auto"/>
                <w:sz w:val="24"/>
                <w:szCs w:val="22"/>
                <w:highlight w:val="none"/>
              </w:rPr>
              <w:t>风险源分析</w:t>
            </w:r>
          </w:p>
          <w:p w14:paraId="4A3D32E3">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both"/>
              <w:textAlignment w:val="auto"/>
              <w:rPr>
                <w:rFonts w:hint="default"/>
                <w:color w:val="auto"/>
                <w:sz w:val="24"/>
                <w:szCs w:val="22"/>
                <w:highlight w:val="none"/>
              </w:rPr>
            </w:pPr>
            <w:r>
              <w:rPr>
                <w:rFonts w:hint="default"/>
                <w:color w:val="auto"/>
                <w:sz w:val="24"/>
                <w:szCs w:val="22"/>
                <w:highlight w:val="none"/>
              </w:rPr>
              <w:t>项目</w:t>
            </w:r>
            <w:r>
              <w:rPr>
                <w:rFonts w:hint="eastAsia"/>
                <w:color w:val="auto"/>
                <w:sz w:val="24"/>
                <w:szCs w:val="22"/>
                <w:highlight w:val="none"/>
              </w:rPr>
              <w:t>风险物质</w:t>
            </w:r>
            <w:r>
              <w:rPr>
                <w:rFonts w:hint="default"/>
                <w:color w:val="auto"/>
                <w:sz w:val="24"/>
                <w:szCs w:val="22"/>
                <w:highlight w:val="none"/>
              </w:rPr>
              <w:t>发生</w:t>
            </w:r>
            <w:r>
              <w:rPr>
                <w:rFonts w:hint="eastAsia"/>
                <w:color w:val="auto"/>
                <w:sz w:val="24"/>
                <w:szCs w:val="22"/>
                <w:highlight w:val="none"/>
                <w:lang w:val="en-US" w:eastAsia="zh-CN"/>
              </w:rPr>
              <w:t>泄漏</w:t>
            </w:r>
            <w:r>
              <w:rPr>
                <w:rFonts w:hint="default"/>
                <w:color w:val="auto"/>
                <w:sz w:val="24"/>
                <w:szCs w:val="22"/>
                <w:highlight w:val="none"/>
              </w:rPr>
              <w:t>后，会污染土壤和地下水</w:t>
            </w:r>
            <w:r>
              <w:rPr>
                <w:rFonts w:hint="eastAsia"/>
                <w:color w:val="auto"/>
                <w:sz w:val="24"/>
                <w:szCs w:val="22"/>
                <w:highlight w:val="none"/>
              </w:rPr>
              <w:t>；物质</w:t>
            </w:r>
            <w:r>
              <w:rPr>
                <w:rFonts w:hint="default"/>
                <w:color w:val="auto"/>
                <w:sz w:val="24"/>
                <w:szCs w:val="22"/>
                <w:highlight w:val="none"/>
              </w:rPr>
              <w:t>为易燃</w:t>
            </w:r>
            <w:r>
              <w:rPr>
                <w:rFonts w:hint="eastAsia"/>
                <w:color w:val="auto"/>
                <w:sz w:val="24"/>
                <w:szCs w:val="22"/>
                <w:highlight w:val="none"/>
              </w:rPr>
              <w:t>液体</w:t>
            </w:r>
            <w:r>
              <w:rPr>
                <w:rFonts w:hint="default"/>
                <w:color w:val="auto"/>
                <w:sz w:val="24"/>
                <w:szCs w:val="22"/>
                <w:highlight w:val="none"/>
              </w:rPr>
              <w:t>，泄漏后遇明火和高热会发生火灾爆炸事故，在不完全燃烧的情况下会引发次生污染物 CO，CO在空气中的浓度高低会直接影响人体的健康</w:t>
            </w:r>
            <w:r>
              <w:rPr>
                <w:rFonts w:hint="eastAsia"/>
                <w:color w:val="auto"/>
                <w:sz w:val="24"/>
                <w:szCs w:val="22"/>
                <w:highlight w:val="none"/>
              </w:rPr>
              <w:t>，</w:t>
            </w:r>
            <w:r>
              <w:rPr>
                <w:rFonts w:hint="default"/>
                <w:color w:val="auto"/>
                <w:sz w:val="24"/>
                <w:szCs w:val="22"/>
                <w:highlight w:val="none"/>
              </w:rPr>
              <w:t>当事故发生后，根据风向进行疏散并启动应急预案，对人体健康影响不大，不会发生人员中毒死亡等严重后果。</w:t>
            </w:r>
          </w:p>
          <w:p w14:paraId="5E2F2821">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left"/>
              <w:textAlignment w:val="auto"/>
              <w:rPr>
                <w:rFonts w:hint="default"/>
                <w:color w:val="auto"/>
                <w:sz w:val="24"/>
                <w:szCs w:val="22"/>
                <w:highlight w:val="none"/>
              </w:rPr>
            </w:pPr>
            <w:r>
              <w:rPr>
                <w:rFonts w:hint="default"/>
                <w:color w:val="auto"/>
                <w:sz w:val="24"/>
                <w:szCs w:val="22"/>
                <w:highlight w:val="none"/>
              </w:rPr>
              <w:t>（3）可能影响环境的途径</w:t>
            </w:r>
          </w:p>
          <w:p w14:paraId="04F31532">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both"/>
              <w:textAlignment w:val="auto"/>
              <w:rPr>
                <w:rFonts w:hint="default"/>
                <w:color w:val="auto"/>
                <w:sz w:val="24"/>
                <w:szCs w:val="22"/>
                <w:highlight w:val="none"/>
              </w:rPr>
            </w:pPr>
            <w:r>
              <w:rPr>
                <w:rFonts w:hint="default"/>
                <w:color w:val="auto"/>
                <w:sz w:val="24"/>
                <w:szCs w:val="22"/>
                <w:highlight w:val="none"/>
              </w:rPr>
              <w:t>本项目</w:t>
            </w:r>
            <w:r>
              <w:rPr>
                <w:rFonts w:hint="eastAsia"/>
                <w:color w:val="auto"/>
                <w:sz w:val="24"/>
                <w:szCs w:val="22"/>
                <w:highlight w:val="none"/>
                <w:lang w:val="en-US" w:eastAsia="zh-CN"/>
              </w:rPr>
              <w:t>废机油</w:t>
            </w:r>
            <w:r>
              <w:rPr>
                <w:rFonts w:hint="default"/>
                <w:color w:val="auto"/>
                <w:sz w:val="24"/>
                <w:szCs w:val="22"/>
                <w:highlight w:val="none"/>
              </w:rPr>
              <w:t>发生破损泄漏，泄漏物污染土壤和地下水，泄漏后遇明火、高热等情况发生火灾、爆炸等事故，会引发伴生/次生污染，主要为不完全燃烧产生的CO在大气中扩散和消防废水对周围水环境产生影响。</w:t>
            </w:r>
          </w:p>
          <w:p w14:paraId="23799D4A">
            <w:pPr>
              <w:pStyle w:val="123"/>
              <w:keepNext w:val="0"/>
              <w:keepLines w:val="0"/>
              <w:pageBreakBefore w:val="0"/>
              <w:widowControl/>
              <w:suppressLineNumbers w:val="0"/>
              <w:kinsoku/>
              <w:wordWrap/>
              <w:overflowPunct/>
              <w:topLinePunct w:val="0"/>
              <w:bidi w:val="0"/>
              <w:spacing w:before="0" w:beforeAutospacing="0" w:after="0" w:afterAutospacing="0" w:line="480" w:lineRule="exact"/>
              <w:ind w:left="0" w:right="0"/>
              <w:textAlignment w:val="auto"/>
              <w:rPr>
                <w:rFonts w:hint="default"/>
                <w:bCs w:val="0"/>
                <w:color w:val="auto"/>
                <w:szCs w:val="24"/>
                <w:highlight w:val="none"/>
              </w:rPr>
            </w:pPr>
            <w:r>
              <w:rPr>
                <w:rFonts w:hint="default"/>
                <w:bCs w:val="0"/>
                <w:color w:val="auto"/>
                <w:kern w:val="0"/>
                <w:szCs w:val="24"/>
                <w:highlight w:val="none"/>
              </w:rPr>
              <w:t>（4）</w:t>
            </w:r>
            <w:r>
              <w:rPr>
                <w:rFonts w:hint="default"/>
                <w:bCs w:val="0"/>
                <w:color w:val="auto"/>
                <w:szCs w:val="24"/>
                <w:highlight w:val="none"/>
              </w:rPr>
              <w:t>风险防范措施</w:t>
            </w:r>
          </w:p>
          <w:p w14:paraId="1D7F6370">
            <w:pPr>
              <w:pStyle w:val="123"/>
              <w:keepNext w:val="0"/>
              <w:keepLines w:val="0"/>
              <w:pageBreakBefore w:val="0"/>
              <w:widowControl/>
              <w:suppressLineNumbers w:val="0"/>
              <w:kinsoku/>
              <w:wordWrap/>
              <w:overflowPunct/>
              <w:topLinePunct w:val="0"/>
              <w:bidi w:val="0"/>
              <w:spacing w:before="0" w:beforeAutospacing="0" w:after="0" w:afterAutospacing="0" w:line="480" w:lineRule="exact"/>
              <w:ind w:left="0" w:right="0"/>
              <w:textAlignment w:val="auto"/>
              <w:rPr>
                <w:rFonts w:hint="default"/>
                <w:bCs w:val="0"/>
                <w:color w:val="auto"/>
                <w:szCs w:val="24"/>
                <w:highlight w:val="none"/>
              </w:rPr>
            </w:pPr>
            <w:r>
              <w:rPr>
                <w:rFonts w:hint="default"/>
                <w:bCs w:val="0"/>
                <w:color w:val="auto"/>
                <w:szCs w:val="24"/>
                <w:highlight w:val="none"/>
              </w:rPr>
              <w:t>本项目风险源</w:t>
            </w:r>
            <w:r>
              <w:rPr>
                <w:rFonts w:hint="eastAsia"/>
                <w:bCs w:val="0"/>
                <w:color w:val="auto"/>
                <w:szCs w:val="24"/>
                <w:highlight w:val="none"/>
              </w:rPr>
              <w:t>主要为生产车间</w:t>
            </w:r>
            <w:r>
              <w:rPr>
                <w:rFonts w:hint="default"/>
                <w:bCs w:val="0"/>
                <w:color w:val="auto"/>
                <w:szCs w:val="24"/>
                <w:highlight w:val="none"/>
              </w:rPr>
              <w:t>，主要采取以下风险防范措施：</w:t>
            </w:r>
          </w:p>
          <w:p w14:paraId="09FAB37B">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color w:val="auto"/>
                <w:sz w:val="24"/>
                <w:highlight w:val="none"/>
              </w:rPr>
              <w:t>①</w:t>
            </w:r>
            <w:r>
              <w:rPr>
                <w:rFonts w:hint="default" w:ascii="Times New Roman" w:hAnsi="Times New Roman" w:cs="Times New Roman"/>
                <w:snapToGrid w:val="0"/>
                <w:color w:val="auto"/>
                <w:sz w:val="24"/>
                <w:szCs w:val="24"/>
                <w:lang w:eastAsia="zh-CN"/>
              </w:rPr>
              <w:t>严格执行</w:t>
            </w:r>
            <w:r>
              <w:rPr>
                <w:rFonts w:hint="eastAsia" w:ascii="Times New Roman" w:hAnsi="Times New Roman" w:cs="Times New Roman"/>
                <w:snapToGrid w:val="0"/>
                <w:color w:val="auto"/>
                <w:sz w:val="24"/>
                <w:szCs w:val="24"/>
                <w:lang w:eastAsia="zh-CN"/>
              </w:rPr>
              <w:t>“</w:t>
            </w:r>
            <w:r>
              <w:rPr>
                <w:rFonts w:hint="default" w:ascii="Times New Roman" w:hAnsi="Times New Roman" w:cs="Times New Roman"/>
                <w:snapToGrid w:val="0"/>
                <w:color w:val="auto"/>
                <w:sz w:val="24"/>
                <w:szCs w:val="24"/>
                <w:lang w:eastAsia="zh-CN"/>
              </w:rPr>
              <w:t>随产随清</w:t>
            </w:r>
            <w:r>
              <w:rPr>
                <w:rFonts w:hint="eastAsia" w:ascii="Times New Roman" w:hAnsi="Times New Roman" w:cs="Times New Roman"/>
                <w:snapToGrid w:val="0"/>
                <w:color w:val="auto"/>
                <w:sz w:val="24"/>
                <w:szCs w:val="24"/>
                <w:lang w:eastAsia="zh-CN"/>
              </w:rPr>
              <w:t>”</w:t>
            </w:r>
            <w:r>
              <w:rPr>
                <w:rFonts w:hint="default" w:ascii="Times New Roman" w:hAnsi="Times New Roman" w:cs="Times New Roman"/>
                <w:snapToGrid w:val="0"/>
                <w:color w:val="auto"/>
                <w:sz w:val="24"/>
                <w:szCs w:val="24"/>
                <w:lang w:eastAsia="zh-CN"/>
              </w:rPr>
              <w:t>要求</w:t>
            </w:r>
          </w:p>
          <w:p w14:paraId="72EC3F55">
            <w:pPr>
              <w:keepNext w:val="0"/>
              <w:keepLines w:val="0"/>
              <w:pageBreakBefore w:val="0"/>
              <w:widowControl w:val="0"/>
              <w:kinsoku/>
              <w:wordWrap/>
              <w:overflowPunct/>
              <w:topLinePunct w:val="0"/>
              <w:bidi w:val="0"/>
              <w:spacing w:line="480" w:lineRule="exact"/>
              <w:ind w:firstLine="480" w:firstLineChars="200"/>
              <w:textAlignment w:val="auto"/>
              <w:rPr>
                <w:rFonts w:hint="eastAsia"/>
                <w:color w:val="auto"/>
                <w:kern w:val="0"/>
                <w:sz w:val="24"/>
                <w:szCs w:val="20"/>
                <w:highlight w:val="none"/>
                <w:lang w:eastAsia="zh-CN"/>
              </w:rPr>
            </w:pPr>
            <w:r>
              <w:rPr>
                <w:rFonts w:hint="default" w:ascii="Times New Roman" w:hAnsi="Times New Roman" w:cs="Times New Roman"/>
                <w:snapToGrid w:val="0"/>
                <w:color w:val="auto"/>
                <w:sz w:val="24"/>
                <w:szCs w:val="24"/>
                <w:lang w:eastAsia="zh-CN"/>
              </w:rPr>
              <w:t>所有危险废物（包括废</w:t>
            </w:r>
            <w:r>
              <w:rPr>
                <w:rFonts w:hint="eastAsia" w:ascii="Times New Roman" w:hAnsi="Times New Roman" w:cs="Times New Roman"/>
                <w:snapToGrid w:val="0"/>
                <w:color w:val="auto"/>
                <w:sz w:val="24"/>
                <w:szCs w:val="24"/>
                <w:lang w:val="en-US" w:eastAsia="zh-CN"/>
              </w:rPr>
              <w:t>机</w:t>
            </w:r>
            <w:r>
              <w:rPr>
                <w:rFonts w:hint="default" w:ascii="Times New Roman" w:hAnsi="Times New Roman" w:cs="Times New Roman"/>
                <w:snapToGrid w:val="0"/>
                <w:color w:val="auto"/>
                <w:sz w:val="24"/>
                <w:szCs w:val="24"/>
                <w:lang w:eastAsia="zh-CN"/>
              </w:rPr>
              <w:t>油、废油桶等）不在厂区内贮存，</w:t>
            </w:r>
            <w:r>
              <w:rPr>
                <w:rFonts w:hint="eastAsia"/>
                <w:color w:val="auto"/>
                <w:kern w:val="0"/>
                <w:sz w:val="24"/>
                <w:szCs w:val="20"/>
                <w:highlight w:val="none"/>
                <w:lang w:val="en-US" w:eastAsia="zh-CN"/>
              </w:rPr>
              <w:t>随产随清，</w:t>
            </w:r>
            <w:r>
              <w:rPr>
                <w:rFonts w:hint="eastAsia"/>
                <w:color w:val="auto"/>
                <w:kern w:val="0"/>
                <w:sz w:val="24"/>
                <w:szCs w:val="20"/>
                <w:highlight w:val="none"/>
              </w:rPr>
              <w:t>更换时由具有危废处置资质的单位及时到厂清运</w:t>
            </w:r>
            <w:r>
              <w:rPr>
                <w:rFonts w:hint="eastAsia"/>
                <w:color w:val="auto"/>
                <w:kern w:val="0"/>
                <w:sz w:val="24"/>
                <w:szCs w:val="20"/>
                <w:highlight w:val="none"/>
                <w:lang w:eastAsia="zh-CN"/>
              </w:rPr>
              <w:t>。</w:t>
            </w:r>
          </w:p>
          <w:p w14:paraId="5D4BC3E6">
            <w:pPr>
              <w:keepNext w:val="0"/>
              <w:keepLines w:val="0"/>
              <w:pageBreakBefore w:val="0"/>
              <w:widowControl w:val="0"/>
              <w:kinsoku/>
              <w:wordWrap/>
              <w:overflowPunct/>
              <w:topLinePunct w:val="0"/>
              <w:bidi w:val="0"/>
              <w:spacing w:line="480" w:lineRule="exact"/>
              <w:ind w:firstLine="480" w:firstLineChars="200"/>
              <w:textAlignment w:val="auto"/>
              <w:rPr>
                <w:rFonts w:hint="eastAsia" w:eastAsia="宋体"/>
                <w:color w:val="auto"/>
                <w:kern w:val="0"/>
                <w:sz w:val="24"/>
                <w:szCs w:val="20"/>
                <w:highlight w:val="none"/>
                <w:lang w:val="en-US" w:eastAsia="zh-CN"/>
              </w:rPr>
            </w:pPr>
            <w:r>
              <w:rPr>
                <w:color w:val="auto"/>
                <w:sz w:val="24"/>
                <w:highlight w:val="none"/>
              </w:rPr>
              <w:t>②</w:t>
            </w:r>
            <w:r>
              <w:rPr>
                <w:rFonts w:hint="eastAsia"/>
                <w:color w:val="auto"/>
                <w:sz w:val="24"/>
                <w:highlight w:val="none"/>
                <w:lang w:val="en-US" w:eastAsia="zh-CN"/>
              </w:rPr>
              <w:t>防</w:t>
            </w:r>
            <w:r>
              <w:rPr>
                <w:rFonts w:hint="default" w:ascii="Times New Roman" w:hAnsi="Times New Roman" w:cs="Times New Roman"/>
                <w:snapToGrid w:val="0"/>
                <w:color w:val="auto"/>
                <w:sz w:val="24"/>
                <w:szCs w:val="24"/>
                <w:lang w:eastAsia="zh-CN"/>
              </w:rPr>
              <w:t>渗措施</w:t>
            </w:r>
          </w:p>
          <w:p w14:paraId="4B0AED7A">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cs="Times New Roman"/>
                <w:snapToGrid w:val="0"/>
                <w:color w:val="auto"/>
                <w:sz w:val="24"/>
                <w:szCs w:val="24"/>
                <w:lang w:eastAsia="zh-CN"/>
              </w:rPr>
            </w:pPr>
            <w:r>
              <w:rPr>
                <w:rFonts w:hint="eastAsia" w:ascii="Times New Roman" w:hAnsi="Times New Roman" w:cs="Times New Roman"/>
                <w:snapToGrid w:val="0"/>
                <w:color w:val="auto"/>
                <w:sz w:val="24"/>
                <w:szCs w:val="24"/>
                <w:lang w:val="en-US" w:eastAsia="zh-CN"/>
              </w:rPr>
              <w:t>机油产生设备所在</w:t>
            </w:r>
            <w:r>
              <w:rPr>
                <w:rFonts w:hint="default" w:ascii="Times New Roman" w:hAnsi="Times New Roman" w:cs="Times New Roman"/>
                <w:snapToGrid w:val="0"/>
                <w:color w:val="auto"/>
                <w:sz w:val="24"/>
                <w:szCs w:val="24"/>
                <w:lang w:eastAsia="zh-CN"/>
              </w:rPr>
              <w:t>地面</w:t>
            </w:r>
            <w:r>
              <w:rPr>
                <w:rFonts w:hint="eastAsia" w:ascii="Times New Roman" w:hAnsi="Times New Roman" w:cs="Times New Roman"/>
                <w:snapToGrid w:val="0"/>
                <w:color w:val="auto"/>
                <w:sz w:val="24"/>
                <w:szCs w:val="24"/>
                <w:lang w:val="en-US" w:eastAsia="zh-CN"/>
              </w:rPr>
              <w:t>区域</w:t>
            </w:r>
            <w:r>
              <w:rPr>
                <w:rFonts w:hint="default" w:ascii="Times New Roman" w:hAnsi="Times New Roman" w:cs="Times New Roman"/>
                <w:snapToGrid w:val="0"/>
                <w:color w:val="auto"/>
                <w:sz w:val="24"/>
                <w:szCs w:val="24"/>
                <w:lang w:eastAsia="zh-CN"/>
              </w:rPr>
              <w:t>采用重点防渗（等效黏土防渗层 Mb ≥ 6.0 m，渗透系数 K ≤ 1×10⁻⁷ cm/s），</w:t>
            </w:r>
            <w:r>
              <w:rPr>
                <w:rFonts w:hint="eastAsia" w:ascii="Times New Roman" w:hAnsi="Times New Roman" w:cs="Times New Roman"/>
                <w:snapToGrid w:val="0"/>
                <w:color w:val="auto"/>
                <w:sz w:val="24"/>
                <w:szCs w:val="24"/>
                <w:lang w:val="en-US" w:eastAsia="zh-CN"/>
              </w:rPr>
              <w:t>必要时</w:t>
            </w:r>
            <w:r>
              <w:rPr>
                <w:rFonts w:hint="default" w:ascii="Times New Roman" w:hAnsi="Times New Roman" w:cs="Times New Roman"/>
                <w:snapToGrid w:val="0"/>
                <w:color w:val="auto"/>
                <w:sz w:val="24"/>
                <w:szCs w:val="24"/>
                <w:lang w:eastAsia="zh-CN"/>
              </w:rPr>
              <w:t>设置围堰（高度≥15 cm）及导流沟</w:t>
            </w:r>
            <w:r>
              <w:rPr>
                <w:rFonts w:hint="eastAsia" w:ascii="Times New Roman" w:hAnsi="Times New Roman" w:cs="Times New Roman"/>
                <w:snapToGrid w:val="0"/>
                <w:color w:val="auto"/>
                <w:sz w:val="24"/>
                <w:szCs w:val="24"/>
                <w:lang w:eastAsia="zh-CN"/>
              </w:rPr>
              <w:t>。</w:t>
            </w:r>
          </w:p>
          <w:p w14:paraId="237B4B93">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color w:val="auto"/>
                <w:sz w:val="24"/>
                <w:highlight w:val="none"/>
              </w:rPr>
              <w:t>③消防、火灾</w:t>
            </w:r>
          </w:p>
          <w:p w14:paraId="06A4AA9F">
            <w:pPr>
              <w:keepNext w:val="0"/>
              <w:keepLines w:val="0"/>
              <w:pageBreakBefore w:val="0"/>
              <w:widowControl w:val="0"/>
              <w:kinsoku/>
              <w:wordWrap/>
              <w:overflowPunct/>
              <w:topLinePunct w:val="0"/>
              <w:bidi w:val="0"/>
              <w:snapToGrid w:val="0"/>
              <w:spacing w:line="480" w:lineRule="exact"/>
              <w:ind w:firstLine="480" w:firstLineChars="200"/>
              <w:jc w:val="left"/>
              <w:textAlignment w:val="auto"/>
              <w:rPr>
                <w:color w:val="auto"/>
                <w:sz w:val="24"/>
                <w:highlight w:val="none"/>
              </w:rPr>
            </w:pPr>
            <w:r>
              <w:rPr>
                <w:rFonts w:hint="eastAsia"/>
                <w:color w:val="auto"/>
                <w:sz w:val="24"/>
                <w:highlight w:val="none"/>
              </w:rPr>
              <w:t>生产</w:t>
            </w:r>
            <w:r>
              <w:rPr>
                <w:color w:val="auto"/>
                <w:sz w:val="24"/>
                <w:highlight w:val="none"/>
              </w:rPr>
              <w:t>车间配置应急工具和消防设施，定期组织演练，并会正确使用；按计划进行定期维护；厂区内设置有醒目的</w:t>
            </w:r>
            <w:r>
              <w:rPr>
                <w:rFonts w:hint="eastAsia"/>
                <w:color w:val="auto"/>
                <w:sz w:val="24"/>
                <w:highlight w:val="none"/>
                <w:lang w:eastAsia="zh-CN"/>
              </w:rPr>
              <w:t>“</w:t>
            </w:r>
            <w:r>
              <w:rPr>
                <w:color w:val="auto"/>
                <w:sz w:val="24"/>
                <w:highlight w:val="none"/>
              </w:rPr>
              <w:t>严禁烟火</w:t>
            </w:r>
            <w:r>
              <w:rPr>
                <w:rFonts w:hint="eastAsia"/>
                <w:color w:val="auto"/>
                <w:sz w:val="24"/>
                <w:highlight w:val="none"/>
                <w:lang w:eastAsia="zh-CN"/>
              </w:rPr>
              <w:t>”</w:t>
            </w:r>
            <w:r>
              <w:rPr>
                <w:color w:val="auto"/>
                <w:sz w:val="24"/>
                <w:highlight w:val="none"/>
              </w:rPr>
              <w:t>标志和防火安全制度。</w:t>
            </w:r>
          </w:p>
          <w:p w14:paraId="0E0FA280">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rFonts w:hint="eastAsia" w:ascii="宋体" w:hAnsi="宋体" w:eastAsia="宋体" w:cs="宋体"/>
                <w:color w:val="auto"/>
                <w:sz w:val="24"/>
                <w:highlight w:val="none"/>
              </w:rPr>
              <w:t>④</w:t>
            </w:r>
            <w:r>
              <w:rPr>
                <w:color w:val="auto"/>
                <w:sz w:val="24"/>
                <w:highlight w:val="none"/>
              </w:rPr>
              <w:t>管理防范措施</w:t>
            </w:r>
          </w:p>
          <w:p w14:paraId="08460E5A">
            <w:pPr>
              <w:keepNext w:val="0"/>
              <w:keepLines w:val="0"/>
              <w:pageBreakBefore w:val="0"/>
              <w:widowControl w:val="0"/>
              <w:kinsoku/>
              <w:wordWrap/>
              <w:overflowPunct/>
              <w:topLinePunct w:val="0"/>
              <w:bidi w:val="0"/>
              <w:snapToGrid w:val="0"/>
              <w:spacing w:line="480" w:lineRule="exact"/>
              <w:ind w:firstLine="480" w:firstLineChars="200"/>
              <w:jc w:val="left"/>
              <w:textAlignment w:val="auto"/>
              <w:rPr>
                <w:rFonts w:hint="eastAsia" w:eastAsia="宋体"/>
                <w:color w:val="auto"/>
                <w:sz w:val="24"/>
                <w:highlight w:val="none"/>
                <w:lang w:eastAsia="zh-CN"/>
              </w:rPr>
            </w:pPr>
            <w:r>
              <w:rPr>
                <w:rFonts w:hint="default" w:ascii="Times New Roman" w:hAnsi="Times New Roman" w:cs="Times New Roman"/>
                <w:snapToGrid w:val="0"/>
                <w:color w:val="auto"/>
                <w:sz w:val="24"/>
                <w:szCs w:val="24"/>
                <w:lang w:eastAsia="zh-CN"/>
              </w:rPr>
              <w:t>建立危废产生、转移电子台账，实现全过程可追溯</w:t>
            </w:r>
            <w:r>
              <w:rPr>
                <w:color w:val="auto"/>
                <w:sz w:val="24"/>
                <w:highlight w:val="none"/>
              </w:rPr>
              <w:t>；</w:t>
            </w:r>
            <w:r>
              <w:rPr>
                <w:rFonts w:hint="default" w:ascii="Times New Roman" w:hAnsi="Times New Roman" w:cs="Times New Roman"/>
                <w:snapToGrid w:val="0"/>
                <w:color w:val="auto"/>
                <w:sz w:val="24"/>
                <w:szCs w:val="24"/>
                <w:lang w:eastAsia="zh-CN"/>
              </w:rPr>
              <w:t>定期开展员工培训与应急演练，提升风险防范意识</w:t>
            </w:r>
            <w:r>
              <w:rPr>
                <w:rFonts w:hint="eastAsia"/>
                <w:color w:val="auto"/>
                <w:sz w:val="24"/>
                <w:highlight w:val="none"/>
                <w:lang w:eastAsia="zh-CN"/>
              </w:rPr>
              <w:t>。</w:t>
            </w:r>
          </w:p>
          <w:p w14:paraId="3E98D0C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color w:val="auto"/>
                <w:kern w:val="0"/>
                <w:sz w:val="24"/>
                <w:highlight w:val="none"/>
              </w:rPr>
            </w:pPr>
            <w:r>
              <w:rPr>
                <w:rFonts w:hint="default"/>
                <w:color w:val="auto"/>
                <w:sz w:val="24"/>
                <w:szCs w:val="20"/>
                <w:highlight w:val="none"/>
              </w:rPr>
              <w:t>采用以上措施后，可有效降低风险源处存在的潜在风险，项目在加强操作、</w:t>
            </w:r>
            <w:r>
              <w:rPr>
                <w:rFonts w:hint="eastAsia"/>
                <w:color w:val="auto"/>
                <w:sz w:val="24"/>
                <w:szCs w:val="20"/>
                <w:highlight w:val="none"/>
              </w:rPr>
              <w:t>车间</w:t>
            </w:r>
            <w:r>
              <w:rPr>
                <w:rFonts w:hint="default"/>
                <w:color w:val="auto"/>
                <w:sz w:val="24"/>
                <w:szCs w:val="20"/>
                <w:highlight w:val="none"/>
              </w:rPr>
              <w:t>管理，配置应急物资等措施后环境风险事故发生概率较低，对周围环境影响较小，环境风险可</w:t>
            </w:r>
            <w:r>
              <w:rPr>
                <w:rFonts w:hint="eastAsia"/>
                <w:color w:val="auto"/>
                <w:sz w:val="24"/>
                <w:szCs w:val="20"/>
                <w:highlight w:val="none"/>
              </w:rPr>
              <w:t>控</w:t>
            </w:r>
            <w:r>
              <w:rPr>
                <w:rFonts w:hint="default"/>
                <w:color w:val="auto"/>
                <w:sz w:val="24"/>
                <w:szCs w:val="20"/>
                <w:highlight w:val="none"/>
              </w:rPr>
              <w:t>。</w:t>
            </w:r>
          </w:p>
          <w:p w14:paraId="112474CC">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七</w:t>
            </w:r>
            <w:r>
              <w:rPr>
                <w:rFonts w:hint="default" w:ascii="Times New Roman" w:hAnsi="Times New Roman" w:cs="Times New Roman"/>
                <w:b/>
                <w:smallCaps w:val="0"/>
                <w:color w:val="auto"/>
                <w:spacing w:val="0"/>
                <w:highlight w:val="none"/>
              </w:rPr>
              <w:t>、生态环境</w:t>
            </w:r>
          </w:p>
          <w:p w14:paraId="7EC66523">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本</w:t>
            </w:r>
            <w:r>
              <w:rPr>
                <w:rFonts w:hint="default" w:ascii="Times New Roman" w:hAnsi="Times New Roman" w:cs="Times New Roman"/>
                <w:smallCaps w:val="0"/>
                <w:color w:val="auto"/>
                <w:spacing w:val="0"/>
                <w:highlight w:val="none"/>
              </w:rPr>
              <w:t>项目</w:t>
            </w:r>
            <w:r>
              <w:rPr>
                <w:rFonts w:hint="default" w:ascii="Times New Roman" w:hAnsi="Times New Roman" w:eastAsia="宋体" w:cs="Times New Roman"/>
                <w:smallCaps w:val="0"/>
                <w:color w:val="auto"/>
                <w:spacing w:val="0"/>
                <w:highlight w:val="none"/>
              </w:rPr>
              <w:t>位于石家庄市井陉矿区</w:t>
            </w:r>
            <w:r>
              <w:rPr>
                <w:rFonts w:hint="eastAsia" w:ascii="Times New Roman" w:hAnsi="Times New Roman" w:cs="Times New Roman"/>
                <w:color w:val="auto"/>
                <w:sz w:val="24"/>
                <w:highlight w:val="none"/>
                <w:lang w:val="en-US" w:eastAsia="zh-CN"/>
              </w:rPr>
              <w:t>河北鸿科碳素有限公司</w:t>
            </w:r>
            <w:r>
              <w:rPr>
                <w:rFonts w:hint="eastAsia" w:ascii="Times New Roman" w:hAnsi="Times New Roman" w:eastAsia="宋体" w:cs="Times New Roman"/>
                <w:smallCaps w:val="0"/>
                <w:color w:val="auto"/>
                <w:spacing w:val="0"/>
                <w:highlight w:val="none"/>
                <w:lang w:val="en-US" w:eastAsia="zh-CN"/>
              </w:rPr>
              <w:t>现有厂区内，属于</w:t>
            </w:r>
            <w:r>
              <w:rPr>
                <w:rFonts w:hint="eastAsia" w:ascii="Times New Roman" w:hAnsi="Times New Roman" w:eastAsia="宋体" w:cs="Times New Roman"/>
                <w:smallCaps w:val="0"/>
                <w:color w:val="auto"/>
                <w:spacing w:val="0"/>
                <w:highlight w:val="none"/>
                <w:lang w:eastAsia="zh-CN"/>
              </w:rPr>
              <w:t>石钢片区</w:t>
            </w:r>
            <w:r>
              <w:rPr>
                <w:rFonts w:hint="default" w:ascii="Times New Roman" w:hAnsi="Times New Roman" w:eastAsia="宋体" w:cs="Times New Roman"/>
                <w:smallCaps w:val="0"/>
                <w:color w:val="auto"/>
                <w:spacing w:val="0"/>
                <w:highlight w:val="none"/>
              </w:rPr>
              <w:t>规划范围</w:t>
            </w:r>
            <w:r>
              <w:rPr>
                <w:rFonts w:hint="default" w:ascii="Times New Roman" w:hAnsi="Times New Roman" w:eastAsia="宋体" w:cs="Times New Roman"/>
                <w:smallCaps w:val="0"/>
                <w:color w:val="auto"/>
                <w:spacing w:val="0"/>
                <w:highlight w:val="none"/>
                <w:lang w:eastAsia="zh-CN"/>
              </w:rPr>
              <w:t>内</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不新增占地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不会对生态环境产生影响。</w:t>
            </w:r>
          </w:p>
          <w:p w14:paraId="57028DC3">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八</w:t>
            </w:r>
            <w:r>
              <w:rPr>
                <w:rFonts w:hint="default" w:ascii="Times New Roman" w:hAnsi="Times New Roman" w:cs="Times New Roman"/>
                <w:b/>
                <w:smallCaps w:val="0"/>
                <w:color w:val="auto"/>
                <w:spacing w:val="0"/>
                <w:highlight w:val="none"/>
              </w:rPr>
              <w:t>、电磁辐射</w:t>
            </w:r>
          </w:p>
          <w:p w14:paraId="7630FC12">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本项目不涉及电磁辐射。</w:t>
            </w:r>
          </w:p>
          <w:p w14:paraId="01C30712">
            <w:pPr>
              <w:pStyle w:val="14"/>
              <w:keepNext w:val="0"/>
              <w:keepLines w:val="0"/>
              <w:pageBreakBefore w:val="0"/>
              <w:kinsoku/>
              <w:wordWrap/>
              <w:overflowPunct/>
              <w:topLinePunct w:val="0"/>
              <w:autoSpaceDE/>
              <w:autoSpaceDN/>
              <w:bidi w:val="0"/>
              <w:adjustRightInd/>
              <w:spacing w:before="0" w:after="0" w:line="480" w:lineRule="exact"/>
              <w:ind w:right="0"/>
              <w:textAlignment w:val="auto"/>
              <w:rPr>
                <w:rFonts w:hint="default" w:ascii="Times New Roman" w:hAnsi="Times New Roman" w:cs="Times New Roman"/>
                <w:smallCaps w:val="0"/>
                <w:color w:val="auto"/>
                <w:spacing w:val="0"/>
                <w:highlight w:val="none"/>
              </w:rPr>
            </w:pPr>
          </w:p>
          <w:p w14:paraId="3CBB5E1E">
            <w:pPr>
              <w:keepNext w:val="0"/>
              <w:keepLines w:val="0"/>
              <w:pageBreakBefore w:val="0"/>
              <w:kinsoku/>
              <w:wordWrap/>
              <w:overflowPunct/>
              <w:topLinePunct w:val="0"/>
              <w:autoSpaceDE/>
              <w:autoSpaceDN/>
              <w:bidi w:val="0"/>
              <w:adjustRightInd/>
              <w:spacing w:line="480" w:lineRule="exact"/>
              <w:ind w:right="0"/>
              <w:textAlignment w:val="auto"/>
              <w:rPr>
                <w:rFonts w:hint="default" w:ascii="Times New Roman" w:hAnsi="Times New Roman" w:cs="Times New Roman"/>
                <w:smallCaps w:val="0"/>
                <w:color w:val="auto"/>
                <w:spacing w:val="0"/>
                <w:highlight w:val="none"/>
              </w:rPr>
            </w:pPr>
          </w:p>
          <w:p w14:paraId="0949DB12">
            <w:pPr>
              <w:keepNext w:val="0"/>
              <w:keepLines w:val="0"/>
              <w:pageBreakBefore w:val="0"/>
              <w:kinsoku/>
              <w:wordWrap/>
              <w:overflowPunct/>
              <w:topLinePunct w:val="0"/>
              <w:autoSpaceDE/>
              <w:autoSpaceDN/>
              <w:bidi w:val="0"/>
              <w:adjustRightInd/>
              <w:spacing w:line="480" w:lineRule="exact"/>
              <w:ind w:right="0"/>
              <w:textAlignment w:val="auto"/>
              <w:rPr>
                <w:rFonts w:hint="default" w:ascii="Times New Roman" w:hAnsi="Times New Roman" w:cs="Times New Roman"/>
                <w:smallCaps w:val="0"/>
                <w:color w:val="auto"/>
                <w:spacing w:val="0"/>
                <w:highlight w:val="none"/>
              </w:rPr>
            </w:pPr>
          </w:p>
          <w:p w14:paraId="2CDB3429">
            <w:pPr>
              <w:rPr>
                <w:rFonts w:hint="default" w:ascii="Times New Roman" w:hAnsi="Times New Roman" w:cs="Times New Roman"/>
                <w:smallCaps w:val="0"/>
                <w:color w:val="auto"/>
                <w:spacing w:val="0"/>
                <w:highlight w:val="none"/>
                <w:lang w:val="en-US" w:eastAsia="zh-CN"/>
              </w:rPr>
            </w:pPr>
          </w:p>
        </w:tc>
      </w:tr>
    </w:tbl>
    <w:p w14:paraId="16F1158D">
      <w:pPr>
        <w:rPr>
          <w:color w:val="auto"/>
        </w:rPr>
        <w:sectPr>
          <w:pgSz w:w="11905" w:h="16838"/>
          <w:pgMar w:top="1701" w:right="1531" w:bottom="2126" w:left="1531" w:header="851" w:footer="850" w:gutter="0"/>
          <w:pgBorders>
            <w:top w:val="none" w:sz="0" w:space="0"/>
            <w:left w:val="none" w:sz="0" w:space="0"/>
            <w:bottom w:val="none" w:sz="0" w:space="0"/>
            <w:right w:val="none" w:sz="0" w:space="0"/>
          </w:pgBorders>
          <w:cols w:space="720" w:num="1"/>
          <w:rtlGutter w:val="0"/>
          <w:docGrid w:linePitch="312" w:charSpace="0"/>
        </w:sectPr>
      </w:pPr>
    </w:p>
    <w:p w14:paraId="02628E86">
      <w:pPr>
        <w:pStyle w:val="31"/>
        <w:numPr>
          <w:ilvl w:val="0"/>
          <w:numId w:val="9"/>
        </w:numPr>
        <w:shd w:val="clear" w:color="auto" w:fill="auto"/>
        <w:jc w:val="center"/>
        <w:outlineLvl w:val="0"/>
        <w:rPr>
          <w:rFonts w:hint="default" w:ascii="Times New Roman" w:hAnsi="Times New Roman" w:eastAsia="黑体" w:cs="Times New Roman"/>
          <w:snapToGrid w:val="0"/>
          <w:color w:val="auto"/>
          <w:sz w:val="30"/>
          <w:szCs w:val="30"/>
        </w:rPr>
      </w:pPr>
      <w:bookmarkStart w:id="7" w:name="_Hlk54167917"/>
      <w:r>
        <w:rPr>
          <w:rFonts w:hint="default" w:ascii="Times New Roman" w:hAnsi="Times New Roman" w:eastAsia="黑体" w:cs="Times New Roman"/>
          <w:snapToGrid w:val="0"/>
          <w:color w:val="auto"/>
          <w:sz w:val="30"/>
          <w:szCs w:val="30"/>
        </w:rPr>
        <w:t>环境保护措施监督检查清单</w:t>
      </w:r>
      <w:bookmarkEnd w:id="7"/>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37"/>
        <w:gridCol w:w="1702"/>
        <w:gridCol w:w="1692"/>
        <w:gridCol w:w="1825"/>
        <w:gridCol w:w="2644"/>
      </w:tblGrid>
      <w:tr w14:paraId="569868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937" w:type="dxa"/>
            <w:tcBorders>
              <w:tl2br w:val="single" w:color="auto" w:sz="4" w:space="0"/>
            </w:tcBorders>
            <w:noWrap w:val="0"/>
            <w:vAlign w:val="top"/>
          </w:tcPr>
          <w:p w14:paraId="388A534F">
            <w:pPr>
              <w:keepNext w:val="0"/>
              <w:keepLines w:val="0"/>
              <w:pageBreakBefore w:val="0"/>
              <w:widowControl w:val="0"/>
              <w:shd w:val="clear" w:color="auto" w:fill="auto"/>
              <w:kinsoku/>
              <w:wordWrap/>
              <w:overflowPunct/>
              <w:topLinePunct w:val="0"/>
              <w:autoSpaceDE/>
              <w:autoSpaceDN/>
              <w:bidi w:val="0"/>
              <w:adjustRightInd w:val="0"/>
              <w:snapToGrid w:val="0"/>
              <w:jc w:val="right"/>
              <w:textAlignment w:val="auto"/>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内容</w:t>
            </w:r>
          </w:p>
          <w:p w14:paraId="115A9476">
            <w:pPr>
              <w:keepNext w:val="0"/>
              <w:keepLines w:val="0"/>
              <w:pageBreakBefore w:val="0"/>
              <w:widowControl w:val="0"/>
              <w:shd w:val="clear" w:color="auto" w:fill="auto"/>
              <w:kinsoku/>
              <w:wordWrap/>
              <w:overflowPunct/>
              <w:topLinePunct w:val="0"/>
              <w:autoSpaceDE/>
              <w:autoSpaceDN/>
              <w:bidi w:val="0"/>
              <w:adjustRightInd w:val="0"/>
              <w:snapToGrid w:val="0"/>
              <w:textAlignment w:val="auto"/>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要素</w:t>
            </w:r>
          </w:p>
        </w:tc>
        <w:tc>
          <w:tcPr>
            <w:tcW w:w="1702" w:type="dxa"/>
            <w:noWrap w:val="0"/>
            <w:vAlign w:val="center"/>
          </w:tcPr>
          <w:p w14:paraId="00528794">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排放口(编号、名称)/污染源</w:t>
            </w:r>
          </w:p>
        </w:tc>
        <w:tc>
          <w:tcPr>
            <w:tcW w:w="1692" w:type="dxa"/>
            <w:noWrap w:val="0"/>
            <w:vAlign w:val="center"/>
          </w:tcPr>
          <w:p w14:paraId="1210EE06">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污染物项目</w:t>
            </w:r>
          </w:p>
        </w:tc>
        <w:tc>
          <w:tcPr>
            <w:tcW w:w="1825" w:type="dxa"/>
            <w:noWrap w:val="0"/>
            <w:vAlign w:val="center"/>
          </w:tcPr>
          <w:p w14:paraId="784F7129">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环境保护措施</w:t>
            </w:r>
          </w:p>
        </w:tc>
        <w:tc>
          <w:tcPr>
            <w:tcW w:w="2644" w:type="dxa"/>
            <w:noWrap w:val="0"/>
            <w:vAlign w:val="center"/>
          </w:tcPr>
          <w:p w14:paraId="2DB73EC5">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执行标准</w:t>
            </w:r>
          </w:p>
        </w:tc>
      </w:tr>
      <w:tr w14:paraId="25C44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7" w:hRule="atLeast"/>
          <w:jc w:val="center"/>
        </w:trPr>
        <w:tc>
          <w:tcPr>
            <w:tcW w:w="937" w:type="dxa"/>
            <w:vMerge w:val="restart"/>
            <w:noWrap w:val="0"/>
            <w:vAlign w:val="center"/>
          </w:tcPr>
          <w:p w14:paraId="7C5E88AC">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t>大气环境</w:t>
            </w:r>
          </w:p>
        </w:tc>
        <w:tc>
          <w:tcPr>
            <w:tcW w:w="1702" w:type="dxa"/>
            <w:noWrap w:val="0"/>
            <w:vAlign w:val="center"/>
          </w:tcPr>
          <w:p w14:paraId="5EA1E01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DA0</w:t>
            </w:r>
            <w:r>
              <w:rPr>
                <w:rFonts w:hint="eastAsia" w:cs="Times New Roman"/>
                <w:b w:val="0"/>
                <w:bCs w:val="0"/>
                <w:color w:val="auto"/>
                <w:szCs w:val="21"/>
                <w:highlight w:val="none"/>
                <w:lang w:val="en-US" w:eastAsia="zh-CN"/>
              </w:rPr>
              <w:t>48/</w:t>
            </w:r>
            <w:r>
              <w:rPr>
                <w:rFonts w:hint="eastAsia" w:ascii="Times New Roman" w:hAnsi="Times New Roman" w:eastAsia="宋体" w:cs="Times New Roman"/>
                <w:b w:val="0"/>
                <w:bCs w:val="0"/>
                <w:color w:val="auto"/>
                <w:szCs w:val="21"/>
                <w:highlight w:val="none"/>
                <w:lang w:val="en-US" w:eastAsia="zh-CN"/>
              </w:rPr>
              <w:t>东线</w:t>
            </w:r>
            <w:r>
              <w:rPr>
                <w:rFonts w:hint="eastAsia" w:cs="Times New Roman"/>
                <w:b w:val="0"/>
                <w:bCs w:val="0"/>
                <w:color w:val="auto"/>
                <w:szCs w:val="21"/>
                <w:highlight w:val="none"/>
                <w:lang w:val="en-US" w:eastAsia="zh-CN"/>
              </w:rPr>
              <w:t>磨粉</w:t>
            </w:r>
            <w:r>
              <w:rPr>
                <w:rFonts w:hint="eastAsia" w:ascii="Times New Roman" w:hAnsi="Times New Roman" w:eastAsia="宋体" w:cs="Times New Roman"/>
                <w:b w:val="0"/>
                <w:bCs w:val="0"/>
                <w:color w:val="auto"/>
                <w:szCs w:val="21"/>
                <w:highlight w:val="none"/>
                <w:lang w:val="en-US" w:eastAsia="zh-CN"/>
              </w:rPr>
              <w:t>废气</w:t>
            </w:r>
          </w:p>
        </w:tc>
        <w:tc>
          <w:tcPr>
            <w:tcW w:w="1692" w:type="dxa"/>
            <w:noWrap w:val="0"/>
            <w:vAlign w:val="center"/>
          </w:tcPr>
          <w:p w14:paraId="59A8087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7DBF8F2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覆膜滤料布袋除尘器+30m排气筒DA0</w:t>
            </w:r>
            <w:r>
              <w:rPr>
                <w:rFonts w:hint="eastAsia" w:cs="Times New Roman"/>
                <w:b w:val="0"/>
                <w:bCs w:val="0"/>
                <w:color w:val="auto"/>
                <w:szCs w:val="21"/>
                <w:highlight w:val="none"/>
                <w:lang w:val="en-US" w:eastAsia="zh-CN"/>
              </w:rPr>
              <w:t>48</w:t>
            </w:r>
            <w:r>
              <w:rPr>
                <w:rFonts w:hint="eastAsia" w:ascii="Times New Roman" w:hAnsi="Times New Roman" w:eastAsia="宋体" w:cs="Times New Roman"/>
                <w:b w:val="0"/>
                <w:bCs w:val="0"/>
                <w:color w:val="auto"/>
                <w:szCs w:val="21"/>
                <w:highlight w:val="none"/>
                <w:lang w:val="en-US" w:eastAsia="zh-CN"/>
              </w:rPr>
              <w:t>(</w:t>
            </w:r>
            <w:r>
              <w:rPr>
                <w:rFonts w:hint="default" w:ascii="Times New Roman" w:hAnsi="Times New Roman" w:eastAsia="宋体" w:cs="Times New Roman"/>
                <w:b w:val="0"/>
                <w:bCs w:val="0"/>
                <w:color w:val="auto"/>
                <w:szCs w:val="21"/>
                <w:highlight w:val="none"/>
                <w:lang w:val="en-US" w:eastAsia="zh-CN"/>
              </w:rPr>
              <w:t>利旧</w:t>
            </w:r>
            <w:r>
              <w:rPr>
                <w:rFonts w:hint="eastAsia" w:ascii="Times New Roman" w:hAnsi="Times New Roman" w:eastAsia="宋体" w:cs="Times New Roman"/>
                <w:b w:val="0"/>
                <w:bCs w:val="0"/>
                <w:color w:val="auto"/>
                <w:szCs w:val="21"/>
                <w:highlight w:val="none"/>
                <w:lang w:val="en-US" w:eastAsia="zh-CN"/>
              </w:rPr>
              <w:t>)</w:t>
            </w:r>
          </w:p>
        </w:tc>
        <w:tc>
          <w:tcPr>
            <w:tcW w:w="2644" w:type="dxa"/>
            <w:vMerge w:val="restart"/>
            <w:noWrap w:val="0"/>
            <w:vAlign w:val="center"/>
          </w:tcPr>
          <w:p w14:paraId="484208D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《铝工业污染物排放标准》（GB25465-2010）及其修改单的标准</w:t>
            </w:r>
          </w:p>
        </w:tc>
      </w:tr>
      <w:tr w14:paraId="47752A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92" w:hRule="atLeast"/>
          <w:jc w:val="center"/>
        </w:trPr>
        <w:tc>
          <w:tcPr>
            <w:tcW w:w="937" w:type="dxa"/>
            <w:vMerge w:val="continue"/>
            <w:noWrap w:val="0"/>
            <w:vAlign w:val="center"/>
          </w:tcPr>
          <w:p w14:paraId="20ADFA76">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p>
        </w:tc>
        <w:tc>
          <w:tcPr>
            <w:tcW w:w="1702" w:type="dxa"/>
            <w:noWrap w:val="0"/>
            <w:vAlign w:val="center"/>
          </w:tcPr>
          <w:p w14:paraId="6FB505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DA0</w:t>
            </w:r>
            <w:r>
              <w:rPr>
                <w:rFonts w:hint="eastAsia" w:cs="Times New Roman"/>
                <w:b w:val="0"/>
                <w:bCs w:val="0"/>
                <w:color w:val="auto"/>
                <w:szCs w:val="21"/>
                <w:highlight w:val="none"/>
                <w:lang w:val="en-US" w:eastAsia="zh-CN"/>
              </w:rPr>
              <w:t>54/</w:t>
            </w:r>
            <w:r>
              <w:rPr>
                <w:rFonts w:hint="eastAsia" w:ascii="Times New Roman" w:hAnsi="Times New Roman" w:eastAsia="宋体" w:cs="Times New Roman"/>
                <w:b w:val="0"/>
                <w:bCs w:val="0"/>
                <w:color w:val="auto"/>
                <w:szCs w:val="21"/>
                <w:highlight w:val="none"/>
                <w:lang w:val="en-US" w:eastAsia="zh-CN"/>
              </w:rPr>
              <w:t>西线</w:t>
            </w:r>
            <w:r>
              <w:rPr>
                <w:rFonts w:hint="eastAsia" w:cs="Times New Roman"/>
                <w:b w:val="0"/>
                <w:bCs w:val="0"/>
                <w:color w:val="auto"/>
                <w:szCs w:val="21"/>
                <w:highlight w:val="none"/>
                <w:lang w:val="en-US" w:eastAsia="zh-CN"/>
              </w:rPr>
              <w:t>磨粉</w:t>
            </w:r>
            <w:r>
              <w:rPr>
                <w:rFonts w:hint="eastAsia" w:ascii="Times New Roman" w:hAnsi="Times New Roman" w:eastAsia="宋体" w:cs="Times New Roman"/>
                <w:b w:val="0"/>
                <w:bCs w:val="0"/>
                <w:color w:val="auto"/>
                <w:szCs w:val="21"/>
                <w:highlight w:val="none"/>
                <w:lang w:val="en-US" w:eastAsia="zh-CN"/>
              </w:rPr>
              <w:t>废气</w:t>
            </w:r>
          </w:p>
        </w:tc>
        <w:tc>
          <w:tcPr>
            <w:tcW w:w="1692" w:type="dxa"/>
            <w:noWrap w:val="0"/>
            <w:vAlign w:val="center"/>
          </w:tcPr>
          <w:p w14:paraId="0B63254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138EAC8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覆膜滤料布袋除尘器+30m排气筒DA0</w:t>
            </w:r>
            <w:r>
              <w:rPr>
                <w:rFonts w:hint="eastAsia" w:cs="Times New Roman"/>
                <w:b w:val="0"/>
                <w:bCs w:val="0"/>
                <w:color w:val="auto"/>
                <w:szCs w:val="21"/>
                <w:highlight w:val="none"/>
                <w:lang w:val="en-US" w:eastAsia="zh-CN"/>
              </w:rPr>
              <w:t>54</w:t>
            </w:r>
            <w:r>
              <w:rPr>
                <w:rFonts w:hint="eastAsia" w:ascii="Times New Roman" w:hAnsi="Times New Roman" w:eastAsia="宋体" w:cs="Times New Roman"/>
                <w:b w:val="0"/>
                <w:bCs w:val="0"/>
                <w:color w:val="auto"/>
                <w:szCs w:val="21"/>
                <w:highlight w:val="none"/>
                <w:lang w:val="en-US" w:eastAsia="zh-CN"/>
              </w:rPr>
              <w:t>(</w:t>
            </w:r>
            <w:r>
              <w:rPr>
                <w:rFonts w:hint="default" w:ascii="Times New Roman" w:hAnsi="Times New Roman" w:eastAsia="宋体" w:cs="Times New Roman"/>
                <w:b w:val="0"/>
                <w:bCs w:val="0"/>
                <w:color w:val="auto"/>
                <w:szCs w:val="21"/>
                <w:highlight w:val="none"/>
                <w:lang w:val="en-US" w:eastAsia="zh-CN"/>
              </w:rPr>
              <w:t>利旧</w:t>
            </w:r>
            <w:r>
              <w:rPr>
                <w:rFonts w:hint="eastAsia" w:ascii="Times New Roman" w:hAnsi="Times New Roman" w:eastAsia="宋体" w:cs="Times New Roman"/>
                <w:b w:val="0"/>
                <w:bCs w:val="0"/>
                <w:color w:val="auto"/>
                <w:szCs w:val="21"/>
                <w:highlight w:val="none"/>
                <w:lang w:val="en-US" w:eastAsia="zh-CN"/>
              </w:rPr>
              <w:t>)</w:t>
            </w:r>
          </w:p>
        </w:tc>
        <w:tc>
          <w:tcPr>
            <w:tcW w:w="2644" w:type="dxa"/>
            <w:vMerge w:val="continue"/>
            <w:noWrap w:val="0"/>
            <w:vAlign w:val="center"/>
          </w:tcPr>
          <w:p w14:paraId="424D21E0">
            <w:pPr>
              <w:shd w:val="clear" w:color="auto" w:fill="auto"/>
              <w:adjustRightInd w:val="0"/>
              <w:snapToGrid w:val="0"/>
              <w:spacing w:line="280" w:lineRule="exact"/>
              <w:jc w:val="center"/>
              <w:rPr>
                <w:rFonts w:hint="default" w:ascii="Times New Roman" w:hAnsi="Times New Roman" w:eastAsia="宋体" w:cs="Times New Roman"/>
                <w:color w:val="auto"/>
                <w:sz w:val="22"/>
                <w:szCs w:val="22"/>
              </w:rPr>
            </w:pPr>
          </w:p>
        </w:tc>
      </w:tr>
      <w:tr w14:paraId="2B4B8B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4" w:hRule="atLeast"/>
          <w:jc w:val="center"/>
        </w:trPr>
        <w:tc>
          <w:tcPr>
            <w:tcW w:w="937" w:type="dxa"/>
            <w:vMerge w:val="continue"/>
            <w:noWrap w:val="0"/>
            <w:vAlign w:val="center"/>
          </w:tcPr>
          <w:p w14:paraId="7BBA2C16">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p>
        </w:tc>
        <w:tc>
          <w:tcPr>
            <w:tcW w:w="1702" w:type="dxa"/>
            <w:noWrap w:val="0"/>
            <w:vAlign w:val="center"/>
          </w:tcPr>
          <w:p w14:paraId="7189918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无组织废气</w:t>
            </w:r>
          </w:p>
        </w:tc>
        <w:tc>
          <w:tcPr>
            <w:tcW w:w="1692" w:type="dxa"/>
            <w:noWrap w:val="0"/>
            <w:vAlign w:val="center"/>
          </w:tcPr>
          <w:p w14:paraId="61CA389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313072D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车间密闭、密闭</w:t>
            </w:r>
            <w:r>
              <w:rPr>
                <w:rFonts w:hint="eastAsia" w:ascii="Times New Roman" w:hAnsi="Times New Roman" w:eastAsia="宋体" w:cs="Times New Roman"/>
                <w:b w:val="0"/>
                <w:bCs w:val="0"/>
                <w:color w:val="auto"/>
                <w:szCs w:val="21"/>
                <w:highlight w:val="none"/>
                <w:lang w:val="en-US" w:eastAsia="zh-CN"/>
              </w:rPr>
              <w:t>输送</w:t>
            </w:r>
            <w:r>
              <w:rPr>
                <w:rFonts w:hint="default" w:ascii="Times New Roman" w:hAnsi="Times New Roman" w:eastAsia="宋体" w:cs="Times New Roman"/>
                <w:b w:val="0"/>
                <w:bCs w:val="0"/>
                <w:color w:val="auto"/>
                <w:szCs w:val="21"/>
                <w:highlight w:val="none"/>
                <w:lang w:val="en-US" w:eastAsia="zh-CN"/>
              </w:rPr>
              <w:t>等措施减少无组织排放，同时及时清扫扬尘</w:t>
            </w:r>
          </w:p>
        </w:tc>
        <w:tc>
          <w:tcPr>
            <w:tcW w:w="2644" w:type="dxa"/>
            <w:vMerge w:val="continue"/>
            <w:noWrap w:val="0"/>
            <w:vAlign w:val="center"/>
          </w:tcPr>
          <w:p w14:paraId="2B995A33">
            <w:pPr>
              <w:shd w:val="clear" w:color="auto" w:fill="auto"/>
              <w:adjustRightInd w:val="0"/>
              <w:snapToGrid w:val="0"/>
              <w:spacing w:line="280" w:lineRule="exact"/>
              <w:jc w:val="center"/>
              <w:rPr>
                <w:rFonts w:hint="default" w:ascii="Times New Roman" w:hAnsi="Times New Roman" w:eastAsia="宋体" w:cs="Times New Roman"/>
                <w:color w:val="auto"/>
                <w:sz w:val="22"/>
                <w:szCs w:val="22"/>
              </w:rPr>
            </w:pPr>
          </w:p>
        </w:tc>
      </w:tr>
      <w:tr w14:paraId="5E238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2BBFEED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地表水环境</w:t>
            </w:r>
          </w:p>
        </w:tc>
        <w:tc>
          <w:tcPr>
            <w:tcW w:w="1702" w:type="dxa"/>
            <w:noWrap w:val="0"/>
            <w:vAlign w:val="center"/>
          </w:tcPr>
          <w:p w14:paraId="0F10A8D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生活污水</w:t>
            </w:r>
          </w:p>
        </w:tc>
        <w:tc>
          <w:tcPr>
            <w:tcW w:w="1692" w:type="dxa"/>
            <w:noWrap w:val="0"/>
            <w:vAlign w:val="center"/>
          </w:tcPr>
          <w:p w14:paraId="78A46D4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p>
        </w:tc>
        <w:tc>
          <w:tcPr>
            <w:tcW w:w="1825" w:type="dxa"/>
            <w:noWrap w:val="0"/>
            <w:vAlign w:val="center"/>
          </w:tcPr>
          <w:p w14:paraId="509C6A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排入现有生活污水处理站</w:t>
            </w:r>
          </w:p>
        </w:tc>
        <w:tc>
          <w:tcPr>
            <w:tcW w:w="2644" w:type="dxa"/>
            <w:noWrap w:val="0"/>
            <w:vAlign w:val="center"/>
          </w:tcPr>
          <w:p w14:paraId="680F1E5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不外排</w:t>
            </w:r>
          </w:p>
        </w:tc>
      </w:tr>
      <w:tr w14:paraId="795811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7" w:hRule="atLeast"/>
          <w:jc w:val="center"/>
        </w:trPr>
        <w:tc>
          <w:tcPr>
            <w:tcW w:w="937" w:type="dxa"/>
            <w:noWrap w:val="0"/>
            <w:vAlign w:val="center"/>
          </w:tcPr>
          <w:p w14:paraId="5492CB6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声环境</w:t>
            </w:r>
          </w:p>
        </w:tc>
        <w:tc>
          <w:tcPr>
            <w:tcW w:w="1702" w:type="dxa"/>
            <w:noWrap w:val="0"/>
            <w:vAlign w:val="center"/>
          </w:tcPr>
          <w:p w14:paraId="67916B4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生产设备等</w:t>
            </w:r>
          </w:p>
        </w:tc>
        <w:tc>
          <w:tcPr>
            <w:tcW w:w="1692" w:type="dxa"/>
            <w:noWrap w:val="0"/>
            <w:vAlign w:val="center"/>
          </w:tcPr>
          <w:p w14:paraId="1A790C5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等效A声级</w:t>
            </w:r>
          </w:p>
        </w:tc>
        <w:tc>
          <w:tcPr>
            <w:tcW w:w="1825" w:type="dxa"/>
            <w:noWrap w:val="0"/>
            <w:vAlign w:val="center"/>
          </w:tcPr>
          <w:p w14:paraId="3D11F93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，厂房隔声</w:t>
            </w:r>
          </w:p>
        </w:tc>
        <w:tc>
          <w:tcPr>
            <w:tcW w:w="2644" w:type="dxa"/>
            <w:noWrap w:val="0"/>
            <w:vAlign w:val="center"/>
          </w:tcPr>
          <w:p w14:paraId="78FA90C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《工业企业厂界环境噪声排放标准》(GB12348-2008)中3类标准</w:t>
            </w:r>
          </w:p>
        </w:tc>
      </w:tr>
      <w:tr w14:paraId="4169F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4D75A56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电磁辐射</w:t>
            </w:r>
          </w:p>
        </w:tc>
        <w:tc>
          <w:tcPr>
            <w:tcW w:w="1702" w:type="dxa"/>
            <w:noWrap w:val="0"/>
            <w:vAlign w:val="center"/>
          </w:tcPr>
          <w:p w14:paraId="12BE9D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1692" w:type="dxa"/>
            <w:noWrap w:val="0"/>
            <w:vAlign w:val="center"/>
          </w:tcPr>
          <w:p w14:paraId="2A2A626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1825" w:type="dxa"/>
            <w:noWrap w:val="0"/>
            <w:vAlign w:val="center"/>
          </w:tcPr>
          <w:p w14:paraId="502E0FC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2644" w:type="dxa"/>
            <w:noWrap w:val="0"/>
            <w:vAlign w:val="center"/>
          </w:tcPr>
          <w:p w14:paraId="609A764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r>
      <w:tr w14:paraId="043CB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4B77F3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固体废物</w:t>
            </w:r>
          </w:p>
        </w:tc>
        <w:tc>
          <w:tcPr>
            <w:tcW w:w="7863" w:type="dxa"/>
            <w:gridSpan w:val="4"/>
            <w:noWrap w:val="0"/>
            <w:vAlign w:val="center"/>
          </w:tcPr>
          <w:p w14:paraId="4C359D1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除尘灰</w:t>
            </w:r>
            <w:r>
              <w:rPr>
                <w:rFonts w:hint="eastAsia" w:ascii="Times New Roman" w:hAnsi="Times New Roman" w:eastAsia="宋体" w:cs="Times New Roman"/>
                <w:b w:val="0"/>
                <w:bCs w:val="0"/>
                <w:color w:val="auto"/>
                <w:szCs w:val="21"/>
                <w:highlight w:val="none"/>
                <w:lang w:val="en-US" w:eastAsia="zh-CN"/>
              </w:rPr>
              <w:t>收集后回用于生产，</w:t>
            </w:r>
            <w:r>
              <w:rPr>
                <w:rFonts w:hint="eastAsia" w:cs="Times New Roman"/>
                <w:b w:val="0"/>
                <w:bCs w:val="0"/>
                <w:color w:val="auto"/>
                <w:szCs w:val="21"/>
                <w:highlight w:val="none"/>
                <w:lang w:val="en-US" w:eastAsia="zh-CN"/>
              </w:rPr>
              <w:t>废布袋收集后外售；</w:t>
            </w:r>
            <w:r>
              <w:rPr>
                <w:rFonts w:hint="eastAsia" w:ascii="Times New Roman" w:hAnsi="Times New Roman" w:eastAsia="宋体" w:cs="Times New Roman"/>
                <w:b w:val="0"/>
                <w:bCs w:val="0"/>
                <w:color w:val="auto"/>
                <w:szCs w:val="21"/>
                <w:highlight w:val="none"/>
                <w:lang w:val="en-US" w:eastAsia="zh-CN"/>
              </w:rPr>
              <w:t>设备检修过程产生的废机油、废油桶，随产随清，交由有资质单位处置</w:t>
            </w:r>
            <w:r>
              <w:rPr>
                <w:rFonts w:hint="default" w:ascii="Times New Roman" w:hAnsi="Times New Roman" w:eastAsia="宋体" w:cs="Times New Roman"/>
                <w:b w:val="0"/>
                <w:bCs w:val="0"/>
                <w:color w:val="auto"/>
                <w:szCs w:val="21"/>
                <w:highlight w:val="none"/>
                <w:lang w:val="en-US" w:eastAsia="zh-CN"/>
              </w:rPr>
              <w:t>。</w:t>
            </w:r>
          </w:p>
        </w:tc>
      </w:tr>
      <w:tr w14:paraId="5AA2F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55" w:hRule="atLeast"/>
          <w:jc w:val="center"/>
        </w:trPr>
        <w:tc>
          <w:tcPr>
            <w:tcW w:w="937" w:type="dxa"/>
            <w:noWrap w:val="0"/>
            <w:vAlign w:val="center"/>
          </w:tcPr>
          <w:p w14:paraId="1CFCD08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土壤及地下水污染防治措施</w:t>
            </w:r>
          </w:p>
        </w:tc>
        <w:tc>
          <w:tcPr>
            <w:tcW w:w="7863" w:type="dxa"/>
            <w:gridSpan w:val="4"/>
            <w:noWrap w:val="0"/>
            <w:vAlign w:val="center"/>
          </w:tcPr>
          <w:p w14:paraId="7874180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default"/>
                <w:color w:val="auto"/>
                <w:sz w:val="21"/>
                <w:szCs w:val="21"/>
                <w:highlight w:val="none"/>
              </w:rPr>
              <w:t>一般防渗区：</w:t>
            </w:r>
            <w:r>
              <w:rPr>
                <w:rFonts w:hint="eastAsia"/>
                <w:color w:val="auto"/>
                <w:sz w:val="21"/>
                <w:szCs w:val="21"/>
                <w:highlight w:val="none"/>
                <w:lang w:val="en-US" w:eastAsia="zh-CN"/>
              </w:rPr>
              <w:t>生产车间</w:t>
            </w:r>
            <w:r>
              <w:rPr>
                <w:rFonts w:hint="default"/>
                <w:color w:val="auto"/>
                <w:sz w:val="21"/>
                <w:szCs w:val="21"/>
                <w:highlight w:val="none"/>
              </w:rPr>
              <w:t>进行水泥防渗，铺设人工防渗层，其等效黏土防渗层</w:t>
            </w:r>
            <w:r>
              <w:rPr>
                <w:rFonts w:hint="default" w:eastAsia="TimesNewRomanPSMT"/>
                <w:color w:val="auto"/>
                <w:sz w:val="21"/>
                <w:szCs w:val="21"/>
                <w:highlight w:val="none"/>
              </w:rPr>
              <w:t>Mb</w:t>
            </w:r>
            <w:r>
              <w:rPr>
                <w:rFonts w:hint="default"/>
                <w:color w:val="auto"/>
                <w:sz w:val="21"/>
                <w:szCs w:val="21"/>
                <w:highlight w:val="none"/>
              </w:rPr>
              <w:t>≥</w:t>
            </w:r>
            <w:r>
              <w:rPr>
                <w:rFonts w:hint="default" w:eastAsia="TimesNewRomanPSMT"/>
                <w:color w:val="auto"/>
                <w:sz w:val="21"/>
                <w:szCs w:val="21"/>
                <w:highlight w:val="none"/>
              </w:rPr>
              <w:t>1.5m</w:t>
            </w:r>
            <w:r>
              <w:rPr>
                <w:rFonts w:hint="default"/>
                <w:color w:val="auto"/>
                <w:sz w:val="21"/>
                <w:szCs w:val="21"/>
                <w:highlight w:val="none"/>
              </w:rPr>
              <w:t>，渗透系数≤</w:t>
            </w:r>
            <w:r>
              <w:rPr>
                <w:rFonts w:hint="default" w:eastAsia="TimesNewRomanPSMT"/>
                <w:color w:val="auto"/>
                <w:sz w:val="21"/>
                <w:szCs w:val="21"/>
                <w:highlight w:val="none"/>
              </w:rPr>
              <w:t>10</w:t>
            </w:r>
            <w:r>
              <w:rPr>
                <w:rFonts w:hint="default" w:eastAsia="TimesNewRomanPSMT"/>
                <w:color w:val="auto"/>
                <w:sz w:val="21"/>
                <w:szCs w:val="21"/>
                <w:highlight w:val="none"/>
                <w:vertAlign w:val="superscript"/>
              </w:rPr>
              <w:t>-7</w:t>
            </w:r>
            <w:r>
              <w:rPr>
                <w:rFonts w:hint="default" w:eastAsia="TimesNewRomanPSMT"/>
                <w:color w:val="auto"/>
                <w:sz w:val="21"/>
                <w:szCs w:val="21"/>
                <w:highlight w:val="none"/>
              </w:rPr>
              <w:t>cm/s</w:t>
            </w:r>
            <w:r>
              <w:rPr>
                <w:rFonts w:hint="eastAsia" w:eastAsia="TimesNewRomanPSMT"/>
                <w:color w:val="auto"/>
                <w:sz w:val="21"/>
                <w:szCs w:val="21"/>
                <w:highlight w:val="none"/>
                <w:lang w:eastAsia="zh-CN"/>
              </w:rPr>
              <w:t>。</w:t>
            </w:r>
          </w:p>
        </w:tc>
      </w:tr>
      <w:tr w14:paraId="43EAF5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1CA03AA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生态保护措施</w:t>
            </w:r>
          </w:p>
        </w:tc>
        <w:tc>
          <w:tcPr>
            <w:tcW w:w="7863" w:type="dxa"/>
            <w:gridSpan w:val="4"/>
            <w:noWrap w:val="0"/>
            <w:vAlign w:val="center"/>
          </w:tcPr>
          <w:p w14:paraId="3E48A8F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r>
      <w:tr w14:paraId="5C9D0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305537E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环境风险</w:t>
            </w:r>
          </w:p>
          <w:p w14:paraId="674AFF5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防范措施</w:t>
            </w:r>
          </w:p>
        </w:tc>
        <w:tc>
          <w:tcPr>
            <w:tcW w:w="7863" w:type="dxa"/>
            <w:gridSpan w:val="4"/>
            <w:noWrap w:val="0"/>
            <w:vAlign w:val="center"/>
          </w:tcPr>
          <w:p w14:paraId="4C57F70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color w:val="auto"/>
                <w:sz w:val="21"/>
                <w:szCs w:val="21"/>
                <w:highlight w:val="none"/>
                <w:lang w:eastAsia="zh-CN"/>
              </w:rPr>
              <w:t>危险废物（包括废</w:t>
            </w:r>
            <w:r>
              <w:rPr>
                <w:rFonts w:hint="eastAsia" w:ascii="Times New Roman" w:hAnsi="Times New Roman" w:eastAsia="宋体" w:cs="Times New Roman"/>
                <w:color w:val="auto"/>
                <w:sz w:val="21"/>
                <w:szCs w:val="21"/>
                <w:highlight w:val="none"/>
                <w:lang w:val="en-US" w:eastAsia="zh-CN"/>
              </w:rPr>
              <w:t>机</w:t>
            </w:r>
            <w:r>
              <w:rPr>
                <w:rFonts w:hint="default" w:ascii="Times New Roman" w:hAnsi="Times New Roman" w:eastAsia="宋体" w:cs="Times New Roman"/>
                <w:color w:val="auto"/>
                <w:sz w:val="21"/>
                <w:szCs w:val="21"/>
                <w:highlight w:val="none"/>
                <w:lang w:eastAsia="zh-CN"/>
              </w:rPr>
              <w:t>油、废油桶等）</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做到随产随清，</w:t>
            </w:r>
            <w:r>
              <w:rPr>
                <w:rFonts w:hint="default" w:ascii="Times New Roman" w:hAnsi="Times New Roman" w:eastAsia="宋体" w:cs="Times New Roman"/>
                <w:color w:val="auto"/>
                <w:sz w:val="21"/>
                <w:szCs w:val="21"/>
                <w:highlight w:val="none"/>
                <w:lang w:eastAsia="zh-CN"/>
              </w:rPr>
              <w:t>不在厂区内贮存</w:t>
            </w:r>
            <w:r>
              <w:rPr>
                <w:rFonts w:hint="eastAsia" w:ascii="Times New Roman" w:hAnsi="Times New Roman" w:eastAsia="宋体" w:cs="Times New Roman"/>
                <w:color w:val="auto"/>
                <w:sz w:val="21"/>
                <w:szCs w:val="21"/>
                <w:highlight w:val="none"/>
                <w:lang w:eastAsia="zh-CN"/>
              </w:rPr>
              <w:t>；</w:t>
            </w:r>
            <w:r>
              <w:rPr>
                <w:rFonts w:hint="eastAsia"/>
                <w:color w:val="auto"/>
                <w:szCs w:val="20"/>
                <w:highlight w:val="none"/>
              </w:rPr>
              <w:t>并</w:t>
            </w:r>
            <w:r>
              <w:rPr>
                <w:rFonts w:hint="default"/>
                <w:color w:val="auto"/>
                <w:szCs w:val="20"/>
                <w:highlight w:val="none"/>
              </w:rPr>
              <w:t>准备相应的消防应急物资，砂土、灭火器等配备齐全。</w:t>
            </w:r>
          </w:p>
        </w:tc>
      </w:tr>
      <w:tr w14:paraId="59917C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7C723B0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其他环境</w:t>
            </w:r>
          </w:p>
          <w:p w14:paraId="414CFF8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管理要求</w:t>
            </w:r>
          </w:p>
        </w:tc>
        <w:tc>
          <w:tcPr>
            <w:tcW w:w="7863" w:type="dxa"/>
            <w:gridSpan w:val="4"/>
            <w:noWrap w:val="0"/>
            <w:vAlign w:val="center"/>
          </w:tcPr>
          <w:p w14:paraId="5B7E403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a.按照《排污许可管理条例》</w:t>
            </w:r>
            <w:r>
              <w:rPr>
                <w:rFonts w:hint="eastAsia" w:ascii="Times New Roman" w:hAnsi="Times New Roman" w:eastAsia="宋体" w:cs="Times New Roman"/>
                <w:b w:val="0"/>
                <w:bCs w:val="0"/>
                <w:color w:val="auto"/>
                <w:szCs w:val="21"/>
                <w:highlight w:val="none"/>
                <w:lang w:val="en-US" w:eastAsia="zh-CN"/>
              </w:rPr>
              <w:t>（中华人民共和国第736号文）要求</w:t>
            </w:r>
            <w:r>
              <w:rPr>
                <w:rFonts w:hint="default" w:ascii="Times New Roman" w:hAnsi="Times New Roman" w:eastAsia="宋体" w:cs="Times New Roman"/>
                <w:b w:val="0"/>
                <w:bCs w:val="0"/>
                <w:color w:val="auto"/>
                <w:szCs w:val="21"/>
                <w:highlight w:val="none"/>
                <w:lang w:val="en-US" w:eastAsia="zh-CN"/>
              </w:rPr>
              <w:t>及时</w:t>
            </w:r>
            <w:r>
              <w:rPr>
                <w:rFonts w:hint="eastAsia" w:ascii="Times New Roman" w:hAnsi="Times New Roman" w:eastAsia="宋体" w:cs="Times New Roman"/>
                <w:b w:val="0"/>
                <w:bCs w:val="0"/>
                <w:color w:val="auto"/>
                <w:szCs w:val="21"/>
                <w:highlight w:val="none"/>
                <w:lang w:val="en-US" w:eastAsia="zh-CN"/>
              </w:rPr>
              <w:t>变更</w:t>
            </w:r>
            <w:r>
              <w:rPr>
                <w:rFonts w:hint="default" w:ascii="Times New Roman" w:hAnsi="Times New Roman" w:eastAsia="宋体" w:cs="Times New Roman"/>
                <w:b w:val="0"/>
                <w:bCs w:val="0"/>
                <w:color w:val="auto"/>
                <w:szCs w:val="21"/>
                <w:highlight w:val="none"/>
                <w:lang w:val="en-US" w:eastAsia="zh-CN"/>
              </w:rPr>
              <w:t>申请排污许可证</w:t>
            </w:r>
            <w:r>
              <w:rPr>
                <w:rFonts w:hint="eastAsia" w:ascii="Times New Roman" w:hAnsi="Times New Roman" w:eastAsia="宋体" w:cs="Times New Roman"/>
                <w:b w:val="0"/>
                <w:bCs w:val="0"/>
                <w:color w:val="auto"/>
                <w:szCs w:val="21"/>
                <w:highlight w:val="none"/>
                <w:lang w:val="en-US" w:eastAsia="zh-CN"/>
              </w:rPr>
              <w:t>；按照《建设项目竣工环境保护验收技术指南 污染影响类》及时编制竣工环境保护验收报告。</w:t>
            </w:r>
          </w:p>
          <w:p w14:paraId="1DB3D65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b.排污口规范化：严格按照《排污口规范化整治技术要求（试行）》建立规范化排污口，设检测孔及监测平台，设排污口标示牌，建立规范化排污口档案；</w:t>
            </w:r>
          </w:p>
          <w:p w14:paraId="6414590B">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c.监测计划：按照《排污许可证申请与核发技术规范 石墨及其他非金属矿物制品制造》（HJ1119—2020）等文件要求及环保要求进行自行监测。废气每</w:t>
            </w:r>
            <w:r>
              <w:rPr>
                <w:rFonts w:hint="eastAsia" w:ascii="Times New Roman" w:hAnsi="Times New Roman" w:eastAsia="宋体" w:cs="Times New Roman"/>
                <w:b w:val="0"/>
                <w:bCs w:val="0"/>
                <w:color w:val="auto"/>
                <w:szCs w:val="21"/>
                <w:highlight w:val="none"/>
                <w:lang w:val="en-US" w:eastAsia="zh-CN"/>
              </w:rPr>
              <w:t>半</w:t>
            </w:r>
            <w:r>
              <w:rPr>
                <w:rFonts w:hint="default" w:ascii="Times New Roman" w:hAnsi="Times New Roman" w:eastAsia="宋体" w:cs="Times New Roman"/>
                <w:b w:val="0"/>
                <w:bCs w:val="0"/>
                <w:color w:val="auto"/>
                <w:szCs w:val="21"/>
                <w:highlight w:val="none"/>
                <w:lang w:val="en-US" w:eastAsia="zh-CN"/>
              </w:rPr>
              <w:t>年开展一次监测；厂界噪声每季度开展一次监测。</w:t>
            </w:r>
          </w:p>
          <w:p w14:paraId="264469A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d.落实防治环境污染措施，</w:t>
            </w:r>
            <w:r>
              <w:rPr>
                <w:rFonts w:hint="eastAsia" w:ascii="Times New Roman" w:hAnsi="Times New Roman" w:eastAsia="宋体" w:cs="Times New Roman"/>
                <w:b w:val="0"/>
                <w:bCs w:val="0"/>
                <w:color w:val="auto"/>
                <w:szCs w:val="21"/>
                <w:highlight w:val="none"/>
                <w:lang w:val="en-US" w:eastAsia="zh-CN"/>
              </w:rPr>
              <w:t>按照相关法律法规建立</w:t>
            </w:r>
            <w:r>
              <w:rPr>
                <w:rFonts w:hint="default" w:ascii="Times New Roman" w:hAnsi="Times New Roman" w:eastAsia="宋体" w:cs="Times New Roman"/>
                <w:b w:val="0"/>
                <w:bCs w:val="0"/>
                <w:color w:val="auto"/>
                <w:szCs w:val="21"/>
                <w:highlight w:val="none"/>
                <w:lang w:val="en-US" w:eastAsia="zh-CN"/>
              </w:rPr>
              <w:t>环境管理台账。</w:t>
            </w:r>
          </w:p>
          <w:p w14:paraId="146BE3BE">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e.</w:t>
            </w:r>
            <w:r>
              <w:rPr>
                <w:rFonts w:hint="default" w:ascii="Times New Roman" w:hAnsi="Times New Roman" w:eastAsia="宋体" w:cs="Times New Roman"/>
                <w:b w:val="0"/>
                <w:bCs w:val="0"/>
                <w:color w:val="auto"/>
                <w:szCs w:val="21"/>
                <w:highlight w:val="none"/>
                <w:lang w:val="en-US" w:eastAsia="zh-CN"/>
              </w:rPr>
              <w:t>按照《企业环境信息依法披露管理办法》依法披露环境信息。</w:t>
            </w:r>
          </w:p>
          <w:p w14:paraId="1F040E57">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f.</w:t>
            </w:r>
            <w:r>
              <w:rPr>
                <w:rFonts w:hint="eastAsia" w:ascii="Times New Roman" w:hAnsi="Times New Roman" w:eastAsia="宋体" w:cs="Times New Roman"/>
                <w:b w:val="0"/>
                <w:bCs w:val="0"/>
                <w:color w:val="auto"/>
                <w:szCs w:val="21"/>
                <w:highlight w:val="none"/>
                <w:lang w:val="en-US" w:eastAsia="zh-CN"/>
              </w:rPr>
              <w:t>现有生产主机与备用设备分别装设独立智能计量电表，设置电气互锁联动控制系统</w:t>
            </w:r>
            <w:r>
              <w:rPr>
                <w:rFonts w:hint="eastAsia"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制定《备用磨粉机启用审批及运行台账管理制度》</w:t>
            </w:r>
            <w:r>
              <w:rPr>
                <w:rFonts w:hint="eastAsia"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全线能耗实时上传地方能耗在线监测平台，接受主管部门全过程动态监管</w:t>
            </w:r>
            <w:r>
              <w:rPr>
                <w:rFonts w:hint="eastAsia" w:cs="Times New Roman"/>
                <w:b w:val="0"/>
                <w:bCs w:val="0"/>
                <w:color w:val="auto"/>
                <w:szCs w:val="21"/>
                <w:highlight w:val="none"/>
                <w:lang w:val="en-US" w:eastAsia="zh-CN"/>
              </w:rPr>
              <w:t>。</w:t>
            </w:r>
          </w:p>
          <w:p w14:paraId="2DF38328">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szCs w:val="21"/>
                <w:highlight w:val="none"/>
                <w:lang w:val="en-US" w:eastAsia="zh-CN"/>
              </w:rPr>
            </w:pPr>
          </w:p>
        </w:tc>
      </w:tr>
    </w:tbl>
    <w:p w14:paraId="3A993DBA">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cs="Times New Roman"/>
          <w:snapToGrid w:val="0"/>
          <w:color w:val="auto"/>
        </w:rPr>
        <w:br w:type="page"/>
      </w:r>
      <w:r>
        <w:rPr>
          <w:rFonts w:hint="default" w:ascii="Times New Roman" w:hAnsi="Times New Roman" w:eastAsia="黑体" w:cs="Times New Roman"/>
          <w:snapToGrid w:val="0"/>
          <w:color w:val="auto"/>
          <w:sz w:val="30"/>
          <w:szCs w:val="30"/>
        </w:rPr>
        <w:t>六、结论</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2BE77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3638D4D2">
            <w:pPr>
              <w:shd w:val="clear" w:color="auto" w:fill="auto"/>
              <w:spacing w:line="480" w:lineRule="exact"/>
              <w:ind w:firstLine="480" w:firstLineChars="200"/>
              <w:rPr>
                <w:rFonts w:hint="default" w:ascii="Times New Roman" w:hAnsi="Times New Roman" w:cs="Times New Roman"/>
                <w:color w:val="auto"/>
                <w:sz w:val="24"/>
              </w:rPr>
            </w:pPr>
            <w:r>
              <w:rPr>
                <w:rFonts w:hint="default" w:ascii="Times New Roman" w:hAnsi="Times New Roman" w:cs="Times New Roman"/>
                <w:smallCaps w:val="0"/>
                <w:color w:val="auto"/>
                <w:spacing w:val="0"/>
                <w:sz w:val="24"/>
                <w:szCs w:val="24"/>
                <w:highlight w:val="none"/>
              </w:rPr>
              <w:t>综上所述</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本项目符合国家和地方的相关产业政策</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lang w:val="en-US" w:eastAsia="zh-CN"/>
              </w:rPr>
              <w:t>符合园区规划</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选址符合</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三线一单</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要求</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所采用的污染防治措施合理可行</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可确保污染物稳定达标排放；项目污染物的排放量符合控制要求</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处理达标后的各项污染物对周围环境的影响较小</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不会改变当地环境功能区划</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项目的环境风险较小且可以接受。在落实本报告提出的各项污染防治措施、严格执行</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环境保护措施监督检查清单</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的情况下</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从环保角度分析</w:t>
            </w:r>
            <w:r>
              <w:rPr>
                <w:rFonts w:hint="default" w:ascii="Times New Roman" w:hAnsi="Times New Roman" w:cs="Times New Roman"/>
                <w:smallCaps w:val="0"/>
                <w:color w:val="auto"/>
                <w:spacing w:val="0"/>
                <w:sz w:val="24"/>
                <w:szCs w:val="24"/>
                <w:highlight w:val="none"/>
                <w:lang w:eastAsia="zh-CN"/>
              </w:rPr>
              <w:t>，</w:t>
            </w:r>
            <w:r>
              <w:rPr>
                <w:rFonts w:hint="eastAsia" w:cs="Times New Roman"/>
                <w:smallCaps w:val="0"/>
                <w:color w:val="auto"/>
                <w:spacing w:val="0"/>
                <w:sz w:val="24"/>
                <w:szCs w:val="24"/>
                <w:highlight w:val="none"/>
                <w:lang w:val="en-US" w:eastAsia="zh-CN"/>
              </w:rPr>
              <w:t>本项目建设</w:t>
            </w:r>
            <w:r>
              <w:rPr>
                <w:rFonts w:hint="default" w:ascii="Times New Roman" w:hAnsi="Times New Roman" w:cs="Times New Roman"/>
                <w:smallCaps w:val="0"/>
                <w:color w:val="auto"/>
                <w:spacing w:val="0"/>
                <w:sz w:val="24"/>
                <w:szCs w:val="24"/>
                <w:highlight w:val="none"/>
              </w:rPr>
              <w:t>可行</w:t>
            </w:r>
            <w:r>
              <w:rPr>
                <w:rFonts w:hint="default" w:ascii="Times New Roman" w:hAnsi="Times New Roman" w:cs="Times New Roman"/>
                <w:color w:val="auto"/>
                <w:sz w:val="24"/>
                <w:szCs w:val="24"/>
              </w:rPr>
              <w:t>。</w:t>
            </w:r>
          </w:p>
        </w:tc>
      </w:tr>
    </w:tbl>
    <w:p w14:paraId="5A780A75">
      <w:pPr>
        <w:shd w:val="clear" w:color="auto" w:fill="auto"/>
        <w:rPr>
          <w:rFonts w:hint="default" w:ascii="Times New Roman" w:hAnsi="Times New Roman" w:cs="Times New Roman"/>
          <w:color w:val="auto"/>
        </w:rPr>
        <w:sectPr>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pPr>
    </w:p>
    <w:p w14:paraId="001B21EE">
      <w:pPr>
        <w:pStyle w:val="31"/>
        <w:keepNext w:val="0"/>
        <w:keepLines w:val="0"/>
        <w:pageBreakBefore w:val="0"/>
        <w:widowControl/>
        <w:shd w:val="clear" w:color="auto" w:fill="auto"/>
        <w:kinsoku/>
        <w:wordWrap/>
        <w:overflowPunct/>
        <w:topLinePunct w:val="0"/>
        <w:autoSpaceDE/>
        <w:autoSpaceDN/>
        <w:bidi w:val="0"/>
        <w:adjustRightInd w:val="0"/>
        <w:snapToGrid w:val="0"/>
        <w:spacing w:before="313" w:beforeLines="100" w:beforeAutospacing="0" w:after="313" w:afterLines="100" w:afterAutospacing="0" w:line="240" w:lineRule="auto"/>
        <w:textAlignment w:val="auto"/>
        <w:outlineLvl w:val="0"/>
        <w:rPr>
          <w:rFonts w:hint="default" w:ascii="Times New Roman" w:hAnsi="Times New Roman" w:eastAsia="黑体" w:cs="Times New Roman"/>
          <w:snapToGrid w:val="0"/>
          <w:color w:val="auto"/>
          <w:sz w:val="32"/>
          <w:szCs w:val="32"/>
        </w:rPr>
      </w:pPr>
      <w:r>
        <w:rPr>
          <w:rFonts w:hint="default" w:ascii="Times New Roman" w:hAnsi="Times New Roman" w:eastAsia="黑体" w:cs="Times New Roman"/>
          <w:snapToGrid w:val="0"/>
          <w:color w:val="auto"/>
          <w:sz w:val="32"/>
          <w:szCs w:val="32"/>
        </w:rPr>
        <w:t>附表</w:t>
      </w:r>
    </w:p>
    <w:p w14:paraId="70D6A14B">
      <w:pPr>
        <w:pStyle w:val="31"/>
        <w:keepNext w:val="0"/>
        <w:keepLines w:val="0"/>
        <w:pageBreakBefore w:val="0"/>
        <w:widowControl/>
        <w:shd w:val="clear" w:color="auto" w:fill="auto"/>
        <w:kinsoku/>
        <w:wordWrap/>
        <w:overflowPunct/>
        <w:topLinePunct w:val="0"/>
        <w:autoSpaceDE/>
        <w:autoSpaceDN/>
        <w:bidi w:val="0"/>
        <w:adjustRightInd w:val="0"/>
        <w:snapToGrid w:val="0"/>
        <w:spacing w:before="313" w:beforeLines="100" w:beforeAutospacing="0" w:after="313" w:afterLines="100" w:afterAutospacing="0" w:line="240" w:lineRule="auto"/>
        <w:jc w:val="center"/>
        <w:textAlignment w:val="auto"/>
        <w:outlineLvl w:val="9"/>
        <w:rPr>
          <w:rFonts w:hint="default" w:ascii="Times New Roman" w:hAnsi="Times New Roman" w:eastAsia="方正小标宋_GBK" w:cs="Times New Roman"/>
          <w:snapToGrid w:val="0"/>
          <w:color w:val="auto"/>
          <w:sz w:val="38"/>
          <w:szCs w:val="38"/>
        </w:rPr>
      </w:pPr>
      <w:r>
        <w:rPr>
          <w:rFonts w:hint="default" w:ascii="Times New Roman" w:hAnsi="Times New Roman" w:eastAsia="方正小标宋_GBK" w:cs="Times New Roman"/>
          <w:snapToGrid w:val="0"/>
          <w:color w:val="auto"/>
          <w:sz w:val="38"/>
          <w:szCs w:val="38"/>
        </w:rPr>
        <w:t>建设项目污染物排放量汇总表</w:t>
      </w:r>
    </w:p>
    <w:tbl>
      <w:tblPr>
        <w:tblStyle w:val="36"/>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299"/>
        <w:gridCol w:w="1671"/>
        <w:gridCol w:w="1485"/>
        <w:gridCol w:w="1582"/>
        <w:gridCol w:w="1637"/>
        <w:gridCol w:w="1393"/>
        <w:gridCol w:w="1634"/>
        <w:gridCol w:w="1185"/>
      </w:tblGrid>
      <w:tr w14:paraId="388A0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single" w:color="auto" w:sz="4" w:space="0"/>
            </w:tcBorders>
            <w:noWrap w:val="0"/>
            <w:tcMar>
              <w:left w:w="28" w:type="dxa"/>
              <w:right w:w="28" w:type="dxa"/>
            </w:tcMar>
            <w:vAlign w:val="center"/>
          </w:tcPr>
          <w:p w14:paraId="0FED998C">
            <w:pPr>
              <w:pStyle w:val="67"/>
              <w:keepNext w:val="0"/>
              <w:keepLines w:val="0"/>
              <w:pageBreakBefore w:val="0"/>
              <w:shd w:val="clear" w:color="auto" w:fill="auto"/>
              <w:kinsoku/>
              <w:wordWrap/>
              <w:overflowPunct/>
              <w:topLinePunct w:val="0"/>
              <w:bidi w:val="0"/>
              <w:spacing w:beforeLines="0" w:afterLines="0" w:line="0" w:lineRule="atLeast"/>
              <w:jc w:val="righ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项目</w:t>
            </w:r>
          </w:p>
          <w:p w14:paraId="4683295E">
            <w:pPr>
              <w:pStyle w:val="67"/>
              <w:keepNext w:val="0"/>
              <w:keepLines w:val="0"/>
              <w:pageBreakBefore w:val="0"/>
              <w:shd w:val="clear" w:color="auto" w:fill="auto"/>
              <w:kinsoku/>
              <w:wordWrap/>
              <w:overflowPunct/>
              <w:topLinePunct w:val="0"/>
              <w:bidi w:val="0"/>
              <w:spacing w:beforeLines="0" w:afterLines="0" w:line="0" w:lineRule="atLeast"/>
              <w:jc w:val="lef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分类</w:t>
            </w:r>
          </w:p>
        </w:tc>
        <w:tc>
          <w:tcPr>
            <w:tcW w:w="497" w:type="pct"/>
            <w:noWrap w:val="0"/>
            <w:tcMar>
              <w:left w:w="28" w:type="dxa"/>
              <w:right w:w="28" w:type="dxa"/>
            </w:tcMar>
            <w:vAlign w:val="center"/>
          </w:tcPr>
          <w:p w14:paraId="34526767">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污染物名称</w:t>
            </w:r>
          </w:p>
        </w:tc>
        <w:tc>
          <w:tcPr>
            <w:tcW w:w="639" w:type="pct"/>
            <w:noWrap w:val="0"/>
            <w:tcMar>
              <w:left w:w="28" w:type="dxa"/>
              <w:right w:w="28" w:type="dxa"/>
            </w:tcMar>
            <w:vAlign w:val="center"/>
          </w:tcPr>
          <w:p w14:paraId="187AAE4C">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现有工程</w:t>
            </w:r>
          </w:p>
          <w:p w14:paraId="2B1F3072">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1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①</w:t>
            </w:r>
            <w:r>
              <w:rPr>
                <w:rFonts w:hint="default" w:ascii="Times New Roman" w:hAnsi="Times New Roman" w:eastAsia="黑体" w:cs="Times New Roman"/>
                <w:snapToGrid w:val="0"/>
                <w:color w:val="auto"/>
                <w:spacing w:val="-6"/>
                <w:kern w:val="21"/>
                <w:sz w:val="24"/>
                <w:szCs w:val="24"/>
              </w:rPr>
              <w:fldChar w:fldCharType="end"/>
            </w:r>
          </w:p>
        </w:tc>
        <w:tc>
          <w:tcPr>
            <w:tcW w:w="568" w:type="pct"/>
            <w:noWrap w:val="0"/>
            <w:tcMar>
              <w:left w:w="28" w:type="dxa"/>
              <w:right w:w="28" w:type="dxa"/>
            </w:tcMar>
            <w:vAlign w:val="center"/>
          </w:tcPr>
          <w:p w14:paraId="423AEC1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现有工程</w:t>
            </w:r>
          </w:p>
          <w:p w14:paraId="6B178199">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许可排放量</w:t>
            </w:r>
          </w:p>
          <w:p w14:paraId="4B8EB30B">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2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snapToGrid w:val="0"/>
                <w:color w:val="auto"/>
                <w:spacing w:val="-6"/>
                <w:kern w:val="21"/>
                <w:sz w:val="24"/>
                <w:szCs w:val="24"/>
              </w:rPr>
              <w:t>②</w:t>
            </w:r>
            <w:r>
              <w:rPr>
                <w:rFonts w:hint="default" w:ascii="Times New Roman" w:hAnsi="Times New Roman" w:eastAsia="黑体" w:cs="Times New Roman"/>
                <w:snapToGrid w:val="0"/>
                <w:color w:val="auto"/>
                <w:spacing w:val="-6"/>
                <w:kern w:val="21"/>
                <w:sz w:val="24"/>
                <w:szCs w:val="24"/>
              </w:rPr>
              <w:fldChar w:fldCharType="end"/>
            </w:r>
          </w:p>
        </w:tc>
        <w:tc>
          <w:tcPr>
            <w:tcW w:w="605" w:type="pct"/>
            <w:noWrap w:val="0"/>
            <w:tcMar>
              <w:left w:w="28" w:type="dxa"/>
              <w:right w:w="28" w:type="dxa"/>
            </w:tcMar>
            <w:vAlign w:val="center"/>
          </w:tcPr>
          <w:p w14:paraId="1FEA203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在建工程</w:t>
            </w:r>
          </w:p>
          <w:p w14:paraId="33CD3C31">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3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③</w:t>
            </w:r>
            <w:r>
              <w:rPr>
                <w:rFonts w:hint="default" w:ascii="Times New Roman" w:hAnsi="Times New Roman" w:eastAsia="黑体" w:cs="Times New Roman"/>
                <w:snapToGrid w:val="0"/>
                <w:color w:val="auto"/>
                <w:spacing w:val="-6"/>
                <w:kern w:val="21"/>
                <w:sz w:val="24"/>
                <w:szCs w:val="24"/>
              </w:rPr>
              <w:fldChar w:fldCharType="end"/>
            </w:r>
          </w:p>
        </w:tc>
        <w:tc>
          <w:tcPr>
            <w:tcW w:w="626" w:type="pct"/>
            <w:noWrap w:val="0"/>
            <w:tcMar>
              <w:left w:w="28" w:type="dxa"/>
              <w:right w:w="28" w:type="dxa"/>
            </w:tcMar>
            <w:vAlign w:val="center"/>
          </w:tcPr>
          <w:p w14:paraId="6B7E6BE5">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本项目</w:t>
            </w:r>
          </w:p>
          <w:p w14:paraId="5F7C0B0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4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④</w:t>
            </w:r>
            <w:r>
              <w:rPr>
                <w:rFonts w:hint="default" w:ascii="Times New Roman" w:hAnsi="Times New Roman" w:eastAsia="黑体" w:cs="Times New Roman"/>
                <w:snapToGrid w:val="0"/>
                <w:color w:val="auto"/>
                <w:spacing w:val="-6"/>
                <w:kern w:val="21"/>
                <w:sz w:val="24"/>
                <w:szCs w:val="24"/>
              </w:rPr>
              <w:fldChar w:fldCharType="end"/>
            </w:r>
          </w:p>
        </w:tc>
        <w:tc>
          <w:tcPr>
            <w:tcW w:w="533" w:type="pct"/>
            <w:noWrap w:val="0"/>
            <w:tcMar>
              <w:left w:w="28" w:type="dxa"/>
              <w:right w:w="28" w:type="dxa"/>
            </w:tcMar>
            <w:vAlign w:val="center"/>
          </w:tcPr>
          <w:p w14:paraId="2731ED5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以新带老削减量（新建项目不填）</w:t>
            </w:r>
            <w:r>
              <w:rPr>
                <w:rFonts w:hint="default" w:ascii="Times New Roman" w:hAnsi="Times New Roman" w:eastAsia="黑体" w:cs="Times New Roman"/>
                <w:snapToGrid w:val="0"/>
                <w:color w:val="auto"/>
                <w:spacing w:val="-16"/>
                <w:kern w:val="21"/>
                <w:sz w:val="24"/>
                <w:szCs w:val="24"/>
              </w:rPr>
              <w:fldChar w:fldCharType="begin"/>
            </w:r>
            <w:r>
              <w:rPr>
                <w:rFonts w:hint="default" w:ascii="Times New Roman" w:hAnsi="Times New Roman" w:eastAsia="黑体" w:cs="Times New Roman"/>
                <w:snapToGrid w:val="0"/>
                <w:color w:val="auto"/>
                <w:spacing w:val="-16"/>
                <w:kern w:val="21"/>
                <w:sz w:val="24"/>
                <w:szCs w:val="24"/>
              </w:rPr>
              <w:instrText xml:space="preserve"> = 5 \* GB3 \* MERGEFORMAT </w:instrText>
            </w:r>
            <w:r>
              <w:rPr>
                <w:rFonts w:hint="default" w:ascii="Times New Roman" w:hAnsi="Times New Roman" w:eastAsia="黑体" w:cs="Times New Roman"/>
                <w:snapToGrid w:val="0"/>
                <w:color w:val="auto"/>
                <w:spacing w:val="-16"/>
                <w:kern w:val="21"/>
                <w:sz w:val="24"/>
                <w:szCs w:val="24"/>
              </w:rPr>
              <w:fldChar w:fldCharType="separate"/>
            </w:r>
            <w:r>
              <w:rPr>
                <w:rFonts w:hint="default" w:ascii="Times New Roman" w:hAnsi="Times New Roman" w:eastAsia="黑体" w:cs="Times New Roman"/>
                <w:color w:val="auto"/>
                <w:kern w:val="2"/>
                <w:sz w:val="24"/>
                <w:szCs w:val="24"/>
              </w:rPr>
              <w:t>⑤</w:t>
            </w:r>
            <w:r>
              <w:rPr>
                <w:rFonts w:hint="default" w:ascii="Times New Roman" w:hAnsi="Times New Roman" w:eastAsia="黑体" w:cs="Times New Roman"/>
                <w:snapToGrid w:val="0"/>
                <w:color w:val="auto"/>
                <w:spacing w:val="-16"/>
                <w:kern w:val="21"/>
                <w:sz w:val="24"/>
                <w:szCs w:val="24"/>
              </w:rPr>
              <w:fldChar w:fldCharType="end"/>
            </w:r>
          </w:p>
        </w:tc>
        <w:tc>
          <w:tcPr>
            <w:tcW w:w="625" w:type="pct"/>
            <w:noWrap w:val="0"/>
            <w:tcMar>
              <w:left w:w="28" w:type="dxa"/>
              <w:right w:w="28" w:type="dxa"/>
            </w:tcMar>
            <w:vAlign w:val="center"/>
          </w:tcPr>
          <w:p w14:paraId="05B01C86">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本项目建成后</w:t>
            </w:r>
          </w:p>
          <w:p w14:paraId="7561FC29">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全厂排放量（固体废物产生量）</w:t>
            </w:r>
            <w:r>
              <w:rPr>
                <w:rFonts w:hint="default" w:ascii="Times New Roman" w:hAnsi="Times New Roman" w:eastAsia="黑体" w:cs="Times New Roman"/>
                <w:snapToGrid w:val="0"/>
                <w:color w:val="auto"/>
                <w:spacing w:val="-16"/>
                <w:kern w:val="21"/>
                <w:sz w:val="24"/>
                <w:szCs w:val="24"/>
              </w:rPr>
              <w:fldChar w:fldCharType="begin"/>
            </w:r>
            <w:r>
              <w:rPr>
                <w:rFonts w:hint="default" w:ascii="Times New Roman" w:hAnsi="Times New Roman" w:eastAsia="黑体" w:cs="Times New Roman"/>
                <w:snapToGrid w:val="0"/>
                <w:color w:val="auto"/>
                <w:spacing w:val="-16"/>
                <w:kern w:val="21"/>
                <w:sz w:val="24"/>
                <w:szCs w:val="24"/>
              </w:rPr>
              <w:instrText xml:space="preserve"> = 6 \* GB3 \* MERGEFORMAT </w:instrText>
            </w:r>
            <w:r>
              <w:rPr>
                <w:rFonts w:hint="default" w:ascii="Times New Roman" w:hAnsi="Times New Roman" w:eastAsia="黑体" w:cs="Times New Roman"/>
                <w:snapToGrid w:val="0"/>
                <w:color w:val="auto"/>
                <w:spacing w:val="-16"/>
                <w:kern w:val="21"/>
                <w:sz w:val="24"/>
                <w:szCs w:val="24"/>
              </w:rPr>
              <w:fldChar w:fldCharType="separate"/>
            </w:r>
            <w:r>
              <w:rPr>
                <w:rFonts w:hint="default" w:ascii="Times New Roman" w:hAnsi="Times New Roman" w:eastAsia="黑体" w:cs="Times New Roman"/>
                <w:color w:val="auto"/>
                <w:kern w:val="2"/>
                <w:sz w:val="24"/>
                <w:szCs w:val="24"/>
              </w:rPr>
              <w:t>⑥</w:t>
            </w:r>
            <w:r>
              <w:rPr>
                <w:rFonts w:hint="default" w:ascii="Times New Roman" w:hAnsi="Times New Roman" w:eastAsia="黑体" w:cs="Times New Roman"/>
                <w:snapToGrid w:val="0"/>
                <w:color w:val="auto"/>
                <w:spacing w:val="-16"/>
                <w:kern w:val="21"/>
                <w:sz w:val="24"/>
                <w:szCs w:val="24"/>
              </w:rPr>
              <w:fldChar w:fldCharType="end"/>
            </w:r>
          </w:p>
        </w:tc>
        <w:tc>
          <w:tcPr>
            <w:tcW w:w="453" w:type="pct"/>
            <w:noWrap w:val="0"/>
            <w:tcMar>
              <w:left w:w="28" w:type="dxa"/>
              <w:right w:w="28" w:type="dxa"/>
            </w:tcMar>
            <w:vAlign w:val="center"/>
          </w:tcPr>
          <w:p w14:paraId="24DF2C0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变化量</w:t>
            </w:r>
          </w:p>
          <w:p w14:paraId="6BB44C4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7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⑦</w:t>
            </w:r>
            <w:r>
              <w:rPr>
                <w:rFonts w:hint="default" w:ascii="Times New Roman" w:hAnsi="Times New Roman" w:eastAsia="黑体" w:cs="Times New Roman"/>
                <w:snapToGrid w:val="0"/>
                <w:color w:val="auto"/>
                <w:spacing w:val="-6"/>
                <w:kern w:val="21"/>
                <w:sz w:val="24"/>
                <w:szCs w:val="24"/>
              </w:rPr>
              <w:fldChar w:fldCharType="end"/>
            </w:r>
          </w:p>
        </w:tc>
      </w:tr>
      <w:tr w14:paraId="3ADE2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50" w:type="pct"/>
            <w:vMerge w:val="restart"/>
            <w:noWrap w:val="0"/>
            <w:vAlign w:val="center"/>
          </w:tcPr>
          <w:p w14:paraId="397C568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废气</w:t>
            </w:r>
          </w:p>
        </w:tc>
        <w:tc>
          <w:tcPr>
            <w:tcW w:w="497" w:type="pct"/>
            <w:noWrap w:val="0"/>
            <w:vAlign w:val="center"/>
          </w:tcPr>
          <w:p w14:paraId="35CAED68">
            <w:pPr>
              <w:keepNext w:val="0"/>
              <w:keepLines w:val="0"/>
              <w:pageBreakBefore w:val="0"/>
              <w:kinsoku/>
              <w:wordWrap/>
              <w:overflowPunct/>
              <w:topLinePunct w:val="0"/>
              <w:bidi w:val="0"/>
              <w:spacing w:line="0" w:lineRule="atLeast"/>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颗粒物</w:t>
            </w:r>
          </w:p>
        </w:tc>
        <w:tc>
          <w:tcPr>
            <w:tcW w:w="639" w:type="pct"/>
            <w:noWrap w:val="0"/>
            <w:vAlign w:val="center"/>
          </w:tcPr>
          <w:p w14:paraId="662A2434">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eastAsia" w:cs="Times New Roman"/>
                <w:i w:val="0"/>
                <w:iCs w:val="0"/>
                <w:color w:val="0000FF"/>
                <w:kern w:val="0"/>
                <w:sz w:val="21"/>
                <w:szCs w:val="21"/>
                <w:u w:val="none"/>
                <w:lang w:val="en-US" w:eastAsia="zh-CN" w:bidi="ar"/>
              </w:rPr>
              <w:t>9.665</w:t>
            </w:r>
            <w:r>
              <w:rPr>
                <w:rFonts w:hint="default" w:ascii="Times New Roman" w:hAnsi="Times New Roman" w:cs="Times New Roman"/>
                <w:color w:val="0000FF"/>
                <w:szCs w:val="21"/>
              </w:rPr>
              <w:t>t/a</w:t>
            </w:r>
          </w:p>
        </w:tc>
        <w:tc>
          <w:tcPr>
            <w:tcW w:w="568" w:type="pct"/>
            <w:noWrap w:val="0"/>
            <w:vAlign w:val="center"/>
          </w:tcPr>
          <w:p w14:paraId="432B919F">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szCs w:val="21"/>
                <w:lang w:val="en-US" w:eastAsia="zh-CN"/>
              </w:rPr>
            </w:pPr>
            <w:r>
              <w:rPr>
                <w:rFonts w:hint="default" w:ascii="Times New Roman" w:hAnsi="Times New Roman" w:cs="Times New Roman"/>
                <w:strike w:val="0"/>
                <w:color w:val="auto"/>
                <w:szCs w:val="21"/>
              </w:rPr>
              <w:t>--</w:t>
            </w:r>
          </w:p>
        </w:tc>
        <w:tc>
          <w:tcPr>
            <w:tcW w:w="605" w:type="pct"/>
            <w:noWrap w:val="0"/>
            <w:vAlign w:val="center"/>
          </w:tcPr>
          <w:p w14:paraId="15F97D3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772C7B5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lang w:val="en-US"/>
              </w:rPr>
            </w:pPr>
            <w:r>
              <w:rPr>
                <w:rFonts w:hint="eastAsia" w:cs="Times New Roman"/>
                <w:color w:val="auto"/>
                <w:szCs w:val="21"/>
                <w:lang w:val="en-US" w:eastAsia="zh-CN"/>
              </w:rPr>
              <w:t>2.564</w:t>
            </w:r>
            <w:r>
              <w:rPr>
                <w:rFonts w:hint="default" w:ascii="Times New Roman" w:hAnsi="Times New Roman" w:cs="Times New Roman"/>
                <w:color w:val="auto"/>
                <w:szCs w:val="21"/>
              </w:rPr>
              <w:t>t/a</w:t>
            </w:r>
          </w:p>
        </w:tc>
        <w:tc>
          <w:tcPr>
            <w:tcW w:w="533" w:type="pct"/>
            <w:noWrap w:val="0"/>
            <w:vAlign w:val="center"/>
          </w:tcPr>
          <w:p w14:paraId="383B1DD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szCs w:val="21"/>
                <w:lang w:val="en-US" w:eastAsia="zh-CN"/>
              </w:rPr>
            </w:pPr>
            <w:r>
              <w:rPr>
                <w:rFonts w:hint="eastAsia" w:cs="Times New Roman"/>
                <w:color w:val="auto"/>
                <w:szCs w:val="21"/>
                <w:lang w:val="en-US" w:eastAsia="zh-CN"/>
              </w:rPr>
              <w:t>2.564</w:t>
            </w:r>
            <w:r>
              <w:rPr>
                <w:rFonts w:hint="default" w:ascii="Times New Roman" w:hAnsi="Times New Roman" w:cs="Times New Roman"/>
                <w:color w:val="auto"/>
                <w:szCs w:val="21"/>
              </w:rPr>
              <w:t>t/a</w:t>
            </w:r>
          </w:p>
        </w:tc>
        <w:tc>
          <w:tcPr>
            <w:tcW w:w="625" w:type="pct"/>
            <w:noWrap w:val="0"/>
            <w:vAlign w:val="center"/>
          </w:tcPr>
          <w:p w14:paraId="7CB33EBD">
            <w:pPr>
              <w:keepNext w:val="0"/>
              <w:keepLines w:val="0"/>
              <w:pageBreakBefore w:val="0"/>
              <w:widowControl/>
              <w:suppressLineNumbers w:val="0"/>
              <w:kinsoku/>
              <w:wordWrap/>
              <w:overflowPunct/>
              <w:topLinePunct w:val="0"/>
              <w:bidi w:val="0"/>
              <w:spacing w:line="0" w:lineRule="atLeast"/>
              <w:jc w:val="center"/>
              <w:textAlignment w:val="bottom"/>
              <w:rPr>
                <w:rFonts w:hint="default" w:eastAsia="宋体"/>
                <w:color w:val="auto"/>
                <w:kern w:val="2"/>
                <w:sz w:val="21"/>
                <w:szCs w:val="21"/>
                <w:lang w:val="en-US" w:eastAsia="zh-CN" w:bidi="ar-SA"/>
              </w:rPr>
            </w:pPr>
            <w:r>
              <w:rPr>
                <w:rFonts w:hint="eastAsia" w:cs="Times New Roman"/>
                <w:i w:val="0"/>
                <w:iCs w:val="0"/>
                <w:color w:val="0000FF"/>
                <w:kern w:val="0"/>
                <w:sz w:val="21"/>
                <w:szCs w:val="21"/>
                <w:u w:val="none"/>
                <w:lang w:val="en-US" w:eastAsia="zh-CN" w:bidi="ar"/>
              </w:rPr>
              <w:t>9.665</w:t>
            </w:r>
            <w:r>
              <w:rPr>
                <w:rFonts w:hint="default" w:ascii="Times New Roman" w:hAnsi="Times New Roman" w:cs="Times New Roman"/>
                <w:color w:val="0000FF"/>
                <w:szCs w:val="21"/>
              </w:rPr>
              <w:t>t/a</w:t>
            </w:r>
          </w:p>
        </w:tc>
        <w:tc>
          <w:tcPr>
            <w:tcW w:w="453" w:type="pct"/>
            <w:noWrap w:val="0"/>
            <w:vAlign w:val="center"/>
          </w:tcPr>
          <w:p w14:paraId="58BCB39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lang w:val="en-US"/>
              </w:rPr>
            </w:pPr>
            <w:r>
              <w:rPr>
                <w:rFonts w:hint="eastAsia" w:cs="Times New Roman"/>
                <w:color w:val="auto"/>
                <w:szCs w:val="21"/>
                <w:lang w:val="en-US" w:eastAsia="zh-CN"/>
              </w:rPr>
              <w:t>0</w:t>
            </w:r>
          </w:p>
        </w:tc>
      </w:tr>
      <w:tr w14:paraId="02370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450" w:type="pct"/>
            <w:vMerge w:val="continue"/>
            <w:noWrap w:val="0"/>
            <w:vAlign w:val="center"/>
          </w:tcPr>
          <w:p w14:paraId="1471664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78091DB3">
            <w:pPr>
              <w:keepNext w:val="0"/>
              <w:keepLines w:val="0"/>
              <w:pageBreakBefore w:val="0"/>
              <w:kinsoku/>
              <w:wordWrap/>
              <w:overflowPunct/>
              <w:topLinePunct w:val="0"/>
              <w:bidi w:val="0"/>
              <w:spacing w:line="0" w:lineRule="atLeast"/>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p>
        </w:tc>
        <w:tc>
          <w:tcPr>
            <w:tcW w:w="639" w:type="pct"/>
            <w:noWrap w:val="0"/>
            <w:vAlign w:val="center"/>
          </w:tcPr>
          <w:p w14:paraId="5AC2B465">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568" w:type="pct"/>
            <w:noWrap w:val="0"/>
            <w:vAlign w:val="center"/>
          </w:tcPr>
          <w:p w14:paraId="2D5E34C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605" w:type="pct"/>
            <w:noWrap w:val="0"/>
            <w:vAlign w:val="center"/>
          </w:tcPr>
          <w:p w14:paraId="1D875D94">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626" w:type="pct"/>
            <w:noWrap w:val="0"/>
            <w:vAlign w:val="center"/>
          </w:tcPr>
          <w:p w14:paraId="44ED08F9">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533" w:type="pct"/>
            <w:noWrap w:val="0"/>
            <w:vAlign w:val="center"/>
          </w:tcPr>
          <w:p w14:paraId="36A827D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625" w:type="pct"/>
            <w:noWrap w:val="0"/>
            <w:vAlign w:val="center"/>
          </w:tcPr>
          <w:p w14:paraId="55D2703B">
            <w:pPr>
              <w:keepNext w:val="0"/>
              <w:keepLines w:val="0"/>
              <w:pageBreakBefore w:val="0"/>
              <w:widowControl/>
              <w:suppressLineNumbers w:val="0"/>
              <w:kinsoku/>
              <w:wordWrap/>
              <w:overflowPunct/>
              <w:topLinePunct w:val="0"/>
              <w:bidi w:val="0"/>
              <w:spacing w:line="0" w:lineRule="atLeast"/>
              <w:jc w:val="center"/>
              <w:textAlignment w:val="bottom"/>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453" w:type="pct"/>
            <w:noWrap w:val="0"/>
            <w:vAlign w:val="center"/>
          </w:tcPr>
          <w:p w14:paraId="7ED5435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color w:val="auto"/>
                <w:szCs w:val="21"/>
                <w:lang w:val="en-US" w:eastAsia="zh-CN"/>
              </w:rPr>
            </w:pPr>
            <w:r>
              <w:rPr>
                <w:rFonts w:hint="eastAsia" w:cs="Times New Roman"/>
                <w:strike w:val="0"/>
                <w:color w:val="auto"/>
                <w:szCs w:val="21"/>
                <w:lang w:val="en-US" w:eastAsia="zh-CN"/>
              </w:rPr>
              <w:t>0</w:t>
            </w:r>
          </w:p>
        </w:tc>
      </w:tr>
      <w:tr w14:paraId="11E89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50" w:type="pct"/>
            <w:vMerge w:val="continue"/>
            <w:noWrap w:val="0"/>
            <w:vAlign w:val="center"/>
          </w:tcPr>
          <w:p w14:paraId="1E56802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24ACE18C">
            <w:pPr>
              <w:keepNext w:val="0"/>
              <w:keepLines w:val="0"/>
              <w:pageBreakBefore w:val="0"/>
              <w:kinsoku/>
              <w:wordWrap/>
              <w:overflowPunct/>
              <w:topLinePunct w:val="0"/>
              <w:bidi w:val="0"/>
              <w:spacing w:line="0" w:lineRule="atLeast"/>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X</w:t>
            </w:r>
          </w:p>
        </w:tc>
        <w:tc>
          <w:tcPr>
            <w:tcW w:w="639" w:type="pct"/>
            <w:noWrap w:val="0"/>
            <w:vAlign w:val="center"/>
          </w:tcPr>
          <w:p w14:paraId="7D8366F2">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568" w:type="pct"/>
            <w:noWrap w:val="0"/>
            <w:vAlign w:val="center"/>
          </w:tcPr>
          <w:p w14:paraId="521B318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605" w:type="pct"/>
            <w:noWrap w:val="0"/>
            <w:vAlign w:val="center"/>
          </w:tcPr>
          <w:p w14:paraId="5A8C998F">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4B50855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color w:val="auto"/>
                <w:szCs w:val="21"/>
                <w:lang w:val="en-US" w:eastAsia="zh-CN"/>
              </w:rPr>
            </w:pPr>
            <w:r>
              <w:rPr>
                <w:rFonts w:hint="default" w:ascii="Times New Roman" w:hAnsi="Times New Roman" w:cs="Times New Roman"/>
                <w:strike w:val="0"/>
                <w:color w:val="auto"/>
                <w:szCs w:val="21"/>
              </w:rPr>
              <w:t>--</w:t>
            </w:r>
          </w:p>
        </w:tc>
        <w:tc>
          <w:tcPr>
            <w:tcW w:w="533" w:type="pct"/>
            <w:noWrap w:val="0"/>
            <w:vAlign w:val="center"/>
          </w:tcPr>
          <w:p w14:paraId="230ADC76">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1DC9073C">
            <w:pPr>
              <w:keepNext w:val="0"/>
              <w:keepLines w:val="0"/>
              <w:pageBreakBefore w:val="0"/>
              <w:widowControl/>
              <w:suppressLineNumbers w:val="0"/>
              <w:kinsoku/>
              <w:wordWrap/>
              <w:overflowPunct/>
              <w:topLinePunct w:val="0"/>
              <w:bidi w:val="0"/>
              <w:spacing w:line="0" w:lineRule="atLeast"/>
              <w:jc w:val="center"/>
              <w:textAlignment w:val="bottom"/>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453" w:type="pct"/>
            <w:noWrap w:val="0"/>
            <w:vAlign w:val="center"/>
          </w:tcPr>
          <w:p w14:paraId="2220DC3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color w:val="auto"/>
                <w:szCs w:val="21"/>
                <w:lang w:val="en-US" w:eastAsia="zh-CN"/>
              </w:rPr>
            </w:pPr>
            <w:r>
              <w:rPr>
                <w:rFonts w:hint="eastAsia" w:cs="Times New Roman"/>
                <w:strike w:val="0"/>
                <w:color w:val="auto"/>
                <w:szCs w:val="21"/>
                <w:lang w:val="en-US" w:eastAsia="zh-CN"/>
              </w:rPr>
              <w:t>0</w:t>
            </w:r>
          </w:p>
        </w:tc>
      </w:tr>
      <w:tr w14:paraId="5FD6D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50" w:type="pct"/>
            <w:vMerge w:val="restart"/>
            <w:noWrap w:val="0"/>
            <w:vAlign w:val="center"/>
          </w:tcPr>
          <w:p w14:paraId="29812F4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废水</w:t>
            </w:r>
          </w:p>
        </w:tc>
        <w:tc>
          <w:tcPr>
            <w:tcW w:w="497" w:type="pct"/>
            <w:noWrap w:val="0"/>
            <w:vAlign w:val="center"/>
          </w:tcPr>
          <w:p w14:paraId="285C231A">
            <w:pPr>
              <w:pStyle w:val="85"/>
              <w:keepNext w:val="0"/>
              <w:keepLines w:val="0"/>
              <w:pageBreakBefore w:val="0"/>
              <w:widowControl/>
              <w:kinsoku/>
              <w:wordWrap/>
              <w:overflowPunct/>
              <w:topLinePunct w:val="0"/>
              <w:bidi w:val="0"/>
              <w:spacing w:line="0" w:lineRule="atLeast"/>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COD</w:t>
            </w:r>
          </w:p>
        </w:tc>
        <w:tc>
          <w:tcPr>
            <w:tcW w:w="639" w:type="pct"/>
            <w:noWrap w:val="0"/>
            <w:vAlign w:val="center"/>
          </w:tcPr>
          <w:p w14:paraId="587ADB0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color w:val="auto"/>
                <w:szCs w:val="21"/>
                <w:lang w:eastAsia="zh-CN"/>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68" w:type="pct"/>
            <w:noWrap w:val="0"/>
            <w:vAlign w:val="center"/>
          </w:tcPr>
          <w:p w14:paraId="4262F69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605" w:type="pct"/>
            <w:noWrap w:val="0"/>
            <w:vAlign w:val="center"/>
          </w:tcPr>
          <w:p w14:paraId="65FAC92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6B0032FD">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default" w:ascii="Times New Roman" w:hAnsi="Times New Roman" w:cs="Times New Roman"/>
                <w:color w:val="auto"/>
                <w:sz w:val="21"/>
                <w:szCs w:val="21"/>
                <w:lang w:val="en-US" w:eastAsia="zh-CN" w:bidi="ar-SA"/>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33" w:type="pct"/>
            <w:noWrap w:val="0"/>
            <w:vAlign w:val="center"/>
          </w:tcPr>
          <w:p w14:paraId="1E825EB3">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7151D2B0">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strike w:val="0"/>
                <w:color w:val="auto"/>
                <w:sz w:val="21"/>
                <w:szCs w:val="21"/>
                <w:lang w:val="en-US" w:eastAsia="zh-CN" w:bidi="ar-SA"/>
              </w:rPr>
            </w:pPr>
            <w:r>
              <w:rPr>
                <w:rFonts w:hint="eastAsia" w:cs="Times New Roman"/>
                <w:strike w:val="0"/>
                <w:color w:val="auto"/>
                <w:szCs w:val="21"/>
                <w:lang w:val="en-US" w:eastAsia="zh-CN"/>
              </w:rPr>
              <w:t>0</w:t>
            </w:r>
            <w:r>
              <w:rPr>
                <w:rFonts w:hint="default" w:ascii="Times New Roman" w:hAnsi="Times New Roman" w:cs="Times New Roman"/>
                <w:color w:val="auto"/>
                <w:szCs w:val="21"/>
              </w:rPr>
              <w:t>t/a</w:t>
            </w:r>
          </w:p>
        </w:tc>
        <w:tc>
          <w:tcPr>
            <w:tcW w:w="453" w:type="pct"/>
            <w:noWrap w:val="0"/>
            <w:vAlign w:val="center"/>
          </w:tcPr>
          <w:p w14:paraId="26486E27">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strike w:val="0"/>
                <w:color w:val="auto"/>
                <w:sz w:val="21"/>
                <w:szCs w:val="21"/>
                <w:lang w:val="en-US" w:eastAsia="zh-CN" w:bidi="ar-SA"/>
              </w:rPr>
            </w:pPr>
            <w:r>
              <w:rPr>
                <w:rFonts w:hint="eastAsia" w:cs="Times New Roman"/>
                <w:strike w:val="0"/>
                <w:color w:val="auto"/>
                <w:szCs w:val="21"/>
                <w:lang w:val="en-US" w:eastAsia="zh-CN"/>
              </w:rPr>
              <w:t>0</w:t>
            </w:r>
          </w:p>
        </w:tc>
      </w:tr>
      <w:tr w14:paraId="56850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50" w:type="pct"/>
            <w:vMerge w:val="continue"/>
            <w:noWrap w:val="0"/>
            <w:vAlign w:val="center"/>
          </w:tcPr>
          <w:p w14:paraId="0E7978CC">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434E75B5">
            <w:pPr>
              <w:pStyle w:val="85"/>
              <w:keepNext w:val="0"/>
              <w:keepLines w:val="0"/>
              <w:pageBreakBefore w:val="0"/>
              <w:widowControl/>
              <w:kinsoku/>
              <w:wordWrap/>
              <w:overflowPunct/>
              <w:topLinePunct w:val="0"/>
              <w:bidi w:val="0"/>
              <w:spacing w:line="0" w:lineRule="atLeast"/>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氨氮</w:t>
            </w:r>
          </w:p>
        </w:tc>
        <w:tc>
          <w:tcPr>
            <w:tcW w:w="639" w:type="pct"/>
            <w:noWrap w:val="0"/>
            <w:vAlign w:val="center"/>
          </w:tcPr>
          <w:p w14:paraId="1B7EA84B">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color w:val="auto"/>
                <w:szCs w:val="21"/>
                <w:lang w:eastAsia="zh-CN"/>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68" w:type="pct"/>
            <w:noWrap w:val="0"/>
            <w:vAlign w:val="center"/>
          </w:tcPr>
          <w:p w14:paraId="5D818FE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605" w:type="pct"/>
            <w:noWrap w:val="0"/>
            <w:vAlign w:val="center"/>
          </w:tcPr>
          <w:p w14:paraId="3BB9B99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079D1BD0">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default" w:ascii="Times New Roman" w:hAnsi="Times New Roman" w:cs="Times New Roman"/>
                <w:color w:val="auto"/>
                <w:sz w:val="21"/>
                <w:szCs w:val="21"/>
                <w:lang w:val="en-US" w:eastAsia="zh-CN" w:bidi="ar-SA"/>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33" w:type="pct"/>
            <w:noWrap w:val="0"/>
            <w:vAlign w:val="center"/>
          </w:tcPr>
          <w:p w14:paraId="3A615C7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42F09A1D">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color w:val="auto"/>
                <w:sz w:val="21"/>
                <w:szCs w:val="21"/>
                <w:lang w:val="en-US" w:eastAsia="zh-CN" w:bidi="ar-SA"/>
              </w:rPr>
            </w:pPr>
            <w:r>
              <w:rPr>
                <w:rFonts w:hint="eastAsia" w:cs="Times New Roman"/>
                <w:strike w:val="0"/>
                <w:color w:val="auto"/>
                <w:szCs w:val="21"/>
                <w:lang w:val="en-US" w:eastAsia="zh-CN"/>
              </w:rPr>
              <w:t>0</w:t>
            </w:r>
            <w:r>
              <w:rPr>
                <w:rFonts w:hint="default" w:ascii="Times New Roman" w:hAnsi="Times New Roman" w:cs="Times New Roman"/>
                <w:color w:val="auto"/>
                <w:szCs w:val="21"/>
              </w:rPr>
              <w:t>t/a</w:t>
            </w:r>
          </w:p>
        </w:tc>
        <w:tc>
          <w:tcPr>
            <w:tcW w:w="453" w:type="pct"/>
            <w:noWrap w:val="0"/>
            <w:vAlign w:val="center"/>
          </w:tcPr>
          <w:p w14:paraId="4DE12FC9">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color w:val="auto"/>
                <w:sz w:val="21"/>
                <w:szCs w:val="21"/>
                <w:lang w:val="en-US" w:eastAsia="zh-CN" w:bidi="ar-SA"/>
              </w:rPr>
            </w:pPr>
            <w:r>
              <w:rPr>
                <w:rFonts w:hint="eastAsia" w:cs="Times New Roman"/>
                <w:strike w:val="0"/>
                <w:color w:val="auto"/>
                <w:szCs w:val="21"/>
                <w:lang w:val="en-US" w:eastAsia="zh-CN"/>
              </w:rPr>
              <w:t>0</w:t>
            </w:r>
          </w:p>
        </w:tc>
      </w:tr>
      <w:tr w14:paraId="49CB0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50" w:type="pct"/>
            <w:vMerge w:val="restart"/>
            <w:noWrap w:val="0"/>
            <w:vAlign w:val="center"/>
          </w:tcPr>
          <w:p w14:paraId="6755D6A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一般工业固体废物</w:t>
            </w:r>
          </w:p>
        </w:tc>
        <w:tc>
          <w:tcPr>
            <w:tcW w:w="497" w:type="pct"/>
            <w:noWrap w:val="0"/>
            <w:vAlign w:val="center"/>
          </w:tcPr>
          <w:p w14:paraId="189EB37C">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除尘灰</w:t>
            </w:r>
          </w:p>
        </w:tc>
        <w:tc>
          <w:tcPr>
            <w:tcW w:w="639" w:type="pct"/>
            <w:noWrap w:val="0"/>
            <w:vAlign w:val="center"/>
          </w:tcPr>
          <w:p w14:paraId="5F94ED6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568" w:type="pct"/>
            <w:noWrap w:val="0"/>
            <w:vAlign w:val="center"/>
          </w:tcPr>
          <w:p w14:paraId="0C37360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kern w:val="2"/>
                <w:sz w:val="21"/>
                <w:szCs w:val="21"/>
                <w:lang w:val="en-US" w:eastAsia="zh-CN" w:bidi="ar-SA"/>
              </w:rPr>
            </w:pPr>
            <w:r>
              <w:rPr>
                <w:rFonts w:hint="default" w:ascii="Times New Roman" w:hAnsi="Times New Roman" w:cs="Times New Roman"/>
                <w:strike w:val="0"/>
                <w:color w:val="auto"/>
                <w:szCs w:val="21"/>
              </w:rPr>
              <w:t>--</w:t>
            </w:r>
          </w:p>
        </w:tc>
        <w:tc>
          <w:tcPr>
            <w:tcW w:w="605" w:type="pct"/>
            <w:noWrap w:val="0"/>
            <w:vAlign w:val="center"/>
          </w:tcPr>
          <w:p w14:paraId="40303CC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kern w:val="2"/>
                <w:sz w:val="21"/>
                <w:szCs w:val="21"/>
                <w:lang w:val="en-US" w:eastAsia="zh-CN" w:bidi="ar-SA"/>
              </w:rPr>
            </w:pPr>
            <w:r>
              <w:rPr>
                <w:rFonts w:hint="default" w:ascii="Times New Roman" w:hAnsi="Times New Roman" w:cs="Times New Roman"/>
                <w:strike w:val="0"/>
                <w:color w:val="auto"/>
                <w:szCs w:val="21"/>
              </w:rPr>
              <w:t>--</w:t>
            </w:r>
          </w:p>
        </w:tc>
        <w:tc>
          <w:tcPr>
            <w:tcW w:w="626" w:type="pct"/>
            <w:noWrap w:val="0"/>
            <w:vAlign w:val="center"/>
          </w:tcPr>
          <w:p w14:paraId="521BD474">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533" w:type="pct"/>
            <w:noWrap w:val="0"/>
            <w:vAlign w:val="center"/>
          </w:tcPr>
          <w:p w14:paraId="1E0FD564">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625" w:type="pct"/>
            <w:noWrap w:val="0"/>
            <w:vAlign w:val="center"/>
          </w:tcPr>
          <w:p w14:paraId="04F057B6">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bCs/>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453" w:type="pct"/>
            <w:noWrap w:val="0"/>
            <w:vAlign w:val="center"/>
          </w:tcPr>
          <w:p w14:paraId="2B1E47F5">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0</w:t>
            </w:r>
          </w:p>
        </w:tc>
      </w:tr>
      <w:tr w14:paraId="2047A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50" w:type="pct"/>
            <w:vMerge w:val="continue"/>
            <w:noWrap w:val="0"/>
            <w:vAlign w:val="center"/>
          </w:tcPr>
          <w:p w14:paraId="0D67CBB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257130D3">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废布袋</w:t>
            </w:r>
          </w:p>
        </w:tc>
        <w:tc>
          <w:tcPr>
            <w:tcW w:w="639" w:type="pct"/>
            <w:noWrap w:val="0"/>
            <w:vAlign w:val="center"/>
          </w:tcPr>
          <w:p w14:paraId="5CF26FEF">
            <w:pPr>
              <w:keepNext w:val="0"/>
              <w:keepLines w:val="0"/>
              <w:pageBreakBefore w:val="0"/>
              <w:shd w:val="clear" w:color="auto" w:fill="auto"/>
              <w:kinsoku/>
              <w:wordWrap/>
              <w:overflowPunct/>
              <w:topLinePunct w:val="0"/>
              <w:bidi w:val="0"/>
              <w:spacing w:line="0" w:lineRule="atLeast"/>
              <w:jc w:val="center"/>
              <w:rPr>
                <w:rFonts w:hint="default" w:cs="Times New Roman"/>
                <w:strike w:val="0"/>
                <w:color w:val="auto"/>
                <w:szCs w:val="21"/>
                <w:lang w:val="en-US" w:eastAsia="zh-CN"/>
              </w:rPr>
            </w:pPr>
            <w:r>
              <w:rPr>
                <w:rFonts w:hint="eastAsia" w:cs="Times New Roman"/>
                <w:strike w:val="0"/>
                <w:color w:val="auto"/>
                <w:szCs w:val="21"/>
                <w:lang w:val="en-US" w:eastAsia="zh-CN"/>
              </w:rPr>
              <w:t>0.3t/a</w:t>
            </w:r>
          </w:p>
        </w:tc>
        <w:tc>
          <w:tcPr>
            <w:tcW w:w="568" w:type="pct"/>
            <w:noWrap w:val="0"/>
            <w:vAlign w:val="center"/>
          </w:tcPr>
          <w:p w14:paraId="1B852AA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default" w:ascii="Times New Roman" w:hAnsi="Times New Roman" w:cs="Times New Roman"/>
                <w:strike w:val="0"/>
                <w:color w:val="auto"/>
                <w:szCs w:val="21"/>
              </w:rPr>
              <w:t>--</w:t>
            </w:r>
          </w:p>
        </w:tc>
        <w:tc>
          <w:tcPr>
            <w:tcW w:w="605" w:type="pct"/>
            <w:noWrap w:val="0"/>
            <w:vAlign w:val="center"/>
          </w:tcPr>
          <w:p w14:paraId="6E7AE19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default" w:ascii="Times New Roman" w:hAnsi="Times New Roman" w:cs="Times New Roman"/>
                <w:strike w:val="0"/>
                <w:color w:val="auto"/>
                <w:szCs w:val="21"/>
              </w:rPr>
              <w:t>--</w:t>
            </w:r>
          </w:p>
        </w:tc>
        <w:tc>
          <w:tcPr>
            <w:tcW w:w="1637" w:type="dxa"/>
            <w:noWrap w:val="0"/>
            <w:vAlign w:val="center"/>
          </w:tcPr>
          <w:p w14:paraId="2DB21AF5">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cs="Times New Roman"/>
                <w:strike w:val="0"/>
                <w:color w:val="auto"/>
                <w:szCs w:val="21"/>
                <w:lang w:val="en-US" w:eastAsia="zh-CN"/>
              </w:rPr>
              <w:t>0.3t/a</w:t>
            </w:r>
          </w:p>
        </w:tc>
        <w:tc>
          <w:tcPr>
            <w:tcW w:w="533" w:type="pct"/>
            <w:noWrap w:val="0"/>
            <w:vAlign w:val="center"/>
          </w:tcPr>
          <w:p w14:paraId="4F2CF81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cs="Times New Roman"/>
                <w:strike w:val="0"/>
                <w:color w:val="auto"/>
                <w:szCs w:val="21"/>
                <w:lang w:val="en-US" w:eastAsia="zh-CN"/>
              </w:rPr>
              <w:t>0.3t/a</w:t>
            </w:r>
          </w:p>
        </w:tc>
        <w:tc>
          <w:tcPr>
            <w:tcW w:w="625" w:type="pct"/>
            <w:noWrap w:val="0"/>
            <w:vAlign w:val="center"/>
          </w:tcPr>
          <w:p w14:paraId="290600DA">
            <w:pPr>
              <w:keepNext w:val="0"/>
              <w:keepLines w:val="0"/>
              <w:pageBreakBefore w:val="0"/>
              <w:shd w:val="clear" w:color="auto" w:fill="auto"/>
              <w:kinsoku/>
              <w:wordWrap/>
              <w:overflowPunct/>
              <w:topLinePunct w:val="0"/>
              <w:bidi w:val="0"/>
              <w:spacing w:line="0" w:lineRule="atLeast"/>
              <w:jc w:val="center"/>
              <w:rPr>
                <w:rFonts w:hint="default" w:cs="Times New Roman"/>
                <w:strike w:val="0"/>
                <w:color w:val="auto"/>
                <w:szCs w:val="21"/>
                <w:lang w:val="en-US" w:eastAsia="zh-CN"/>
              </w:rPr>
            </w:pPr>
            <w:r>
              <w:rPr>
                <w:rFonts w:hint="eastAsia" w:cs="Times New Roman"/>
                <w:strike w:val="0"/>
                <w:color w:val="auto"/>
                <w:szCs w:val="21"/>
                <w:lang w:val="en-US" w:eastAsia="zh-CN"/>
              </w:rPr>
              <w:t>0.3t/a</w:t>
            </w:r>
          </w:p>
        </w:tc>
        <w:tc>
          <w:tcPr>
            <w:tcW w:w="453" w:type="pct"/>
            <w:noWrap w:val="0"/>
            <w:vAlign w:val="center"/>
          </w:tcPr>
          <w:p w14:paraId="7E6CD60F">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0</w:t>
            </w:r>
          </w:p>
        </w:tc>
      </w:tr>
      <w:tr w14:paraId="607D30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restart"/>
            <w:noWrap w:val="0"/>
            <w:vAlign w:val="center"/>
          </w:tcPr>
          <w:p w14:paraId="43EB15B5">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危险废物</w:t>
            </w:r>
          </w:p>
        </w:tc>
        <w:tc>
          <w:tcPr>
            <w:tcW w:w="497" w:type="pct"/>
            <w:noWrap w:val="0"/>
            <w:vAlign w:val="center"/>
          </w:tcPr>
          <w:p w14:paraId="5BED8523">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废机油</w:t>
            </w:r>
          </w:p>
        </w:tc>
        <w:tc>
          <w:tcPr>
            <w:tcW w:w="639" w:type="pct"/>
            <w:noWrap w:val="0"/>
            <w:vAlign w:val="center"/>
          </w:tcPr>
          <w:p w14:paraId="0C42628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0.05t/a</w:t>
            </w:r>
          </w:p>
        </w:tc>
        <w:tc>
          <w:tcPr>
            <w:tcW w:w="568" w:type="pct"/>
            <w:noWrap w:val="0"/>
            <w:vAlign w:val="center"/>
          </w:tcPr>
          <w:p w14:paraId="04CDD1D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w:t>
            </w:r>
          </w:p>
        </w:tc>
        <w:tc>
          <w:tcPr>
            <w:tcW w:w="605" w:type="pct"/>
            <w:noWrap w:val="0"/>
            <w:vAlign w:val="center"/>
          </w:tcPr>
          <w:p w14:paraId="1E81FB7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w:t>
            </w:r>
          </w:p>
        </w:tc>
        <w:tc>
          <w:tcPr>
            <w:tcW w:w="1637" w:type="dxa"/>
            <w:noWrap w:val="0"/>
            <w:vAlign w:val="center"/>
          </w:tcPr>
          <w:p w14:paraId="18BC974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eastAsia" w:ascii="Times New Roman" w:hAnsi="Times New Roman" w:cs="Times New Roman"/>
                <w:strike w:val="0"/>
                <w:color w:val="auto"/>
                <w:szCs w:val="21"/>
                <w:lang w:val="en-US" w:eastAsia="zh-CN"/>
              </w:rPr>
              <w:t>0.05t/a</w:t>
            </w:r>
          </w:p>
        </w:tc>
        <w:tc>
          <w:tcPr>
            <w:tcW w:w="1393" w:type="dxa"/>
            <w:noWrap w:val="0"/>
            <w:vAlign w:val="center"/>
          </w:tcPr>
          <w:p w14:paraId="1B0E518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0.05t/a</w:t>
            </w:r>
          </w:p>
        </w:tc>
        <w:tc>
          <w:tcPr>
            <w:tcW w:w="625" w:type="pct"/>
            <w:noWrap w:val="0"/>
            <w:vAlign w:val="center"/>
          </w:tcPr>
          <w:p w14:paraId="5E087E8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strike w:val="0"/>
                <w:color w:val="auto"/>
                <w:szCs w:val="21"/>
                <w:lang w:val="en-US" w:eastAsia="zh-CN"/>
              </w:rPr>
              <w:t>0.05t/a</w:t>
            </w:r>
          </w:p>
        </w:tc>
        <w:tc>
          <w:tcPr>
            <w:tcW w:w="453" w:type="pct"/>
            <w:noWrap w:val="0"/>
            <w:vAlign w:val="center"/>
          </w:tcPr>
          <w:p w14:paraId="14E4E103">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color w:val="auto"/>
                <w:kern w:val="2"/>
                <w:sz w:val="21"/>
                <w:szCs w:val="21"/>
                <w:lang w:val="en-US" w:eastAsia="zh-CN" w:bidi="ar-SA"/>
              </w:rPr>
            </w:pPr>
            <w:r>
              <w:rPr>
                <w:rFonts w:hint="eastAsia" w:cs="Times New Roman"/>
                <w:color w:val="auto"/>
                <w:szCs w:val="21"/>
                <w:lang w:val="en-US" w:eastAsia="zh-CN"/>
              </w:rPr>
              <w:t>0</w:t>
            </w:r>
          </w:p>
        </w:tc>
      </w:tr>
      <w:tr w14:paraId="66167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continue"/>
            <w:noWrap w:val="0"/>
            <w:vAlign w:val="center"/>
          </w:tcPr>
          <w:p w14:paraId="01C3583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p>
        </w:tc>
        <w:tc>
          <w:tcPr>
            <w:tcW w:w="497" w:type="pct"/>
            <w:noWrap w:val="0"/>
            <w:vAlign w:val="center"/>
          </w:tcPr>
          <w:p w14:paraId="64431021">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废油桶</w:t>
            </w:r>
          </w:p>
        </w:tc>
        <w:tc>
          <w:tcPr>
            <w:tcW w:w="639" w:type="pct"/>
            <w:noWrap w:val="0"/>
            <w:vAlign w:val="center"/>
          </w:tcPr>
          <w:p w14:paraId="5C5BFC73">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0.01t/a</w:t>
            </w:r>
          </w:p>
        </w:tc>
        <w:tc>
          <w:tcPr>
            <w:tcW w:w="568" w:type="pct"/>
            <w:noWrap w:val="0"/>
            <w:vAlign w:val="center"/>
          </w:tcPr>
          <w:p w14:paraId="03E0358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w:t>
            </w:r>
          </w:p>
        </w:tc>
        <w:tc>
          <w:tcPr>
            <w:tcW w:w="605" w:type="pct"/>
            <w:noWrap w:val="0"/>
            <w:vAlign w:val="center"/>
          </w:tcPr>
          <w:p w14:paraId="37CC40B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w:t>
            </w:r>
          </w:p>
        </w:tc>
        <w:tc>
          <w:tcPr>
            <w:tcW w:w="1637" w:type="dxa"/>
            <w:noWrap w:val="0"/>
            <w:vAlign w:val="center"/>
          </w:tcPr>
          <w:p w14:paraId="417A0303">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ascii="Times New Roman" w:hAnsi="Times New Roman" w:cs="Times New Roman"/>
                <w:strike w:val="0"/>
                <w:color w:val="auto"/>
                <w:szCs w:val="21"/>
                <w:lang w:val="en-US" w:eastAsia="zh-CN"/>
              </w:rPr>
              <w:t>0.01t/a</w:t>
            </w:r>
          </w:p>
        </w:tc>
        <w:tc>
          <w:tcPr>
            <w:tcW w:w="1393" w:type="dxa"/>
            <w:noWrap w:val="0"/>
            <w:vAlign w:val="center"/>
          </w:tcPr>
          <w:p w14:paraId="3AE4A3E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0.01t/a</w:t>
            </w:r>
          </w:p>
        </w:tc>
        <w:tc>
          <w:tcPr>
            <w:tcW w:w="625" w:type="pct"/>
            <w:noWrap w:val="0"/>
            <w:vAlign w:val="center"/>
          </w:tcPr>
          <w:p w14:paraId="35B1B78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ascii="Times New Roman" w:hAnsi="Times New Roman" w:cs="Times New Roman"/>
                <w:strike w:val="0"/>
                <w:color w:val="auto"/>
                <w:szCs w:val="21"/>
                <w:lang w:val="en-US" w:eastAsia="zh-CN"/>
              </w:rPr>
              <w:t>0.01t/a</w:t>
            </w:r>
          </w:p>
        </w:tc>
        <w:tc>
          <w:tcPr>
            <w:tcW w:w="453" w:type="pct"/>
            <w:noWrap w:val="0"/>
            <w:vAlign w:val="center"/>
          </w:tcPr>
          <w:p w14:paraId="113B0184">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color w:val="auto"/>
                <w:szCs w:val="21"/>
                <w:lang w:val="en-US" w:eastAsia="zh-CN"/>
              </w:rPr>
            </w:pPr>
            <w:r>
              <w:rPr>
                <w:rFonts w:hint="eastAsia" w:cs="Times New Roman"/>
                <w:color w:val="auto"/>
                <w:szCs w:val="21"/>
                <w:lang w:val="en-US" w:eastAsia="zh-CN"/>
              </w:rPr>
              <w:t>0</w:t>
            </w:r>
          </w:p>
        </w:tc>
      </w:tr>
    </w:tbl>
    <w:p w14:paraId="02290AEA">
      <w:pPr>
        <w:pStyle w:val="67"/>
        <w:shd w:val="clear" w:color="auto" w:fill="auto"/>
        <w:spacing w:before="192" w:beforeLines="80" w:after="24"/>
        <w:jc w:val="left"/>
        <w:rPr>
          <w:rFonts w:hint="default" w:ascii="Times New Roman" w:hAnsi="Times New Roman" w:cs="Times New Roman"/>
          <w:snapToGrid w:val="0"/>
          <w:color w:val="auto"/>
          <w:spacing w:val="-6"/>
          <w:kern w:val="21"/>
          <w:szCs w:val="21"/>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p w14:paraId="5BDE0EED">
      <w:pPr>
        <w:shd w:val="clear" w:color="auto" w:fill="auto"/>
        <w:rPr>
          <w:rFonts w:hint="default" w:ascii="Times New Roman" w:hAnsi="Times New Roman" w:cs="Times New Roman"/>
          <w:color w:val="auto"/>
        </w:rPr>
        <w:sectPr>
          <w:footerReference r:id="rId6" w:type="default"/>
          <w:pgSz w:w="16838" w:h="11905" w:orient="landscape"/>
          <w:pgMar w:top="1531" w:right="1701" w:bottom="1531" w:left="2126" w:header="851" w:footer="850" w:gutter="0"/>
          <w:pgBorders>
            <w:top w:val="none" w:sz="0" w:space="0"/>
            <w:left w:val="none" w:sz="0" w:space="0"/>
            <w:bottom w:val="none" w:sz="0" w:space="0"/>
            <w:right w:val="none" w:sz="0" w:space="0"/>
          </w:pgBorders>
          <w:cols w:space="720" w:num="1"/>
          <w:docGrid w:linePitch="312" w:charSpace="0"/>
        </w:sectPr>
      </w:pPr>
    </w:p>
    <w:p w14:paraId="6EDD127F">
      <w:pPr>
        <w:keepNext w:val="0"/>
        <w:keepLines w:val="0"/>
        <w:pageBreakBefore w:val="0"/>
        <w:widowControl w:val="0"/>
        <w:shd w:val="clear" w:color="auto" w:fill="auto"/>
        <w:kinsoku/>
        <w:wordWrap/>
        <w:overflowPunct/>
        <w:topLinePunct w:val="0"/>
        <w:bidi w:val="0"/>
        <w:adjustRightInd/>
        <w:snapToGrid/>
        <w:spacing w:line="480" w:lineRule="exact"/>
        <w:textAlignment w:val="auto"/>
        <w:outlineLvl w:val="0"/>
        <w:rPr>
          <w:rFonts w:hint="default" w:ascii="Times New Roman" w:hAnsi="Times New Roman" w:cs="Times New Roman"/>
          <w:b/>
          <w:bCs/>
          <w:color w:val="auto"/>
          <w:sz w:val="28"/>
          <w:szCs w:val="32"/>
        </w:rPr>
      </w:pPr>
      <w:r>
        <w:rPr>
          <w:rFonts w:hint="default" w:ascii="Times New Roman" w:hAnsi="Times New Roman" w:cs="Times New Roman"/>
          <w:b/>
          <w:bCs/>
          <w:color w:val="auto"/>
          <w:sz w:val="28"/>
          <w:szCs w:val="32"/>
        </w:rPr>
        <w:t>附图</w:t>
      </w:r>
    </w:p>
    <w:p w14:paraId="0D003E09">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 1：项目地理位置图</w:t>
      </w:r>
    </w:p>
    <w:p w14:paraId="2944DA84">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 2：项目周边关系图</w:t>
      </w:r>
    </w:p>
    <w:p w14:paraId="0F976F7B">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w:t>
      </w: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项目</w:t>
      </w:r>
      <w:r>
        <w:rPr>
          <w:rFonts w:hint="default" w:ascii="Times New Roman" w:hAnsi="Times New Roman" w:cs="Times New Roman"/>
          <w:color w:val="auto"/>
          <w:sz w:val="24"/>
          <w:lang w:val="en-US" w:eastAsia="zh-CN"/>
        </w:rPr>
        <w:t>平面</w:t>
      </w:r>
      <w:r>
        <w:rPr>
          <w:rFonts w:hint="default" w:ascii="Times New Roman" w:hAnsi="Times New Roman" w:cs="Times New Roman"/>
          <w:color w:val="auto"/>
          <w:sz w:val="24"/>
        </w:rPr>
        <w:t>布置图</w:t>
      </w:r>
    </w:p>
    <w:p w14:paraId="19CE22C6">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4</w:t>
      </w:r>
      <w:r>
        <w:rPr>
          <w:rFonts w:hint="default" w:ascii="Times New Roman" w:hAnsi="Times New Roman" w:cs="Times New Roman"/>
          <w:color w:val="auto"/>
          <w:sz w:val="24"/>
        </w:rPr>
        <w:t>：项目与河北石家庄矿区工业园区土地使用规划位置关系图</w:t>
      </w:r>
    </w:p>
    <w:p w14:paraId="6BEF02FD">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5</w:t>
      </w:r>
      <w:r>
        <w:rPr>
          <w:rFonts w:hint="default" w:ascii="Times New Roman" w:hAnsi="Times New Roman" w:eastAsia="宋体" w:cs="Times New Roman"/>
          <w:color w:val="auto"/>
          <w:sz w:val="24"/>
        </w:rPr>
        <w:t>：项目与河北石家庄矿区工业园区国土空间用地用海现状位置关系图</w:t>
      </w:r>
    </w:p>
    <w:p w14:paraId="5DADB477">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6</w:t>
      </w:r>
      <w:r>
        <w:rPr>
          <w:rFonts w:hint="default" w:ascii="Times New Roman" w:hAnsi="Times New Roman" w:eastAsia="宋体" w:cs="Times New Roman"/>
          <w:color w:val="auto"/>
          <w:sz w:val="24"/>
        </w:rPr>
        <w:t>：项目与河北石家庄矿区工业园区产业布局位置关系图</w:t>
      </w:r>
    </w:p>
    <w:p w14:paraId="2627D71A">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7</w:t>
      </w:r>
      <w:r>
        <w:rPr>
          <w:rFonts w:hint="default" w:ascii="Times New Roman" w:hAnsi="Times New Roman" w:eastAsia="宋体" w:cs="Times New Roman"/>
          <w:color w:val="auto"/>
          <w:sz w:val="24"/>
        </w:rPr>
        <w:t>：项目与园区石钢片区位置关系图</w:t>
      </w:r>
    </w:p>
    <w:p w14:paraId="0A2C6F50">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8</w:t>
      </w:r>
      <w:r>
        <w:rPr>
          <w:rFonts w:hint="default" w:ascii="Times New Roman" w:hAnsi="Times New Roman" w:eastAsia="宋体" w:cs="Times New Roman"/>
          <w:color w:val="auto"/>
          <w:sz w:val="24"/>
        </w:rPr>
        <w:t>：项目与园区声功能区位置关系图</w:t>
      </w:r>
    </w:p>
    <w:p w14:paraId="154C90E2">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9</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项目与石家庄饮用水水源保护区位置关系示意图</w:t>
      </w:r>
    </w:p>
    <w:p w14:paraId="02513371">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0</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项目与井陉矿区生态保护红线位置关系示意图</w:t>
      </w:r>
    </w:p>
    <w:p w14:paraId="309D6580">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1</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项目与石家庄市环境管控单元位置关系图</w:t>
      </w:r>
    </w:p>
    <w:p w14:paraId="7EF0887C">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2</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项目监测布点图</w:t>
      </w:r>
    </w:p>
    <w:p w14:paraId="524B817C">
      <w:pPr>
        <w:keepNext w:val="0"/>
        <w:keepLines w:val="0"/>
        <w:pageBreakBefore w:val="0"/>
        <w:widowControl w:val="0"/>
        <w:shd w:val="clear" w:color="auto" w:fill="auto"/>
        <w:kinsoku/>
        <w:wordWrap/>
        <w:overflowPunct/>
        <w:topLinePunct w:val="0"/>
        <w:bidi w:val="0"/>
        <w:adjustRightInd/>
        <w:snapToGrid/>
        <w:spacing w:line="460" w:lineRule="exact"/>
        <w:textAlignment w:val="auto"/>
        <w:outlineLvl w:val="9"/>
        <w:rPr>
          <w:rFonts w:hint="default" w:ascii="Times New Roman" w:hAnsi="Times New Roman" w:cs="Times New Roman"/>
          <w:b/>
          <w:bCs/>
          <w:color w:val="auto"/>
          <w:sz w:val="28"/>
          <w:szCs w:val="32"/>
        </w:rPr>
      </w:pPr>
    </w:p>
    <w:p w14:paraId="7B1065B7">
      <w:pPr>
        <w:keepNext w:val="0"/>
        <w:keepLines w:val="0"/>
        <w:pageBreakBefore w:val="0"/>
        <w:widowControl w:val="0"/>
        <w:shd w:val="clear" w:color="auto" w:fill="auto"/>
        <w:kinsoku/>
        <w:wordWrap/>
        <w:overflowPunct/>
        <w:topLinePunct w:val="0"/>
        <w:autoSpaceDE/>
        <w:autoSpaceDN/>
        <w:bidi w:val="0"/>
        <w:adjustRightInd/>
        <w:snapToGrid/>
        <w:spacing w:line="480" w:lineRule="exact"/>
        <w:textAlignment w:val="auto"/>
        <w:outlineLvl w:val="0"/>
        <w:rPr>
          <w:rFonts w:hint="default" w:ascii="Times New Roman" w:hAnsi="Times New Roman" w:cs="Times New Roman"/>
          <w:b/>
          <w:bCs/>
          <w:color w:val="auto"/>
          <w:sz w:val="28"/>
          <w:szCs w:val="32"/>
        </w:rPr>
      </w:pPr>
      <w:r>
        <w:rPr>
          <w:rFonts w:hint="default" w:ascii="Times New Roman" w:hAnsi="Times New Roman" w:cs="Times New Roman"/>
          <w:b/>
          <w:bCs/>
          <w:color w:val="auto"/>
          <w:sz w:val="28"/>
          <w:szCs w:val="32"/>
        </w:rPr>
        <w:t>附件</w:t>
      </w:r>
    </w:p>
    <w:p w14:paraId="3155C53C">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附件</w:t>
      </w:r>
      <w:r>
        <w:rPr>
          <w:rFonts w:hint="eastAsia" w:cs="Times New Roman"/>
          <w:color w:val="auto"/>
          <w:sz w:val="24"/>
          <w:lang w:val="en-US" w:eastAsia="zh-CN"/>
        </w:rPr>
        <w:t>1</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投资项目备案信息</w:t>
      </w:r>
    </w:p>
    <w:p w14:paraId="0BB106C2">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附件</w:t>
      </w:r>
      <w:r>
        <w:rPr>
          <w:rFonts w:hint="eastAsia" w:cs="Times New Roman"/>
          <w:color w:val="auto"/>
          <w:sz w:val="24"/>
          <w:lang w:val="en-US" w:eastAsia="zh-CN"/>
        </w:rPr>
        <w:t>2</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土地证</w:t>
      </w:r>
    </w:p>
    <w:p w14:paraId="490A2C7E">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3</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以往项目环评批复及验收意见</w:t>
      </w:r>
    </w:p>
    <w:p w14:paraId="626617FF">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eastAsia"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4</w:t>
      </w:r>
      <w:r>
        <w:rPr>
          <w:rFonts w:hint="default" w:ascii="Times New Roman" w:hAnsi="Times New Roman" w:eastAsia="宋体" w:cs="Times New Roman"/>
          <w:color w:val="auto"/>
          <w:sz w:val="24"/>
        </w:rPr>
        <w:t>：</w:t>
      </w:r>
      <w:r>
        <w:rPr>
          <w:rFonts w:hint="eastAsia" w:cs="Times New Roman"/>
          <w:color w:val="auto"/>
          <w:sz w:val="24"/>
          <w:lang w:val="en-US" w:eastAsia="zh-CN"/>
        </w:rPr>
        <w:t>排污许可证</w:t>
      </w:r>
    </w:p>
    <w:p w14:paraId="30067561">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附件</w:t>
      </w:r>
      <w:r>
        <w:rPr>
          <w:rFonts w:hint="eastAsia" w:cs="Times New Roman"/>
          <w:color w:val="auto"/>
          <w:sz w:val="24"/>
          <w:lang w:val="en-US" w:eastAsia="zh-CN"/>
        </w:rPr>
        <w:t>5</w:t>
      </w:r>
      <w:r>
        <w:rPr>
          <w:rFonts w:hint="default" w:ascii="Times New Roman" w:hAnsi="Times New Roman" w:eastAsia="宋体" w:cs="Times New Roman"/>
          <w:color w:val="auto"/>
          <w:sz w:val="24"/>
        </w:rPr>
        <w:t>：</w:t>
      </w:r>
      <w:r>
        <w:rPr>
          <w:rFonts w:hint="eastAsia" w:cs="Times New Roman"/>
          <w:color w:val="auto"/>
          <w:sz w:val="24"/>
          <w:lang w:val="en-US" w:eastAsia="zh-CN"/>
        </w:rPr>
        <w:t>本项目</w:t>
      </w:r>
      <w:r>
        <w:rPr>
          <w:rFonts w:hint="eastAsia" w:ascii="Times New Roman" w:hAnsi="Times New Roman" w:eastAsia="宋体" w:cs="Times New Roman"/>
          <w:color w:val="auto"/>
          <w:sz w:val="24"/>
          <w:lang w:val="en-US" w:eastAsia="zh-CN"/>
        </w:rPr>
        <w:t>总量</w:t>
      </w:r>
      <w:r>
        <w:rPr>
          <w:rFonts w:hint="eastAsia" w:cs="Times New Roman"/>
          <w:color w:val="auto"/>
          <w:sz w:val="24"/>
          <w:lang w:val="en-US" w:eastAsia="zh-CN"/>
        </w:rPr>
        <w:t>确认书</w:t>
      </w:r>
    </w:p>
    <w:p w14:paraId="6C74A3E7">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附件</w:t>
      </w:r>
      <w:r>
        <w:rPr>
          <w:rFonts w:hint="eastAsia" w:cs="Times New Roman"/>
          <w:color w:val="auto"/>
          <w:sz w:val="24"/>
          <w:lang w:val="en-US" w:eastAsia="zh-CN"/>
        </w:rPr>
        <w:t>6</w:t>
      </w:r>
      <w:r>
        <w:rPr>
          <w:rFonts w:hint="default" w:ascii="Times New Roman" w:hAnsi="Times New Roman" w:eastAsia="宋体" w:cs="Times New Roman"/>
          <w:color w:val="auto"/>
          <w:sz w:val="24"/>
        </w:rPr>
        <w:t>：</w:t>
      </w:r>
      <w:r>
        <w:rPr>
          <w:rFonts w:hint="eastAsia" w:cs="Times New Roman"/>
          <w:color w:val="auto"/>
          <w:sz w:val="24"/>
          <w:lang w:val="en-US" w:eastAsia="zh-CN"/>
        </w:rPr>
        <w:t>全厂</w:t>
      </w:r>
      <w:r>
        <w:rPr>
          <w:rFonts w:hint="eastAsia" w:ascii="Times New Roman" w:hAnsi="Times New Roman" w:eastAsia="宋体" w:cs="Times New Roman"/>
          <w:color w:val="auto"/>
          <w:sz w:val="24"/>
          <w:lang w:val="en-US" w:eastAsia="zh-CN"/>
        </w:rPr>
        <w:t>总量</w:t>
      </w:r>
      <w:r>
        <w:rPr>
          <w:rFonts w:hint="eastAsia" w:cs="Times New Roman"/>
          <w:color w:val="auto"/>
          <w:sz w:val="24"/>
          <w:lang w:val="en-US" w:eastAsia="zh-CN"/>
        </w:rPr>
        <w:t>交易</w:t>
      </w:r>
      <w:r>
        <w:rPr>
          <w:rFonts w:hint="eastAsia" w:ascii="Times New Roman" w:hAnsi="Times New Roman" w:eastAsia="宋体" w:cs="Times New Roman"/>
          <w:color w:val="auto"/>
          <w:sz w:val="24"/>
          <w:lang w:val="en-US" w:eastAsia="zh-CN"/>
        </w:rPr>
        <w:t>文件</w:t>
      </w:r>
    </w:p>
    <w:p w14:paraId="4A35528F">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7</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相关监测报告</w:t>
      </w:r>
    </w:p>
    <w:p w14:paraId="56F8B5EA">
      <w:pPr>
        <w:pStyle w:val="11"/>
        <w:keepNext w:val="0"/>
        <w:keepLines w:val="0"/>
        <w:pageBreakBefore w:val="0"/>
        <w:widowControl w:val="0"/>
        <w:shd w:val="clear" w:color="auto" w:fill="auto"/>
        <w:kinsoku/>
        <w:wordWrap/>
        <w:overflowPunct/>
        <w:topLinePunct w:val="0"/>
        <w:bidi w:val="0"/>
        <w:adjustRightInd/>
        <w:snapToGrid/>
        <w:spacing w:line="460" w:lineRule="exact"/>
        <w:ind w:left="0" w:firstLine="420" w:firstLineChars="200"/>
        <w:textAlignment w:val="auto"/>
        <w:rPr>
          <w:rFonts w:hint="default"/>
          <w:color w:val="auto"/>
          <w:lang w:val="en-US" w:eastAsia="zh-CN"/>
        </w:rPr>
      </w:pPr>
    </w:p>
    <w:sectPr>
      <w:footerReference r:id="rId7" w:type="default"/>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AEF6C23-8DEA-4594-9EE9-E30A5621D96A}"/>
  </w:font>
  <w:font w:name="黑体">
    <w:panose1 w:val="02010609060101010101"/>
    <w:charset w:val="86"/>
    <w:family w:val="auto"/>
    <w:pitch w:val="default"/>
    <w:sig w:usb0="800002BF" w:usb1="38CF7CFA" w:usb2="00000016" w:usb3="00000000" w:csb0="00040001" w:csb1="00000000"/>
    <w:embedRegular r:id="rId2" w:fontKey="{47025D96-7006-4BB3-8E2F-E2B1BA9120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embedRegular r:id="rId3" w:fontKey="{9A9283A7-02F6-4E7D-9DBE-ECE037578279}"/>
  </w:font>
  <w:font w:name="仿宋_GB2312">
    <w:altName w:val="仿宋"/>
    <w:panose1 w:val="02010609030101010101"/>
    <w:charset w:val="86"/>
    <w:family w:val="modern"/>
    <w:pitch w:val="default"/>
    <w:sig w:usb0="00000000" w:usb1="00000000" w:usb2="00000000" w:usb3="00000000" w:csb0="00040000" w:csb1="00000000"/>
    <w:embedRegular r:id="rId4" w:fontKey="{54C8CC3D-E5A3-49D0-B848-6A7DFD3AFC1C}"/>
  </w:font>
  <w:font w:name="仿宋">
    <w:panose1 w:val="02010609060101010101"/>
    <w:charset w:val="86"/>
    <w:family w:val="auto"/>
    <w:pitch w:val="default"/>
    <w:sig w:usb0="800002BF" w:usb1="38CF7CFA" w:usb2="00000016" w:usb3="00000000" w:csb0="00040001" w:csb1="00000000"/>
    <w:embedRegular r:id="rId5" w:fontKey="{75D372CF-D0C6-4F81-88CB-BC1167D9A37C}"/>
  </w:font>
  <w:font w:name="KaiTi_GB2312">
    <w:altName w:val="楷体"/>
    <w:panose1 w:val="02010609060101010101"/>
    <w:charset w:val="86"/>
    <w:family w:val="modern"/>
    <w:pitch w:val="default"/>
    <w:sig w:usb0="00000000" w:usb1="00000000" w:usb2="00000016" w:usb3="00000000" w:csb0="00040001" w:csb1="00000000"/>
    <w:embedRegular r:id="rId6" w:fontKey="{B6A7A69B-BB1C-4397-AA56-FF48BB5A9379}"/>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embedRegular r:id="rId7" w:fontKey="{9A8F6997-BBFA-4AA1-BC6D-15A05EA92A01}"/>
  </w:font>
  <w:font w:name="微软雅黑">
    <w:panose1 w:val="020B0503020204020204"/>
    <w:charset w:val="86"/>
    <w:family w:val="auto"/>
    <w:pitch w:val="default"/>
    <w:sig w:usb0="80000287" w:usb1="2ACF3C50" w:usb2="00000016" w:usb3="00000000" w:csb0="0004001F" w:csb1="00000000"/>
    <w:embedRegular r:id="rId8" w:fontKey="{47F48D83-8F09-4C8A-9E80-6A6E04E5BF5D}"/>
  </w:font>
  <w:font w:name="TimesNewRomanPSMT">
    <w:altName w:val="等线"/>
    <w:panose1 w:val="00000000000000000000"/>
    <w:charset w:val="86"/>
    <w:family w:val="auto"/>
    <w:pitch w:val="default"/>
    <w:sig w:usb0="00000000" w:usb1="00000000" w:usb2="00000000" w:usb3="00000000" w:csb0="00040000" w:csb1="00000000"/>
    <w:embedRegular r:id="rId9" w:fontKey="{D24C8195-D9F8-4AD3-9B98-EB7540E456F4}"/>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embedRegular r:id="rId10" w:fontKey="{8350489F-986F-417E-A519-E8C12DC838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1A15E">
    <w:pPr>
      <w:pStyle w:val="1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E225A">
    <w:pPr>
      <w:pStyle w:val="19"/>
      <w:framePr w:wrap="around" w:vAnchor="text" w:hAnchor="margin" w:xAlign="center" w:y="1"/>
      <w:rPr>
        <w:rStyle w:val="40"/>
      </w:rPr>
    </w:pPr>
    <w:r>
      <w:fldChar w:fldCharType="begin"/>
    </w:r>
    <w:r>
      <w:rPr>
        <w:rStyle w:val="40"/>
      </w:rPr>
      <w:instrText xml:space="preserve">PAGE  </w:instrText>
    </w:r>
    <w:r>
      <w:fldChar w:fldCharType="end"/>
    </w:r>
  </w:p>
  <w:p w14:paraId="5B7D38C9">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6CE98">
    <w:pPr>
      <w:pStyle w:val="19"/>
      <w:ind w:right="360" w:firstLine="360"/>
      <w:jc w:val="center"/>
      <w:rPr>
        <w:sz w:val="21"/>
        <w:szCs w:val="21"/>
      </w:rPr>
    </w:pPr>
    <w:r>
      <w:rPr>
        <w:rFonts w:hint="eastAsia" w:ascii="Cambria" w:hAnsi="Cambria"/>
        <w:sz w:val="21"/>
        <w:szCs w:val="21"/>
        <w:lang w:val="zh-CN"/>
      </w:rPr>
      <w:t>—</w:t>
    </w:r>
    <w:r>
      <w:rPr>
        <w:sz w:val="21"/>
        <w:szCs w:val="21"/>
      </w:rPr>
      <w:fldChar w:fldCharType="begin"/>
    </w:r>
    <w:r>
      <w:rPr>
        <w:sz w:val="21"/>
        <w:szCs w:val="21"/>
      </w:rPr>
      <w:instrText xml:space="preserve"> PAGE    \* MERGEFORMAT </w:instrText>
    </w:r>
    <w:r>
      <w:rPr>
        <w:sz w:val="21"/>
        <w:szCs w:val="21"/>
      </w:rPr>
      <w:fldChar w:fldCharType="separate"/>
    </w:r>
    <w:r>
      <w:rPr>
        <w:rFonts w:ascii="Cambria" w:hAnsi="Cambria"/>
        <w:sz w:val="21"/>
        <w:szCs w:val="21"/>
        <w:lang w:val="zh-CN"/>
      </w:rPr>
      <w:t>59</w:t>
    </w:r>
    <w:r>
      <w:rPr>
        <w:sz w:val="21"/>
        <w:szCs w:val="21"/>
      </w:rPr>
      <w:fldChar w:fldCharType="end"/>
    </w:r>
    <w:r>
      <w:rPr>
        <w:rFonts w:ascii="Cambria" w:hAnsi="Cambria"/>
        <w:sz w:val="21"/>
        <w:szCs w:val="21"/>
        <w:lang w:val="zh-CN"/>
      </w:rPr>
      <w:t xml:space="preserve"> </w:t>
    </w:r>
    <w:r>
      <w:rPr>
        <w:rFonts w:hint="eastAsia" w:ascii="Cambria" w:hAnsi="Cambria"/>
        <w:sz w:val="21"/>
        <w:szCs w:val="21"/>
        <w:lang w:val="zh-CN"/>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51960">
    <w:pPr>
      <w:pStyle w:val="19"/>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0F96C">
    <w:pPr>
      <w:pStyle w:val="19"/>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0512A"/>
    <w:multiLevelType w:val="singleLevel"/>
    <w:tmpl w:val="93E0512A"/>
    <w:lvl w:ilvl="0" w:tentative="0">
      <w:start w:val="5"/>
      <w:numFmt w:val="chineseCounting"/>
      <w:suff w:val="nothing"/>
      <w:lvlText w:val="%1、"/>
      <w:lvlJc w:val="left"/>
      <w:rPr>
        <w:rFonts w:hint="eastAsia"/>
      </w:rPr>
    </w:lvl>
  </w:abstractNum>
  <w:abstractNum w:abstractNumId="1">
    <w:nsid w:val="B827A900"/>
    <w:multiLevelType w:val="singleLevel"/>
    <w:tmpl w:val="B827A900"/>
    <w:lvl w:ilvl="0" w:tentative="0">
      <w:start w:val="8"/>
      <w:numFmt w:val="decimal"/>
      <w:suff w:val="nothing"/>
      <w:lvlText w:val="%1、"/>
      <w:lvlJc w:val="left"/>
    </w:lvl>
  </w:abstractNum>
  <w:abstractNum w:abstractNumId="2">
    <w:nsid w:val="05ED3982"/>
    <w:multiLevelType w:val="singleLevel"/>
    <w:tmpl w:val="05ED3982"/>
    <w:lvl w:ilvl="0" w:tentative="0">
      <w:start w:val="3"/>
      <w:numFmt w:val="decimal"/>
      <w:suff w:val="nothing"/>
      <w:lvlText w:val="（%1）"/>
      <w:lvlJc w:val="left"/>
    </w:lvl>
  </w:abstractNum>
  <w:abstractNum w:abstractNumId="3">
    <w:nsid w:val="2CFB3B9B"/>
    <w:multiLevelType w:val="singleLevel"/>
    <w:tmpl w:val="2CFB3B9B"/>
    <w:lvl w:ilvl="0" w:tentative="0">
      <w:start w:val="3"/>
      <w:numFmt w:val="decimal"/>
      <w:suff w:val="nothing"/>
      <w:lvlText w:val="%1、"/>
      <w:lvlJc w:val="left"/>
    </w:lvl>
  </w:abstractNum>
  <w:abstractNum w:abstractNumId="4">
    <w:nsid w:val="3F6B65E3"/>
    <w:multiLevelType w:val="singleLevel"/>
    <w:tmpl w:val="3F6B65E3"/>
    <w:lvl w:ilvl="0" w:tentative="0">
      <w:start w:val="7"/>
      <w:numFmt w:val="decimal"/>
      <w:suff w:val="nothing"/>
      <w:lvlText w:val="%1、"/>
      <w:lvlJc w:val="left"/>
    </w:lvl>
  </w:abstractNum>
  <w:abstractNum w:abstractNumId="5">
    <w:nsid w:val="598D2E2F"/>
    <w:multiLevelType w:val="singleLevel"/>
    <w:tmpl w:val="598D2E2F"/>
    <w:lvl w:ilvl="0" w:tentative="0">
      <w:start w:val="1"/>
      <w:numFmt w:val="bullet"/>
      <w:pStyle w:val="22"/>
      <w:lvlText w:val=""/>
      <w:lvlJc w:val="left"/>
      <w:pPr>
        <w:tabs>
          <w:tab w:val="left" w:pos="2040"/>
        </w:tabs>
        <w:ind w:left="2040" w:hanging="360"/>
      </w:pPr>
      <w:rPr>
        <w:rFonts w:hint="default" w:ascii="Wingdings" w:hAnsi="Wingdings"/>
      </w:rPr>
    </w:lvl>
  </w:abstractNum>
  <w:abstractNum w:abstractNumId="6">
    <w:nsid w:val="61173273"/>
    <w:multiLevelType w:val="singleLevel"/>
    <w:tmpl w:val="61173273"/>
    <w:lvl w:ilvl="0" w:tentative="0">
      <w:start w:val="1"/>
      <w:numFmt w:val="decimal"/>
      <w:suff w:val="nothing"/>
      <w:lvlText w:val="%1."/>
      <w:lvlJc w:val="left"/>
    </w:lvl>
  </w:abstractNum>
  <w:abstractNum w:abstractNumId="7">
    <w:nsid w:val="61173349"/>
    <w:multiLevelType w:val="singleLevel"/>
    <w:tmpl w:val="61173349"/>
    <w:lvl w:ilvl="0" w:tentative="0">
      <w:start w:val="2"/>
      <w:numFmt w:val="decimal"/>
      <w:suff w:val="nothing"/>
      <w:lvlText w:val="%1."/>
      <w:lvlJc w:val="left"/>
    </w:lvl>
  </w:abstractNum>
  <w:abstractNum w:abstractNumId="8">
    <w:nsid w:val="61173402"/>
    <w:multiLevelType w:val="singleLevel"/>
    <w:tmpl w:val="61173402"/>
    <w:lvl w:ilvl="0" w:tentative="0">
      <w:start w:val="1"/>
      <w:numFmt w:val="decimal"/>
      <w:suff w:val="nothing"/>
      <w:lvlText w:val="%1."/>
      <w:lvlJc w:val="left"/>
    </w:lvl>
  </w:abstractNum>
  <w:num w:numId="1">
    <w:abstractNumId w:val="5"/>
  </w:num>
  <w:num w:numId="2">
    <w:abstractNumId w:val="4"/>
  </w:num>
  <w:num w:numId="3">
    <w:abstractNumId w:val="1"/>
  </w:num>
  <w:num w:numId="4">
    <w:abstractNumId w:val="6"/>
  </w:num>
  <w:num w:numId="5">
    <w:abstractNumId w:val="7"/>
  </w:num>
  <w:num w:numId="6">
    <w:abstractNumId w:val="8"/>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mNTM3MzA3NmJlZDRiYmQyNzE0ZDU1NmM0ZmQzZDkifQ=="/>
  </w:docVars>
  <w:rsids>
    <w:rsidRoot w:val="00A14947"/>
    <w:rsid w:val="000060B3"/>
    <w:rsid w:val="00035D12"/>
    <w:rsid w:val="0004364B"/>
    <w:rsid w:val="00052C86"/>
    <w:rsid w:val="00060ACD"/>
    <w:rsid w:val="00061B1F"/>
    <w:rsid w:val="000655B7"/>
    <w:rsid w:val="00071EAD"/>
    <w:rsid w:val="000733C4"/>
    <w:rsid w:val="00073C1F"/>
    <w:rsid w:val="00074783"/>
    <w:rsid w:val="0008070B"/>
    <w:rsid w:val="000810AC"/>
    <w:rsid w:val="00081A02"/>
    <w:rsid w:val="00082231"/>
    <w:rsid w:val="00086F74"/>
    <w:rsid w:val="00090AA7"/>
    <w:rsid w:val="00092D38"/>
    <w:rsid w:val="0009377B"/>
    <w:rsid w:val="000A0E02"/>
    <w:rsid w:val="000A20C9"/>
    <w:rsid w:val="000B058F"/>
    <w:rsid w:val="000B4467"/>
    <w:rsid w:val="000B4DB9"/>
    <w:rsid w:val="000C09AC"/>
    <w:rsid w:val="000C767F"/>
    <w:rsid w:val="000D3FA1"/>
    <w:rsid w:val="000D5A44"/>
    <w:rsid w:val="000E05A2"/>
    <w:rsid w:val="000E3ED2"/>
    <w:rsid w:val="001030B3"/>
    <w:rsid w:val="00105602"/>
    <w:rsid w:val="00106C2B"/>
    <w:rsid w:val="00116573"/>
    <w:rsid w:val="00130514"/>
    <w:rsid w:val="00131F42"/>
    <w:rsid w:val="001357F1"/>
    <w:rsid w:val="00135D93"/>
    <w:rsid w:val="00140FA8"/>
    <w:rsid w:val="00142FEB"/>
    <w:rsid w:val="00143A2D"/>
    <w:rsid w:val="00145A41"/>
    <w:rsid w:val="00151675"/>
    <w:rsid w:val="00152408"/>
    <w:rsid w:val="00152D9E"/>
    <w:rsid w:val="00157435"/>
    <w:rsid w:val="0017349B"/>
    <w:rsid w:val="0017504D"/>
    <w:rsid w:val="0017671A"/>
    <w:rsid w:val="0017672D"/>
    <w:rsid w:val="00177422"/>
    <w:rsid w:val="001843C7"/>
    <w:rsid w:val="00184590"/>
    <w:rsid w:val="001870D1"/>
    <w:rsid w:val="0018781E"/>
    <w:rsid w:val="0019262D"/>
    <w:rsid w:val="00193300"/>
    <w:rsid w:val="001A1577"/>
    <w:rsid w:val="001A1B35"/>
    <w:rsid w:val="001A3AD8"/>
    <w:rsid w:val="001A4716"/>
    <w:rsid w:val="001A48A2"/>
    <w:rsid w:val="001A6F61"/>
    <w:rsid w:val="001B72B8"/>
    <w:rsid w:val="001C0CE7"/>
    <w:rsid w:val="001C3FD6"/>
    <w:rsid w:val="001C69B3"/>
    <w:rsid w:val="001D5595"/>
    <w:rsid w:val="001D7874"/>
    <w:rsid w:val="001D7F22"/>
    <w:rsid w:val="001F0F17"/>
    <w:rsid w:val="001F3347"/>
    <w:rsid w:val="001F69E4"/>
    <w:rsid w:val="00210042"/>
    <w:rsid w:val="002125B4"/>
    <w:rsid w:val="002155B8"/>
    <w:rsid w:val="00216C19"/>
    <w:rsid w:val="00224839"/>
    <w:rsid w:val="002249B2"/>
    <w:rsid w:val="00226574"/>
    <w:rsid w:val="002278EC"/>
    <w:rsid w:val="00230CB9"/>
    <w:rsid w:val="0023280E"/>
    <w:rsid w:val="002331EC"/>
    <w:rsid w:val="002377D1"/>
    <w:rsid w:val="00240FD4"/>
    <w:rsid w:val="002442E4"/>
    <w:rsid w:val="002506BC"/>
    <w:rsid w:val="00254345"/>
    <w:rsid w:val="00261996"/>
    <w:rsid w:val="00264557"/>
    <w:rsid w:val="002805AB"/>
    <w:rsid w:val="00283E18"/>
    <w:rsid w:val="00284204"/>
    <w:rsid w:val="00287B0F"/>
    <w:rsid w:val="00291773"/>
    <w:rsid w:val="002A168C"/>
    <w:rsid w:val="002A3DC7"/>
    <w:rsid w:val="002B01A8"/>
    <w:rsid w:val="002B49E2"/>
    <w:rsid w:val="002B7B00"/>
    <w:rsid w:val="002B7C44"/>
    <w:rsid w:val="002C2B17"/>
    <w:rsid w:val="002D3DD0"/>
    <w:rsid w:val="002E1F3A"/>
    <w:rsid w:val="002E298A"/>
    <w:rsid w:val="002E29EF"/>
    <w:rsid w:val="002E68D0"/>
    <w:rsid w:val="002F1F05"/>
    <w:rsid w:val="002F47B4"/>
    <w:rsid w:val="00301978"/>
    <w:rsid w:val="0030332C"/>
    <w:rsid w:val="003051C2"/>
    <w:rsid w:val="00312296"/>
    <w:rsid w:val="00314F0E"/>
    <w:rsid w:val="0032167A"/>
    <w:rsid w:val="00321D8E"/>
    <w:rsid w:val="0032401D"/>
    <w:rsid w:val="00325928"/>
    <w:rsid w:val="00332863"/>
    <w:rsid w:val="003367AA"/>
    <w:rsid w:val="0033684D"/>
    <w:rsid w:val="00337B42"/>
    <w:rsid w:val="00341B42"/>
    <w:rsid w:val="0034348F"/>
    <w:rsid w:val="00351550"/>
    <w:rsid w:val="0035232E"/>
    <w:rsid w:val="00356653"/>
    <w:rsid w:val="0035743F"/>
    <w:rsid w:val="00357BE2"/>
    <w:rsid w:val="0036170C"/>
    <w:rsid w:val="00362744"/>
    <w:rsid w:val="00366E0F"/>
    <w:rsid w:val="00381A72"/>
    <w:rsid w:val="00384676"/>
    <w:rsid w:val="00390857"/>
    <w:rsid w:val="00392FD4"/>
    <w:rsid w:val="003957FD"/>
    <w:rsid w:val="003A4BF3"/>
    <w:rsid w:val="003A7273"/>
    <w:rsid w:val="003B420D"/>
    <w:rsid w:val="003C6C16"/>
    <w:rsid w:val="003D4663"/>
    <w:rsid w:val="003D794D"/>
    <w:rsid w:val="003E3058"/>
    <w:rsid w:val="003E3435"/>
    <w:rsid w:val="003E76A9"/>
    <w:rsid w:val="003F0809"/>
    <w:rsid w:val="003F5C5E"/>
    <w:rsid w:val="003F6A8C"/>
    <w:rsid w:val="003F755C"/>
    <w:rsid w:val="00400E15"/>
    <w:rsid w:val="00406F01"/>
    <w:rsid w:val="00416D50"/>
    <w:rsid w:val="00416FD5"/>
    <w:rsid w:val="00417772"/>
    <w:rsid w:val="00420CDB"/>
    <w:rsid w:val="00420E6A"/>
    <w:rsid w:val="00425A9E"/>
    <w:rsid w:val="00426D6B"/>
    <w:rsid w:val="00430D9E"/>
    <w:rsid w:val="0043172F"/>
    <w:rsid w:val="00431E6C"/>
    <w:rsid w:val="00433CE7"/>
    <w:rsid w:val="00452738"/>
    <w:rsid w:val="00456091"/>
    <w:rsid w:val="00462A01"/>
    <w:rsid w:val="00466321"/>
    <w:rsid w:val="00466B15"/>
    <w:rsid w:val="00477460"/>
    <w:rsid w:val="00484B9B"/>
    <w:rsid w:val="00484DD2"/>
    <w:rsid w:val="004855F6"/>
    <w:rsid w:val="0048661E"/>
    <w:rsid w:val="00494670"/>
    <w:rsid w:val="004968C4"/>
    <w:rsid w:val="004A3823"/>
    <w:rsid w:val="004E0DC0"/>
    <w:rsid w:val="004E3A31"/>
    <w:rsid w:val="004E3BA8"/>
    <w:rsid w:val="004E6946"/>
    <w:rsid w:val="004F1AD8"/>
    <w:rsid w:val="004F3360"/>
    <w:rsid w:val="004F601B"/>
    <w:rsid w:val="005039CB"/>
    <w:rsid w:val="0050558F"/>
    <w:rsid w:val="00506286"/>
    <w:rsid w:val="00510813"/>
    <w:rsid w:val="00511990"/>
    <w:rsid w:val="00511DE0"/>
    <w:rsid w:val="00514870"/>
    <w:rsid w:val="00514B9B"/>
    <w:rsid w:val="00517F02"/>
    <w:rsid w:val="005227ED"/>
    <w:rsid w:val="00524303"/>
    <w:rsid w:val="005258A2"/>
    <w:rsid w:val="005401AE"/>
    <w:rsid w:val="00542E07"/>
    <w:rsid w:val="00545424"/>
    <w:rsid w:val="0054725B"/>
    <w:rsid w:val="00554A7B"/>
    <w:rsid w:val="0055572C"/>
    <w:rsid w:val="00557DBB"/>
    <w:rsid w:val="0056106A"/>
    <w:rsid w:val="005720AE"/>
    <w:rsid w:val="00594D77"/>
    <w:rsid w:val="005969E4"/>
    <w:rsid w:val="005A06B7"/>
    <w:rsid w:val="005A1759"/>
    <w:rsid w:val="005A1B52"/>
    <w:rsid w:val="005A1E3B"/>
    <w:rsid w:val="005A68A7"/>
    <w:rsid w:val="005B021E"/>
    <w:rsid w:val="005B6962"/>
    <w:rsid w:val="005D36AB"/>
    <w:rsid w:val="005E09E2"/>
    <w:rsid w:val="005F278E"/>
    <w:rsid w:val="0061291B"/>
    <w:rsid w:val="00614B38"/>
    <w:rsid w:val="00617CC3"/>
    <w:rsid w:val="0062301E"/>
    <w:rsid w:val="006377A6"/>
    <w:rsid w:val="00637A3D"/>
    <w:rsid w:val="006411EF"/>
    <w:rsid w:val="00641DF7"/>
    <w:rsid w:val="00643456"/>
    <w:rsid w:val="006515F3"/>
    <w:rsid w:val="00654E88"/>
    <w:rsid w:val="0065789B"/>
    <w:rsid w:val="00660E64"/>
    <w:rsid w:val="00667C8F"/>
    <w:rsid w:val="006748B8"/>
    <w:rsid w:val="006775C3"/>
    <w:rsid w:val="00677914"/>
    <w:rsid w:val="00684D7A"/>
    <w:rsid w:val="00691D8F"/>
    <w:rsid w:val="0069290A"/>
    <w:rsid w:val="006943FB"/>
    <w:rsid w:val="0069775A"/>
    <w:rsid w:val="00697813"/>
    <w:rsid w:val="006A0F50"/>
    <w:rsid w:val="006A3EE8"/>
    <w:rsid w:val="006A72BF"/>
    <w:rsid w:val="006B03F2"/>
    <w:rsid w:val="006B37DC"/>
    <w:rsid w:val="006B4F68"/>
    <w:rsid w:val="006B6FD3"/>
    <w:rsid w:val="006C0592"/>
    <w:rsid w:val="006C272E"/>
    <w:rsid w:val="006C5479"/>
    <w:rsid w:val="006D13B5"/>
    <w:rsid w:val="006D6D13"/>
    <w:rsid w:val="006E12FF"/>
    <w:rsid w:val="006E4355"/>
    <w:rsid w:val="006E607E"/>
    <w:rsid w:val="006E7253"/>
    <w:rsid w:val="00700769"/>
    <w:rsid w:val="00706C5D"/>
    <w:rsid w:val="00732922"/>
    <w:rsid w:val="00737424"/>
    <w:rsid w:val="00744469"/>
    <w:rsid w:val="00745280"/>
    <w:rsid w:val="007513DA"/>
    <w:rsid w:val="0075162E"/>
    <w:rsid w:val="00754034"/>
    <w:rsid w:val="00756556"/>
    <w:rsid w:val="00757142"/>
    <w:rsid w:val="007618C4"/>
    <w:rsid w:val="00762DC1"/>
    <w:rsid w:val="00763F16"/>
    <w:rsid w:val="00767980"/>
    <w:rsid w:val="00767B91"/>
    <w:rsid w:val="00770B19"/>
    <w:rsid w:val="00774427"/>
    <w:rsid w:val="0077463F"/>
    <w:rsid w:val="00781B90"/>
    <w:rsid w:val="007836EA"/>
    <w:rsid w:val="00784CDA"/>
    <w:rsid w:val="007906C4"/>
    <w:rsid w:val="00792BD8"/>
    <w:rsid w:val="007940EA"/>
    <w:rsid w:val="00795AA0"/>
    <w:rsid w:val="007967E8"/>
    <w:rsid w:val="007A2170"/>
    <w:rsid w:val="007A22BF"/>
    <w:rsid w:val="007A3323"/>
    <w:rsid w:val="007B72B8"/>
    <w:rsid w:val="007B7A58"/>
    <w:rsid w:val="007C1B34"/>
    <w:rsid w:val="007C21B5"/>
    <w:rsid w:val="007C4010"/>
    <w:rsid w:val="007C5965"/>
    <w:rsid w:val="007D167C"/>
    <w:rsid w:val="007D78E0"/>
    <w:rsid w:val="007E4BD2"/>
    <w:rsid w:val="007F3891"/>
    <w:rsid w:val="00801393"/>
    <w:rsid w:val="00802F88"/>
    <w:rsid w:val="008057FA"/>
    <w:rsid w:val="0081293E"/>
    <w:rsid w:val="00815465"/>
    <w:rsid w:val="00817E9A"/>
    <w:rsid w:val="008306BD"/>
    <w:rsid w:val="00831A80"/>
    <w:rsid w:val="00833108"/>
    <w:rsid w:val="00833743"/>
    <w:rsid w:val="008340A4"/>
    <w:rsid w:val="0085684B"/>
    <w:rsid w:val="0086750E"/>
    <w:rsid w:val="0087135F"/>
    <w:rsid w:val="00872D94"/>
    <w:rsid w:val="00880364"/>
    <w:rsid w:val="00891592"/>
    <w:rsid w:val="00891E9E"/>
    <w:rsid w:val="008A2F68"/>
    <w:rsid w:val="008A4C1A"/>
    <w:rsid w:val="008B4FA6"/>
    <w:rsid w:val="008B5282"/>
    <w:rsid w:val="008B7C17"/>
    <w:rsid w:val="008C212D"/>
    <w:rsid w:val="008C2D01"/>
    <w:rsid w:val="008C40E6"/>
    <w:rsid w:val="008D0467"/>
    <w:rsid w:val="008D0F7A"/>
    <w:rsid w:val="008D2C07"/>
    <w:rsid w:val="008D68E4"/>
    <w:rsid w:val="008E0506"/>
    <w:rsid w:val="008E0CFF"/>
    <w:rsid w:val="008E1C57"/>
    <w:rsid w:val="008E5D6B"/>
    <w:rsid w:val="008E76F0"/>
    <w:rsid w:val="008F15FE"/>
    <w:rsid w:val="008F2D29"/>
    <w:rsid w:val="008F5187"/>
    <w:rsid w:val="008F60D8"/>
    <w:rsid w:val="00902727"/>
    <w:rsid w:val="00902D66"/>
    <w:rsid w:val="0090312B"/>
    <w:rsid w:val="00907AA9"/>
    <w:rsid w:val="0091736D"/>
    <w:rsid w:val="00924A5D"/>
    <w:rsid w:val="00927607"/>
    <w:rsid w:val="0093037A"/>
    <w:rsid w:val="0094154D"/>
    <w:rsid w:val="0095155F"/>
    <w:rsid w:val="00954429"/>
    <w:rsid w:val="009547AC"/>
    <w:rsid w:val="009563CE"/>
    <w:rsid w:val="00956F36"/>
    <w:rsid w:val="009674B3"/>
    <w:rsid w:val="0097146E"/>
    <w:rsid w:val="00976328"/>
    <w:rsid w:val="0097680D"/>
    <w:rsid w:val="00982438"/>
    <w:rsid w:val="0098404C"/>
    <w:rsid w:val="00985283"/>
    <w:rsid w:val="00995992"/>
    <w:rsid w:val="009A03E5"/>
    <w:rsid w:val="009A0F3B"/>
    <w:rsid w:val="009A1BB4"/>
    <w:rsid w:val="009A2628"/>
    <w:rsid w:val="009A2CBC"/>
    <w:rsid w:val="009A3200"/>
    <w:rsid w:val="009B0897"/>
    <w:rsid w:val="009B7BD9"/>
    <w:rsid w:val="009C4DF2"/>
    <w:rsid w:val="009C72D0"/>
    <w:rsid w:val="009C7DD5"/>
    <w:rsid w:val="009E227D"/>
    <w:rsid w:val="009E5019"/>
    <w:rsid w:val="00A04F1B"/>
    <w:rsid w:val="00A0501B"/>
    <w:rsid w:val="00A12AED"/>
    <w:rsid w:val="00A14947"/>
    <w:rsid w:val="00A32A83"/>
    <w:rsid w:val="00A35940"/>
    <w:rsid w:val="00A368DB"/>
    <w:rsid w:val="00A423AA"/>
    <w:rsid w:val="00A53EC6"/>
    <w:rsid w:val="00A53F05"/>
    <w:rsid w:val="00A55A6F"/>
    <w:rsid w:val="00A55C0F"/>
    <w:rsid w:val="00A6721C"/>
    <w:rsid w:val="00A7080C"/>
    <w:rsid w:val="00A82F44"/>
    <w:rsid w:val="00A8713F"/>
    <w:rsid w:val="00A90BA1"/>
    <w:rsid w:val="00A92A97"/>
    <w:rsid w:val="00A97A9A"/>
    <w:rsid w:val="00AA0671"/>
    <w:rsid w:val="00AA2531"/>
    <w:rsid w:val="00AA79DC"/>
    <w:rsid w:val="00AB1E09"/>
    <w:rsid w:val="00AB3E3B"/>
    <w:rsid w:val="00AB5330"/>
    <w:rsid w:val="00AB7747"/>
    <w:rsid w:val="00AC14CE"/>
    <w:rsid w:val="00AC2A56"/>
    <w:rsid w:val="00AC3E3F"/>
    <w:rsid w:val="00AC5397"/>
    <w:rsid w:val="00AD055E"/>
    <w:rsid w:val="00AD47A7"/>
    <w:rsid w:val="00AF0CBF"/>
    <w:rsid w:val="00AF1302"/>
    <w:rsid w:val="00AF2392"/>
    <w:rsid w:val="00AF257F"/>
    <w:rsid w:val="00AF33CF"/>
    <w:rsid w:val="00AF4D50"/>
    <w:rsid w:val="00AF6179"/>
    <w:rsid w:val="00B0265C"/>
    <w:rsid w:val="00B0507A"/>
    <w:rsid w:val="00B1295A"/>
    <w:rsid w:val="00B20A45"/>
    <w:rsid w:val="00B22C5C"/>
    <w:rsid w:val="00B24F30"/>
    <w:rsid w:val="00B31ABF"/>
    <w:rsid w:val="00B33BE3"/>
    <w:rsid w:val="00B34A40"/>
    <w:rsid w:val="00B37016"/>
    <w:rsid w:val="00B37933"/>
    <w:rsid w:val="00B45B71"/>
    <w:rsid w:val="00B53B5D"/>
    <w:rsid w:val="00B6055E"/>
    <w:rsid w:val="00B62E95"/>
    <w:rsid w:val="00B6317D"/>
    <w:rsid w:val="00B64E7F"/>
    <w:rsid w:val="00B7723F"/>
    <w:rsid w:val="00B80534"/>
    <w:rsid w:val="00B8433C"/>
    <w:rsid w:val="00B87491"/>
    <w:rsid w:val="00BA0715"/>
    <w:rsid w:val="00BA29E9"/>
    <w:rsid w:val="00BA7142"/>
    <w:rsid w:val="00BB0004"/>
    <w:rsid w:val="00BB237C"/>
    <w:rsid w:val="00BB30E5"/>
    <w:rsid w:val="00BB3C37"/>
    <w:rsid w:val="00BB41A3"/>
    <w:rsid w:val="00BC32DC"/>
    <w:rsid w:val="00BC35B6"/>
    <w:rsid w:val="00BD1B51"/>
    <w:rsid w:val="00BD4596"/>
    <w:rsid w:val="00BE1405"/>
    <w:rsid w:val="00BE312D"/>
    <w:rsid w:val="00BF1C20"/>
    <w:rsid w:val="00BF49CC"/>
    <w:rsid w:val="00C003EE"/>
    <w:rsid w:val="00C0078F"/>
    <w:rsid w:val="00C10578"/>
    <w:rsid w:val="00C135BC"/>
    <w:rsid w:val="00C138C5"/>
    <w:rsid w:val="00C14A1D"/>
    <w:rsid w:val="00C15C95"/>
    <w:rsid w:val="00C2596A"/>
    <w:rsid w:val="00C27537"/>
    <w:rsid w:val="00C328FE"/>
    <w:rsid w:val="00C33507"/>
    <w:rsid w:val="00C37D7B"/>
    <w:rsid w:val="00C4409D"/>
    <w:rsid w:val="00C44E72"/>
    <w:rsid w:val="00C45A06"/>
    <w:rsid w:val="00C47E5B"/>
    <w:rsid w:val="00C61E4B"/>
    <w:rsid w:val="00C62233"/>
    <w:rsid w:val="00C64BFF"/>
    <w:rsid w:val="00C704E9"/>
    <w:rsid w:val="00C763C9"/>
    <w:rsid w:val="00C80057"/>
    <w:rsid w:val="00C82232"/>
    <w:rsid w:val="00C82913"/>
    <w:rsid w:val="00C8648F"/>
    <w:rsid w:val="00C92568"/>
    <w:rsid w:val="00C972B1"/>
    <w:rsid w:val="00C97980"/>
    <w:rsid w:val="00CA2CCE"/>
    <w:rsid w:val="00CA43FD"/>
    <w:rsid w:val="00CA7EF8"/>
    <w:rsid w:val="00CB4216"/>
    <w:rsid w:val="00CC0F93"/>
    <w:rsid w:val="00CC3467"/>
    <w:rsid w:val="00CC489B"/>
    <w:rsid w:val="00CC664C"/>
    <w:rsid w:val="00CD2BCD"/>
    <w:rsid w:val="00CD3A4C"/>
    <w:rsid w:val="00CE10E9"/>
    <w:rsid w:val="00CE2910"/>
    <w:rsid w:val="00CE5393"/>
    <w:rsid w:val="00CF0FA5"/>
    <w:rsid w:val="00CF36BE"/>
    <w:rsid w:val="00CF5443"/>
    <w:rsid w:val="00CF6000"/>
    <w:rsid w:val="00D003F3"/>
    <w:rsid w:val="00D0364F"/>
    <w:rsid w:val="00D0450A"/>
    <w:rsid w:val="00D06834"/>
    <w:rsid w:val="00D12EB9"/>
    <w:rsid w:val="00D308ED"/>
    <w:rsid w:val="00D36D86"/>
    <w:rsid w:val="00D428AA"/>
    <w:rsid w:val="00D50A34"/>
    <w:rsid w:val="00D53EFA"/>
    <w:rsid w:val="00D77927"/>
    <w:rsid w:val="00D856FF"/>
    <w:rsid w:val="00D94A7C"/>
    <w:rsid w:val="00D94C1C"/>
    <w:rsid w:val="00D95896"/>
    <w:rsid w:val="00D97F51"/>
    <w:rsid w:val="00DA2FD8"/>
    <w:rsid w:val="00DB2983"/>
    <w:rsid w:val="00DB5A25"/>
    <w:rsid w:val="00DB6E2E"/>
    <w:rsid w:val="00DC1257"/>
    <w:rsid w:val="00DC1C9D"/>
    <w:rsid w:val="00DC3DC0"/>
    <w:rsid w:val="00DC5B2B"/>
    <w:rsid w:val="00DC5BF8"/>
    <w:rsid w:val="00DD318D"/>
    <w:rsid w:val="00DD41B0"/>
    <w:rsid w:val="00DE0767"/>
    <w:rsid w:val="00DF1B29"/>
    <w:rsid w:val="00DF2E12"/>
    <w:rsid w:val="00DF355C"/>
    <w:rsid w:val="00DF514A"/>
    <w:rsid w:val="00DF6459"/>
    <w:rsid w:val="00DF6690"/>
    <w:rsid w:val="00DF6804"/>
    <w:rsid w:val="00DF7379"/>
    <w:rsid w:val="00E0358D"/>
    <w:rsid w:val="00E04323"/>
    <w:rsid w:val="00E06687"/>
    <w:rsid w:val="00E070A2"/>
    <w:rsid w:val="00E2656A"/>
    <w:rsid w:val="00E34FF5"/>
    <w:rsid w:val="00E412D0"/>
    <w:rsid w:val="00E56322"/>
    <w:rsid w:val="00E60982"/>
    <w:rsid w:val="00E62C62"/>
    <w:rsid w:val="00E635BD"/>
    <w:rsid w:val="00E654C1"/>
    <w:rsid w:val="00E65D97"/>
    <w:rsid w:val="00E72A5A"/>
    <w:rsid w:val="00E73354"/>
    <w:rsid w:val="00E83E15"/>
    <w:rsid w:val="00E86EAB"/>
    <w:rsid w:val="00E875DE"/>
    <w:rsid w:val="00E910F2"/>
    <w:rsid w:val="00E9242D"/>
    <w:rsid w:val="00E93177"/>
    <w:rsid w:val="00EB2C30"/>
    <w:rsid w:val="00EB5255"/>
    <w:rsid w:val="00EB5C47"/>
    <w:rsid w:val="00EC377A"/>
    <w:rsid w:val="00EC3F2B"/>
    <w:rsid w:val="00EC6110"/>
    <w:rsid w:val="00ED0639"/>
    <w:rsid w:val="00ED09EF"/>
    <w:rsid w:val="00ED42D3"/>
    <w:rsid w:val="00EF4755"/>
    <w:rsid w:val="00EF7135"/>
    <w:rsid w:val="00F027DB"/>
    <w:rsid w:val="00F10557"/>
    <w:rsid w:val="00F10E57"/>
    <w:rsid w:val="00F14A7A"/>
    <w:rsid w:val="00F22985"/>
    <w:rsid w:val="00F27787"/>
    <w:rsid w:val="00F31AC4"/>
    <w:rsid w:val="00F32612"/>
    <w:rsid w:val="00F3383E"/>
    <w:rsid w:val="00F44D8B"/>
    <w:rsid w:val="00F465A7"/>
    <w:rsid w:val="00F50B7C"/>
    <w:rsid w:val="00F51090"/>
    <w:rsid w:val="00F543A2"/>
    <w:rsid w:val="00F550E6"/>
    <w:rsid w:val="00F71FD0"/>
    <w:rsid w:val="00F74345"/>
    <w:rsid w:val="00F74630"/>
    <w:rsid w:val="00F80A0A"/>
    <w:rsid w:val="00F82B19"/>
    <w:rsid w:val="00F908A1"/>
    <w:rsid w:val="00F9212D"/>
    <w:rsid w:val="00F965DA"/>
    <w:rsid w:val="00FA406A"/>
    <w:rsid w:val="00FA7AC3"/>
    <w:rsid w:val="00FB503A"/>
    <w:rsid w:val="00FB516C"/>
    <w:rsid w:val="00FD0236"/>
    <w:rsid w:val="00FD18F4"/>
    <w:rsid w:val="00FD2046"/>
    <w:rsid w:val="00FD54DB"/>
    <w:rsid w:val="00FD619F"/>
    <w:rsid w:val="00FD76D3"/>
    <w:rsid w:val="00FE7620"/>
    <w:rsid w:val="00FF0274"/>
    <w:rsid w:val="011C2FC7"/>
    <w:rsid w:val="01290F7E"/>
    <w:rsid w:val="01361677"/>
    <w:rsid w:val="01546A41"/>
    <w:rsid w:val="015D1E09"/>
    <w:rsid w:val="017A1F0D"/>
    <w:rsid w:val="018A12BE"/>
    <w:rsid w:val="018B7BC6"/>
    <w:rsid w:val="01917CBA"/>
    <w:rsid w:val="01CC1FF2"/>
    <w:rsid w:val="01D805FA"/>
    <w:rsid w:val="01DB732C"/>
    <w:rsid w:val="01DB7ED5"/>
    <w:rsid w:val="01E65AA6"/>
    <w:rsid w:val="01F30911"/>
    <w:rsid w:val="01F95D2C"/>
    <w:rsid w:val="0204742C"/>
    <w:rsid w:val="020D24F2"/>
    <w:rsid w:val="021D7554"/>
    <w:rsid w:val="02296E92"/>
    <w:rsid w:val="023336A7"/>
    <w:rsid w:val="023B5FC6"/>
    <w:rsid w:val="023D638C"/>
    <w:rsid w:val="0248179F"/>
    <w:rsid w:val="024D4F9E"/>
    <w:rsid w:val="0250441F"/>
    <w:rsid w:val="02553938"/>
    <w:rsid w:val="025A529E"/>
    <w:rsid w:val="026707DB"/>
    <w:rsid w:val="026779BA"/>
    <w:rsid w:val="02697903"/>
    <w:rsid w:val="027F38FB"/>
    <w:rsid w:val="029712DC"/>
    <w:rsid w:val="02986F14"/>
    <w:rsid w:val="029F6342"/>
    <w:rsid w:val="02A17640"/>
    <w:rsid w:val="02C646E1"/>
    <w:rsid w:val="02CA76F3"/>
    <w:rsid w:val="02D2752A"/>
    <w:rsid w:val="02DE1FBB"/>
    <w:rsid w:val="02DF68D1"/>
    <w:rsid w:val="02F05EF6"/>
    <w:rsid w:val="02F1220A"/>
    <w:rsid w:val="02F53052"/>
    <w:rsid w:val="02F96569"/>
    <w:rsid w:val="0300236B"/>
    <w:rsid w:val="031C1723"/>
    <w:rsid w:val="031E400F"/>
    <w:rsid w:val="032B3E59"/>
    <w:rsid w:val="03332765"/>
    <w:rsid w:val="033E2922"/>
    <w:rsid w:val="0341020B"/>
    <w:rsid w:val="03507B8A"/>
    <w:rsid w:val="035B0A78"/>
    <w:rsid w:val="036649A4"/>
    <w:rsid w:val="03724869"/>
    <w:rsid w:val="03752322"/>
    <w:rsid w:val="037B4C65"/>
    <w:rsid w:val="039B791C"/>
    <w:rsid w:val="03A25D32"/>
    <w:rsid w:val="03B53130"/>
    <w:rsid w:val="03BB69D4"/>
    <w:rsid w:val="03BC2A3E"/>
    <w:rsid w:val="03C53FD2"/>
    <w:rsid w:val="03D66BA6"/>
    <w:rsid w:val="03DB240F"/>
    <w:rsid w:val="03E5328D"/>
    <w:rsid w:val="03EA7B21"/>
    <w:rsid w:val="03EC0177"/>
    <w:rsid w:val="03F139E8"/>
    <w:rsid w:val="03F65E23"/>
    <w:rsid w:val="03F77D6E"/>
    <w:rsid w:val="03FB03BA"/>
    <w:rsid w:val="03FD3EED"/>
    <w:rsid w:val="04003C23"/>
    <w:rsid w:val="04026963"/>
    <w:rsid w:val="04146147"/>
    <w:rsid w:val="04171491"/>
    <w:rsid w:val="043128C5"/>
    <w:rsid w:val="04372E8C"/>
    <w:rsid w:val="043A5387"/>
    <w:rsid w:val="043E45EC"/>
    <w:rsid w:val="043F351B"/>
    <w:rsid w:val="045E47BA"/>
    <w:rsid w:val="04694FAB"/>
    <w:rsid w:val="046E5030"/>
    <w:rsid w:val="047D514D"/>
    <w:rsid w:val="04805997"/>
    <w:rsid w:val="04A15082"/>
    <w:rsid w:val="04A35347"/>
    <w:rsid w:val="04AE18D1"/>
    <w:rsid w:val="04B00328"/>
    <w:rsid w:val="04B50EB1"/>
    <w:rsid w:val="04B80ECF"/>
    <w:rsid w:val="04C05813"/>
    <w:rsid w:val="04CE1F88"/>
    <w:rsid w:val="04D70E27"/>
    <w:rsid w:val="04D9013E"/>
    <w:rsid w:val="04DE49AF"/>
    <w:rsid w:val="04DF0F44"/>
    <w:rsid w:val="04EA6DAD"/>
    <w:rsid w:val="04F517A9"/>
    <w:rsid w:val="04F80D9E"/>
    <w:rsid w:val="05024B49"/>
    <w:rsid w:val="05065269"/>
    <w:rsid w:val="051C1B38"/>
    <w:rsid w:val="05235E1B"/>
    <w:rsid w:val="052A41A2"/>
    <w:rsid w:val="052D7B2E"/>
    <w:rsid w:val="054A32A5"/>
    <w:rsid w:val="054C589A"/>
    <w:rsid w:val="0553411D"/>
    <w:rsid w:val="0559489E"/>
    <w:rsid w:val="055E0A2C"/>
    <w:rsid w:val="05740424"/>
    <w:rsid w:val="057C5331"/>
    <w:rsid w:val="059E480D"/>
    <w:rsid w:val="05A32BC9"/>
    <w:rsid w:val="05B74BAA"/>
    <w:rsid w:val="05C65066"/>
    <w:rsid w:val="05C96288"/>
    <w:rsid w:val="05E25CD6"/>
    <w:rsid w:val="05E735C1"/>
    <w:rsid w:val="05EB702E"/>
    <w:rsid w:val="05F652DD"/>
    <w:rsid w:val="05F83EAE"/>
    <w:rsid w:val="05FA75C2"/>
    <w:rsid w:val="060B36FF"/>
    <w:rsid w:val="060D46FD"/>
    <w:rsid w:val="060F639F"/>
    <w:rsid w:val="06230C26"/>
    <w:rsid w:val="06267321"/>
    <w:rsid w:val="063E3F3F"/>
    <w:rsid w:val="063E7D85"/>
    <w:rsid w:val="06407BAF"/>
    <w:rsid w:val="065837E2"/>
    <w:rsid w:val="06640499"/>
    <w:rsid w:val="06681F2D"/>
    <w:rsid w:val="066C61A9"/>
    <w:rsid w:val="06864258"/>
    <w:rsid w:val="068A098C"/>
    <w:rsid w:val="068E0D8D"/>
    <w:rsid w:val="06A26CA3"/>
    <w:rsid w:val="06A50AB1"/>
    <w:rsid w:val="06B5000B"/>
    <w:rsid w:val="06D47A6E"/>
    <w:rsid w:val="06E67100"/>
    <w:rsid w:val="06EC048E"/>
    <w:rsid w:val="06EE03A3"/>
    <w:rsid w:val="06F26954"/>
    <w:rsid w:val="070F2546"/>
    <w:rsid w:val="07293586"/>
    <w:rsid w:val="07295285"/>
    <w:rsid w:val="073B4C13"/>
    <w:rsid w:val="073C7FDB"/>
    <w:rsid w:val="074402CA"/>
    <w:rsid w:val="0747147C"/>
    <w:rsid w:val="0758029E"/>
    <w:rsid w:val="07636392"/>
    <w:rsid w:val="07723089"/>
    <w:rsid w:val="07770C56"/>
    <w:rsid w:val="077E558A"/>
    <w:rsid w:val="07836227"/>
    <w:rsid w:val="07875B6E"/>
    <w:rsid w:val="07904479"/>
    <w:rsid w:val="079D5C74"/>
    <w:rsid w:val="079F5C6A"/>
    <w:rsid w:val="07AB08B1"/>
    <w:rsid w:val="07AC138D"/>
    <w:rsid w:val="07AD5E6F"/>
    <w:rsid w:val="07BD6D28"/>
    <w:rsid w:val="07C03ACD"/>
    <w:rsid w:val="07D433FC"/>
    <w:rsid w:val="07DB21CB"/>
    <w:rsid w:val="07DB5D4F"/>
    <w:rsid w:val="07DF13ED"/>
    <w:rsid w:val="08133064"/>
    <w:rsid w:val="08135F0E"/>
    <w:rsid w:val="081504F4"/>
    <w:rsid w:val="081F644B"/>
    <w:rsid w:val="08251EAA"/>
    <w:rsid w:val="08272956"/>
    <w:rsid w:val="082C0A88"/>
    <w:rsid w:val="083209F9"/>
    <w:rsid w:val="08441324"/>
    <w:rsid w:val="084560A8"/>
    <w:rsid w:val="085A5FF7"/>
    <w:rsid w:val="086230FE"/>
    <w:rsid w:val="086B645F"/>
    <w:rsid w:val="08997570"/>
    <w:rsid w:val="08A640D8"/>
    <w:rsid w:val="08BA0844"/>
    <w:rsid w:val="08BD237D"/>
    <w:rsid w:val="08C95AC7"/>
    <w:rsid w:val="08CC1092"/>
    <w:rsid w:val="08DD09D6"/>
    <w:rsid w:val="08ED50A7"/>
    <w:rsid w:val="08EE2CB5"/>
    <w:rsid w:val="08F31F4D"/>
    <w:rsid w:val="08FB1164"/>
    <w:rsid w:val="08FD2376"/>
    <w:rsid w:val="08FE713D"/>
    <w:rsid w:val="09030A93"/>
    <w:rsid w:val="09150D77"/>
    <w:rsid w:val="092217DD"/>
    <w:rsid w:val="09246605"/>
    <w:rsid w:val="09265ED9"/>
    <w:rsid w:val="09322AD0"/>
    <w:rsid w:val="093A7294"/>
    <w:rsid w:val="093C6E13"/>
    <w:rsid w:val="093D1475"/>
    <w:rsid w:val="094778C7"/>
    <w:rsid w:val="095073FA"/>
    <w:rsid w:val="095F763D"/>
    <w:rsid w:val="096B34B5"/>
    <w:rsid w:val="096E22E8"/>
    <w:rsid w:val="09853466"/>
    <w:rsid w:val="09A464A8"/>
    <w:rsid w:val="09B36F96"/>
    <w:rsid w:val="09B5725D"/>
    <w:rsid w:val="09C46F70"/>
    <w:rsid w:val="09D21BBD"/>
    <w:rsid w:val="09D72CEC"/>
    <w:rsid w:val="09EC1D8E"/>
    <w:rsid w:val="09F74A63"/>
    <w:rsid w:val="09F75AC8"/>
    <w:rsid w:val="09F91D86"/>
    <w:rsid w:val="09FC1404"/>
    <w:rsid w:val="09FF1925"/>
    <w:rsid w:val="0A073F5D"/>
    <w:rsid w:val="0A077A73"/>
    <w:rsid w:val="0A0A072B"/>
    <w:rsid w:val="0A160D02"/>
    <w:rsid w:val="0A193C90"/>
    <w:rsid w:val="0A263993"/>
    <w:rsid w:val="0A2C3678"/>
    <w:rsid w:val="0A2D3AC2"/>
    <w:rsid w:val="0A2F0DBE"/>
    <w:rsid w:val="0A350CFF"/>
    <w:rsid w:val="0A382368"/>
    <w:rsid w:val="0A4D6DF4"/>
    <w:rsid w:val="0A4F71FC"/>
    <w:rsid w:val="0A59154B"/>
    <w:rsid w:val="0A5C0372"/>
    <w:rsid w:val="0A60541B"/>
    <w:rsid w:val="0A6275AF"/>
    <w:rsid w:val="0A664BBB"/>
    <w:rsid w:val="0A86017D"/>
    <w:rsid w:val="0AA13578"/>
    <w:rsid w:val="0AA755DF"/>
    <w:rsid w:val="0AAC7730"/>
    <w:rsid w:val="0ABA6E8C"/>
    <w:rsid w:val="0AC00914"/>
    <w:rsid w:val="0AC27E20"/>
    <w:rsid w:val="0AC46F27"/>
    <w:rsid w:val="0AC77248"/>
    <w:rsid w:val="0ACA0B4D"/>
    <w:rsid w:val="0AD31909"/>
    <w:rsid w:val="0AD952B7"/>
    <w:rsid w:val="0AE93662"/>
    <w:rsid w:val="0AED4318"/>
    <w:rsid w:val="0AFE3252"/>
    <w:rsid w:val="0B051049"/>
    <w:rsid w:val="0B0C1F93"/>
    <w:rsid w:val="0B0C7351"/>
    <w:rsid w:val="0B120D44"/>
    <w:rsid w:val="0B146D10"/>
    <w:rsid w:val="0B147B56"/>
    <w:rsid w:val="0B1C57E6"/>
    <w:rsid w:val="0B376300"/>
    <w:rsid w:val="0B5148CF"/>
    <w:rsid w:val="0B5C6392"/>
    <w:rsid w:val="0B696551"/>
    <w:rsid w:val="0B6D442F"/>
    <w:rsid w:val="0B6D619D"/>
    <w:rsid w:val="0B701D0E"/>
    <w:rsid w:val="0B7E2AC5"/>
    <w:rsid w:val="0B995089"/>
    <w:rsid w:val="0BB37B68"/>
    <w:rsid w:val="0BBE20DC"/>
    <w:rsid w:val="0BC34B58"/>
    <w:rsid w:val="0BC419DA"/>
    <w:rsid w:val="0BC42FE9"/>
    <w:rsid w:val="0BCD2C6D"/>
    <w:rsid w:val="0BD10FD4"/>
    <w:rsid w:val="0BD240F7"/>
    <w:rsid w:val="0BD27BF6"/>
    <w:rsid w:val="0BE1433A"/>
    <w:rsid w:val="0C0369A6"/>
    <w:rsid w:val="0C041F14"/>
    <w:rsid w:val="0C0A5C0A"/>
    <w:rsid w:val="0C175FAD"/>
    <w:rsid w:val="0C260CA9"/>
    <w:rsid w:val="0C3B3C7D"/>
    <w:rsid w:val="0C444167"/>
    <w:rsid w:val="0C4A5EA0"/>
    <w:rsid w:val="0C4B07EC"/>
    <w:rsid w:val="0C540D8B"/>
    <w:rsid w:val="0C566AD6"/>
    <w:rsid w:val="0C5D2346"/>
    <w:rsid w:val="0C6531BD"/>
    <w:rsid w:val="0C6A17B8"/>
    <w:rsid w:val="0C6E0AA4"/>
    <w:rsid w:val="0C796E9E"/>
    <w:rsid w:val="0C7B653C"/>
    <w:rsid w:val="0C8812D4"/>
    <w:rsid w:val="0C933BAD"/>
    <w:rsid w:val="0C9570C3"/>
    <w:rsid w:val="0CAA1DF9"/>
    <w:rsid w:val="0CAB2EAE"/>
    <w:rsid w:val="0CAF268A"/>
    <w:rsid w:val="0CB35CD6"/>
    <w:rsid w:val="0CB82427"/>
    <w:rsid w:val="0CBF1239"/>
    <w:rsid w:val="0CBF5553"/>
    <w:rsid w:val="0CC11A78"/>
    <w:rsid w:val="0CC83B28"/>
    <w:rsid w:val="0CC9374C"/>
    <w:rsid w:val="0CCB3E38"/>
    <w:rsid w:val="0CD21ED4"/>
    <w:rsid w:val="0CDF70FC"/>
    <w:rsid w:val="0D046532"/>
    <w:rsid w:val="0D0E587E"/>
    <w:rsid w:val="0D296DF5"/>
    <w:rsid w:val="0D395D07"/>
    <w:rsid w:val="0D447F7E"/>
    <w:rsid w:val="0D505FE7"/>
    <w:rsid w:val="0D5455FB"/>
    <w:rsid w:val="0D553231"/>
    <w:rsid w:val="0D5D0932"/>
    <w:rsid w:val="0D621C7D"/>
    <w:rsid w:val="0D6D3161"/>
    <w:rsid w:val="0D742694"/>
    <w:rsid w:val="0D782A7C"/>
    <w:rsid w:val="0D842E5A"/>
    <w:rsid w:val="0D8B008F"/>
    <w:rsid w:val="0D94706F"/>
    <w:rsid w:val="0DA42116"/>
    <w:rsid w:val="0DAD389F"/>
    <w:rsid w:val="0DB03A8E"/>
    <w:rsid w:val="0DB54F86"/>
    <w:rsid w:val="0DC161D1"/>
    <w:rsid w:val="0DD030B6"/>
    <w:rsid w:val="0DD24B0E"/>
    <w:rsid w:val="0DDA3736"/>
    <w:rsid w:val="0DDF17F6"/>
    <w:rsid w:val="0DE21412"/>
    <w:rsid w:val="0DFC348F"/>
    <w:rsid w:val="0DFD36A2"/>
    <w:rsid w:val="0E0477F1"/>
    <w:rsid w:val="0E073A65"/>
    <w:rsid w:val="0E187401"/>
    <w:rsid w:val="0E1B2318"/>
    <w:rsid w:val="0E3E2483"/>
    <w:rsid w:val="0E3E3CC5"/>
    <w:rsid w:val="0E475224"/>
    <w:rsid w:val="0E4B0190"/>
    <w:rsid w:val="0E5B4877"/>
    <w:rsid w:val="0E633F33"/>
    <w:rsid w:val="0E636784"/>
    <w:rsid w:val="0E73034D"/>
    <w:rsid w:val="0E855450"/>
    <w:rsid w:val="0E875C90"/>
    <w:rsid w:val="0E9D0B5F"/>
    <w:rsid w:val="0EB15A97"/>
    <w:rsid w:val="0ED66951"/>
    <w:rsid w:val="0EE02FCE"/>
    <w:rsid w:val="0EED3041"/>
    <w:rsid w:val="0EF3635A"/>
    <w:rsid w:val="0F106C14"/>
    <w:rsid w:val="0F13775A"/>
    <w:rsid w:val="0F1975B3"/>
    <w:rsid w:val="0F277D6F"/>
    <w:rsid w:val="0F2B06F9"/>
    <w:rsid w:val="0F2E3AAB"/>
    <w:rsid w:val="0F39623B"/>
    <w:rsid w:val="0F5F45FE"/>
    <w:rsid w:val="0F6045A7"/>
    <w:rsid w:val="0F624CAF"/>
    <w:rsid w:val="0F6B3808"/>
    <w:rsid w:val="0F71021F"/>
    <w:rsid w:val="0F803E6A"/>
    <w:rsid w:val="0F810D45"/>
    <w:rsid w:val="0F844B7D"/>
    <w:rsid w:val="0F895414"/>
    <w:rsid w:val="0F9A112B"/>
    <w:rsid w:val="0F9C3946"/>
    <w:rsid w:val="0FAD2250"/>
    <w:rsid w:val="0FB3423F"/>
    <w:rsid w:val="0FB85C7A"/>
    <w:rsid w:val="0FBD0BCD"/>
    <w:rsid w:val="0FBF64FF"/>
    <w:rsid w:val="0FC07CC2"/>
    <w:rsid w:val="0FC946F0"/>
    <w:rsid w:val="0FEE7229"/>
    <w:rsid w:val="0FF25041"/>
    <w:rsid w:val="100717CE"/>
    <w:rsid w:val="10074A29"/>
    <w:rsid w:val="1009526C"/>
    <w:rsid w:val="10194F62"/>
    <w:rsid w:val="10206139"/>
    <w:rsid w:val="102B2AF3"/>
    <w:rsid w:val="10341E1C"/>
    <w:rsid w:val="103C2486"/>
    <w:rsid w:val="10425228"/>
    <w:rsid w:val="10530AC2"/>
    <w:rsid w:val="10662B58"/>
    <w:rsid w:val="106D2F64"/>
    <w:rsid w:val="10700AF4"/>
    <w:rsid w:val="10722E04"/>
    <w:rsid w:val="10735CD5"/>
    <w:rsid w:val="107514F4"/>
    <w:rsid w:val="10831E63"/>
    <w:rsid w:val="10890758"/>
    <w:rsid w:val="10B63710"/>
    <w:rsid w:val="10BB243E"/>
    <w:rsid w:val="10BE2E9B"/>
    <w:rsid w:val="10BE53E2"/>
    <w:rsid w:val="10CC37C1"/>
    <w:rsid w:val="10CC3C3F"/>
    <w:rsid w:val="10EC151B"/>
    <w:rsid w:val="10F10820"/>
    <w:rsid w:val="10F14012"/>
    <w:rsid w:val="10F1501F"/>
    <w:rsid w:val="10F91DAD"/>
    <w:rsid w:val="11072A94"/>
    <w:rsid w:val="110864A9"/>
    <w:rsid w:val="110B5F4A"/>
    <w:rsid w:val="111B36D1"/>
    <w:rsid w:val="111C2F7A"/>
    <w:rsid w:val="112A22DF"/>
    <w:rsid w:val="11332B9C"/>
    <w:rsid w:val="11355DD4"/>
    <w:rsid w:val="114D5847"/>
    <w:rsid w:val="1159495A"/>
    <w:rsid w:val="11665CA1"/>
    <w:rsid w:val="116A5BCB"/>
    <w:rsid w:val="11750FF8"/>
    <w:rsid w:val="11792A40"/>
    <w:rsid w:val="117F77DD"/>
    <w:rsid w:val="11823A65"/>
    <w:rsid w:val="11B147AE"/>
    <w:rsid w:val="11B36344"/>
    <w:rsid w:val="11BA7D85"/>
    <w:rsid w:val="11BB35A3"/>
    <w:rsid w:val="11BF5F25"/>
    <w:rsid w:val="11C27BDE"/>
    <w:rsid w:val="11C36581"/>
    <w:rsid w:val="11CD7FE3"/>
    <w:rsid w:val="11EB1D9A"/>
    <w:rsid w:val="11F03528"/>
    <w:rsid w:val="11F17385"/>
    <w:rsid w:val="11F32C2A"/>
    <w:rsid w:val="11F7111E"/>
    <w:rsid w:val="120050C1"/>
    <w:rsid w:val="120314AE"/>
    <w:rsid w:val="120978B9"/>
    <w:rsid w:val="120A2F5E"/>
    <w:rsid w:val="12105979"/>
    <w:rsid w:val="1215719B"/>
    <w:rsid w:val="121744E1"/>
    <w:rsid w:val="123B757E"/>
    <w:rsid w:val="12425BDD"/>
    <w:rsid w:val="124B27E2"/>
    <w:rsid w:val="12576623"/>
    <w:rsid w:val="125C0BBE"/>
    <w:rsid w:val="126828A1"/>
    <w:rsid w:val="12754FC5"/>
    <w:rsid w:val="128738AA"/>
    <w:rsid w:val="129C3CE3"/>
    <w:rsid w:val="129E11D6"/>
    <w:rsid w:val="12BB58E4"/>
    <w:rsid w:val="12BB7219"/>
    <w:rsid w:val="12C30C3D"/>
    <w:rsid w:val="12C77CAD"/>
    <w:rsid w:val="12D22468"/>
    <w:rsid w:val="12D76496"/>
    <w:rsid w:val="12D77599"/>
    <w:rsid w:val="12D84B9C"/>
    <w:rsid w:val="1313638B"/>
    <w:rsid w:val="13156C14"/>
    <w:rsid w:val="131D659F"/>
    <w:rsid w:val="131E1D64"/>
    <w:rsid w:val="133D42C9"/>
    <w:rsid w:val="13417D36"/>
    <w:rsid w:val="1356385F"/>
    <w:rsid w:val="13570330"/>
    <w:rsid w:val="135B2C24"/>
    <w:rsid w:val="135F64D1"/>
    <w:rsid w:val="13616DDA"/>
    <w:rsid w:val="136F74EC"/>
    <w:rsid w:val="13893C35"/>
    <w:rsid w:val="13951726"/>
    <w:rsid w:val="13AF3B89"/>
    <w:rsid w:val="13B5663B"/>
    <w:rsid w:val="13B84D10"/>
    <w:rsid w:val="13C1778D"/>
    <w:rsid w:val="13D053C0"/>
    <w:rsid w:val="13D824C6"/>
    <w:rsid w:val="13EE56E2"/>
    <w:rsid w:val="13F0296C"/>
    <w:rsid w:val="14033D19"/>
    <w:rsid w:val="14045DDC"/>
    <w:rsid w:val="14054576"/>
    <w:rsid w:val="14072DAB"/>
    <w:rsid w:val="140E7C96"/>
    <w:rsid w:val="1410477D"/>
    <w:rsid w:val="14182B58"/>
    <w:rsid w:val="142F269A"/>
    <w:rsid w:val="14396509"/>
    <w:rsid w:val="143C0CA7"/>
    <w:rsid w:val="14454BC9"/>
    <w:rsid w:val="1449256E"/>
    <w:rsid w:val="1456425F"/>
    <w:rsid w:val="14747CE7"/>
    <w:rsid w:val="147E4E1C"/>
    <w:rsid w:val="147F2243"/>
    <w:rsid w:val="148166BA"/>
    <w:rsid w:val="149A11A4"/>
    <w:rsid w:val="149C7D3E"/>
    <w:rsid w:val="14BB4E7B"/>
    <w:rsid w:val="14BB69F0"/>
    <w:rsid w:val="14C5766F"/>
    <w:rsid w:val="14D12353"/>
    <w:rsid w:val="14D94748"/>
    <w:rsid w:val="14DD0005"/>
    <w:rsid w:val="14DD2C3C"/>
    <w:rsid w:val="14E919A7"/>
    <w:rsid w:val="14F41582"/>
    <w:rsid w:val="14F612E8"/>
    <w:rsid w:val="14FE588D"/>
    <w:rsid w:val="15063063"/>
    <w:rsid w:val="150712B5"/>
    <w:rsid w:val="150B2ACC"/>
    <w:rsid w:val="150C310D"/>
    <w:rsid w:val="151F7737"/>
    <w:rsid w:val="15325D8B"/>
    <w:rsid w:val="15414D0D"/>
    <w:rsid w:val="1549179E"/>
    <w:rsid w:val="156A091C"/>
    <w:rsid w:val="1576041E"/>
    <w:rsid w:val="15796B62"/>
    <w:rsid w:val="1585667E"/>
    <w:rsid w:val="15935422"/>
    <w:rsid w:val="159B32CF"/>
    <w:rsid w:val="15A26971"/>
    <w:rsid w:val="15A31C16"/>
    <w:rsid w:val="15AA1C40"/>
    <w:rsid w:val="15BC7BE3"/>
    <w:rsid w:val="15BF56EC"/>
    <w:rsid w:val="15CD42E3"/>
    <w:rsid w:val="15D138AF"/>
    <w:rsid w:val="15D34E45"/>
    <w:rsid w:val="15D46F3B"/>
    <w:rsid w:val="15E06243"/>
    <w:rsid w:val="15E61AC9"/>
    <w:rsid w:val="15E62B52"/>
    <w:rsid w:val="15EA5C9E"/>
    <w:rsid w:val="15EB4373"/>
    <w:rsid w:val="15EC4FED"/>
    <w:rsid w:val="15F364F0"/>
    <w:rsid w:val="15F962ED"/>
    <w:rsid w:val="15FE270C"/>
    <w:rsid w:val="16087E1D"/>
    <w:rsid w:val="160A2CA1"/>
    <w:rsid w:val="160B0931"/>
    <w:rsid w:val="161162C0"/>
    <w:rsid w:val="161B1AED"/>
    <w:rsid w:val="16273291"/>
    <w:rsid w:val="162B2D81"/>
    <w:rsid w:val="163273DD"/>
    <w:rsid w:val="16507B29"/>
    <w:rsid w:val="165B1C0F"/>
    <w:rsid w:val="16642F59"/>
    <w:rsid w:val="166A494D"/>
    <w:rsid w:val="166B13D0"/>
    <w:rsid w:val="1670261E"/>
    <w:rsid w:val="16732457"/>
    <w:rsid w:val="1678175E"/>
    <w:rsid w:val="16794C16"/>
    <w:rsid w:val="168638F0"/>
    <w:rsid w:val="16881AEA"/>
    <w:rsid w:val="168F66FB"/>
    <w:rsid w:val="16935856"/>
    <w:rsid w:val="1697487D"/>
    <w:rsid w:val="16A96293"/>
    <w:rsid w:val="16AD3796"/>
    <w:rsid w:val="16B8078D"/>
    <w:rsid w:val="16BC2DB5"/>
    <w:rsid w:val="16DA0B4B"/>
    <w:rsid w:val="16E41182"/>
    <w:rsid w:val="16F413C5"/>
    <w:rsid w:val="16F86271"/>
    <w:rsid w:val="16FA66B9"/>
    <w:rsid w:val="16FD7144"/>
    <w:rsid w:val="17003ADA"/>
    <w:rsid w:val="1702304B"/>
    <w:rsid w:val="17176842"/>
    <w:rsid w:val="174D020A"/>
    <w:rsid w:val="17554DF7"/>
    <w:rsid w:val="175815F0"/>
    <w:rsid w:val="176B7CC8"/>
    <w:rsid w:val="17701D14"/>
    <w:rsid w:val="17735226"/>
    <w:rsid w:val="178645C6"/>
    <w:rsid w:val="178A2578"/>
    <w:rsid w:val="178C784F"/>
    <w:rsid w:val="17A10E21"/>
    <w:rsid w:val="17A428DE"/>
    <w:rsid w:val="17D631C0"/>
    <w:rsid w:val="17F066D6"/>
    <w:rsid w:val="17FD6C22"/>
    <w:rsid w:val="180B0DAD"/>
    <w:rsid w:val="180D083D"/>
    <w:rsid w:val="181A1D16"/>
    <w:rsid w:val="181A3069"/>
    <w:rsid w:val="181E11A7"/>
    <w:rsid w:val="181E7836"/>
    <w:rsid w:val="182160FD"/>
    <w:rsid w:val="18257C18"/>
    <w:rsid w:val="182A3CED"/>
    <w:rsid w:val="183F6B57"/>
    <w:rsid w:val="18460334"/>
    <w:rsid w:val="18550589"/>
    <w:rsid w:val="18554231"/>
    <w:rsid w:val="18601B0C"/>
    <w:rsid w:val="188C597E"/>
    <w:rsid w:val="18972082"/>
    <w:rsid w:val="189B3AC2"/>
    <w:rsid w:val="189F624C"/>
    <w:rsid w:val="18A137CE"/>
    <w:rsid w:val="18AC73E3"/>
    <w:rsid w:val="18BA03EC"/>
    <w:rsid w:val="18BD7417"/>
    <w:rsid w:val="18C05B68"/>
    <w:rsid w:val="18C82B09"/>
    <w:rsid w:val="18C921D5"/>
    <w:rsid w:val="18D44B3C"/>
    <w:rsid w:val="18E43AB3"/>
    <w:rsid w:val="18E87125"/>
    <w:rsid w:val="18FA529B"/>
    <w:rsid w:val="1900366C"/>
    <w:rsid w:val="19094ED0"/>
    <w:rsid w:val="191018E5"/>
    <w:rsid w:val="19107827"/>
    <w:rsid w:val="193A3A59"/>
    <w:rsid w:val="193A5A4D"/>
    <w:rsid w:val="193E060F"/>
    <w:rsid w:val="19461341"/>
    <w:rsid w:val="194C3D94"/>
    <w:rsid w:val="195E6FCA"/>
    <w:rsid w:val="1968609A"/>
    <w:rsid w:val="196C318C"/>
    <w:rsid w:val="196E7034"/>
    <w:rsid w:val="198F54A5"/>
    <w:rsid w:val="199753CE"/>
    <w:rsid w:val="199C5D44"/>
    <w:rsid w:val="19A63DBA"/>
    <w:rsid w:val="19AB4235"/>
    <w:rsid w:val="19BC4967"/>
    <w:rsid w:val="19BE67BA"/>
    <w:rsid w:val="19C94C2D"/>
    <w:rsid w:val="19DB2316"/>
    <w:rsid w:val="19DC3AAE"/>
    <w:rsid w:val="19DD75BC"/>
    <w:rsid w:val="19DD762B"/>
    <w:rsid w:val="19E22466"/>
    <w:rsid w:val="19E51499"/>
    <w:rsid w:val="19FB2A6A"/>
    <w:rsid w:val="1A081BF8"/>
    <w:rsid w:val="1A0A6A8E"/>
    <w:rsid w:val="1A1248BA"/>
    <w:rsid w:val="1A134258"/>
    <w:rsid w:val="1A163D48"/>
    <w:rsid w:val="1A1C66C0"/>
    <w:rsid w:val="1A2B5ED0"/>
    <w:rsid w:val="1A367F46"/>
    <w:rsid w:val="1A413935"/>
    <w:rsid w:val="1A42393B"/>
    <w:rsid w:val="1A424B3D"/>
    <w:rsid w:val="1A446D68"/>
    <w:rsid w:val="1A47372A"/>
    <w:rsid w:val="1A4E5072"/>
    <w:rsid w:val="1A512763"/>
    <w:rsid w:val="1A574E59"/>
    <w:rsid w:val="1A5D32EA"/>
    <w:rsid w:val="1A78055F"/>
    <w:rsid w:val="1A89276D"/>
    <w:rsid w:val="1A9133CF"/>
    <w:rsid w:val="1A9F3B3F"/>
    <w:rsid w:val="1AA83FBF"/>
    <w:rsid w:val="1AAD45DE"/>
    <w:rsid w:val="1AB10FBD"/>
    <w:rsid w:val="1AB321B3"/>
    <w:rsid w:val="1ABB276D"/>
    <w:rsid w:val="1ABD41C4"/>
    <w:rsid w:val="1ABE23FC"/>
    <w:rsid w:val="1AC137F1"/>
    <w:rsid w:val="1AC62D44"/>
    <w:rsid w:val="1AD03EF7"/>
    <w:rsid w:val="1AD80426"/>
    <w:rsid w:val="1ADB641B"/>
    <w:rsid w:val="1AE000E5"/>
    <w:rsid w:val="1AE16104"/>
    <w:rsid w:val="1AE36B06"/>
    <w:rsid w:val="1AF76ADC"/>
    <w:rsid w:val="1AFC4CEC"/>
    <w:rsid w:val="1B046F80"/>
    <w:rsid w:val="1B0C3064"/>
    <w:rsid w:val="1B0F0EC3"/>
    <w:rsid w:val="1B1D4C62"/>
    <w:rsid w:val="1B294925"/>
    <w:rsid w:val="1B3267B5"/>
    <w:rsid w:val="1B3643BB"/>
    <w:rsid w:val="1B40161D"/>
    <w:rsid w:val="1B416BA3"/>
    <w:rsid w:val="1B441859"/>
    <w:rsid w:val="1B5668F6"/>
    <w:rsid w:val="1B5F3199"/>
    <w:rsid w:val="1B631E7E"/>
    <w:rsid w:val="1B6606B1"/>
    <w:rsid w:val="1B661BFE"/>
    <w:rsid w:val="1B723200"/>
    <w:rsid w:val="1B7326D3"/>
    <w:rsid w:val="1B7B7BFE"/>
    <w:rsid w:val="1B814AD6"/>
    <w:rsid w:val="1B987ED5"/>
    <w:rsid w:val="1B9E2247"/>
    <w:rsid w:val="1BA65747"/>
    <w:rsid w:val="1BB6133F"/>
    <w:rsid w:val="1BB67141"/>
    <w:rsid w:val="1BCB46BE"/>
    <w:rsid w:val="1BCC3FDD"/>
    <w:rsid w:val="1BCD57AB"/>
    <w:rsid w:val="1BDB6FF7"/>
    <w:rsid w:val="1BE73A56"/>
    <w:rsid w:val="1BF32926"/>
    <w:rsid w:val="1BF347A8"/>
    <w:rsid w:val="1BF956CF"/>
    <w:rsid w:val="1BFF11C4"/>
    <w:rsid w:val="1C027956"/>
    <w:rsid w:val="1C055E22"/>
    <w:rsid w:val="1C33298F"/>
    <w:rsid w:val="1C3B7A96"/>
    <w:rsid w:val="1C533032"/>
    <w:rsid w:val="1C556DAA"/>
    <w:rsid w:val="1C5E7925"/>
    <w:rsid w:val="1C67088B"/>
    <w:rsid w:val="1C6A484E"/>
    <w:rsid w:val="1C834EDD"/>
    <w:rsid w:val="1C9F5A31"/>
    <w:rsid w:val="1CBA7EAD"/>
    <w:rsid w:val="1CBB5440"/>
    <w:rsid w:val="1CC21055"/>
    <w:rsid w:val="1CC96E50"/>
    <w:rsid w:val="1CCA0F08"/>
    <w:rsid w:val="1CD75A11"/>
    <w:rsid w:val="1CDB2F6B"/>
    <w:rsid w:val="1CDB5180"/>
    <w:rsid w:val="1CFD070F"/>
    <w:rsid w:val="1CFD3BA0"/>
    <w:rsid w:val="1D0D6154"/>
    <w:rsid w:val="1D105B16"/>
    <w:rsid w:val="1D166272"/>
    <w:rsid w:val="1D4C7622"/>
    <w:rsid w:val="1D5F6196"/>
    <w:rsid w:val="1D6132A5"/>
    <w:rsid w:val="1D631052"/>
    <w:rsid w:val="1D715D71"/>
    <w:rsid w:val="1D7768AC"/>
    <w:rsid w:val="1D7F39B2"/>
    <w:rsid w:val="1D8A21A3"/>
    <w:rsid w:val="1D8E56D5"/>
    <w:rsid w:val="1DA63635"/>
    <w:rsid w:val="1DAE6E1D"/>
    <w:rsid w:val="1DD64AED"/>
    <w:rsid w:val="1DD873DD"/>
    <w:rsid w:val="1DDB5524"/>
    <w:rsid w:val="1DF60F95"/>
    <w:rsid w:val="1DFB128B"/>
    <w:rsid w:val="1E124468"/>
    <w:rsid w:val="1E152994"/>
    <w:rsid w:val="1E1B5951"/>
    <w:rsid w:val="1E2C3B3A"/>
    <w:rsid w:val="1E3E561C"/>
    <w:rsid w:val="1E454E45"/>
    <w:rsid w:val="1E566E09"/>
    <w:rsid w:val="1E6022DC"/>
    <w:rsid w:val="1E636AB5"/>
    <w:rsid w:val="1E672AA3"/>
    <w:rsid w:val="1E6A6751"/>
    <w:rsid w:val="1E7A43DA"/>
    <w:rsid w:val="1E9D512E"/>
    <w:rsid w:val="1EA26D46"/>
    <w:rsid w:val="1EA4220E"/>
    <w:rsid w:val="1EA5569B"/>
    <w:rsid w:val="1EA702E2"/>
    <w:rsid w:val="1EAC112B"/>
    <w:rsid w:val="1ECE074D"/>
    <w:rsid w:val="1EDD6BE3"/>
    <w:rsid w:val="1EE96374"/>
    <w:rsid w:val="1EFC5B2A"/>
    <w:rsid w:val="1F0138E4"/>
    <w:rsid w:val="1F027D1E"/>
    <w:rsid w:val="1F105028"/>
    <w:rsid w:val="1F1D16D5"/>
    <w:rsid w:val="1F490097"/>
    <w:rsid w:val="1F5062A3"/>
    <w:rsid w:val="1F586B22"/>
    <w:rsid w:val="1F5E021B"/>
    <w:rsid w:val="1F6115C2"/>
    <w:rsid w:val="1F7C464D"/>
    <w:rsid w:val="1F8433F2"/>
    <w:rsid w:val="1F8A083B"/>
    <w:rsid w:val="1FB42490"/>
    <w:rsid w:val="1FB75938"/>
    <w:rsid w:val="1FBA10AC"/>
    <w:rsid w:val="1FC353BD"/>
    <w:rsid w:val="1FC73E16"/>
    <w:rsid w:val="1FCE25D6"/>
    <w:rsid w:val="1FE7539E"/>
    <w:rsid w:val="1FEF72DF"/>
    <w:rsid w:val="1FFD1FC8"/>
    <w:rsid w:val="20132FD0"/>
    <w:rsid w:val="201E1010"/>
    <w:rsid w:val="203D275A"/>
    <w:rsid w:val="203D4946"/>
    <w:rsid w:val="203E25A8"/>
    <w:rsid w:val="20586E69"/>
    <w:rsid w:val="20671BE0"/>
    <w:rsid w:val="2089319D"/>
    <w:rsid w:val="20963CB8"/>
    <w:rsid w:val="20A71322"/>
    <w:rsid w:val="20A81A1B"/>
    <w:rsid w:val="20A976C4"/>
    <w:rsid w:val="20B07FB6"/>
    <w:rsid w:val="20B646FB"/>
    <w:rsid w:val="20B65139"/>
    <w:rsid w:val="20BE5A7D"/>
    <w:rsid w:val="20DF30E6"/>
    <w:rsid w:val="20E04821"/>
    <w:rsid w:val="20F052F3"/>
    <w:rsid w:val="20F06D49"/>
    <w:rsid w:val="20F40595"/>
    <w:rsid w:val="20F4541A"/>
    <w:rsid w:val="20FF72E4"/>
    <w:rsid w:val="21084116"/>
    <w:rsid w:val="21112C99"/>
    <w:rsid w:val="21117208"/>
    <w:rsid w:val="211A6EB6"/>
    <w:rsid w:val="21231A5E"/>
    <w:rsid w:val="21240147"/>
    <w:rsid w:val="213351E0"/>
    <w:rsid w:val="213B74B1"/>
    <w:rsid w:val="213F760F"/>
    <w:rsid w:val="21422B05"/>
    <w:rsid w:val="2142418C"/>
    <w:rsid w:val="2143053B"/>
    <w:rsid w:val="21483506"/>
    <w:rsid w:val="214E7B20"/>
    <w:rsid w:val="215A2310"/>
    <w:rsid w:val="215A6369"/>
    <w:rsid w:val="215B4A32"/>
    <w:rsid w:val="215C636C"/>
    <w:rsid w:val="21613AFB"/>
    <w:rsid w:val="216A137E"/>
    <w:rsid w:val="216D09E5"/>
    <w:rsid w:val="216E59E8"/>
    <w:rsid w:val="21837F15"/>
    <w:rsid w:val="21897F1F"/>
    <w:rsid w:val="219263AA"/>
    <w:rsid w:val="2196690E"/>
    <w:rsid w:val="219A0DBB"/>
    <w:rsid w:val="21A1133B"/>
    <w:rsid w:val="21B33895"/>
    <w:rsid w:val="21B420FA"/>
    <w:rsid w:val="21C42F0E"/>
    <w:rsid w:val="21CC66F9"/>
    <w:rsid w:val="21D01BB1"/>
    <w:rsid w:val="21D40771"/>
    <w:rsid w:val="21D97B35"/>
    <w:rsid w:val="21DB2ACA"/>
    <w:rsid w:val="21DD6EFA"/>
    <w:rsid w:val="21DE318A"/>
    <w:rsid w:val="21DF7CE0"/>
    <w:rsid w:val="21EF5B80"/>
    <w:rsid w:val="21F66939"/>
    <w:rsid w:val="21F92452"/>
    <w:rsid w:val="21FA4AE9"/>
    <w:rsid w:val="22002A9B"/>
    <w:rsid w:val="220865D7"/>
    <w:rsid w:val="220D3F9C"/>
    <w:rsid w:val="220E3A36"/>
    <w:rsid w:val="220E3CD9"/>
    <w:rsid w:val="22111D3D"/>
    <w:rsid w:val="221B6D16"/>
    <w:rsid w:val="222A7348"/>
    <w:rsid w:val="2237306C"/>
    <w:rsid w:val="2237485C"/>
    <w:rsid w:val="223879F8"/>
    <w:rsid w:val="223C5ACD"/>
    <w:rsid w:val="225245D1"/>
    <w:rsid w:val="22576990"/>
    <w:rsid w:val="225D014A"/>
    <w:rsid w:val="225E1FA6"/>
    <w:rsid w:val="22682C67"/>
    <w:rsid w:val="22840B1C"/>
    <w:rsid w:val="22910A28"/>
    <w:rsid w:val="22A03C18"/>
    <w:rsid w:val="22B314F4"/>
    <w:rsid w:val="22B365D8"/>
    <w:rsid w:val="22C3033C"/>
    <w:rsid w:val="22E1068C"/>
    <w:rsid w:val="22E40E0B"/>
    <w:rsid w:val="22EC6DBA"/>
    <w:rsid w:val="22F4594F"/>
    <w:rsid w:val="22F47480"/>
    <w:rsid w:val="22F56BF1"/>
    <w:rsid w:val="22FB4CC4"/>
    <w:rsid w:val="23183A05"/>
    <w:rsid w:val="231A62A1"/>
    <w:rsid w:val="231F4C56"/>
    <w:rsid w:val="23244DE0"/>
    <w:rsid w:val="232C638A"/>
    <w:rsid w:val="232E5C5F"/>
    <w:rsid w:val="23340318"/>
    <w:rsid w:val="23341541"/>
    <w:rsid w:val="23377EE9"/>
    <w:rsid w:val="233D40F4"/>
    <w:rsid w:val="23455162"/>
    <w:rsid w:val="234556BE"/>
    <w:rsid w:val="234821BF"/>
    <w:rsid w:val="234F2198"/>
    <w:rsid w:val="23502079"/>
    <w:rsid w:val="235A2061"/>
    <w:rsid w:val="2362733C"/>
    <w:rsid w:val="236478D2"/>
    <w:rsid w:val="23666A4A"/>
    <w:rsid w:val="236740B4"/>
    <w:rsid w:val="236E24FF"/>
    <w:rsid w:val="23706277"/>
    <w:rsid w:val="2378337E"/>
    <w:rsid w:val="237869E8"/>
    <w:rsid w:val="23957A8C"/>
    <w:rsid w:val="23A30723"/>
    <w:rsid w:val="23A4363C"/>
    <w:rsid w:val="23AC3027"/>
    <w:rsid w:val="23B07B45"/>
    <w:rsid w:val="23DE1C48"/>
    <w:rsid w:val="23DF164F"/>
    <w:rsid w:val="23E34626"/>
    <w:rsid w:val="23E629DD"/>
    <w:rsid w:val="23EB4C20"/>
    <w:rsid w:val="23EB5E29"/>
    <w:rsid w:val="23F301B6"/>
    <w:rsid w:val="23FC1649"/>
    <w:rsid w:val="240210CD"/>
    <w:rsid w:val="240C11A2"/>
    <w:rsid w:val="2418071C"/>
    <w:rsid w:val="244A20CF"/>
    <w:rsid w:val="244D480A"/>
    <w:rsid w:val="24596D0B"/>
    <w:rsid w:val="24687785"/>
    <w:rsid w:val="246B7FBD"/>
    <w:rsid w:val="246F4816"/>
    <w:rsid w:val="2472601F"/>
    <w:rsid w:val="247C6E9E"/>
    <w:rsid w:val="24813AF8"/>
    <w:rsid w:val="248876DE"/>
    <w:rsid w:val="248D4C07"/>
    <w:rsid w:val="24983240"/>
    <w:rsid w:val="249C74BF"/>
    <w:rsid w:val="249D611B"/>
    <w:rsid w:val="249E3616"/>
    <w:rsid w:val="24B93A08"/>
    <w:rsid w:val="24BF09F7"/>
    <w:rsid w:val="24E707BB"/>
    <w:rsid w:val="24E84DAB"/>
    <w:rsid w:val="24F1163A"/>
    <w:rsid w:val="250167DD"/>
    <w:rsid w:val="25030F30"/>
    <w:rsid w:val="250971A1"/>
    <w:rsid w:val="25113A8A"/>
    <w:rsid w:val="251271F3"/>
    <w:rsid w:val="25201F1F"/>
    <w:rsid w:val="252D53FE"/>
    <w:rsid w:val="252E0FFB"/>
    <w:rsid w:val="25345930"/>
    <w:rsid w:val="253F02DC"/>
    <w:rsid w:val="25496D80"/>
    <w:rsid w:val="2550492B"/>
    <w:rsid w:val="255741A9"/>
    <w:rsid w:val="2557550C"/>
    <w:rsid w:val="256B319A"/>
    <w:rsid w:val="25701AFB"/>
    <w:rsid w:val="25713E4A"/>
    <w:rsid w:val="25740DD4"/>
    <w:rsid w:val="25897AC4"/>
    <w:rsid w:val="25920E70"/>
    <w:rsid w:val="25925DF2"/>
    <w:rsid w:val="25A472F5"/>
    <w:rsid w:val="25A501B3"/>
    <w:rsid w:val="25A70833"/>
    <w:rsid w:val="25AD1F17"/>
    <w:rsid w:val="25B11ED4"/>
    <w:rsid w:val="25CE19A6"/>
    <w:rsid w:val="25D0283B"/>
    <w:rsid w:val="25D863F3"/>
    <w:rsid w:val="25DA20CE"/>
    <w:rsid w:val="25DE6091"/>
    <w:rsid w:val="25EC2D81"/>
    <w:rsid w:val="25EC3BAF"/>
    <w:rsid w:val="25F8725D"/>
    <w:rsid w:val="25FF7D86"/>
    <w:rsid w:val="26165EB3"/>
    <w:rsid w:val="261B3FEB"/>
    <w:rsid w:val="261E6184"/>
    <w:rsid w:val="2636234C"/>
    <w:rsid w:val="26363CE5"/>
    <w:rsid w:val="2641214D"/>
    <w:rsid w:val="264A194A"/>
    <w:rsid w:val="264B320F"/>
    <w:rsid w:val="264D28A0"/>
    <w:rsid w:val="26543C2E"/>
    <w:rsid w:val="26562DBD"/>
    <w:rsid w:val="266A16A4"/>
    <w:rsid w:val="266A61F6"/>
    <w:rsid w:val="26797B39"/>
    <w:rsid w:val="267B456A"/>
    <w:rsid w:val="267B6EBB"/>
    <w:rsid w:val="267E6EFD"/>
    <w:rsid w:val="268730DC"/>
    <w:rsid w:val="269F378A"/>
    <w:rsid w:val="26B82895"/>
    <w:rsid w:val="26C97830"/>
    <w:rsid w:val="26D1527F"/>
    <w:rsid w:val="26DF6123"/>
    <w:rsid w:val="26E119EC"/>
    <w:rsid w:val="26E50C79"/>
    <w:rsid w:val="26EA00EF"/>
    <w:rsid w:val="26F53206"/>
    <w:rsid w:val="26F7280B"/>
    <w:rsid w:val="26FD2518"/>
    <w:rsid w:val="27021EC3"/>
    <w:rsid w:val="270311B0"/>
    <w:rsid w:val="270777E9"/>
    <w:rsid w:val="270C6280"/>
    <w:rsid w:val="27107106"/>
    <w:rsid w:val="271D63BB"/>
    <w:rsid w:val="2732607D"/>
    <w:rsid w:val="27440230"/>
    <w:rsid w:val="27490A16"/>
    <w:rsid w:val="274E4B21"/>
    <w:rsid w:val="275F5C6C"/>
    <w:rsid w:val="27603167"/>
    <w:rsid w:val="27606603"/>
    <w:rsid w:val="27633532"/>
    <w:rsid w:val="276C144B"/>
    <w:rsid w:val="276F6846"/>
    <w:rsid w:val="277057A2"/>
    <w:rsid w:val="27707845"/>
    <w:rsid w:val="278766B8"/>
    <w:rsid w:val="27A44741"/>
    <w:rsid w:val="27B674D4"/>
    <w:rsid w:val="27C85316"/>
    <w:rsid w:val="27E90006"/>
    <w:rsid w:val="27F76F67"/>
    <w:rsid w:val="28014A38"/>
    <w:rsid w:val="28042D99"/>
    <w:rsid w:val="280B1DEF"/>
    <w:rsid w:val="280E7061"/>
    <w:rsid w:val="28125499"/>
    <w:rsid w:val="28150BEE"/>
    <w:rsid w:val="281C4B81"/>
    <w:rsid w:val="281E6148"/>
    <w:rsid w:val="281F64BE"/>
    <w:rsid w:val="282B1B37"/>
    <w:rsid w:val="282E1C8F"/>
    <w:rsid w:val="2836057F"/>
    <w:rsid w:val="284C110C"/>
    <w:rsid w:val="28500425"/>
    <w:rsid w:val="285169E0"/>
    <w:rsid w:val="2852197C"/>
    <w:rsid w:val="285A5D25"/>
    <w:rsid w:val="28645438"/>
    <w:rsid w:val="287F1A9B"/>
    <w:rsid w:val="2886670B"/>
    <w:rsid w:val="288E0F4E"/>
    <w:rsid w:val="2890367F"/>
    <w:rsid w:val="28991DCC"/>
    <w:rsid w:val="289E5A64"/>
    <w:rsid w:val="28AC5FA3"/>
    <w:rsid w:val="28B12526"/>
    <w:rsid w:val="28B14731"/>
    <w:rsid w:val="28BB0820"/>
    <w:rsid w:val="28BC1F5F"/>
    <w:rsid w:val="28C0166B"/>
    <w:rsid w:val="28C27155"/>
    <w:rsid w:val="28C466CF"/>
    <w:rsid w:val="28C606E7"/>
    <w:rsid w:val="28D21782"/>
    <w:rsid w:val="28D379D0"/>
    <w:rsid w:val="28D64DCE"/>
    <w:rsid w:val="28E07D14"/>
    <w:rsid w:val="29051EEC"/>
    <w:rsid w:val="29080D00"/>
    <w:rsid w:val="292024ED"/>
    <w:rsid w:val="29206EB8"/>
    <w:rsid w:val="292A6EC8"/>
    <w:rsid w:val="293E70FE"/>
    <w:rsid w:val="294862B4"/>
    <w:rsid w:val="294A198E"/>
    <w:rsid w:val="294A3252"/>
    <w:rsid w:val="29551750"/>
    <w:rsid w:val="29595666"/>
    <w:rsid w:val="296126FC"/>
    <w:rsid w:val="29686427"/>
    <w:rsid w:val="296C030D"/>
    <w:rsid w:val="296E4909"/>
    <w:rsid w:val="29802F8C"/>
    <w:rsid w:val="29863F4A"/>
    <w:rsid w:val="29874881"/>
    <w:rsid w:val="29C65F27"/>
    <w:rsid w:val="29CE5AA6"/>
    <w:rsid w:val="29D25CB9"/>
    <w:rsid w:val="29E1525E"/>
    <w:rsid w:val="29E325E0"/>
    <w:rsid w:val="29E452C9"/>
    <w:rsid w:val="2A0A3A1A"/>
    <w:rsid w:val="2A0F4EA8"/>
    <w:rsid w:val="2A133E00"/>
    <w:rsid w:val="2A135E82"/>
    <w:rsid w:val="2A2C49D8"/>
    <w:rsid w:val="2A383867"/>
    <w:rsid w:val="2A3A7BC7"/>
    <w:rsid w:val="2A452503"/>
    <w:rsid w:val="2A595DA8"/>
    <w:rsid w:val="2A5A558B"/>
    <w:rsid w:val="2A5C6D46"/>
    <w:rsid w:val="2A603CAB"/>
    <w:rsid w:val="2A627FD1"/>
    <w:rsid w:val="2A64640A"/>
    <w:rsid w:val="2A69296A"/>
    <w:rsid w:val="2A726D79"/>
    <w:rsid w:val="2A7A0DCF"/>
    <w:rsid w:val="2A81734B"/>
    <w:rsid w:val="2A880B33"/>
    <w:rsid w:val="2A97058D"/>
    <w:rsid w:val="2AA4758A"/>
    <w:rsid w:val="2AA9366A"/>
    <w:rsid w:val="2AAD517A"/>
    <w:rsid w:val="2ABF40C1"/>
    <w:rsid w:val="2AC50F25"/>
    <w:rsid w:val="2AC5337B"/>
    <w:rsid w:val="2ACC4C42"/>
    <w:rsid w:val="2ACE1AD5"/>
    <w:rsid w:val="2AD435FD"/>
    <w:rsid w:val="2AE21E19"/>
    <w:rsid w:val="2AE522A0"/>
    <w:rsid w:val="2AE8703B"/>
    <w:rsid w:val="2AEC0799"/>
    <w:rsid w:val="2AEC3DD7"/>
    <w:rsid w:val="2AEE5A52"/>
    <w:rsid w:val="2AF47959"/>
    <w:rsid w:val="2B090535"/>
    <w:rsid w:val="2B0B5615"/>
    <w:rsid w:val="2B147859"/>
    <w:rsid w:val="2B201700"/>
    <w:rsid w:val="2B227D8A"/>
    <w:rsid w:val="2B285F4B"/>
    <w:rsid w:val="2B325796"/>
    <w:rsid w:val="2B4306FE"/>
    <w:rsid w:val="2B8E784D"/>
    <w:rsid w:val="2B905C3C"/>
    <w:rsid w:val="2B947C8F"/>
    <w:rsid w:val="2B9920E3"/>
    <w:rsid w:val="2B9C3C6C"/>
    <w:rsid w:val="2BA936A8"/>
    <w:rsid w:val="2BC0130D"/>
    <w:rsid w:val="2BC80D88"/>
    <w:rsid w:val="2BCA56C6"/>
    <w:rsid w:val="2BCA6156"/>
    <w:rsid w:val="2BD16716"/>
    <w:rsid w:val="2BD60D0D"/>
    <w:rsid w:val="2BE87056"/>
    <w:rsid w:val="2C1B5E9F"/>
    <w:rsid w:val="2C2206FA"/>
    <w:rsid w:val="2C315A5A"/>
    <w:rsid w:val="2C385DA0"/>
    <w:rsid w:val="2C471B3F"/>
    <w:rsid w:val="2C4B1C25"/>
    <w:rsid w:val="2C501417"/>
    <w:rsid w:val="2C5B6D26"/>
    <w:rsid w:val="2C681392"/>
    <w:rsid w:val="2C6E531E"/>
    <w:rsid w:val="2C9E3E55"/>
    <w:rsid w:val="2CAD4098"/>
    <w:rsid w:val="2CAE7E10"/>
    <w:rsid w:val="2CB647FC"/>
    <w:rsid w:val="2CB96525"/>
    <w:rsid w:val="2CD604A5"/>
    <w:rsid w:val="2CED6B8B"/>
    <w:rsid w:val="2CEE68A3"/>
    <w:rsid w:val="2D014492"/>
    <w:rsid w:val="2D041130"/>
    <w:rsid w:val="2D0A3299"/>
    <w:rsid w:val="2D183B14"/>
    <w:rsid w:val="2D205954"/>
    <w:rsid w:val="2D4B565F"/>
    <w:rsid w:val="2D4C249A"/>
    <w:rsid w:val="2D542766"/>
    <w:rsid w:val="2D776454"/>
    <w:rsid w:val="2D7A1514"/>
    <w:rsid w:val="2D9E56F5"/>
    <w:rsid w:val="2DA24CC5"/>
    <w:rsid w:val="2DA878A2"/>
    <w:rsid w:val="2DBB27E5"/>
    <w:rsid w:val="2DBE65ED"/>
    <w:rsid w:val="2DD37B2E"/>
    <w:rsid w:val="2DD520F4"/>
    <w:rsid w:val="2DDD199C"/>
    <w:rsid w:val="2DE03FF9"/>
    <w:rsid w:val="2DFA351F"/>
    <w:rsid w:val="2E0F32E3"/>
    <w:rsid w:val="2E105382"/>
    <w:rsid w:val="2E151143"/>
    <w:rsid w:val="2E285B3C"/>
    <w:rsid w:val="2E2C36E3"/>
    <w:rsid w:val="2E440213"/>
    <w:rsid w:val="2E483B77"/>
    <w:rsid w:val="2E496043"/>
    <w:rsid w:val="2E532A1D"/>
    <w:rsid w:val="2E5E04E8"/>
    <w:rsid w:val="2E667F96"/>
    <w:rsid w:val="2E6C1D31"/>
    <w:rsid w:val="2E7275F3"/>
    <w:rsid w:val="2E8226AB"/>
    <w:rsid w:val="2E864BDC"/>
    <w:rsid w:val="2E9A064C"/>
    <w:rsid w:val="2EA14EC6"/>
    <w:rsid w:val="2EAB4607"/>
    <w:rsid w:val="2EB37960"/>
    <w:rsid w:val="2EBC5C67"/>
    <w:rsid w:val="2ECD0A22"/>
    <w:rsid w:val="2ED174C9"/>
    <w:rsid w:val="2ED350EC"/>
    <w:rsid w:val="2EE30245"/>
    <w:rsid w:val="2EE947D3"/>
    <w:rsid w:val="2EF15579"/>
    <w:rsid w:val="2EF3316E"/>
    <w:rsid w:val="2EF835C5"/>
    <w:rsid w:val="2F063F34"/>
    <w:rsid w:val="2F0F4910"/>
    <w:rsid w:val="2F1C7B2E"/>
    <w:rsid w:val="2F2443BA"/>
    <w:rsid w:val="2F246E35"/>
    <w:rsid w:val="2F2F5238"/>
    <w:rsid w:val="2F3E6FC0"/>
    <w:rsid w:val="2F4969D0"/>
    <w:rsid w:val="2F5049F4"/>
    <w:rsid w:val="2F542EF1"/>
    <w:rsid w:val="2F740E9D"/>
    <w:rsid w:val="2F900E7D"/>
    <w:rsid w:val="2FA958B5"/>
    <w:rsid w:val="2FB14AB3"/>
    <w:rsid w:val="2FB165D9"/>
    <w:rsid w:val="2FBC0128"/>
    <w:rsid w:val="2FBD008D"/>
    <w:rsid w:val="2FD065E6"/>
    <w:rsid w:val="2FD1009E"/>
    <w:rsid w:val="2FD31EA1"/>
    <w:rsid w:val="2FD933F6"/>
    <w:rsid w:val="2FD96870"/>
    <w:rsid w:val="2FDD0063"/>
    <w:rsid w:val="2FE53B49"/>
    <w:rsid w:val="2FF5365F"/>
    <w:rsid w:val="300761B5"/>
    <w:rsid w:val="300F5276"/>
    <w:rsid w:val="30386386"/>
    <w:rsid w:val="30413CBB"/>
    <w:rsid w:val="30422535"/>
    <w:rsid w:val="30580BC9"/>
    <w:rsid w:val="305E1890"/>
    <w:rsid w:val="30696528"/>
    <w:rsid w:val="30810E52"/>
    <w:rsid w:val="308570DA"/>
    <w:rsid w:val="30896E24"/>
    <w:rsid w:val="30921E54"/>
    <w:rsid w:val="30922964"/>
    <w:rsid w:val="309314BF"/>
    <w:rsid w:val="30963095"/>
    <w:rsid w:val="30967C83"/>
    <w:rsid w:val="30A8080E"/>
    <w:rsid w:val="30AC1D2A"/>
    <w:rsid w:val="30C50C21"/>
    <w:rsid w:val="30D361A6"/>
    <w:rsid w:val="30D631FF"/>
    <w:rsid w:val="30DC25FD"/>
    <w:rsid w:val="30FF0BA4"/>
    <w:rsid w:val="31142105"/>
    <w:rsid w:val="311E2ED7"/>
    <w:rsid w:val="312B7DDB"/>
    <w:rsid w:val="31314109"/>
    <w:rsid w:val="313466E4"/>
    <w:rsid w:val="3147770C"/>
    <w:rsid w:val="315619EE"/>
    <w:rsid w:val="315C449C"/>
    <w:rsid w:val="31626414"/>
    <w:rsid w:val="31633586"/>
    <w:rsid w:val="316C536B"/>
    <w:rsid w:val="31771119"/>
    <w:rsid w:val="31800645"/>
    <w:rsid w:val="318C51E6"/>
    <w:rsid w:val="31A16195"/>
    <w:rsid w:val="31A55C86"/>
    <w:rsid w:val="31AB5C02"/>
    <w:rsid w:val="31B82709"/>
    <w:rsid w:val="31C0661C"/>
    <w:rsid w:val="31C34F5A"/>
    <w:rsid w:val="31D05482"/>
    <w:rsid w:val="31D10829"/>
    <w:rsid w:val="31FE605D"/>
    <w:rsid w:val="32205943"/>
    <w:rsid w:val="32233B47"/>
    <w:rsid w:val="322A6282"/>
    <w:rsid w:val="323C5A5D"/>
    <w:rsid w:val="32400B34"/>
    <w:rsid w:val="32490EC4"/>
    <w:rsid w:val="324B7DB0"/>
    <w:rsid w:val="325356E2"/>
    <w:rsid w:val="326D0359"/>
    <w:rsid w:val="327953C5"/>
    <w:rsid w:val="327D2A31"/>
    <w:rsid w:val="32843AED"/>
    <w:rsid w:val="328624F4"/>
    <w:rsid w:val="328829F6"/>
    <w:rsid w:val="328E671A"/>
    <w:rsid w:val="32936105"/>
    <w:rsid w:val="329A3AA9"/>
    <w:rsid w:val="329E6876"/>
    <w:rsid w:val="329F4374"/>
    <w:rsid w:val="32A45F3D"/>
    <w:rsid w:val="32A96E69"/>
    <w:rsid w:val="32AA2E28"/>
    <w:rsid w:val="32B81D1B"/>
    <w:rsid w:val="32C1089D"/>
    <w:rsid w:val="32C53F9D"/>
    <w:rsid w:val="32C91500"/>
    <w:rsid w:val="32D514BA"/>
    <w:rsid w:val="32ED63F6"/>
    <w:rsid w:val="32EE6DE0"/>
    <w:rsid w:val="32F02476"/>
    <w:rsid w:val="32F6081D"/>
    <w:rsid w:val="32FA1CAD"/>
    <w:rsid w:val="33007CD7"/>
    <w:rsid w:val="3305724B"/>
    <w:rsid w:val="330B6309"/>
    <w:rsid w:val="332549BB"/>
    <w:rsid w:val="33277DFB"/>
    <w:rsid w:val="333015F2"/>
    <w:rsid w:val="33331FD2"/>
    <w:rsid w:val="333E7D5A"/>
    <w:rsid w:val="334B6320"/>
    <w:rsid w:val="33520A10"/>
    <w:rsid w:val="335356E2"/>
    <w:rsid w:val="3357195A"/>
    <w:rsid w:val="336C6F79"/>
    <w:rsid w:val="33742981"/>
    <w:rsid w:val="338418CB"/>
    <w:rsid w:val="33896868"/>
    <w:rsid w:val="339945EF"/>
    <w:rsid w:val="339F04B3"/>
    <w:rsid w:val="33A57478"/>
    <w:rsid w:val="33B674AA"/>
    <w:rsid w:val="33B73A4E"/>
    <w:rsid w:val="33BC3222"/>
    <w:rsid w:val="33C148CD"/>
    <w:rsid w:val="33D934D4"/>
    <w:rsid w:val="33E22E0A"/>
    <w:rsid w:val="33ED1E52"/>
    <w:rsid w:val="33ED2723"/>
    <w:rsid w:val="33F56325"/>
    <w:rsid w:val="33F86541"/>
    <w:rsid w:val="33FB393B"/>
    <w:rsid w:val="33FE2F6A"/>
    <w:rsid w:val="3404488E"/>
    <w:rsid w:val="340E07E5"/>
    <w:rsid w:val="341E27F0"/>
    <w:rsid w:val="341F2590"/>
    <w:rsid w:val="34235BF7"/>
    <w:rsid w:val="342B51F8"/>
    <w:rsid w:val="34336A5C"/>
    <w:rsid w:val="343934B5"/>
    <w:rsid w:val="34586FDF"/>
    <w:rsid w:val="345D59D2"/>
    <w:rsid w:val="345E575E"/>
    <w:rsid w:val="34731669"/>
    <w:rsid w:val="348C0A37"/>
    <w:rsid w:val="349F4C0E"/>
    <w:rsid w:val="349F6D81"/>
    <w:rsid w:val="34A12C36"/>
    <w:rsid w:val="34A20804"/>
    <w:rsid w:val="34B451A4"/>
    <w:rsid w:val="34C208FD"/>
    <w:rsid w:val="34C839CB"/>
    <w:rsid w:val="34D2366D"/>
    <w:rsid w:val="34E6186B"/>
    <w:rsid w:val="34EE2A12"/>
    <w:rsid w:val="34FC68E0"/>
    <w:rsid w:val="35033312"/>
    <w:rsid w:val="350B658A"/>
    <w:rsid w:val="35237882"/>
    <w:rsid w:val="352F10F5"/>
    <w:rsid w:val="353F1F4D"/>
    <w:rsid w:val="35492F00"/>
    <w:rsid w:val="354C1F00"/>
    <w:rsid w:val="355B0371"/>
    <w:rsid w:val="356D2E74"/>
    <w:rsid w:val="356E4EDF"/>
    <w:rsid w:val="35704205"/>
    <w:rsid w:val="357A11D7"/>
    <w:rsid w:val="358008EE"/>
    <w:rsid w:val="358C5FA8"/>
    <w:rsid w:val="359572F0"/>
    <w:rsid w:val="35B51669"/>
    <w:rsid w:val="35B85D6B"/>
    <w:rsid w:val="35C15DF1"/>
    <w:rsid w:val="35C217CC"/>
    <w:rsid w:val="35C41509"/>
    <w:rsid w:val="35C81F43"/>
    <w:rsid w:val="35D8494B"/>
    <w:rsid w:val="36074A7F"/>
    <w:rsid w:val="36251001"/>
    <w:rsid w:val="36291D94"/>
    <w:rsid w:val="362E7C33"/>
    <w:rsid w:val="36350E2F"/>
    <w:rsid w:val="363B2A91"/>
    <w:rsid w:val="36526850"/>
    <w:rsid w:val="365657A0"/>
    <w:rsid w:val="36661B87"/>
    <w:rsid w:val="36702E3B"/>
    <w:rsid w:val="36713338"/>
    <w:rsid w:val="367B6FB5"/>
    <w:rsid w:val="368C2F70"/>
    <w:rsid w:val="36923549"/>
    <w:rsid w:val="36935DFC"/>
    <w:rsid w:val="36963DEF"/>
    <w:rsid w:val="36AC3590"/>
    <w:rsid w:val="36AD2EE7"/>
    <w:rsid w:val="36B5185B"/>
    <w:rsid w:val="36B75FBF"/>
    <w:rsid w:val="36BD0C45"/>
    <w:rsid w:val="36C771F8"/>
    <w:rsid w:val="36CA1F14"/>
    <w:rsid w:val="36D76060"/>
    <w:rsid w:val="36D87CBE"/>
    <w:rsid w:val="36EE0CD9"/>
    <w:rsid w:val="36F86858"/>
    <w:rsid w:val="36FB4ACB"/>
    <w:rsid w:val="3702191C"/>
    <w:rsid w:val="370306A2"/>
    <w:rsid w:val="370943D4"/>
    <w:rsid w:val="370A211B"/>
    <w:rsid w:val="372E5DD5"/>
    <w:rsid w:val="375B6BE0"/>
    <w:rsid w:val="37613AD6"/>
    <w:rsid w:val="37613AFB"/>
    <w:rsid w:val="376366D8"/>
    <w:rsid w:val="37671DE8"/>
    <w:rsid w:val="3769794D"/>
    <w:rsid w:val="37726B1F"/>
    <w:rsid w:val="37800E73"/>
    <w:rsid w:val="37820A70"/>
    <w:rsid w:val="3782451C"/>
    <w:rsid w:val="37961D94"/>
    <w:rsid w:val="37A347F8"/>
    <w:rsid w:val="37A708AA"/>
    <w:rsid w:val="37C45D44"/>
    <w:rsid w:val="37D526F5"/>
    <w:rsid w:val="37DC0A89"/>
    <w:rsid w:val="37E00298"/>
    <w:rsid w:val="37E34E12"/>
    <w:rsid w:val="37F214F9"/>
    <w:rsid w:val="38031BD3"/>
    <w:rsid w:val="3807124C"/>
    <w:rsid w:val="38082ACA"/>
    <w:rsid w:val="380C626C"/>
    <w:rsid w:val="38125AA3"/>
    <w:rsid w:val="38132208"/>
    <w:rsid w:val="38237904"/>
    <w:rsid w:val="382471D8"/>
    <w:rsid w:val="382C4340"/>
    <w:rsid w:val="3841045F"/>
    <w:rsid w:val="38691C32"/>
    <w:rsid w:val="38892684"/>
    <w:rsid w:val="38A9714D"/>
    <w:rsid w:val="38B302F9"/>
    <w:rsid w:val="38BB18EB"/>
    <w:rsid w:val="38BF587F"/>
    <w:rsid w:val="38CD59E4"/>
    <w:rsid w:val="38CF22A9"/>
    <w:rsid w:val="38D46E50"/>
    <w:rsid w:val="38E0086B"/>
    <w:rsid w:val="38E31684"/>
    <w:rsid w:val="38E41831"/>
    <w:rsid w:val="38E452E6"/>
    <w:rsid w:val="38E92802"/>
    <w:rsid w:val="38EC6C60"/>
    <w:rsid w:val="38ED4A20"/>
    <w:rsid w:val="38F12CD3"/>
    <w:rsid w:val="38F94775"/>
    <w:rsid w:val="390C0E52"/>
    <w:rsid w:val="3914724D"/>
    <w:rsid w:val="3915672C"/>
    <w:rsid w:val="39164455"/>
    <w:rsid w:val="39186D3D"/>
    <w:rsid w:val="392037D3"/>
    <w:rsid w:val="392576AC"/>
    <w:rsid w:val="392971ED"/>
    <w:rsid w:val="39306DAB"/>
    <w:rsid w:val="39325651"/>
    <w:rsid w:val="393671C3"/>
    <w:rsid w:val="39423DBA"/>
    <w:rsid w:val="39471F3B"/>
    <w:rsid w:val="394B2DAA"/>
    <w:rsid w:val="394F7F66"/>
    <w:rsid w:val="395069BB"/>
    <w:rsid w:val="39534219"/>
    <w:rsid w:val="39685886"/>
    <w:rsid w:val="396D6DE6"/>
    <w:rsid w:val="396E7A88"/>
    <w:rsid w:val="397228F1"/>
    <w:rsid w:val="39765215"/>
    <w:rsid w:val="399431D3"/>
    <w:rsid w:val="39B43AB3"/>
    <w:rsid w:val="39BB5F1B"/>
    <w:rsid w:val="39C23602"/>
    <w:rsid w:val="39C944DB"/>
    <w:rsid w:val="39CD5D7A"/>
    <w:rsid w:val="39CE457C"/>
    <w:rsid w:val="39D2513E"/>
    <w:rsid w:val="39E8099F"/>
    <w:rsid w:val="39F67137"/>
    <w:rsid w:val="3A027391"/>
    <w:rsid w:val="3A085AC7"/>
    <w:rsid w:val="3A092B2A"/>
    <w:rsid w:val="3A0B1D1F"/>
    <w:rsid w:val="3A111FB4"/>
    <w:rsid w:val="3A1C285D"/>
    <w:rsid w:val="3A251FCA"/>
    <w:rsid w:val="3A2B1FCD"/>
    <w:rsid w:val="3A2C7D67"/>
    <w:rsid w:val="3A392F8C"/>
    <w:rsid w:val="3A3F696B"/>
    <w:rsid w:val="3A4C6469"/>
    <w:rsid w:val="3A526156"/>
    <w:rsid w:val="3A5C179B"/>
    <w:rsid w:val="3A646B1A"/>
    <w:rsid w:val="3A6A181A"/>
    <w:rsid w:val="3A726921"/>
    <w:rsid w:val="3A766B98"/>
    <w:rsid w:val="3A7C03B6"/>
    <w:rsid w:val="3A872856"/>
    <w:rsid w:val="3A9A32A8"/>
    <w:rsid w:val="3AB807D8"/>
    <w:rsid w:val="3ABD6D59"/>
    <w:rsid w:val="3AC04B6C"/>
    <w:rsid w:val="3AD43138"/>
    <w:rsid w:val="3AD4616F"/>
    <w:rsid w:val="3AE16CA3"/>
    <w:rsid w:val="3AF77A81"/>
    <w:rsid w:val="3B27770B"/>
    <w:rsid w:val="3B2A2D58"/>
    <w:rsid w:val="3B2B735C"/>
    <w:rsid w:val="3B3763D1"/>
    <w:rsid w:val="3B3F1349"/>
    <w:rsid w:val="3B4B164C"/>
    <w:rsid w:val="3B5A40FF"/>
    <w:rsid w:val="3B67587B"/>
    <w:rsid w:val="3B690E63"/>
    <w:rsid w:val="3B6A036B"/>
    <w:rsid w:val="3B6A0D13"/>
    <w:rsid w:val="3B77373B"/>
    <w:rsid w:val="3B794DC8"/>
    <w:rsid w:val="3B960F80"/>
    <w:rsid w:val="3B995F89"/>
    <w:rsid w:val="3BA05455"/>
    <w:rsid w:val="3BA174BE"/>
    <w:rsid w:val="3BA42B0A"/>
    <w:rsid w:val="3BAA4176"/>
    <w:rsid w:val="3BB16FD5"/>
    <w:rsid w:val="3BB6518A"/>
    <w:rsid w:val="3BB74EFE"/>
    <w:rsid w:val="3BBB72B6"/>
    <w:rsid w:val="3BBE5E38"/>
    <w:rsid w:val="3BBF3917"/>
    <w:rsid w:val="3BC56B33"/>
    <w:rsid w:val="3BC7316E"/>
    <w:rsid w:val="3BDD4120"/>
    <w:rsid w:val="3BE436AF"/>
    <w:rsid w:val="3BE65BB3"/>
    <w:rsid w:val="3BEF29CE"/>
    <w:rsid w:val="3BF32071"/>
    <w:rsid w:val="3C07274A"/>
    <w:rsid w:val="3C076D5A"/>
    <w:rsid w:val="3C08754E"/>
    <w:rsid w:val="3C1E0B0E"/>
    <w:rsid w:val="3C266591"/>
    <w:rsid w:val="3C2F01C9"/>
    <w:rsid w:val="3C2F6E1E"/>
    <w:rsid w:val="3C4F64BA"/>
    <w:rsid w:val="3C5F6A31"/>
    <w:rsid w:val="3C66605E"/>
    <w:rsid w:val="3C716C78"/>
    <w:rsid w:val="3C7466C5"/>
    <w:rsid w:val="3C963BEF"/>
    <w:rsid w:val="3C983039"/>
    <w:rsid w:val="3CA81EEA"/>
    <w:rsid w:val="3CAA23AF"/>
    <w:rsid w:val="3CAD3C40"/>
    <w:rsid w:val="3CB11D28"/>
    <w:rsid w:val="3CBD6DA1"/>
    <w:rsid w:val="3CBE47FD"/>
    <w:rsid w:val="3CC01BC6"/>
    <w:rsid w:val="3CCC0E6D"/>
    <w:rsid w:val="3CD66673"/>
    <w:rsid w:val="3CD869B6"/>
    <w:rsid w:val="3CDA245A"/>
    <w:rsid w:val="3CF55111"/>
    <w:rsid w:val="3D1B6DFC"/>
    <w:rsid w:val="3D1E06B7"/>
    <w:rsid w:val="3D2742AE"/>
    <w:rsid w:val="3D4E0930"/>
    <w:rsid w:val="3D54039C"/>
    <w:rsid w:val="3D631985"/>
    <w:rsid w:val="3D673EF7"/>
    <w:rsid w:val="3D792CA8"/>
    <w:rsid w:val="3DAB63D2"/>
    <w:rsid w:val="3DDD68F3"/>
    <w:rsid w:val="3DE0387A"/>
    <w:rsid w:val="3DE36C70"/>
    <w:rsid w:val="3DF13292"/>
    <w:rsid w:val="3E0B70AC"/>
    <w:rsid w:val="3E183728"/>
    <w:rsid w:val="3E187586"/>
    <w:rsid w:val="3E2B1553"/>
    <w:rsid w:val="3E364497"/>
    <w:rsid w:val="3E4413E0"/>
    <w:rsid w:val="3E4542E2"/>
    <w:rsid w:val="3E472EB0"/>
    <w:rsid w:val="3E4B4DF8"/>
    <w:rsid w:val="3E4F1453"/>
    <w:rsid w:val="3E504B0F"/>
    <w:rsid w:val="3E546A69"/>
    <w:rsid w:val="3E55748C"/>
    <w:rsid w:val="3E5959C4"/>
    <w:rsid w:val="3E5A1BA6"/>
    <w:rsid w:val="3E5E7F60"/>
    <w:rsid w:val="3E6D59D6"/>
    <w:rsid w:val="3E6F1333"/>
    <w:rsid w:val="3E75253C"/>
    <w:rsid w:val="3E8C5B53"/>
    <w:rsid w:val="3E8D61D1"/>
    <w:rsid w:val="3E8F4144"/>
    <w:rsid w:val="3E946FD9"/>
    <w:rsid w:val="3EA65572"/>
    <w:rsid w:val="3EA8452D"/>
    <w:rsid w:val="3EDA0523"/>
    <w:rsid w:val="3EDC4E06"/>
    <w:rsid w:val="3EDD32C5"/>
    <w:rsid w:val="3EE655C6"/>
    <w:rsid w:val="3EEB0A50"/>
    <w:rsid w:val="3EF677E2"/>
    <w:rsid w:val="3F0264C5"/>
    <w:rsid w:val="3F1D4970"/>
    <w:rsid w:val="3F211BE8"/>
    <w:rsid w:val="3F286E52"/>
    <w:rsid w:val="3F2C120B"/>
    <w:rsid w:val="3F2D2E17"/>
    <w:rsid w:val="3F2D72BA"/>
    <w:rsid w:val="3F2F493E"/>
    <w:rsid w:val="3F36616F"/>
    <w:rsid w:val="3F4A00E2"/>
    <w:rsid w:val="3F542A99"/>
    <w:rsid w:val="3F554689"/>
    <w:rsid w:val="3F580B2B"/>
    <w:rsid w:val="3F5A750A"/>
    <w:rsid w:val="3F5F2221"/>
    <w:rsid w:val="3F610607"/>
    <w:rsid w:val="3F6211A5"/>
    <w:rsid w:val="3F650773"/>
    <w:rsid w:val="3F656A54"/>
    <w:rsid w:val="3F6937B7"/>
    <w:rsid w:val="3F6E4727"/>
    <w:rsid w:val="3F7852B0"/>
    <w:rsid w:val="3F8C00C5"/>
    <w:rsid w:val="3F8E5FAB"/>
    <w:rsid w:val="3F9839EC"/>
    <w:rsid w:val="3F9B5FD2"/>
    <w:rsid w:val="3FB4123F"/>
    <w:rsid w:val="3FBC52EF"/>
    <w:rsid w:val="3FC05A3B"/>
    <w:rsid w:val="3FD03F41"/>
    <w:rsid w:val="3FEC53DD"/>
    <w:rsid w:val="3FED758E"/>
    <w:rsid w:val="401979A4"/>
    <w:rsid w:val="401A23B0"/>
    <w:rsid w:val="40210BCD"/>
    <w:rsid w:val="403501D5"/>
    <w:rsid w:val="40380851"/>
    <w:rsid w:val="4039150E"/>
    <w:rsid w:val="403B489C"/>
    <w:rsid w:val="40471BBA"/>
    <w:rsid w:val="40501344"/>
    <w:rsid w:val="405F69D3"/>
    <w:rsid w:val="4070498E"/>
    <w:rsid w:val="407A6407"/>
    <w:rsid w:val="407C20CA"/>
    <w:rsid w:val="40805BC6"/>
    <w:rsid w:val="409018AF"/>
    <w:rsid w:val="40907423"/>
    <w:rsid w:val="409F073B"/>
    <w:rsid w:val="40A33655"/>
    <w:rsid w:val="40A33702"/>
    <w:rsid w:val="40AB6CC9"/>
    <w:rsid w:val="40B17BEF"/>
    <w:rsid w:val="40BC5BC7"/>
    <w:rsid w:val="40DE261A"/>
    <w:rsid w:val="40E47132"/>
    <w:rsid w:val="40F47C00"/>
    <w:rsid w:val="40F55BB6"/>
    <w:rsid w:val="40FD2F79"/>
    <w:rsid w:val="40FE0F0E"/>
    <w:rsid w:val="40FE3730"/>
    <w:rsid w:val="410D0561"/>
    <w:rsid w:val="41102F64"/>
    <w:rsid w:val="41160EAF"/>
    <w:rsid w:val="41263DF8"/>
    <w:rsid w:val="412B15D8"/>
    <w:rsid w:val="412C782A"/>
    <w:rsid w:val="413E130B"/>
    <w:rsid w:val="41434CF3"/>
    <w:rsid w:val="41573808"/>
    <w:rsid w:val="415D38CF"/>
    <w:rsid w:val="4162442C"/>
    <w:rsid w:val="41684B13"/>
    <w:rsid w:val="417B430D"/>
    <w:rsid w:val="4187054E"/>
    <w:rsid w:val="418807D8"/>
    <w:rsid w:val="419158DF"/>
    <w:rsid w:val="41936B34"/>
    <w:rsid w:val="41984EBF"/>
    <w:rsid w:val="419B472B"/>
    <w:rsid w:val="419D4283"/>
    <w:rsid w:val="41A41BF8"/>
    <w:rsid w:val="41B94E35"/>
    <w:rsid w:val="41C6796C"/>
    <w:rsid w:val="41CC2DBB"/>
    <w:rsid w:val="41D318F7"/>
    <w:rsid w:val="41D91034"/>
    <w:rsid w:val="41F70138"/>
    <w:rsid w:val="4200449D"/>
    <w:rsid w:val="42081292"/>
    <w:rsid w:val="42084A18"/>
    <w:rsid w:val="4211054E"/>
    <w:rsid w:val="421A3B26"/>
    <w:rsid w:val="423A3BCC"/>
    <w:rsid w:val="423C3194"/>
    <w:rsid w:val="424E57D2"/>
    <w:rsid w:val="42522AD5"/>
    <w:rsid w:val="42620777"/>
    <w:rsid w:val="42631C34"/>
    <w:rsid w:val="426403DC"/>
    <w:rsid w:val="426E06AB"/>
    <w:rsid w:val="42750D5C"/>
    <w:rsid w:val="429A331F"/>
    <w:rsid w:val="429D6505"/>
    <w:rsid w:val="42A0682B"/>
    <w:rsid w:val="42A93E7C"/>
    <w:rsid w:val="42B26C49"/>
    <w:rsid w:val="42BD1154"/>
    <w:rsid w:val="42BD54CC"/>
    <w:rsid w:val="42C55A16"/>
    <w:rsid w:val="42CA3827"/>
    <w:rsid w:val="42D10A85"/>
    <w:rsid w:val="42D31C99"/>
    <w:rsid w:val="42E5528F"/>
    <w:rsid w:val="42EC0F24"/>
    <w:rsid w:val="42F71BAD"/>
    <w:rsid w:val="42FC76D0"/>
    <w:rsid w:val="430E31C0"/>
    <w:rsid w:val="43190361"/>
    <w:rsid w:val="431E0CE1"/>
    <w:rsid w:val="43285F02"/>
    <w:rsid w:val="433031EC"/>
    <w:rsid w:val="433A6FE6"/>
    <w:rsid w:val="4340207D"/>
    <w:rsid w:val="43480868"/>
    <w:rsid w:val="4350713C"/>
    <w:rsid w:val="4352109E"/>
    <w:rsid w:val="436653E0"/>
    <w:rsid w:val="436921A8"/>
    <w:rsid w:val="43775033"/>
    <w:rsid w:val="438C11B2"/>
    <w:rsid w:val="438D0328"/>
    <w:rsid w:val="438D657A"/>
    <w:rsid w:val="438E1D03"/>
    <w:rsid w:val="4392593E"/>
    <w:rsid w:val="4393353B"/>
    <w:rsid w:val="43AA5815"/>
    <w:rsid w:val="43B92ECB"/>
    <w:rsid w:val="43C4431A"/>
    <w:rsid w:val="43CC184C"/>
    <w:rsid w:val="43D43D04"/>
    <w:rsid w:val="43D63A7D"/>
    <w:rsid w:val="43DA7D11"/>
    <w:rsid w:val="43EE3415"/>
    <w:rsid w:val="43F544C0"/>
    <w:rsid w:val="43F83629"/>
    <w:rsid w:val="43FD79AE"/>
    <w:rsid w:val="440071F0"/>
    <w:rsid w:val="44044A8E"/>
    <w:rsid w:val="44062574"/>
    <w:rsid w:val="440C4F1A"/>
    <w:rsid w:val="441677BE"/>
    <w:rsid w:val="441F5841"/>
    <w:rsid w:val="442E15A7"/>
    <w:rsid w:val="443A225E"/>
    <w:rsid w:val="44460EFF"/>
    <w:rsid w:val="44483027"/>
    <w:rsid w:val="444A6219"/>
    <w:rsid w:val="444E1AA8"/>
    <w:rsid w:val="445066DC"/>
    <w:rsid w:val="44586D06"/>
    <w:rsid w:val="445E178F"/>
    <w:rsid w:val="44653058"/>
    <w:rsid w:val="446C618F"/>
    <w:rsid w:val="448E090A"/>
    <w:rsid w:val="44960B9E"/>
    <w:rsid w:val="449A3F09"/>
    <w:rsid w:val="449C44F1"/>
    <w:rsid w:val="44A6341E"/>
    <w:rsid w:val="44AC2A30"/>
    <w:rsid w:val="44B951CC"/>
    <w:rsid w:val="44BB27AC"/>
    <w:rsid w:val="44BD69EB"/>
    <w:rsid w:val="44CD14E0"/>
    <w:rsid w:val="44D8030B"/>
    <w:rsid w:val="44D904B1"/>
    <w:rsid w:val="44E66D51"/>
    <w:rsid w:val="44EE63CC"/>
    <w:rsid w:val="44F20B0B"/>
    <w:rsid w:val="44FC10CD"/>
    <w:rsid w:val="45034B5E"/>
    <w:rsid w:val="45060F92"/>
    <w:rsid w:val="45141794"/>
    <w:rsid w:val="452E5F4C"/>
    <w:rsid w:val="452E70B8"/>
    <w:rsid w:val="453273D9"/>
    <w:rsid w:val="4533080F"/>
    <w:rsid w:val="453C14CB"/>
    <w:rsid w:val="453C6991"/>
    <w:rsid w:val="45460437"/>
    <w:rsid w:val="45464776"/>
    <w:rsid w:val="45612018"/>
    <w:rsid w:val="45623A56"/>
    <w:rsid w:val="456F4211"/>
    <w:rsid w:val="457D1C76"/>
    <w:rsid w:val="4582231F"/>
    <w:rsid w:val="4585575A"/>
    <w:rsid w:val="458946E9"/>
    <w:rsid w:val="459204E1"/>
    <w:rsid w:val="459A62B1"/>
    <w:rsid w:val="459A773D"/>
    <w:rsid w:val="45A47C0E"/>
    <w:rsid w:val="45B57202"/>
    <w:rsid w:val="45C81AEB"/>
    <w:rsid w:val="45C83899"/>
    <w:rsid w:val="45D65FB6"/>
    <w:rsid w:val="45DE6961"/>
    <w:rsid w:val="45ED5F0C"/>
    <w:rsid w:val="45F4493C"/>
    <w:rsid w:val="45FD166E"/>
    <w:rsid w:val="45FD6E07"/>
    <w:rsid w:val="46003033"/>
    <w:rsid w:val="46015FF5"/>
    <w:rsid w:val="461F7CF2"/>
    <w:rsid w:val="462214CE"/>
    <w:rsid w:val="46244F73"/>
    <w:rsid w:val="4642189D"/>
    <w:rsid w:val="464673D7"/>
    <w:rsid w:val="4654337F"/>
    <w:rsid w:val="46577FD6"/>
    <w:rsid w:val="465B295F"/>
    <w:rsid w:val="46690BD8"/>
    <w:rsid w:val="466B7950"/>
    <w:rsid w:val="466E419E"/>
    <w:rsid w:val="4671152D"/>
    <w:rsid w:val="4675602D"/>
    <w:rsid w:val="467D4684"/>
    <w:rsid w:val="46833665"/>
    <w:rsid w:val="46843C64"/>
    <w:rsid w:val="46981689"/>
    <w:rsid w:val="46A843F5"/>
    <w:rsid w:val="46A91BDC"/>
    <w:rsid w:val="46B150A9"/>
    <w:rsid w:val="46D955A7"/>
    <w:rsid w:val="46DC75FC"/>
    <w:rsid w:val="46E42014"/>
    <w:rsid w:val="46F96400"/>
    <w:rsid w:val="46FA33B3"/>
    <w:rsid w:val="470A511E"/>
    <w:rsid w:val="47133957"/>
    <w:rsid w:val="471821BE"/>
    <w:rsid w:val="471E2976"/>
    <w:rsid w:val="47264E06"/>
    <w:rsid w:val="472E34E0"/>
    <w:rsid w:val="474A6C5C"/>
    <w:rsid w:val="474D5B58"/>
    <w:rsid w:val="475E6263"/>
    <w:rsid w:val="47647EA8"/>
    <w:rsid w:val="47685334"/>
    <w:rsid w:val="476C02DF"/>
    <w:rsid w:val="477D0A72"/>
    <w:rsid w:val="47825D3E"/>
    <w:rsid w:val="47892B70"/>
    <w:rsid w:val="47940F57"/>
    <w:rsid w:val="479A3013"/>
    <w:rsid w:val="479C51BE"/>
    <w:rsid w:val="47A07E0C"/>
    <w:rsid w:val="47AE5E78"/>
    <w:rsid w:val="47B46B13"/>
    <w:rsid w:val="47B52966"/>
    <w:rsid w:val="47C90E03"/>
    <w:rsid w:val="47CC123A"/>
    <w:rsid w:val="47D506E8"/>
    <w:rsid w:val="47E517C3"/>
    <w:rsid w:val="47E80223"/>
    <w:rsid w:val="47E81FD1"/>
    <w:rsid w:val="47F3021B"/>
    <w:rsid w:val="47F45842"/>
    <w:rsid w:val="47F71E45"/>
    <w:rsid w:val="47FB01C7"/>
    <w:rsid w:val="47FC782A"/>
    <w:rsid w:val="48081B4D"/>
    <w:rsid w:val="48253225"/>
    <w:rsid w:val="482D2AF0"/>
    <w:rsid w:val="48376AB4"/>
    <w:rsid w:val="483B0352"/>
    <w:rsid w:val="4870272E"/>
    <w:rsid w:val="487343E2"/>
    <w:rsid w:val="48917B0B"/>
    <w:rsid w:val="48917B4E"/>
    <w:rsid w:val="489D7F04"/>
    <w:rsid w:val="48C52312"/>
    <w:rsid w:val="48CE2F5B"/>
    <w:rsid w:val="490045D6"/>
    <w:rsid w:val="490966A2"/>
    <w:rsid w:val="491A0A2E"/>
    <w:rsid w:val="492D2391"/>
    <w:rsid w:val="493A0423"/>
    <w:rsid w:val="49415E3C"/>
    <w:rsid w:val="49481939"/>
    <w:rsid w:val="494B6CBB"/>
    <w:rsid w:val="49515568"/>
    <w:rsid w:val="495A4F08"/>
    <w:rsid w:val="495B65B3"/>
    <w:rsid w:val="496964FC"/>
    <w:rsid w:val="496A6ACC"/>
    <w:rsid w:val="496E4757"/>
    <w:rsid w:val="497D2F11"/>
    <w:rsid w:val="497E5755"/>
    <w:rsid w:val="49823B2B"/>
    <w:rsid w:val="49874E4F"/>
    <w:rsid w:val="499535B1"/>
    <w:rsid w:val="49957E15"/>
    <w:rsid w:val="499C3073"/>
    <w:rsid w:val="499D000B"/>
    <w:rsid w:val="499F756D"/>
    <w:rsid w:val="49A1494D"/>
    <w:rsid w:val="49A81BEF"/>
    <w:rsid w:val="49AC0DB3"/>
    <w:rsid w:val="49B73BB4"/>
    <w:rsid w:val="49D86E11"/>
    <w:rsid w:val="49DC7715"/>
    <w:rsid w:val="49DE63B9"/>
    <w:rsid w:val="49DF7C80"/>
    <w:rsid w:val="49E71253"/>
    <w:rsid w:val="49EB792D"/>
    <w:rsid w:val="49EC225C"/>
    <w:rsid w:val="49EF65FB"/>
    <w:rsid w:val="49F77B5C"/>
    <w:rsid w:val="4A023139"/>
    <w:rsid w:val="4A070332"/>
    <w:rsid w:val="4A0B5AA7"/>
    <w:rsid w:val="4A241774"/>
    <w:rsid w:val="4A2E787E"/>
    <w:rsid w:val="4A453FBA"/>
    <w:rsid w:val="4A47174E"/>
    <w:rsid w:val="4A4A4108"/>
    <w:rsid w:val="4A4B2171"/>
    <w:rsid w:val="4A54394D"/>
    <w:rsid w:val="4A58343D"/>
    <w:rsid w:val="4A58433F"/>
    <w:rsid w:val="4A6C513B"/>
    <w:rsid w:val="4A6F0787"/>
    <w:rsid w:val="4A792AE4"/>
    <w:rsid w:val="4A7A534F"/>
    <w:rsid w:val="4A7B576F"/>
    <w:rsid w:val="4A805C31"/>
    <w:rsid w:val="4A8103AD"/>
    <w:rsid w:val="4AAB78B0"/>
    <w:rsid w:val="4ABA3F7E"/>
    <w:rsid w:val="4AC033F8"/>
    <w:rsid w:val="4AC473FF"/>
    <w:rsid w:val="4AD66B94"/>
    <w:rsid w:val="4ADC4775"/>
    <w:rsid w:val="4AEB5DD4"/>
    <w:rsid w:val="4AF561A9"/>
    <w:rsid w:val="4AF77EC6"/>
    <w:rsid w:val="4B046A07"/>
    <w:rsid w:val="4B0D32D2"/>
    <w:rsid w:val="4B2A5777"/>
    <w:rsid w:val="4B3044ED"/>
    <w:rsid w:val="4B46221D"/>
    <w:rsid w:val="4B46367A"/>
    <w:rsid w:val="4B46598C"/>
    <w:rsid w:val="4B7778F3"/>
    <w:rsid w:val="4B7970B0"/>
    <w:rsid w:val="4B7A3E8A"/>
    <w:rsid w:val="4B7E1D99"/>
    <w:rsid w:val="4B7F2937"/>
    <w:rsid w:val="4B8C6F24"/>
    <w:rsid w:val="4B9A5CD8"/>
    <w:rsid w:val="4BBE3774"/>
    <w:rsid w:val="4BC92119"/>
    <w:rsid w:val="4BCB1984"/>
    <w:rsid w:val="4BCD1C09"/>
    <w:rsid w:val="4BCD4EE5"/>
    <w:rsid w:val="4BD37BB2"/>
    <w:rsid w:val="4BDA4464"/>
    <w:rsid w:val="4BDF6955"/>
    <w:rsid w:val="4BE078E8"/>
    <w:rsid w:val="4C0513A3"/>
    <w:rsid w:val="4C251ABF"/>
    <w:rsid w:val="4C2832E3"/>
    <w:rsid w:val="4C465005"/>
    <w:rsid w:val="4C4A0649"/>
    <w:rsid w:val="4C612319"/>
    <w:rsid w:val="4C6833CF"/>
    <w:rsid w:val="4C695CDA"/>
    <w:rsid w:val="4C7107E7"/>
    <w:rsid w:val="4C7B773F"/>
    <w:rsid w:val="4C7E5ECA"/>
    <w:rsid w:val="4C856040"/>
    <w:rsid w:val="4C876AA5"/>
    <w:rsid w:val="4C883D82"/>
    <w:rsid w:val="4C942727"/>
    <w:rsid w:val="4C9B5533"/>
    <w:rsid w:val="4C9C1E13"/>
    <w:rsid w:val="4CA4623D"/>
    <w:rsid w:val="4D0473E6"/>
    <w:rsid w:val="4D0E00FB"/>
    <w:rsid w:val="4D176606"/>
    <w:rsid w:val="4D245859"/>
    <w:rsid w:val="4D3D5DE0"/>
    <w:rsid w:val="4D455971"/>
    <w:rsid w:val="4D4E28D6"/>
    <w:rsid w:val="4D4E6D7A"/>
    <w:rsid w:val="4D543566"/>
    <w:rsid w:val="4D5965D8"/>
    <w:rsid w:val="4D5B4FF3"/>
    <w:rsid w:val="4D5B7C28"/>
    <w:rsid w:val="4D5F1982"/>
    <w:rsid w:val="4D6530BF"/>
    <w:rsid w:val="4D694B42"/>
    <w:rsid w:val="4D72489D"/>
    <w:rsid w:val="4D8E1E05"/>
    <w:rsid w:val="4D8E361A"/>
    <w:rsid w:val="4D8E7176"/>
    <w:rsid w:val="4D924B60"/>
    <w:rsid w:val="4D96424A"/>
    <w:rsid w:val="4DAD3707"/>
    <w:rsid w:val="4DB51042"/>
    <w:rsid w:val="4DDF05A5"/>
    <w:rsid w:val="4DE35714"/>
    <w:rsid w:val="4DE95D05"/>
    <w:rsid w:val="4DEB0A50"/>
    <w:rsid w:val="4DEC4FB0"/>
    <w:rsid w:val="4DF03B14"/>
    <w:rsid w:val="4E035D32"/>
    <w:rsid w:val="4E066978"/>
    <w:rsid w:val="4E075D8A"/>
    <w:rsid w:val="4E157897"/>
    <w:rsid w:val="4E2570BA"/>
    <w:rsid w:val="4E3C6503"/>
    <w:rsid w:val="4E523E0B"/>
    <w:rsid w:val="4E6C7C67"/>
    <w:rsid w:val="4E702D70"/>
    <w:rsid w:val="4E721953"/>
    <w:rsid w:val="4E7E7145"/>
    <w:rsid w:val="4E7F2C64"/>
    <w:rsid w:val="4E9A0FE9"/>
    <w:rsid w:val="4EA2389A"/>
    <w:rsid w:val="4EBB73D7"/>
    <w:rsid w:val="4EC00FAD"/>
    <w:rsid w:val="4EC7260A"/>
    <w:rsid w:val="4ED3022B"/>
    <w:rsid w:val="4EE13AA9"/>
    <w:rsid w:val="4EE259CC"/>
    <w:rsid w:val="4EEF1D59"/>
    <w:rsid w:val="4EFD2805"/>
    <w:rsid w:val="4F6F56D7"/>
    <w:rsid w:val="4F6F7A3D"/>
    <w:rsid w:val="4F71516B"/>
    <w:rsid w:val="4F7572BB"/>
    <w:rsid w:val="4F7E1B7B"/>
    <w:rsid w:val="4F801DCE"/>
    <w:rsid w:val="4F8A2D24"/>
    <w:rsid w:val="4F905E90"/>
    <w:rsid w:val="4F9843DC"/>
    <w:rsid w:val="4FB334C7"/>
    <w:rsid w:val="4FB630F7"/>
    <w:rsid w:val="4FC62A8C"/>
    <w:rsid w:val="4FC926E8"/>
    <w:rsid w:val="4FC935F2"/>
    <w:rsid w:val="4FD41977"/>
    <w:rsid w:val="4FD5365D"/>
    <w:rsid w:val="4FD95020"/>
    <w:rsid w:val="4FE20F0D"/>
    <w:rsid w:val="4FE33176"/>
    <w:rsid w:val="4FE51552"/>
    <w:rsid w:val="4FEE6DF4"/>
    <w:rsid w:val="4FFD33A5"/>
    <w:rsid w:val="50242014"/>
    <w:rsid w:val="50256F54"/>
    <w:rsid w:val="50400D99"/>
    <w:rsid w:val="50487661"/>
    <w:rsid w:val="50504BB7"/>
    <w:rsid w:val="50504C4B"/>
    <w:rsid w:val="50637CF3"/>
    <w:rsid w:val="5067553D"/>
    <w:rsid w:val="506D0071"/>
    <w:rsid w:val="506E5519"/>
    <w:rsid w:val="508825A3"/>
    <w:rsid w:val="509C6E7C"/>
    <w:rsid w:val="50AE29D0"/>
    <w:rsid w:val="50B363B0"/>
    <w:rsid w:val="50B77A21"/>
    <w:rsid w:val="50C11B5F"/>
    <w:rsid w:val="50CA2BBB"/>
    <w:rsid w:val="50CD6207"/>
    <w:rsid w:val="50CF7C3B"/>
    <w:rsid w:val="50E962F4"/>
    <w:rsid w:val="50FC3E2F"/>
    <w:rsid w:val="51053BF3"/>
    <w:rsid w:val="51055B13"/>
    <w:rsid w:val="513962BB"/>
    <w:rsid w:val="5145266D"/>
    <w:rsid w:val="51453148"/>
    <w:rsid w:val="514E2612"/>
    <w:rsid w:val="514E72A7"/>
    <w:rsid w:val="5156558B"/>
    <w:rsid w:val="515661FD"/>
    <w:rsid w:val="51600054"/>
    <w:rsid w:val="5162104E"/>
    <w:rsid w:val="51631FF4"/>
    <w:rsid w:val="51791EEB"/>
    <w:rsid w:val="51865C24"/>
    <w:rsid w:val="519D504D"/>
    <w:rsid w:val="51A25E9D"/>
    <w:rsid w:val="51A451BA"/>
    <w:rsid w:val="51A72308"/>
    <w:rsid w:val="51AC0B28"/>
    <w:rsid w:val="51B20619"/>
    <w:rsid w:val="51B3364F"/>
    <w:rsid w:val="51BA311C"/>
    <w:rsid w:val="51C265B1"/>
    <w:rsid w:val="51C33F95"/>
    <w:rsid w:val="51C529FF"/>
    <w:rsid w:val="51CD754F"/>
    <w:rsid w:val="51D97A29"/>
    <w:rsid w:val="51DE5301"/>
    <w:rsid w:val="51F15F26"/>
    <w:rsid w:val="51F36142"/>
    <w:rsid w:val="51F54744"/>
    <w:rsid w:val="521449E6"/>
    <w:rsid w:val="52157E66"/>
    <w:rsid w:val="521E25E6"/>
    <w:rsid w:val="521E31BF"/>
    <w:rsid w:val="522064A4"/>
    <w:rsid w:val="52466271"/>
    <w:rsid w:val="524D3F50"/>
    <w:rsid w:val="524E4935"/>
    <w:rsid w:val="52570999"/>
    <w:rsid w:val="525E700F"/>
    <w:rsid w:val="52690946"/>
    <w:rsid w:val="52702F0D"/>
    <w:rsid w:val="5290495C"/>
    <w:rsid w:val="529B480F"/>
    <w:rsid w:val="52A44E54"/>
    <w:rsid w:val="52A820F4"/>
    <w:rsid w:val="52AF3C79"/>
    <w:rsid w:val="52AF4162"/>
    <w:rsid w:val="52BD6105"/>
    <w:rsid w:val="52BE096F"/>
    <w:rsid w:val="52BE75E9"/>
    <w:rsid w:val="52E141EC"/>
    <w:rsid w:val="52EB002F"/>
    <w:rsid w:val="52EE72DA"/>
    <w:rsid w:val="52F45CCD"/>
    <w:rsid w:val="52F53F92"/>
    <w:rsid w:val="52F60FC2"/>
    <w:rsid w:val="53000B16"/>
    <w:rsid w:val="53051C89"/>
    <w:rsid w:val="531D629D"/>
    <w:rsid w:val="532A6F99"/>
    <w:rsid w:val="533C1C56"/>
    <w:rsid w:val="533E0F71"/>
    <w:rsid w:val="534D122D"/>
    <w:rsid w:val="535A762B"/>
    <w:rsid w:val="536E5A80"/>
    <w:rsid w:val="53721D2E"/>
    <w:rsid w:val="538232D9"/>
    <w:rsid w:val="53901A26"/>
    <w:rsid w:val="5391176E"/>
    <w:rsid w:val="5398169E"/>
    <w:rsid w:val="539F12AA"/>
    <w:rsid w:val="53A039CC"/>
    <w:rsid w:val="53A1505A"/>
    <w:rsid w:val="53A53CD9"/>
    <w:rsid w:val="53AD53D7"/>
    <w:rsid w:val="53AD7BDA"/>
    <w:rsid w:val="53B92A73"/>
    <w:rsid w:val="53BB4A90"/>
    <w:rsid w:val="53C65AD0"/>
    <w:rsid w:val="53CA4F77"/>
    <w:rsid w:val="53CC719F"/>
    <w:rsid w:val="53D11FDE"/>
    <w:rsid w:val="53D53D51"/>
    <w:rsid w:val="53DB45FC"/>
    <w:rsid w:val="53DD0E57"/>
    <w:rsid w:val="54063E08"/>
    <w:rsid w:val="541022C4"/>
    <w:rsid w:val="54164915"/>
    <w:rsid w:val="541A5695"/>
    <w:rsid w:val="541B5F0A"/>
    <w:rsid w:val="54236053"/>
    <w:rsid w:val="54244258"/>
    <w:rsid w:val="542B2DDC"/>
    <w:rsid w:val="5431081B"/>
    <w:rsid w:val="543437E8"/>
    <w:rsid w:val="543D4C85"/>
    <w:rsid w:val="54476B33"/>
    <w:rsid w:val="5449029B"/>
    <w:rsid w:val="5465257D"/>
    <w:rsid w:val="54672D64"/>
    <w:rsid w:val="546D21DB"/>
    <w:rsid w:val="54753449"/>
    <w:rsid w:val="54774E08"/>
    <w:rsid w:val="5478550C"/>
    <w:rsid w:val="548A0CA6"/>
    <w:rsid w:val="548F3890"/>
    <w:rsid w:val="549656F5"/>
    <w:rsid w:val="5496599E"/>
    <w:rsid w:val="549A28A4"/>
    <w:rsid w:val="54A61249"/>
    <w:rsid w:val="54AF522D"/>
    <w:rsid w:val="54DD20AD"/>
    <w:rsid w:val="54E962D6"/>
    <w:rsid w:val="54EA1DDB"/>
    <w:rsid w:val="54F51711"/>
    <w:rsid w:val="54F73313"/>
    <w:rsid w:val="54F80955"/>
    <w:rsid w:val="550C0780"/>
    <w:rsid w:val="55126890"/>
    <w:rsid w:val="551408A9"/>
    <w:rsid w:val="55170270"/>
    <w:rsid w:val="55214D74"/>
    <w:rsid w:val="5523289A"/>
    <w:rsid w:val="553653FE"/>
    <w:rsid w:val="553733D6"/>
    <w:rsid w:val="5538558F"/>
    <w:rsid w:val="55491250"/>
    <w:rsid w:val="554E6F39"/>
    <w:rsid w:val="555170A7"/>
    <w:rsid w:val="557027E7"/>
    <w:rsid w:val="55723672"/>
    <w:rsid w:val="557B26D6"/>
    <w:rsid w:val="5587536D"/>
    <w:rsid w:val="5593401E"/>
    <w:rsid w:val="559B174B"/>
    <w:rsid w:val="55A20145"/>
    <w:rsid w:val="55AF0C9C"/>
    <w:rsid w:val="55CE0CF4"/>
    <w:rsid w:val="55E2208E"/>
    <w:rsid w:val="55E276DA"/>
    <w:rsid w:val="55E33F72"/>
    <w:rsid w:val="55E50D68"/>
    <w:rsid w:val="55E90FD4"/>
    <w:rsid w:val="560938C0"/>
    <w:rsid w:val="560E4B83"/>
    <w:rsid w:val="562130FC"/>
    <w:rsid w:val="56235908"/>
    <w:rsid w:val="562C2D44"/>
    <w:rsid w:val="56353963"/>
    <w:rsid w:val="56360CE6"/>
    <w:rsid w:val="566D18BC"/>
    <w:rsid w:val="567430F8"/>
    <w:rsid w:val="56861332"/>
    <w:rsid w:val="56864E26"/>
    <w:rsid w:val="56872DEE"/>
    <w:rsid w:val="56920730"/>
    <w:rsid w:val="56941E5D"/>
    <w:rsid w:val="569B41F7"/>
    <w:rsid w:val="56B22A9C"/>
    <w:rsid w:val="56BD281E"/>
    <w:rsid w:val="56CB7313"/>
    <w:rsid w:val="56D00617"/>
    <w:rsid w:val="56D52874"/>
    <w:rsid w:val="56D55E16"/>
    <w:rsid w:val="56E71C7A"/>
    <w:rsid w:val="56E9366F"/>
    <w:rsid w:val="56EB28A2"/>
    <w:rsid w:val="56F62CC2"/>
    <w:rsid w:val="56FB3ACE"/>
    <w:rsid w:val="570A6673"/>
    <w:rsid w:val="570B668F"/>
    <w:rsid w:val="57144B90"/>
    <w:rsid w:val="57181B24"/>
    <w:rsid w:val="571E77BD"/>
    <w:rsid w:val="57276214"/>
    <w:rsid w:val="573A2C6C"/>
    <w:rsid w:val="57475839"/>
    <w:rsid w:val="57517B92"/>
    <w:rsid w:val="57560C8A"/>
    <w:rsid w:val="575E1FF5"/>
    <w:rsid w:val="57631D62"/>
    <w:rsid w:val="57684EDC"/>
    <w:rsid w:val="576B3D6B"/>
    <w:rsid w:val="57715B3F"/>
    <w:rsid w:val="57776CF7"/>
    <w:rsid w:val="577B6A65"/>
    <w:rsid w:val="578C6745"/>
    <w:rsid w:val="57904E7E"/>
    <w:rsid w:val="57985921"/>
    <w:rsid w:val="57A37CC2"/>
    <w:rsid w:val="57A468CF"/>
    <w:rsid w:val="57B72A76"/>
    <w:rsid w:val="57C32112"/>
    <w:rsid w:val="57C3426C"/>
    <w:rsid w:val="57C45862"/>
    <w:rsid w:val="57CA63B1"/>
    <w:rsid w:val="57CE1F93"/>
    <w:rsid w:val="57CE2C1A"/>
    <w:rsid w:val="57D5112E"/>
    <w:rsid w:val="57DF1773"/>
    <w:rsid w:val="57EE3633"/>
    <w:rsid w:val="57F44449"/>
    <w:rsid w:val="580A19FF"/>
    <w:rsid w:val="580D2F16"/>
    <w:rsid w:val="582B2191"/>
    <w:rsid w:val="58403763"/>
    <w:rsid w:val="5842177B"/>
    <w:rsid w:val="58501BF8"/>
    <w:rsid w:val="58676F42"/>
    <w:rsid w:val="586C4558"/>
    <w:rsid w:val="58737694"/>
    <w:rsid w:val="587873A1"/>
    <w:rsid w:val="587D0513"/>
    <w:rsid w:val="587E24D1"/>
    <w:rsid w:val="588743D1"/>
    <w:rsid w:val="5887701A"/>
    <w:rsid w:val="58945643"/>
    <w:rsid w:val="589C4E3D"/>
    <w:rsid w:val="58A61B6F"/>
    <w:rsid w:val="58B232E7"/>
    <w:rsid w:val="58BB6BDE"/>
    <w:rsid w:val="58C104BC"/>
    <w:rsid w:val="58C85C32"/>
    <w:rsid w:val="58C93758"/>
    <w:rsid w:val="58E05522"/>
    <w:rsid w:val="58E862D4"/>
    <w:rsid w:val="58F73B83"/>
    <w:rsid w:val="591A2BE8"/>
    <w:rsid w:val="592310BA"/>
    <w:rsid w:val="592F66B0"/>
    <w:rsid w:val="59304F24"/>
    <w:rsid w:val="59505C28"/>
    <w:rsid w:val="597D15B1"/>
    <w:rsid w:val="597E4B39"/>
    <w:rsid w:val="598E3976"/>
    <w:rsid w:val="59AA0427"/>
    <w:rsid w:val="59B5509A"/>
    <w:rsid w:val="59BA7D2A"/>
    <w:rsid w:val="59C01C6B"/>
    <w:rsid w:val="59C0439F"/>
    <w:rsid w:val="59C56616"/>
    <w:rsid w:val="59DC4F6F"/>
    <w:rsid w:val="59E57A1C"/>
    <w:rsid w:val="59E77F56"/>
    <w:rsid w:val="59E940B2"/>
    <w:rsid w:val="59F237BA"/>
    <w:rsid w:val="59F45425"/>
    <w:rsid w:val="59F6398E"/>
    <w:rsid w:val="59F900A2"/>
    <w:rsid w:val="59FA4157"/>
    <w:rsid w:val="5A101001"/>
    <w:rsid w:val="5A1B5605"/>
    <w:rsid w:val="5A1D1FAE"/>
    <w:rsid w:val="5A246186"/>
    <w:rsid w:val="5A2A0227"/>
    <w:rsid w:val="5A3327C4"/>
    <w:rsid w:val="5A3718CB"/>
    <w:rsid w:val="5A476D51"/>
    <w:rsid w:val="5A504131"/>
    <w:rsid w:val="5A583995"/>
    <w:rsid w:val="5A66112D"/>
    <w:rsid w:val="5A6944C4"/>
    <w:rsid w:val="5A9D1CBE"/>
    <w:rsid w:val="5AA63D51"/>
    <w:rsid w:val="5AAD27A3"/>
    <w:rsid w:val="5AB02E22"/>
    <w:rsid w:val="5ABA540D"/>
    <w:rsid w:val="5ABE2233"/>
    <w:rsid w:val="5AC475D1"/>
    <w:rsid w:val="5AC63B9F"/>
    <w:rsid w:val="5AD55A08"/>
    <w:rsid w:val="5AEA5520"/>
    <w:rsid w:val="5AF054D2"/>
    <w:rsid w:val="5AF074B2"/>
    <w:rsid w:val="5B00508D"/>
    <w:rsid w:val="5B156881"/>
    <w:rsid w:val="5B164E85"/>
    <w:rsid w:val="5B212313"/>
    <w:rsid w:val="5B22559A"/>
    <w:rsid w:val="5B2353A2"/>
    <w:rsid w:val="5B2B1955"/>
    <w:rsid w:val="5B4B2639"/>
    <w:rsid w:val="5B514613"/>
    <w:rsid w:val="5B550D54"/>
    <w:rsid w:val="5B630FBB"/>
    <w:rsid w:val="5B6A149F"/>
    <w:rsid w:val="5B6B6D49"/>
    <w:rsid w:val="5B7D3CED"/>
    <w:rsid w:val="5B897D21"/>
    <w:rsid w:val="5B967498"/>
    <w:rsid w:val="5B9C5154"/>
    <w:rsid w:val="5BA63275"/>
    <w:rsid w:val="5BAF12A6"/>
    <w:rsid w:val="5BB22C80"/>
    <w:rsid w:val="5BBE2AB4"/>
    <w:rsid w:val="5BC72E0C"/>
    <w:rsid w:val="5BD63830"/>
    <w:rsid w:val="5BDB171C"/>
    <w:rsid w:val="5BDB5CCD"/>
    <w:rsid w:val="5BDF5D95"/>
    <w:rsid w:val="5BF043A7"/>
    <w:rsid w:val="5BF650FD"/>
    <w:rsid w:val="5BFD3CD3"/>
    <w:rsid w:val="5BFE7528"/>
    <w:rsid w:val="5C0827EA"/>
    <w:rsid w:val="5C161C82"/>
    <w:rsid w:val="5C245875"/>
    <w:rsid w:val="5C274B51"/>
    <w:rsid w:val="5C2C6615"/>
    <w:rsid w:val="5C2F7D76"/>
    <w:rsid w:val="5C337BFF"/>
    <w:rsid w:val="5C4066A5"/>
    <w:rsid w:val="5C510923"/>
    <w:rsid w:val="5C5D2B35"/>
    <w:rsid w:val="5C667C4A"/>
    <w:rsid w:val="5C735EB5"/>
    <w:rsid w:val="5C7E53C1"/>
    <w:rsid w:val="5C962304"/>
    <w:rsid w:val="5CBF44F8"/>
    <w:rsid w:val="5CCD7CBB"/>
    <w:rsid w:val="5CF04140"/>
    <w:rsid w:val="5D035EA0"/>
    <w:rsid w:val="5D064F7B"/>
    <w:rsid w:val="5D0D6CB1"/>
    <w:rsid w:val="5D161C1A"/>
    <w:rsid w:val="5D192609"/>
    <w:rsid w:val="5D1A0A26"/>
    <w:rsid w:val="5D1C479E"/>
    <w:rsid w:val="5D1D22C5"/>
    <w:rsid w:val="5D354F93"/>
    <w:rsid w:val="5D435BCC"/>
    <w:rsid w:val="5D4A74D4"/>
    <w:rsid w:val="5D603D98"/>
    <w:rsid w:val="5D61549C"/>
    <w:rsid w:val="5D6C7BC8"/>
    <w:rsid w:val="5D7E0FB5"/>
    <w:rsid w:val="5D846660"/>
    <w:rsid w:val="5D9C768D"/>
    <w:rsid w:val="5DA6050C"/>
    <w:rsid w:val="5DA97507"/>
    <w:rsid w:val="5DB03945"/>
    <w:rsid w:val="5DBE532A"/>
    <w:rsid w:val="5DC05EEC"/>
    <w:rsid w:val="5DD7225E"/>
    <w:rsid w:val="5DE25804"/>
    <w:rsid w:val="5DF16D26"/>
    <w:rsid w:val="5DF4541F"/>
    <w:rsid w:val="5DF8469E"/>
    <w:rsid w:val="5DFA47E8"/>
    <w:rsid w:val="5DFC7C34"/>
    <w:rsid w:val="5DFE15E4"/>
    <w:rsid w:val="5E0771FD"/>
    <w:rsid w:val="5E156034"/>
    <w:rsid w:val="5E1902A1"/>
    <w:rsid w:val="5E191B8C"/>
    <w:rsid w:val="5E226944"/>
    <w:rsid w:val="5E2467F1"/>
    <w:rsid w:val="5E283596"/>
    <w:rsid w:val="5E2E6801"/>
    <w:rsid w:val="5E332197"/>
    <w:rsid w:val="5E3F7C5A"/>
    <w:rsid w:val="5E492BE8"/>
    <w:rsid w:val="5E5B64C7"/>
    <w:rsid w:val="5E601504"/>
    <w:rsid w:val="5E642941"/>
    <w:rsid w:val="5E6677DE"/>
    <w:rsid w:val="5E68742F"/>
    <w:rsid w:val="5E6D0CBD"/>
    <w:rsid w:val="5E74352B"/>
    <w:rsid w:val="5E996464"/>
    <w:rsid w:val="5EAB12A2"/>
    <w:rsid w:val="5EAF059B"/>
    <w:rsid w:val="5EB31F45"/>
    <w:rsid w:val="5EB81E46"/>
    <w:rsid w:val="5EB92273"/>
    <w:rsid w:val="5EC9480D"/>
    <w:rsid w:val="5ECE3876"/>
    <w:rsid w:val="5EDC272F"/>
    <w:rsid w:val="5EF332DD"/>
    <w:rsid w:val="5F1576F7"/>
    <w:rsid w:val="5F1A2B43"/>
    <w:rsid w:val="5F3C2ED6"/>
    <w:rsid w:val="5F4421FC"/>
    <w:rsid w:val="5F487ACD"/>
    <w:rsid w:val="5F4E6D88"/>
    <w:rsid w:val="5F5F4D56"/>
    <w:rsid w:val="5F8D4B52"/>
    <w:rsid w:val="5F922FFF"/>
    <w:rsid w:val="5F942D12"/>
    <w:rsid w:val="5F984189"/>
    <w:rsid w:val="5F9924AE"/>
    <w:rsid w:val="5FAE0C92"/>
    <w:rsid w:val="5FB837BB"/>
    <w:rsid w:val="5FB90AE4"/>
    <w:rsid w:val="5FB96D2A"/>
    <w:rsid w:val="5FBB4F26"/>
    <w:rsid w:val="5FDA3838"/>
    <w:rsid w:val="5FE119BA"/>
    <w:rsid w:val="5FEF7F48"/>
    <w:rsid w:val="5FF0483E"/>
    <w:rsid w:val="5FF2568A"/>
    <w:rsid w:val="600F12EE"/>
    <w:rsid w:val="6023001F"/>
    <w:rsid w:val="60237BF2"/>
    <w:rsid w:val="602F1F75"/>
    <w:rsid w:val="60385213"/>
    <w:rsid w:val="603B13E0"/>
    <w:rsid w:val="604007A4"/>
    <w:rsid w:val="60432042"/>
    <w:rsid w:val="60480081"/>
    <w:rsid w:val="605F5DC1"/>
    <w:rsid w:val="60600526"/>
    <w:rsid w:val="60695F50"/>
    <w:rsid w:val="60795D93"/>
    <w:rsid w:val="608576B2"/>
    <w:rsid w:val="609452E7"/>
    <w:rsid w:val="60970822"/>
    <w:rsid w:val="609A328D"/>
    <w:rsid w:val="60A30D33"/>
    <w:rsid w:val="60A64D3F"/>
    <w:rsid w:val="60AD0070"/>
    <w:rsid w:val="60AF253B"/>
    <w:rsid w:val="60C53681"/>
    <w:rsid w:val="60CB2763"/>
    <w:rsid w:val="60CC405A"/>
    <w:rsid w:val="60CE5657"/>
    <w:rsid w:val="60F04023"/>
    <w:rsid w:val="610833CA"/>
    <w:rsid w:val="610E43FE"/>
    <w:rsid w:val="61167757"/>
    <w:rsid w:val="611A2DA3"/>
    <w:rsid w:val="611A4CBB"/>
    <w:rsid w:val="611F436F"/>
    <w:rsid w:val="612B0641"/>
    <w:rsid w:val="613964C0"/>
    <w:rsid w:val="613B1527"/>
    <w:rsid w:val="613C4884"/>
    <w:rsid w:val="613F295A"/>
    <w:rsid w:val="6154197B"/>
    <w:rsid w:val="61693F54"/>
    <w:rsid w:val="616C6EEF"/>
    <w:rsid w:val="618E0D13"/>
    <w:rsid w:val="61964836"/>
    <w:rsid w:val="61A244A0"/>
    <w:rsid w:val="61B51BF9"/>
    <w:rsid w:val="61C407D3"/>
    <w:rsid w:val="61C53F19"/>
    <w:rsid w:val="61DA62A7"/>
    <w:rsid w:val="61DD74FE"/>
    <w:rsid w:val="61E055B5"/>
    <w:rsid w:val="61E215D8"/>
    <w:rsid w:val="61F11C16"/>
    <w:rsid w:val="61F9246E"/>
    <w:rsid w:val="61F93300"/>
    <w:rsid w:val="6209185D"/>
    <w:rsid w:val="620D2908"/>
    <w:rsid w:val="621974FF"/>
    <w:rsid w:val="621B3775"/>
    <w:rsid w:val="621F294F"/>
    <w:rsid w:val="622054FE"/>
    <w:rsid w:val="622647A0"/>
    <w:rsid w:val="62326812"/>
    <w:rsid w:val="62364782"/>
    <w:rsid w:val="6237606F"/>
    <w:rsid w:val="62397BA1"/>
    <w:rsid w:val="623C31ED"/>
    <w:rsid w:val="623D493C"/>
    <w:rsid w:val="624125B1"/>
    <w:rsid w:val="624C4995"/>
    <w:rsid w:val="625B7B17"/>
    <w:rsid w:val="62610D92"/>
    <w:rsid w:val="627014EA"/>
    <w:rsid w:val="62744FC9"/>
    <w:rsid w:val="62775FD3"/>
    <w:rsid w:val="627B21A2"/>
    <w:rsid w:val="627D7A8D"/>
    <w:rsid w:val="6284249C"/>
    <w:rsid w:val="62856942"/>
    <w:rsid w:val="6287090C"/>
    <w:rsid w:val="62874491"/>
    <w:rsid w:val="62913456"/>
    <w:rsid w:val="62AF5FB1"/>
    <w:rsid w:val="62B13EC8"/>
    <w:rsid w:val="62C3746A"/>
    <w:rsid w:val="62DA2113"/>
    <w:rsid w:val="62DC417B"/>
    <w:rsid w:val="62E70902"/>
    <w:rsid w:val="62F31A3B"/>
    <w:rsid w:val="62FC15CD"/>
    <w:rsid w:val="62FD48F9"/>
    <w:rsid w:val="63041F5D"/>
    <w:rsid w:val="630E784C"/>
    <w:rsid w:val="63324F80"/>
    <w:rsid w:val="633604BC"/>
    <w:rsid w:val="633A3BD0"/>
    <w:rsid w:val="634426F6"/>
    <w:rsid w:val="63514A76"/>
    <w:rsid w:val="6353259C"/>
    <w:rsid w:val="6357176E"/>
    <w:rsid w:val="635A0399"/>
    <w:rsid w:val="63626C83"/>
    <w:rsid w:val="636D5D54"/>
    <w:rsid w:val="637746CF"/>
    <w:rsid w:val="637C5BF2"/>
    <w:rsid w:val="63860BC4"/>
    <w:rsid w:val="6394356A"/>
    <w:rsid w:val="63974B7F"/>
    <w:rsid w:val="639E713F"/>
    <w:rsid w:val="63A62184"/>
    <w:rsid w:val="63A67052"/>
    <w:rsid w:val="63AF198D"/>
    <w:rsid w:val="63B514A9"/>
    <w:rsid w:val="63C61B2C"/>
    <w:rsid w:val="63CE602B"/>
    <w:rsid w:val="63D40BE9"/>
    <w:rsid w:val="63DA2CBD"/>
    <w:rsid w:val="63E045AC"/>
    <w:rsid w:val="63E269F5"/>
    <w:rsid w:val="63E453F9"/>
    <w:rsid w:val="63EB69F6"/>
    <w:rsid w:val="64102431"/>
    <w:rsid w:val="641506DE"/>
    <w:rsid w:val="643547C1"/>
    <w:rsid w:val="64383FFB"/>
    <w:rsid w:val="644F567A"/>
    <w:rsid w:val="64522335"/>
    <w:rsid w:val="6464640D"/>
    <w:rsid w:val="646554E6"/>
    <w:rsid w:val="64685D56"/>
    <w:rsid w:val="64746C6E"/>
    <w:rsid w:val="647E4B5E"/>
    <w:rsid w:val="64820762"/>
    <w:rsid w:val="64922B96"/>
    <w:rsid w:val="64A5243A"/>
    <w:rsid w:val="64B928D3"/>
    <w:rsid w:val="64C37BF6"/>
    <w:rsid w:val="64C4733D"/>
    <w:rsid w:val="64C74ED6"/>
    <w:rsid w:val="64C77F54"/>
    <w:rsid w:val="64D92F75"/>
    <w:rsid w:val="64E831B8"/>
    <w:rsid w:val="64EC2CA8"/>
    <w:rsid w:val="64F16511"/>
    <w:rsid w:val="64F531DE"/>
    <w:rsid w:val="64F817DC"/>
    <w:rsid w:val="6502071E"/>
    <w:rsid w:val="65046244"/>
    <w:rsid w:val="650A3B2D"/>
    <w:rsid w:val="65182C80"/>
    <w:rsid w:val="651E3E4E"/>
    <w:rsid w:val="651F0728"/>
    <w:rsid w:val="6520635B"/>
    <w:rsid w:val="65271F32"/>
    <w:rsid w:val="65373578"/>
    <w:rsid w:val="653A4C15"/>
    <w:rsid w:val="65523DD7"/>
    <w:rsid w:val="655D0710"/>
    <w:rsid w:val="65655220"/>
    <w:rsid w:val="656D7047"/>
    <w:rsid w:val="657747EA"/>
    <w:rsid w:val="658D7A1F"/>
    <w:rsid w:val="65A535A7"/>
    <w:rsid w:val="65A87E63"/>
    <w:rsid w:val="65AB4ABF"/>
    <w:rsid w:val="65AD5F6D"/>
    <w:rsid w:val="65B16261"/>
    <w:rsid w:val="65C03BBD"/>
    <w:rsid w:val="65D108FF"/>
    <w:rsid w:val="65D83E05"/>
    <w:rsid w:val="65DF45BB"/>
    <w:rsid w:val="65E322FD"/>
    <w:rsid w:val="65F64068"/>
    <w:rsid w:val="65FB1910"/>
    <w:rsid w:val="660B1854"/>
    <w:rsid w:val="66166069"/>
    <w:rsid w:val="662A4DA0"/>
    <w:rsid w:val="662F2BEB"/>
    <w:rsid w:val="66337A43"/>
    <w:rsid w:val="663F14FE"/>
    <w:rsid w:val="66430FEE"/>
    <w:rsid w:val="66540DAA"/>
    <w:rsid w:val="66594B99"/>
    <w:rsid w:val="665A00E6"/>
    <w:rsid w:val="66742F55"/>
    <w:rsid w:val="66792805"/>
    <w:rsid w:val="667E2E5B"/>
    <w:rsid w:val="6682194C"/>
    <w:rsid w:val="66835C3F"/>
    <w:rsid w:val="669B46FD"/>
    <w:rsid w:val="66AE3C2E"/>
    <w:rsid w:val="66C411BD"/>
    <w:rsid w:val="66D30ACD"/>
    <w:rsid w:val="66D66BE8"/>
    <w:rsid w:val="66E14BD7"/>
    <w:rsid w:val="66E51EAD"/>
    <w:rsid w:val="66EE2E2B"/>
    <w:rsid w:val="66F1014F"/>
    <w:rsid w:val="66F67E0E"/>
    <w:rsid w:val="66F978FF"/>
    <w:rsid w:val="670307BF"/>
    <w:rsid w:val="67052615"/>
    <w:rsid w:val="67073DC9"/>
    <w:rsid w:val="67151A4A"/>
    <w:rsid w:val="671F124A"/>
    <w:rsid w:val="67224E39"/>
    <w:rsid w:val="67250407"/>
    <w:rsid w:val="672C1A82"/>
    <w:rsid w:val="672F3D42"/>
    <w:rsid w:val="6744501E"/>
    <w:rsid w:val="674C5109"/>
    <w:rsid w:val="674E11FB"/>
    <w:rsid w:val="67582FC1"/>
    <w:rsid w:val="675A399C"/>
    <w:rsid w:val="677A33C6"/>
    <w:rsid w:val="6793238C"/>
    <w:rsid w:val="67993C53"/>
    <w:rsid w:val="679F4002"/>
    <w:rsid w:val="67A755AC"/>
    <w:rsid w:val="67AE25BB"/>
    <w:rsid w:val="67BE3EAA"/>
    <w:rsid w:val="67BF7374"/>
    <w:rsid w:val="67C25F42"/>
    <w:rsid w:val="67D2196F"/>
    <w:rsid w:val="67D839B8"/>
    <w:rsid w:val="67E77462"/>
    <w:rsid w:val="67F166D5"/>
    <w:rsid w:val="67F56318"/>
    <w:rsid w:val="67FA46AF"/>
    <w:rsid w:val="680447AD"/>
    <w:rsid w:val="68044E9B"/>
    <w:rsid w:val="68051BF8"/>
    <w:rsid w:val="68064339"/>
    <w:rsid w:val="681C0664"/>
    <w:rsid w:val="681F6961"/>
    <w:rsid w:val="68230B12"/>
    <w:rsid w:val="683202A2"/>
    <w:rsid w:val="683B5C3B"/>
    <w:rsid w:val="683F2481"/>
    <w:rsid w:val="68401F12"/>
    <w:rsid w:val="6840693F"/>
    <w:rsid w:val="68444BA9"/>
    <w:rsid w:val="6858492D"/>
    <w:rsid w:val="685A6B2F"/>
    <w:rsid w:val="685C0669"/>
    <w:rsid w:val="68610A2F"/>
    <w:rsid w:val="68792AA5"/>
    <w:rsid w:val="68805514"/>
    <w:rsid w:val="688C2241"/>
    <w:rsid w:val="689D46D3"/>
    <w:rsid w:val="68A5554E"/>
    <w:rsid w:val="68A839E0"/>
    <w:rsid w:val="68AA094F"/>
    <w:rsid w:val="68B17254"/>
    <w:rsid w:val="68BA004D"/>
    <w:rsid w:val="68C35542"/>
    <w:rsid w:val="68C53772"/>
    <w:rsid w:val="68CA14F9"/>
    <w:rsid w:val="68CB1CB5"/>
    <w:rsid w:val="68CD1043"/>
    <w:rsid w:val="69022DBD"/>
    <w:rsid w:val="69074555"/>
    <w:rsid w:val="690D143F"/>
    <w:rsid w:val="690D7691"/>
    <w:rsid w:val="690F51B7"/>
    <w:rsid w:val="691E330B"/>
    <w:rsid w:val="692C5D69"/>
    <w:rsid w:val="69316E2F"/>
    <w:rsid w:val="69344C1E"/>
    <w:rsid w:val="69360996"/>
    <w:rsid w:val="694C6960"/>
    <w:rsid w:val="694E2071"/>
    <w:rsid w:val="69565FF5"/>
    <w:rsid w:val="695A4F3F"/>
    <w:rsid w:val="695D5F23"/>
    <w:rsid w:val="696B6D8C"/>
    <w:rsid w:val="69766163"/>
    <w:rsid w:val="697A3B33"/>
    <w:rsid w:val="6993406A"/>
    <w:rsid w:val="69984E0D"/>
    <w:rsid w:val="69A022B3"/>
    <w:rsid w:val="69B91413"/>
    <w:rsid w:val="69C45DD9"/>
    <w:rsid w:val="69C57EFA"/>
    <w:rsid w:val="69C94DF8"/>
    <w:rsid w:val="69C97A5C"/>
    <w:rsid w:val="69D44760"/>
    <w:rsid w:val="69F21348"/>
    <w:rsid w:val="6A0016BD"/>
    <w:rsid w:val="6A101F13"/>
    <w:rsid w:val="6A1D3904"/>
    <w:rsid w:val="6A1E1CAE"/>
    <w:rsid w:val="6A246E85"/>
    <w:rsid w:val="6A3D7DC8"/>
    <w:rsid w:val="6A493FCB"/>
    <w:rsid w:val="6A4F66FC"/>
    <w:rsid w:val="6A520EC7"/>
    <w:rsid w:val="6A5E2653"/>
    <w:rsid w:val="6A7D5CE5"/>
    <w:rsid w:val="6A7E1C35"/>
    <w:rsid w:val="6A843983"/>
    <w:rsid w:val="6A8A76B6"/>
    <w:rsid w:val="6A944371"/>
    <w:rsid w:val="6AA01EC9"/>
    <w:rsid w:val="6AAA1CA6"/>
    <w:rsid w:val="6ABD6C0D"/>
    <w:rsid w:val="6ABE0C43"/>
    <w:rsid w:val="6AC21899"/>
    <w:rsid w:val="6ACB7F3B"/>
    <w:rsid w:val="6ACE5B16"/>
    <w:rsid w:val="6AD269FA"/>
    <w:rsid w:val="6AE11486"/>
    <w:rsid w:val="6AE60F57"/>
    <w:rsid w:val="6AEF704E"/>
    <w:rsid w:val="6AF87E20"/>
    <w:rsid w:val="6AFE3735"/>
    <w:rsid w:val="6B135023"/>
    <w:rsid w:val="6B217424"/>
    <w:rsid w:val="6B2731F5"/>
    <w:rsid w:val="6B2C7546"/>
    <w:rsid w:val="6B31203C"/>
    <w:rsid w:val="6B322639"/>
    <w:rsid w:val="6B4E6A62"/>
    <w:rsid w:val="6B503B1E"/>
    <w:rsid w:val="6B607F4C"/>
    <w:rsid w:val="6B6F018F"/>
    <w:rsid w:val="6B726B1B"/>
    <w:rsid w:val="6B810981"/>
    <w:rsid w:val="6B837976"/>
    <w:rsid w:val="6B841E8D"/>
    <w:rsid w:val="6B935A69"/>
    <w:rsid w:val="6B96349D"/>
    <w:rsid w:val="6BA84938"/>
    <w:rsid w:val="6BB2466E"/>
    <w:rsid w:val="6BC229B5"/>
    <w:rsid w:val="6BC30793"/>
    <w:rsid w:val="6BC31597"/>
    <w:rsid w:val="6BC54253"/>
    <w:rsid w:val="6BCE4EB6"/>
    <w:rsid w:val="6BD34BC2"/>
    <w:rsid w:val="6BD8037C"/>
    <w:rsid w:val="6BE246E1"/>
    <w:rsid w:val="6BE500B1"/>
    <w:rsid w:val="6BE7241B"/>
    <w:rsid w:val="6BFE006A"/>
    <w:rsid w:val="6C1D1E63"/>
    <w:rsid w:val="6C2B055A"/>
    <w:rsid w:val="6C2E53D1"/>
    <w:rsid w:val="6C300DB3"/>
    <w:rsid w:val="6C44786E"/>
    <w:rsid w:val="6C532E82"/>
    <w:rsid w:val="6C5D448C"/>
    <w:rsid w:val="6C5F402C"/>
    <w:rsid w:val="6C636C38"/>
    <w:rsid w:val="6C6C65AD"/>
    <w:rsid w:val="6C7F2654"/>
    <w:rsid w:val="6C9E7991"/>
    <w:rsid w:val="6CA80AC7"/>
    <w:rsid w:val="6CC26A1E"/>
    <w:rsid w:val="6CC675D7"/>
    <w:rsid w:val="6CC8224D"/>
    <w:rsid w:val="6CC87B57"/>
    <w:rsid w:val="6CDA5ADC"/>
    <w:rsid w:val="6CDD34B0"/>
    <w:rsid w:val="6CE171C8"/>
    <w:rsid w:val="6CEB1C6E"/>
    <w:rsid w:val="6CF50B68"/>
    <w:rsid w:val="6D001BD2"/>
    <w:rsid w:val="6D107530"/>
    <w:rsid w:val="6D115463"/>
    <w:rsid w:val="6D1E100D"/>
    <w:rsid w:val="6D21195D"/>
    <w:rsid w:val="6D283D20"/>
    <w:rsid w:val="6D2D3E5E"/>
    <w:rsid w:val="6D351BC8"/>
    <w:rsid w:val="6D3F5C2E"/>
    <w:rsid w:val="6D480C98"/>
    <w:rsid w:val="6D630714"/>
    <w:rsid w:val="6D832679"/>
    <w:rsid w:val="6D840DA7"/>
    <w:rsid w:val="6D8C5FBC"/>
    <w:rsid w:val="6D8D2B4F"/>
    <w:rsid w:val="6D91263F"/>
    <w:rsid w:val="6D925D1C"/>
    <w:rsid w:val="6D930013"/>
    <w:rsid w:val="6D957CEF"/>
    <w:rsid w:val="6DA93E2C"/>
    <w:rsid w:val="6DB327B5"/>
    <w:rsid w:val="6DB34098"/>
    <w:rsid w:val="6DB545B6"/>
    <w:rsid w:val="6DB57A53"/>
    <w:rsid w:val="6DC908F7"/>
    <w:rsid w:val="6DE02FB4"/>
    <w:rsid w:val="6DF373DB"/>
    <w:rsid w:val="6DF57072"/>
    <w:rsid w:val="6E156F28"/>
    <w:rsid w:val="6E1F5E9D"/>
    <w:rsid w:val="6E435B58"/>
    <w:rsid w:val="6E46453F"/>
    <w:rsid w:val="6E5122D2"/>
    <w:rsid w:val="6E514CED"/>
    <w:rsid w:val="6E580A00"/>
    <w:rsid w:val="6E873A42"/>
    <w:rsid w:val="6E915DE8"/>
    <w:rsid w:val="6E92697E"/>
    <w:rsid w:val="6E961B5C"/>
    <w:rsid w:val="6EAC6E15"/>
    <w:rsid w:val="6EB505AF"/>
    <w:rsid w:val="6EB563D5"/>
    <w:rsid w:val="6EC41959"/>
    <w:rsid w:val="6EC82CA5"/>
    <w:rsid w:val="6ED92677"/>
    <w:rsid w:val="6EDF73DA"/>
    <w:rsid w:val="6EE70791"/>
    <w:rsid w:val="6EEB43BB"/>
    <w:rsid w:val="6EF32E85"/>
    <w:rsid w:val="6EF95E0D"/>
    <w:rsid w:val="6EFD3480"/>
    <w:rsid w:val="6F02375E"/>
    <w:rsid w:val="6F0D69A9"/>
    <w:rsid w:val="6F0E7CBF"/>
    <w:rsid w:val="6F22082B"/>
    <w:rsid w:val="6F225983"/>
    <w:rsid w:val="6F266A5D"/>
    <w:rsid w:val="6F470954"/>
    <w:rsid w:val="6F4A1255"/>
    <w:rsid w:val="6F5E0C47"/>
    <w:rsid w:val="6F77059D"/>
    <w:rsid w:val="6F7D7C4E"/>
    <w:rsid w:val="6F863FAF"/>
    <w:rsid w:val="6F982D60"/>
    <w:rsid w:val="6F98673D"/>
    <w:rsid w:val="6F991792"/>
    <w:rsid w:val="6F9B1340"/>
    <w:rsid w:val="6F9C549B"/>
    <w:rsid w:val="6FAB550E"/>
    <w:rsid w:val="6FB6340C"/>
    <w:rsid w:val="6FBD7FAB"/>
    <w:rsid w:val="6FE56DAA"/>
    <w:rsid w:val="6FFA5038"/>
    <w:rsid w:val="6FFC5590"/>
    <w:rsid w:val="7002580B"/>
    <w:rsid w:val="70161521"/>
    <w:rsid w:val="7016507D"/>
    <w:rsid w:val="702443EE"/>
    <w:rsid w:val="703B4911"/>
    <w:rsid w:val="704D270A"/>
    <w:rsid w:val="705820DB"/>
    <w:rsid w:val="706D1DD0"/>
    <w:rsid w:val="70723E3C"/>
    <w:rsid w:val="70856B87"/>
    <w:rsid w:val="708F7DF1"/>
    <w:rsid w:val="70956DFE"/>
    <w:rsid w:val="70C525FF"/>
    <w:rsid w:val="70C90422"/>
    <w:rsid w:val="70CE7706"/>
    <w:rsid w:val="70CF4EA8"/>
    <w:rsid w:val="70D500C9"/>
    <w:rsid w:val="70D527EE"/>
    <w:rsid w:val="70E1568B"/>
    <w:rsid w:val="70E60EF4"/>
    <w:rsid w:val="70FE29D1"/>
    <w:rsid w:val="71054611"/>
    <w:rsid w:val="71071226"/>
    <w:rsid w:val="710E6DE2"/>
    <w:rsid w:val="71212C38"/>
    <w:rsid w:val="71297032"/>
    <w:rsid w:val="7141437C"/>
    <w:rsid w:val="714326B4"/>
    <w:rsid w:val="714E1875"/>
    <w:rsid w:val="71591864"/>
    <w:rsid w:val="715B5300"/>
    <w:rsid w:val="715E34C1"/>
    <w:rsid w:val="7164006A"/>
    <w:rsid w:val="71740B38"/>
    <w:rsid w:val="717C3606"/>
    <w:rsid w:val="717C6991"/>
    <w:rsid w:val="717C6E02"/>
    <w:rsid w:val="717D3089"/>
    <w:rsid w:val="71842A3D"/>
    <w:rsid w:val="71914113"/>
    <w:rsid w:val="71AC37C2"/>
    <w:rsid w:val="71AE175B"/>
    <w:rsid w:val="71B47B19"/>
    <w:rsid w:val="71BB3875"/>
    <w:rsid w:val="71BC3A02"/>
    <w:rsid w:val="71CD79BE"/>
    <w:rsid w:val="71D043E5"/>
    <w:rsid w:val="71D074AE"/>
    <w:rsid w:val="71D27F8A"/>
    <w:rsid w:val="71DA2271"/>
    <w:rsid w:val="71E80C9B"/>
    <w:rsid w:val="71EC253A"/>
    <w:rsid w:val="71F25676"/>
    <w:rsid w:val="721675B7"/>
    <w:rsid w:val="721F10BB"/>
    <w:rsid w:val="722542C7"/>
    <w:rsid w:val="723839D1"/>
    <w:rsid w:val="7250454C"/>
    <w:rsid w:val="72505EBC"/>
    <w:rsid w:val="72553024"/>
    <w:rsid w:val="72571B84"/>
    <w:rsid w:val="72582C5F"/>
    <w:rsid w:val="72605E12"/>
    <w:rsid w:val="726B5EC3"/>
    <w:rsid w:val="726B6322"/>
    <w:rsid w:val="727C6625"/>
    <w:rsid w:val="72853C17"/>
    <w:rsid w:val="72947443"/>
    <w:rsid w:val="72A6056A"/>
    <w:rsid w:val="72AB4095"/>
    <w:rsid w:val="72C14739"/>
    <w:rsid w:val="72E41E5B"/>
    <w:rsid w:val="72E84209"/>
    <w:rsid w:val="72FC470B"/>
    <w:rsid w:val="730B4035"/>
    <w:rsid w:val="730B69EF"/>
    <w:rsid w:val="730E1CD8"/>
    <w:rsid w:val="7311057B"/>
    <w:rsid w:val="73122968"/>
    <w:rsid w:val="731F5D5E"/>
    <w:rsid w:val="73231E98"/>
    <w:rsid w:val="732A1179"/>
    <w:rsid w:val="73427C82"/>
    <w:rsid w:val="734F46B4"/>
    <w:rsid w:val="73542AAA"/>
    <w:rsid w:val="73552361"/>
    <w:rsid w:val="735B1957"/>
    <w:rsid w:val="73662B71"/>
    <w:rsid w:val="737B046B"/>
    <w:rsid w:val="73992DC4"/>
    <w:rsid w:val="739A1730"/>
    <w:rsid w:val="73B00889"/>
    <w:rsid w:val="73B21561"/>
    <w:rsid w:val="73BB594E"/>
    <w:rsid w:val="73C35EAE"/>
    <w:rsid w:val="73C51AD5"/>
    <w:rsid w:val="73CA0659"/>
    <w:rsid w:val="73CF3EC1"/>
    <w:rsid w:val="73DC213A"/>
    <w:rsid w:val="73F676A0"/>
    <w:rsid w:val="73FB40F4"/>
    <w:rsid w:val="74081181"/>
    <w:rsid w:val="74123526"/>
    <w:rsid w:val="741B2C62"/>
    <w:rsid w:val="741E793C"/>
    <w:rsid w:val="742359C8"/>
    <w:rsid w:val="742F0B0E"/>
    <w:rsid w:val="743124CD"/>
    <w:rsid w:val="744C3586"/>
    <w:rsid w:val="7451507D"/>
    <w:rsid w:val="745E3944"/>
    <w:rsid w:val="745E5559"/>
    <w:rsid w:val="747467E2"/>
    <w:rsid w:val="74797267"/>
    <w:rsid w:val="74945A4D"/>
    <w:rsid w:val="749C73CC"/>
    <w:rsid w:val="749F3D77"/>
    <w:rsid w:val="74A71C5A"/>
    <w:rsid w:val="74A91B87"/>
    <w:rsid w:val="74A92964"/>
    <w:rsid w:val="74AC5FB0"/>
    <w:rsid w:val="74C62534"/>
    <w:rsid w:val="74D44B6B"/>
    <w:rsid w:val="74DD3C10"/>
    <w:rsid w:val="74E428C9"/>
    <w:rsid w:val="74EF495C"/>
    <w:rsid w:val="74EF52A4"/>
    <w:rsid w:val="74FD0B4F"/>
    <w:rsid w:val="74FD680C"/>
    <w:rsid w:val="74FF2735"/>
    <w:rsid w:val="75066744"/>
    <w:rsid w:val="7509123D"/>
    <w:rsid w:val="751174FF"/>
    <w:rsid w:val="753F6E24"/>
    <w:rsid w:val="754223A9"/>
    <w:rsid w:val="755811E3"/>
    <w:rsid w:val="75662603"/>
    <w:rsid w:val="75774810"/>
    <w:rsid w:val="757F795B"/>
    <w:rsid w:val="75A60D92"/>
    <w:rsid w:val="75AE0183"/>
    <w:rsid w:val="75C242E7"/>
    <w:rsid w:val="75D37B11"/>
    <w:rsid w:val="75DC66F9"/>
    <w:rsid w:val="75E56B6A"/>
    <w:rsid w:val="75E654F2"/>
    <w:rsid w:val="75F53987"/>
    <w:rsid w:val="760F67E2"/>
    <w:rsid w:val="761330E9"/>
    <w:rsid w:val="761C5831"/>
    <w:rsid w:val="7635099D"/>
    <w:rsid w:val="764A7A65"/>
    <w:rsid w:val="7650638E"/>
    <w:rsid w:val="7662101C"/>
    <w:rsid w:val="767B2768"/>
    <w:rsid w:val="768913A4"/>
    <w:rsid w:val="768C6099"/>
    <w:rsid w:val="76937DBE"/>
    <w:rsid w:val="76A0514A"/>
    <w:rsid w:val="76A14227"/>
    <w:rsid w:val="76A734DE"/>
    <w:rsid w:val="76AC27D6"/>
    <w:rsid w:val="76B13BBA"/>
    <w:rsid w:val="76B63116"/>
    <w:rsid w:val="76CB17B4"/>
    <w:rsid w:val="76CF2DB2"/>
    <w:rsid w:val="76D62BB2"/>
    <w:rsid w:val="76E25CB9"/>
    <w:rsid w:val="76E6712B"/>
    <w:rsid w:val="76F679B7"/>
    <w:rsid w:val="76F908F6"/>
    <w:rsid w:val="7705172F"/>
    <w:rsid w:val="77072440"/>
    <w:rsid w:val="771C1756"/>
    <w:rsid w:val="772327B4"/>
    <w:rsid w:val="772462D2"/>
    <w:rsid w:val="772B0F67"/>
    <w:rsid w:val="77330DC2"/>
    <w:rsid w:val="77365C83"/>
    <w:rsid w:val="775A62C7"/>
    <w:rsid w:val="77762421"/>
    <w:rsid w:val="778475CA"/>
    <w:rsid w:val="77880CC9"/>
    <w:rsid w:val="778934FC"/>
    <w:rsid w:val="778D18BF"/>
    <w:rsid w:val="77935205"/>
    <w:rsid w:val="77A11218"/>
    <w:rsid w:val="77A93E46"/>
    <w:rsid w:val="77B56B1F"/>
    <w:rsid w:val="77C50087"/>
    <w:rsid w:val="77C752A6"/>
    <w:rsid w:val="77C828D8"/>
    <w:rsid w:val="77C9186E"/>
    <w:rsid w:val="77CF49DB"/>
    <w:rsid w:val="77D40A93"/>
    <w:rsid w:val="77D428F0"/>
    <w:rsid w:val="77D54E4D"/>
    <w:rsid w:val="77D9056B"/>
    <w:rsid w:val="77EE0CF1"/>
    <w:rsid w:val="77FA2479"/>
    <w:rsid w:val="77FC097B"/>
    <w:rsid w:val="7803238B"/>
    <w:rsid w:val="78053AA0"/>
    <w:rsid w:val="780956B4"/>
    <w:rsid w:val="780A00F7"/>
    <w:rsid w:val="780F09F4"/>
    <w:rsid w:val="78113DF5"/>
    <w:rsid w:val="781E1728"/>
    <w:rsid w:val="782E70AE"/>
    <w:rsid w:val="783F6F9E"/>
    <w:rsid w:val="7842203E"/>
    <w:rsid w:val="78463590"/>
    <w:rsid w:val="784976AB"/>
    <w:rsid w:val="787053ED"/>
    <w:rsid w:val="78836D0C"/>
    <w:rsid w:val="788A0834"/>
    <w:rsid w:val="788C4AA6"/>
    <w:rsid w:val="78974526"/>
    <w:rsid w:val="78995758"/>
    <w:rsid w:val="7899684C"/>
    <w:rsid w:val="78A90480"/>
    <w:rsid w:val="78BC481D"/>
    <w:rsid w:val="78BC7963"/>
    <w:rsid w:val="78C60F8B"/>
    <w:rsid w:val="78C7052E"/>
    <w:rsid w:val="78CE2999"/>
    <w:rsid w:val="78CF6711"/>
    <w:rsid w:val="78D23065"/>
    <w:rsid w:val="78D97C00"/>
    <w:rsid w:val="78DF4BA6"/>
    <w:rsid w:val="78E151C9"/>
    <w:rsid w:val="78F84347"/>
    <w:rsid w:val="78FE478C"/>
    <w:rsid w:val="7911199A"/>
    <w:rsid w:val="791B7700"/>
    <w:rsid w:val="792516D5"/>
    <w:rsid w:val="792C76C0"/>
    <w:rsid w:val="794D739B"/>
    <w:rsid w:val="79660E24"/>
    <w:rsid w:val="797E2876"/>
    <w:rsid w:val="79A85041"/>
    <w:rsid w:val="79AB2CDA"/>
    <w:rsid w:val="79AC06E8"/>
    <w:rsid w:val="79B449D3"/>
    <w:rsid w:val="79B80DD0"/>
    <w:rsid w:val="79BD47BC"/>
    <w:rsid w:val="79C1605A"/>
    <w:rsid w:val="79C225C7"/>
    <w:rsid w:val="79CD595E"/>
    <w:rsid w:val="79CE4C1B"/>
    <w:rsid w:val="79D31E2F"/>
    <w:rsid w:val="79D86625"/>
    <w:rsid w:val="79FD6012"/>
    <w:rsid w:val="7A020889"/>
    <w:rsid w:val="7A0E5017"/>
    <w:rsid w:val="7A106537"/>
    <w:rsid w:val="7A141107"/>
    <w:rsid w:val="7A1A39BC"/>
    <w:rsid w:val="7A1D24A0"/>
    <w:rsid w:val="7A256345"/>
    <w:rsid w:val="7A364017"/>
    <w:rsid w:val="7A37631C"/>
    <w:rsid w:val="7A3D0F42"/>
    <w:rsid w:val="7A405675"/>
    <w:rsid w:val="7A5B74C1"/>
    <w:rsid w:val="7A722F48"/>
    <w:rsid w:val="7A8124DD"/>
    <w:rsid w:val="7A8265E1"/>
    <w:rsid w:val="7A853249"/>
    <w:rsid w:val="7A8F43AA"/>
    <w:rsid w:val="7A935373"/>
    <w:rsid w:val="7AAC0CB4"/>
    <w:rsid w:val="7AB404E5"/>
    <w:rsid w:val="7ABA436F"/>
    <w:rsid w:val="7AC82EDC"/>
    <w:rsid w:val="7ADA7227"/>
    <w:rsid w:val="7AE37744"/>
    <w:rsid w:val="7AE446F6"/>
    <w:rsid w:val="7AFA3202"/>
    <w:rsid w:val="7B08650B"/>
    <w:rsid w:val="7B0B657A"/>
    <w:rsid w:val="7B137599"/>
    <w:rsid w:val="7B222CD0"/>
    <w:rsid w:val="7B2C7E4B"/>
    <w:rsid w:val="7B3330BB"/>
    <w:rsid w:val="7B3E3589"/>
    <w:rsid w:val="7B457826"/>
    <w:rsid w:val="7B617B3F"/>
    <w:rsid w:val="7B686D42"/>
    <w:rsid w:val="7B6C452B"/>
    <w:rsid w:val="7B71585E"/>
    <w:rsid w:val="7B75534E"/>
    <w:rsid w:val="7B7E1E58"/>
    <w:rsid w:val="7B7F0DC3"/>
    <w:rsid w:val="7B841746"/>
    <w:rsid w:val="7B842664"/>
    <w:rsid w:val="7B8B75C3"/>
    <w:rsid w:val="7B8C6B3B"/>
    <w:rsid w:val="7B8D02F2"/>
    <w:rsid w:val="7B8F6B41"/>
    <w:rsid w:val="7B9A09D1"/>
    <w:rsid w:val="7BA30F8D"/>
    <w:rsid w:val="7BB0282A"/>
    <w:rsid w:val="7BB67714"/>
    <w:rsid w:val="7BB73BB8"/>
    <w:rsid w:val="7BC656E4"/>
    <w:rsid w:val="7BD83B2F"/>
    <w:rsid w:val="7BDC1277"/>
    <w:rsid w:val="7BDF5FC2"/>
    <w:rsid w:val="7BF809EF"/>
    <w:rsid w:val="7BFF502B"/>
    <w:rsid w:val="7C030BAC"/>
    <w:rsid w:val="7C0A6D20"/>
    <w:rsid w:val="7C134B67"/>
    <w:rsid w:val="7C1E3C37"/>
    <w:rsid w:val="7C1E4699"/>
    <w:rsid w:val="7C240DFA"/>
    <w:rsid w:val="7C2A3E1E"/>
    <w:rsid w:val="7C43544C"/>
    <w:rsid w:val="7C5F294C"/>
    <w:rsid w:val="7C6740D6"/>
    <w:rsid w:val="7C6C5AC7"/>
    <w:rsid w:val="7C8021FC"/>
    <w:rsid w:val="7C926444"/>
    <w:rsid w:val="7C95115E"/>
    <w:rsid w:val="7CA20763"/>
    <w:rsid w:val="7CB251DE"/>
    <w:rsid w:val="7CC6544B"/>
    <w:rsid w:val="7CCA3477"/>
    <w:rsid w:val="7CF14EA8"/>
    <w:rsid w:val="7CFA1C81"/>
    <w:rsid w:val="7CFE75C5"/>
    <w:rsid w:val="7D0239FF"/>
    <w:rsid w:val="7D0438CC"/>
    <w:rsid w:val="7D150FA8"/>
    <w:rsid w:val="7D1B5C73"/>
    <w:rsid w:val="7D32101D"/>
    <w:rsid w:val="7D3B25C7"/>
    <w:rsid w:val="7D5271BC"/>
    <w:rsid w:val="7D5E40CD"/>
    <w:rsid w:val="7D6359F2"/>
    <w:rsid w:val="7D690EE2"/>
    <w:rsid w:val="7D7D673C"/>
    <w:rsid w:val="7D947862"/>
    <w:rsid w:val="7DA3233F"/>
    <w:rsid w:val="7DA34C6C"/>
    <w:rsid w:val="7DA63A85"/>
    <w:rsid w:val="7DAE29E6"/>
    <w:rsid w:val="7DBC22F6"/>
    <w:rsid w:val="7DBE5EE2"/>
    <w:rsid w:val="7DC758A5"/>
    <w:rsid w:val="7DC777E6"/>
    <w:rsid w:val="7DCD56F2"/>
    <w:rsid w:val="7DD1429A"/>
    <w:rsid w:val="7DD63A8A"/>
    <w:rsid w:val="7DDF1828"/>
    <w:rsid w:val="7DE50A89"/>
    <w:rsid w:val="7E2E5C88"/>
    <w:rsid w:val="7E5A6A7D"/>
    <w:rsid w:val="7E7C051A"/>
    <w:rsid w:val="7E7D7E11"/>
    <w:rsid w:val="7E7F3A09"/>
    <w:rsid w:val="7E9A5B7C"/>
    <w:rsid w:val="7E9B676A"/>
    <w:rsid w:val="7EA85732"/>
    <w:rsid w:val="7EAB552B"/>
    <w:rsid w:val="7ECD732C"/>
    <w:rsid w:val="7ED1464F"/>
    <w:rsid w:val="7ED354AE"/>
    <w:rsid w:val="7EDE1FFB"/>
    <w:rsid w:val="7EF26C7B"/>
    <w:rsid w:val="7EF94023"/>
    <w:rsid w:val="7EFA21F7"/>
    <w:rsid w:val="7EFC09C7"/>
    <w:rsid w:val="7F001CE7"/>
    <w:rsid w:val="7F031196"/>
    <w:rsid w:val="7F0362D1"/>
    <w:rsid w:val="7F0546C8"/>
    <w:rsid w:val="7F0F3E12"/>
    <w:rsid w:val="7F162F72"/>
    <w:rsid w:val="7F364DF4"/>
    <w:rsid w:val="7F610FDA"/>
    <w:rsid w:val="7F6317BF"/>
    <w:rsid w:val="7F651B7D"/>
    <w:rsid w:val="7F695E04"/>
    <w:rsid w:val="7F6C5028"/>
    <w:rsid w:val="7F6C517A"/>
    <w:rsid w:val="7F793B44"/>
    <w:rsid w:val="7F7A7B9C"/>
    <w:rsid w:val="7F842003"/>
    <w:rsid w:val="7F8925DC"/>
    <w:rsid w:val="7F930804"/>
    <w:rsid w:val="7F9B7332"/>
    <w:rsid w:val="7F9B734D"/>
    <w:rsid w:val="7F9E36AF"/>
    <w:rsid w:val="7FA168F3"/>
    <w:rsid w:val="7FA87FA8"/>
    <w:rsid w:val="7FA97CBC"/>
    <w:rsid w:val="7FBA7725"/>
    <w:rsid w:val="7FBF3500"/>
    <w:rsid w:val="7FC9483E"/>
    <w:rsid w:val="7FD70265"/>
    <w:rsid w:val="7FDB4543"/>
    <w:rsid w:val="7FE47E50"/>
    <w:rsid w:val="7FEC1BF7"/>
    <w:rsid w:val="7FF2638A"/>
    <w:rsid w:val="7FFB7D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9" w:semiHidden="0" w:name="heading 3" w:locked="1"/>
    <w:lsdException w:qFormat="1" w:unhideWhenUsed="0" w:uiPriority="9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qFormat="1"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name="toc 1" w:locked="1"/>
    <w:lsdException w:qFormat="1"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qFormat="1"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iPriority="99" w:semiHidden="0" w:name="Body Text First Indent 2" w:locked="1"/>
    <w:lsdException w:qFormat="1"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5"/>
    <w:next w:val="1"/>
    <w:qFormat/>
    <w:locked/>
    <w:uiPriority w:val="9"/>
    <w:pPr>
      <w:spacing w:line="440" w:lineRule="exact"/>
      <w:ind w:firstLine="200" w:firstLineChars="200"/>
      <w:outlineLvl w:val="2"/>
    </w:pPr>
    <w:rPr>
      <w:rFonts w:ascii="Times New Roman" w:hAnsi="Times New Roman" w:eastAsia="宋体" w:cs="Times New Roman"/>
      <w:bCs/>
      <w:kern w:val="2"/>
      <w:sz w:val="24"/>
      <w:szCs w:val="22"/>
      <w:lang w:val="en-US" w:eastAsia="zh-CN" w:bidi="ar-SA"/>
    </w:rPr>
  </w:style>
  <w:style w:type="paragraph" w:styleId="6">
    <w:name w:val="heading 4"/>
    <w:basedOn w:val="1"/>
    <w:next w:val="1"/>
    <w:qFormat/>
    <w:locked/>
    <w:uiPriority w:val="99"/>
    <w:pPr>
      <w:keepNext/>
      <w:keepLines/>
      <w:spacing w:before="280" w:after="290" w:line="376" w:lineRule="auto"/>
      <w:outlineLvl w:val="3"/>
    </w:pPr>
    <w:rPr>
      <w:rFonts w:ascii="Cambria" w:hAnsi="Cambria" w:cs="Times New Roman"/>
      <w:b/>
      <w:kern w:val="2"/>
      <w:sz w:val="28"/>
      <w:szCs w:val="28"/>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5">
    <w:name w:val="Title"/>
    <w:basedOn w:val="1"/>
    <w:next w:val="1"/>
    <w:qFormat/>
    <w:locked/>
    <w:uiPriority w:val="0"/>
    <w:pPr>
      <w:spacing w:before="240" w:beforeLines="0" w:beforeAutospacing="0" w:after="60" w:afterLines="0" w:afterAutospacing="0"/>
      <w:jc w:val="center"/>
      <w:outlineLvl w:val="0"/>
    </w:pPr>
    <w:rPr>
      <w:rFonts w:ascii="Arial" w:hAnsi="Arial"/>
      <w:b/>
      <w:sz w:val="32"/>
    </w:rPr>
  </w:style>
  <w:style w:type="paragraph" w:styleId="7">
    <w:name w:val="Note Heading"/>
    <w:basedOn w:val="1"/>
    <w:next w:val="1"/>
    <w:qFormat/>
    <w:locked/>
    <w:uiPriority w:val="0"/>
    <w:pPr>
      <w:jc w:val="center"/>
    </w:pPr>
  </w:style>
  <w:style w:type="paragraph" w:styleId="8">
    <w:name w:val="Normal Indent"/>
    <w:basedOn w:val="1"/>
    <w:next w:val="9"/>
    <w:qFormat/>
    <w:locked/>
    <w:uiPriority w:val="0"/>
    <w:pPr>
      <w:adjustRightInd w:val="0"/>
      <w:snapToGrid w:val="0"/>
      <w:spacing w:line="360" w:lineRule="auto"/>
    </w:pPr>
    <w:rPr>
      <w:sz w:val="24"/>
    </w:rPr>
  </w:style>
  <w:style w:type="paragraph" w:styleId="9">
    <w:name w:val="Plain Text"/>
    <w:basedOn w:val="1"/>
    <w:qFormat/>
    <w:locked/>
    <w:uiPriority w:val="0"/>
    <w:rPr>
      <w:rFonts w:ascii="宋体" w:hAnsi="Courier New" w:cs="Courier New"/>
      <w:szCs w:val="21"/>
    </w:rPr>
  </w:style>
  <w:style w:type="paragraph" w:styleId="10">
    <w:name w:val="caption"/>
    <w:basedOn w:val="1"/>
    <w:next w:val="1"/>
    <w:qFormat/>
    <w:locked/>
    <w:uiPriority w:val="0"/>
    <w:pPr>
      <w:ind w:firstLine="504" w:firstLineChars="200"/>
      <w:jc w:val="center"/>
    </w:pPr>
    <w:rPr>
      <w:rFonts w:ascii="宋体" w:hAnsi="宋体" w:cs="Arial"/>
      <w:snapToGrid w:val="0"/>
      <w:szCs w:val="24"/>
    </w:rPr>
  </w:style>
  <w:style w:type="paragraph" w:styleId="11">
    <w:name w:val="index 5"/>
    <w:basedOn w:val="1"/>
    <w:next w:val="1"/>
    <w:qFormat/>
    <w:locked/>
    <w:uiPriority w:val="0"/>
    <w:pPr>
      <w:ind w:left="1680"/>
    </w:pPr>
  </w:style>
  <w:style w:type="paragraph" w:styleId="12">
    <w:name w:val="Document Map"/>
    <w:basedOn w:val="1"/>
    <w:link w:val="46"/>
    <w:qFormat/>
    <w:locked/>
    <w:uiPriority w:val="0"/>
    <w:rPr>
      <w:rFonts w:ascii="宋体"/>
      <w:sz w:val="18"/>
      <w:szCs w:val="18"/>
    </w:rPr>
  </w:style>
  <w:style w:type="paragraph" w:styleId="13">
    <w:name w:val="annotation text"/>
    <w:basedOn w:val="1"/>
    <w:link w:val="47"/>
    <w:semiHidden/>
    <w:qFormat/>
    <w:uiPriority w:val="0"/>
    <w:pPr>
      <w:jc w:val="left"/>
    </w:pPr>
    <w:rPr>
      <w:kern w:val="0"/>
      <w:sz w:val="24"/>
      <w:szCs w:val="20"/>
    </w:rPr>
  </w:style>
  <w:style w:type="paragraph" w:styleId="14">
    <w:name w:val="Body Text"/>
    <w:basedOn w:val="1"/>
    <w:next w:val="1"/>
    <w:link w:val="48"/>
    <w:qFormat/>
    <w:uiPriority w:val="0"/>
    <w:pPr>
      <w:widowControl/>
      <w:snapToGrid w:val="0"/>
      <w:spacing w:before="60" w:after="160" w:line="259" w:lineRule="auto"/>
      <w:ind w:right="113"/>
    </w:pPr>
    <w:rPr>
      <w:kern w:val="0"/>
      <w:sz w:val="18"/>
      <w:szCs w:val="20"/>
    </w:rPr>
  </w:style>
  <w:style w:type="paragraph" w:styleId="15">
    <w:name w:val="Body Text Indent"/>
    <w:basedOn w:val="1"/>
    <w:next w:val="16"/>
    <w:link w:val="49"/>
    <w:qFormat/>
    <w:uiPriority w:val="0"/>
    <w:pPr>
      <w:spacing w:after="120"/>
      <w:ind w:left="420" w:leftChars="200"/>
    </w:pPr>
    <w:rPr>
      <w:kern w:val="0"/>
      <w:sz w:val="24"/>
      <w:szCs w:val="20"/>
    </w:rPr>
  </w:style>
  <w:style w:type="paragraph" w:styleId="16">
    <w:name w:val="header"/>
    <w:basedOn w:val="1"/>
    <w:next w:val="17"/>
    <w:link w:val="50"/>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17">
    <w:name w:val="样式5"/>
    <w:basedOn w:val="18"/>
    <w:next w:val="20"/>
    <w:qFormat/>
    <w:uiPriority w:val="0"/>
    <w:pPr>
      <w:tabs>
        <w:tab w:val="center" w:pos="4153"/>
        <w:tab w:val="right" w:pos="8306"/>
      </w:tabs>
      <w:snapToGrid w:val="0"/>
      <w:spacing w:beforeLines="20" w:afterLines="20" w:line="480" w:lineRule="exact"/>
      <w:ind w:firstLine="523" w:firstLineChars="218"/>
      <w:jc w:val="both"/>
    </w:pPr>
    <w:rPr>
      <w:i/>
      <w:iCs/>
      <w:kern w:val="2"/>
      <w:sz w:val="24"/>
      <w:szCs w:val="20"/>
    </w:rPr>
  </w:style>
  <w:style w:type="paragraph" w:customStyle="1" w:styleId="18">
    <w:name w:val="正文1"/>
    <w:basedOn w:val="19"/>
    <w:qFormat/>
    <w:uiPriority w:val="0"/>
    <w:pPr>
      <w:tabs>
        <w:tab w:val="center" w:pos="4153"/>
        <w:tab w:val="right" w:pos="8306"/>
      </w:tabs>
      <w:spacing w:before="78" w:beforeLines="25" w:after="78" w:afterLines="25" w:line="360" w:lineRule="auto"/>
      <w:ind w:firstLine="480" w:firstLineChars="200"/>
      <w:jc w:val="left"/>
    </w:pPr>
    <w:rPr>
      <w:sz w:val="24"/>
    </w:rPr>
  </w:style>
  <w:style w:type="paragraph" w:styleId="19">
    <w:name w:val="footer"/>
    <w:basedOn w:val="1"/>
    <w:link w:val="51"/>
    <w:qFormat/>
    <w:uiPriority w:val="99"/>
    <w:pPr>
      <w:tabs>
        <w:tab w:val="center" w:pos="4153"/>
        <w:tab w:val="right" w:pos="8306"/>
      </w:tabs>
      <w:snapToGrid w:val="0"/>
      <w:jc w:val="left"/>
    </w:pPr>
    <w:rPr>
      <w:kern w:val="0"/>
      <w:sz w:val="18"/>
      <w:szCs w:val="20"/>
    </w:rPr>
  </w:style>
  <w:style w:type="paragraph" w:customStyle="1" w:styleId="20">
    <w:name w:val="图框文字"/>
    <w:basedOn w:val="1"/>
    <w:qFormat/>
    <w:uiPriority w:val="0"/>
    <w:pPr>
      <w:jc w:val="center"/>
      <w:textAlignment w:val="center"/>
    </w:pPr>
    <w:rPr>
      <w:rFonts w:ascii="Times New Roman" w:hAnsi="Times New Roman" w:eastAsia="宋体" w:cs="Times New Roman"/>
      <w:szCs w:val="24"/>
    </w:rPr>
  </w:style>
  <w:style w:type="paragraph" w:styleId="21">
    <w:name w:val="Block Text"/>
    <w:basedOn w:val="1"/>
    <w:qFormat/>
    <w:locked/>
    <w:uiPriority w:val="0"/>
    <w:pPr>
      <w:widowControl/>
      <w:spacing w:line="440" w:lineRule="exact"/>
      <w:ind w:left="5" w:leftChars="3" w:right="-108" w:rightChars="-60" w:firstLine="437" w:firstLineChars="182"/>
      <w:jc w:val="left"/>
    </w:pPr>
    <w:rPr>
      <w:rFonts w:ascii="宋体"/>
      <w:kern w:val="0"/>
      <w:sz w:val="24"/>
      <w:szCs w:val="20"/>
    </w:rPr>
  </w:style>
  <w:style w:type="paragraph" w:styleId="22">
    <w:name w:val="List Bullet 5"/>
    <w:basedOn w:val="1"/>
    <w:qFormat/>
    <w:locked/>
    <w:uiPriority w:val="0"/>
    <w:pPr>
      <w:numPr>
        <w:ilvl w:val="0"/>
        <w:numId w:val="1"/>
      </w:numPr>
    </w:pPr>
  </w:style>
  <w:style w:type="paragraph" w:styleId="23">
    <w:name w:val="Date"/>
    <w:basedOn w:val="1"/>
    <w:next w:val="1"/>
    <w:link w:val="52"/>
    <w:qFormat/>
    <w:uiPriority w:val="0"/>
    <w:pPr>
      <w:ind w:left="100" w:leftChars="2500"/>
    </w:pPr>
    <w:rPr>
      <w:kern w:val="0"/>
      <w:sz w:val="24"/>
      <w:szCs w:val="20"/>
    </w:rPr>
  </w:style>
  <w:style w:type="paragraph" w:styleId="24">
    <w:name w:val="Body Text Indent 2"/>
    <w:basedOn w:val="1"/>
    <w:qFormat/>
    <w:locked/>
    <w:uiPriority w:val="0"/>
    <w:pPr>
      <w:spacing w:line="360" w:lineRule="auto"/>
      <w:ind w:left="720" w:hanging="720"/>
    </w:pPr>
    <w:rPr>
      <w:rFonts w:ascii="宋体"/>
      <w:sz w:val="24"/>
      <w:szCs w:val="20"/>
    </w:rPr>
  </w:style>
  <w:style w:type="paragraph" w:styleId="25">
    <w:name w:val="Balloon Text"/>
    <w:basedOn w:val="1"/>
    <w:link w:val="53"/>
    <w:semiHidden/>
    <w:qFormat/>
    <w:uiPriority w:val="0"/>
    <w:rPr>
      <w:kern w:val="0"/>
      <w:sz w:val="18"/>
      <w:szCs w:val="20"/>
    </w:rPr>
  </w:style>
  <w:style w:type="paragraph" w:styleId="26">
    <w:name w:val="envelope return"/>
    <w:basedOn w:val="1"/>
    <w:qFormat/>
    <w:locked/>
    <w:uiPriority w:val="0"/>
    <w:rPr>
      <w:rFonts w:ascii="Arial" w:hAnsi="Arial"/>
    </w:rPr>
  </w:style>
  <w:style w:type="paragraph" w:styleId="27">
    <w:name w:val="toc 1"/>
    <w:basedOn w:val="1"/>
    <w:next w:val="1"/>
    <w:semiHidden/>
    <w:qFormat/>
    <w:locked/>
    <w:uiPriority w:val="0"/>
    <w:pPr>
      <w:adjustRightInd w:val="0"/>
      <w:snapToGrid w:val="0"/>
      <w:spacing w:line="280" w:lineRule="exact"/>
      <w:jc w:val="center"/>
    </w:pPr>
    <w:rPr>
      <w:sz w:val="24"/>
      <w:szCs w:val="20"/>
    </w:rPr>
  </w:style>
  <w:style w:type="paragraph" w:styleId="28">
    <w:name w:val="Body Text Indent 3"/>
    <w:basedOn w:val="1"/>
    <w:qFormat/>
    <w:locked/>
    <w:uiPriority w:val="0"/>
    <w:pPr>
      <w:ind w:firstLine="570"/>
    </w:pPr>
    <w:rPr>
      <w:sz w:val="24"/>
    </w:rPr>
  </w:style>
  <w:style w:type="paragraph" w:styleId="29">
    <w:name w:val="toc 2"/>
    <w:basedOn w:val="1"/>
    <w:next w:val="1"/>
    <w:unhideWhenUsed/>
    <w:qFormat/>
    <w:locked/>
    <w:uiPriority w:val="39"/>
    <w:pPr>
      <w:spacing w:line="480" w:lineRule="exact"/>
      <w:ind w:firstLine="480" w:firstLineChars="200"/>
    </w:pPr>
    <w:rPr>
      <w:rFonts w:ascii="Times New Roman" w:hAnsi="Times New Roman"/>
      <w:bCs/>
      <w:color w:val="000000"/>
      <w:sz w:val="24"/>
      <w:szCs w:val="20"/>
    </w:rPr>
  </w:style>
  <w:style w:type="paragraph" w:styleId="30">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link w:val="54"/>
    <w:qFormat/>
    <w:uiPriority w:val="0"/>
    <w:pPr>
      <w:widowControl/>
      <w:spacing w:before="100" w:beforeAutospacing="1" w:after="100" w:afterAutospacing="1"/>
      <w:jc w:val="left"/>
    </w:pPr>
    <w:rPr>
      <w:rFonts w:ascii="宋体" w:hAnsi="宋体"/>
      <w:kern w:val="0"/>
      <w:sz w:val="24"/>
      <w:szCs w:val="20"/>
    </w:rPr>
  </w:style>
  <w:style w:type="paragraph" w:styleId="32">
    <w:name w:val="index 1"/>
    <w:basedOn w:val="1"/>
    <w:next w:val="1"/>
    <w:qFormat/>
    <w:locked/>
    <w:uiPriority w:val="0"/>
    <w:pPr>
      <w:spacing w:line="192" w:lineRule="auto"/>
      <w:jc w:val="center"/>
    </w:pPr>
    <w:rPr>
      <w:rFonts w:ascii="宋体" w:hAnsi="宋体"/>
      <w:szCs w:val="20"/>
    </w:rPr>
  </w:style>
  <w:style w:type="paragraph" w:styleId="33">
    <w:name w:val="annotation subject"/>
    <w:basedOn w:val="13"/>
    <w:next w:val="13"/>
    <w:link w:val="55"/>
    <w:semiHidden/>
    <w:qFormat/>
    <w:uiPriority w:val="0"/>
    <w:rPr>
      <w:b/>
      <w:kern w:val="2"/>
    </w:rPr>
  </w:style>
  <w:style w:type="paragraph" w:styleId="34">
    <w:name w:val="Body Text First Indent"/>
    <w:basedOn w:val="14"/>
    <w:qFormat/>
    <w:locked/>
    <w:uiPriority w:val="0"/>
    <w:pPr>
      <w:autoSpaceDE/>
      <w:autoSpaceDN/>
      <w:ind w:left="0" w:firstLine="100" w:firstLineChars="100"/>
      <w:jc w:val="both"/>
    </w:pPr>
    <w:rPr>
      <w:rFonts w:ascii="Calibri" w:hAnsi="Calibri" w:eastAsia="宋体" w:cs="Times New Roman"/>
      <w:kern w:val="2"/>
      <w:sz w:val="21"/>
      <w:szCs w:val="24"/>
      <w:lang w:val="en-US" w:bidi="ar-SA"/>
    </w:rPr>
  </w:style>
  <w:style w:type="paragraph" w:styleId="35">
    <w:name w:val="Body Text First Indent 2"/>
    <w:basedOn w:val="15"/>
    <w:next w:val="1"/>
    <w:unhideWhenUsed/>
    <w:qFormat/>
    <w:locked/>
    <w:uiPriority w:val="99"/>
    <w:pPr>
      <w:spacing w:after="120" w:line="240" w:lineRule="auto"/>
      <w:ind w:left="420" w:leftChars="200" w:firstLine="420" w:firstLineChars="200"/>
      <w:jc w:val="both"/>
    </w:pPr>
    <w:rPr>
      <w:rFonts w:ascii="Times New Roman" w:hAnsi="Times New Roman"/>
      <w:kern w:val="2"/>
      <w:sz w:val="21"/>
    </w:rPr>
  </w:style>
  <w:style w:type="table" w:styleId="37">
    <w:name w:val="Table Grid"/>
    <w:basedOn w:val="36"/>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locked/>
    <w:uiPriority w:val="0"/>
    <w:rPr>
      <w:b/>
    </w:rPr>
  </w:style>
  <w:style w:type="character" w:styleId="40">
    <w:name w:val="page number"/>
    <w:qFormat/>
    <w:locked/>
    <w:uiPriority w:val="0"/>
  </w:style>
  <w:style w:type="character" w:styleId="41">
    <w:name w:val="FollowedHyperlink"/>
    <w:basedOn w:val="38"/>
    <w:qFormat/>
    <w:locked/>
    <w:uiPriority w:val="0"/>
    <w:rPr>
      <w:color w:val="595758"/>
      <w:u w:val="none"/>
    </w:rPr>
  </w:style>
  <w:style w:type="character" w:styleId="42">
    <w:name w:val="Hyperlink"/>
    <w:basedOn w:val="38"/>
    <w:qFormat/>
    <w:locked/>
    <w:uiPriority w:val="0"/>
    <w:rPr>
      <w:color w:val="595758"/>
      <w:u w:val="none"/>
    </w:rPr>
  </w:style>
  <w:style w:type="character" w:styleId="43">
    <w:name w:val="annotation reference"/>
    <w:semiHidden/>
    <w:qFormat/>
    <w:uiPriority w:val="0"/>
    <w:rPr>
      <w:sz w:val="21"/>
    </w:rPr>
  </w:style>
  <w:style w:type="paragraph" w:customStyle="1" w:styleId="44">
    <w:name w:val="style4"/>
    <w:basedOn w:val="1"/>
    <w:next w:val="45"/>
    <w:qFormat/>
    <w:uiPriority w:val="0"/>
    <w:pPr>
      <w:widowControl/>
      <w:spacing w:before="280" w:after="280"/>
    </w:pPr>
    <w:rPr>
      <w:rFonts w:ascii="宋体"/>
      <w:sz w:val="18"/>
    </w:rPr>
  </w:style>
  <w:style w:type="paragraph" w:customStyle="1" w:styleId="45">
    <w:name w:val="2"/>
    <w:basedOn w:val="1"/>
    <w:next w:val="1"/>
    <w:qFormat/>
    <w:uiPriority w:val="0"/>
    <w:pPr>
      <w:ind w:firstLine="527" w:firstLineChars="200"/>
    </w:pPr>
    <w:rPr>
      <w:rFonts w:ascii="宋体"/>
      <w:spacing w:val="5"/>
      <w:sz w:val="25"/>
      <w:szCs w:val="25"/>
    </w:rPr>
  </w:style>
  <w:style w:type="character" w:customStyle="1" w:styleId="46">
    <w:name w:val="文档结构图 Char"/>
    <w:link w:val="12"/>
    <w:qFormat/>
    <w:uiPriority w:val="0"/>
    <w:rPr>
      <w:rFonts w:ascii="宋体"/>
      <w:kern w:val="2"/>
      <w:sz w:val="18"/>
      <w:szCs w:val="18"/>
    </w:rPr>
  </w:style>
  <w:style w:type="character" w:customStyle="1" w:styleId="47">
    <w:name w:val="批注文字 Char"/>
    <w:link w:val="13"/>
    <w:qFormat/>
    <w:locked/>
    <w:uiPriority w:val="0"/>
    <w:rPr>
      <w:rFonts w:ascii="Times New Roman" w:hAnsi="Times New Roman" w:eastAsia="宋体"/>
      <w:sz w:val="24"/>
    </w:rPr>
  </w:style>
  <w:style w:type="character" w:customStyle="1" w:styleId="48">
    <w:name w:val="正文文本 Char"/>
    <w:link w:val="14"/>
    <w:qFormat/>
    <w:locked/>
    <w:uiPriority w:val="0"/>
    <w:rPr>
      <w:sz w:val="18"/>
    </w:rPr>
  </w:style>
  <w:style w:type="character" w:customStyle="1" w:styleId="49">
    <w:name w:val="正文文本缩进 Char"/>
    <w:link w:val="15"/>
    <w:semiHidden/>
    <w:qFormat/>
    <w:locked/>
    <w:uiPriority w:val="0"/>
    <w:rPr>
      <w:rFonts w:ascii="Times New Roman" w:hAnsi="Times New Roman" w:eastAsia="宋体"/>
      <w:sz w:val="24"/>
    </w:rPr>
  </w:style>
  <w:style w:type="character" w:customStyle="1" w:styleId="50">
    <w:name w:val="页眉 Char"/>
    <w:link w:val="16"/>
    <w:qFormat/>
    <w:locked/>
    <w:uiPriority w:val="0"/>
    <w:rPr>
      <w:sz w:val="18"/>
    </w:rPr>
  </w:style>
  <w:style w:type="character" w:customStyle="1" w:styleId="51">
    <w:name w:val="页脚 Char"/>
    <w:link w:val="19"/>
    <w:qFormat/>
    <w:locked/>
    <w:uiPriority w:val="99"/>
    <w:rPr>
      <w:sz w:val="18"/>
    </w:rPr>
  </w:style>
  <w:style w:type="character" w:customStyle="1" w:styleId="52">
    <w:name w:val="日期 Char"/>
    <w:link w:val="23"/>
    <w:qFormat/>
    <w:locked/>
    <w:uiPriority w:val="0"/>
    <w:rPr>
      <w:rFonts w:ascii="Times New Roman" w:hAnsi="Times New Roman" w:eastAsia="宋体"/>
      <w:sz w:val="24"/>
    </w:rPr>
  </w:style>
  <w:style w:type="character" w:customStyle="1" w:styleId="53">
    <w:name w:val="批注框文本 Char"/>
    <w:link w:val="25"/>
    <w:semiHidden/>
    <w:qFormat/>
    <w:locked/>
    <w:uiPriority w:val="0"/>
    <w:rPr>
      <w:rFonts w:ascii="Times New Roman" w:hAnsi="Times New Roman" w:eastAsia="宋体"/>
      <w:sz w:val="18"/>
    </w:rPr>
  </w:style>
  <w:style w:type="character" w:customStyle="1" w:styleId="54">
    <w:name w:val="普通(网站) Char"/>
    <w:link w:val="31"/>
    <w:qFormat/>
    <w:locked/>
    <w:uiPriority w:val="0"/>
    <w:rPr>
      <w:rFonts w:ascii="宋体" w:hAnsi="宋体" w:eastAsia="宋体"/>
      <w:sz w:val="24"/>
    </w:rPr>
  </w:style>
  <w:style w:type="character" w:customStyle="1" w:styleId="55">
    <w:name w:val="批注主题 Char"/>
    <w:link w:val="33"/>
    <w:semiHidden/>
    <w:qFormat/>
    <w:locked/>
    <w:uiPriority w:val="0"/>
    <w:rPr>
      <w:rFonts w:ascii="Times New Roman" w:hAnsi="Times New Roman" w:eastAsia="宋体"/>
      <w:b/>
      <w:kern w:val="2"/>
      <w:sz w:val="24"/>
    </w:rPr>
  </w:style>
  <w:style w:type="paragraph" w:customStyle="1" w:styleId="56">
    <w:name w:val="Default"/>
    <w:basedOn w:val="57"/>
    <w:qFormat/>
    <w:uiPriority w:val="0"/>
    <w:pPr>
      <w:widowControl w:val="0"/>
      <w:autoSpaceDE w:val="0"/>
      <w:autoSpaceDN w:val="0"/>
      <w:adjustRightInd w:val="0"/>
    </w:pPr>
    <w:rPr>
      <w:color w:val="000000"/>
      <w:sz w:val="24"/>
      <w:szCs w:val="24"/>
      <w:lang w:val="en-US" w:eastAsia="zh-CN" w:bidi="ar-SA"/>
    </w:rPr>
  </w:style>
  <w:style w:type="paragraph" w:customStyle="1" w:styleId="57">
    <w:name w:val="纯文本1"/>
    <w:basedOn w:val="1"/>
    <w:qFormat/>
    <w:uiPriority w:val="0"/>
    <w:pPr>
      <w:adjustRightInd w:val="0"/>
      <w:jc w:val="left"/>
      <w:textAlignment w:val="baseline"/>
    </w:pPr>
    <w:rPr>
      <w:rFonts w:ascii="宋体"/>
      <w:kern w:val="0"/>
      <w:sz w:val="20"/>
      <w:szCs w:val="20"/>
    </w:rPr>
  </w:style>
  <w:style w:type="paragraph" w:customStyle="1" w:styleId="58">
    <w:name w:val="标正文格式"/>
    <w:qFormat/>
    <w:uiPriority w:val="0"/>
    <w:pPr>
      <w:spacing w:line="480" w:lineRule="exact"/>
      <w:ind w:firstLine="1092" w:firstLineChars="200"/>
      <w:jc w:val="both"/>
    </w:pPr>
    <w:rPr>
      <w:rFonts w:ascii="Times New Roman" w:hAnsi="Times New Roman" w:eastAsia="宋体" w:cs="Times New Roman"/>
      <w:sz w:val="24"/>
      <w:lang w:val="en-US" w:eastAsia="zh-CN" w:bidi="ar-SA"/>
    </w:rPr>
  </w:style>
  <w:style w:type="paragraph" w:customStyle="1" w:styleId="59">
    <w:name w:val="Char Char Char Char Char Char Char Char Char1 Char"/>
    <w:basedOn w:val="1"/>
    <w:next w:val="60"/>
    <w:qFormat/>
    <w:uiPriority w:val="99"/>
    <w:pPr>
      <w:widowControl w:val="0"/>
      <w:spacing w:line="360" w:lineRule="auto"/>
      <w:ind w:firstLine="200" w:firstLineChars="200"/>
      <w:jc w:val="both"/>
    </w:pPr>
    <w:rPr>
      <w:kern w:val="2"/>
    </w:rPr>
  </w:style>
  <w:style w:type="paragraph" w:customStyle="1" w:styleId="60">
    <w:name w:val="Body Text First Indent1"/>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61">
    <w:name w:val="样式 正文文本 + 首行缩进:  2 字符"/>
    <w:basedOn w:val="14"/>
    <w:qFormat/>
    <w:uiPriority w:val="99"/>
    <w:pPr>
      <w:spacing w:after="200" w:line="480" w:lineRule="exact"/>
      <w:ind w:firstLine="480" w:firstLineChars="200"/>
    </w:pPr>
    <w:rPr>
      <w:rFonts w:ascii="宋体" w:hAnsi="宋体"/>
      <w:sz w:val="24"/>
    </w:rPr>
  </w:style>
  <w:style w:type="paragraph" w:customStyle="1" w:styleId="62">
    <w:name w:val="xl27"/>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kern w:val="0"/>
      <w:szCs w:val="21"/>
    </w:rPr>
  </w:style>
  <w:style w:type="character" w:customStyle="1" w:styleId="63">
    <w:name w:val="正文文本缩进 3 Char Char"/>
    <w:qFormat/>
    <w:uiPriority w:val="0"/>
    <w:rPr>
      <w:rFonts w:ascii="宋体" w:hAnsi="宋体" w:eastAsia="宋体"/>
      <w:b/>
      <w:bCs/>
      <w:kern w:val="2"/>
      <w:sz w:val="24"/>
      <w:lang w:val="en-US" w:eastAsia="zh-CN" w:bidi="ar-SA"/>
    </w:rPr>
  </w:style>
  <w:style w:type="character" w:customStyle="1" w:styleId="64">
    <w:name w:val="bsharetext"/>
    <w:qFormat/>
    <w:uiPriority w:val="0"/>
  </w:style>
  <w:style w:type="character" w:customStyle="1" w:styleId="65">
    <w:name w:val="批注文字 字符1"/>
    <w:semiHidden/>
    <w:qFormat/>
    <w:uiPriority w:val="0"/>
    <w:rPr>
      <w:rFonts w:ascii="Times New Roman" w:hAnsi="Times New Roman" w:eastAsia="宋体"/>
      <w:sz w:val="24"/>
    </w:rPr>
  </w:style>
  <w:style w:type="character" w:customStyle="1" w:styleId="66">
    <w:name w:val="表格 Char"/>
    <w:link w:val="67"/>
    <w:qFormat/>
    <w:locked/>
    <w:uiPriority w:val="0"/>
    <w:rPr>
      <w:rFonts w:ascii="宋体"/>
      <w:sz w:val="21"/>
    </w:rPr>
  </w:style>
  <w:style w:type="paragraph" w:customStyle="1" w:styleId="67">
    <w:name w:val="表格"/>
    <w:basedOn w:val="1"/>
    <w:next w:val="8"/>
    <w:link w:val="66"/>
    <w:qFormat/>
    <w:uiPriority w:val="0"/>
    <w:pPr>
      <w:adjustRightInd w:val="0"/>
      <w:snapToGrid w:val="0"/>
      <w:spacing w:beforeLines="10" w:afterLines="10" w:line="259" w:lineRule="auto"/>
      <w:jc w:val="center"/>
    </w:pPr>
    <w:rPr>
      <w:rFonts w:ascii="宋体"/>
      <w:kern w:val="0"/>
      <w:szCs w:val="20"/>
    </w:rPr>
  </w:style>
  <w:style w:type="character" w:customStyle="1" w:styleId="68">
    <w:name w:val="正文文本 字符1"/>
    <w:semiHidden/>
    <w:qFormat/>
    <w:uiPriority w:val="0"/>
    <w:rPr>
      <w:rFonts w:ascii="Times New Roman" w:hAnsi="Times New Roman" w:eastAsia="宋体"/>
      <w:sz w:val="24"/>
    </w:rPr>
  </w:style>
  <w:style w:type="character" w:customStyle="1" w:styleId="69">
    <w:name w:val="页脚 字符"/>
    <w:qFormat/>
    <w:uiPriority w:val="99"/>
  </w:style>
  <w:style w:type="character" w:customStyle="1" w:styleId="70">
    <w:name w:val="NormalCharacter"/>
    <w:qFormat/>
    <w:uiPriority w:val="0"/>
    <w:rPr>
      <w:rFonts w:ascii="Times New Roman" w:hAnsi="Times New Roman" w:eastAsia="宋体" w:cs="Times New Roman"/>
      <w:kern w:val="2"/>
      <w:sz w:val="21"/>
      <w:szCs w:val="24"/>
      <w:lang w:val="en-US" w:eastAsia="zh-CN" w:bidi="ar-SA"/>
    </w:rPr>
  </w:style>
  <w:style w:type="character" w:customStyle="1" w:styleId="71">
    <w:name w:val="日期 字符"/>
    <w:semiHidden/>
    <w:qFormat/>
    <w:uiPriority w:val="0"/>
    <w:rPr>
      <w:rFonts w:ascii="Times New Roman" w:hAnsi="Times New Roman" w:eastAsia="宋体"/>
      <w:sz w:val="24"/>
    </w:rPr>
  </w:style>
  <w:style w:type="paragraph" w:customStyle="1" w:styleId="72">
    <w:name w:val="UserStyle_11"/>
    <w:basedOn w:val="73"/>
    <w:next w:val="73"/>
    <w:qFormat/>
    <w:uiPriority w:val="0"/>
    <w:pPr>
      <w:spacing w:line="400" w:lineRule="atLeast"/>
      <w:ind w:firstLine="420" w:firstLineChars="200"/>
      <w:jc w:val="both"/>
      <w:textAlignment w:val="baseline"/>
    </w:pPr>
    <w:rPr>
      <w:rFonts w:ascii="Times New Roman"/>
      <w:spacing w:val="-2"/>
      <w:kern w:val="0"/>
      <w:sz w:val="24"/>
      <w:lang w:val="en-US" w:eastAsia="zh-CN" w:bidi="ar-SA"/>
    </w:rPr>
  </w:style>
  <w:style w:type="paragraph" w:customStyle="1" w:styleId="73">
    <w:name w:val="NormalIndent"/>
    <w:basedOn w:val="1"/>
    <w:qFormat/>
    <w:uiPriority w:val="0"/>
    <w:pPr>
      <w:ind w:firstLine="420" w:firstLineChars="200"/>
      <w:jc w:val="both"/>
      <w:textAlignment w:val="baseline"/>
    </w:pPr>
    <w:rPr>
      <w:rFonts w:ascii="宋体"/>
      <w:kern w:val="2"/>
      <w:sz w:val="25"/>
      <w:lang w:val="en-US" w:eastAsia="zh-CN" w:bidi="ar-SA"/>
    </w:rPr>
  </w:style>
  <w:style w:type="paragraph" w:customStyle="1" w:styleId="74">
    <w:name w:val="表内格式"/>
    <w:qFormat/>
    <w:uiPriority w:val="0"/>
    <w:pPr>
      <w:spacing w:line="320" w:lineRule="exact"/>
      <w:jc w:val="center"/>
    </w:pPr>
    <w:rPr>
      <w:rFonts w:ascii="Times New Roman" w:hAnsi="Times New Roman" w:eastAsia="宋体" w:cs="Times New Roman"/>
      <w:sz w:val="21"/>
      <w:lang w:val="en-US" w:eastAsia="zh-CN" w:bidi="ar-SA"/>
    </w:rPr>
  </w:style>
  <w:style w:type="paragraph" w:customStyle="1" w:styleId="75">
    <w:name w:val="5环评正文5"/>
    <w:basedOn w:val="1"/>
    <w:qFormat/>
    <w:uiPriority w:val="0"/>
    <w:pPr>
      <w:adjustRightInd w:val="0"/>
      <w:snapToGrid w:val="0"/>
      <w:spacing w:line="500" w:lineRule="exact"/>
      <w:ind w:firstLine="200" w:firstLineChars="200"/>
    </w:pPr>
    <w:rPr>
      <w:kern w:val="0"/>
      <w:sz w:val="24"/>
    </w:rPr>
  </w:style>
  <w:style w:type="paragraph" w:customStyle="1" w:styleId="76">
    <w:name w:val="...表格内容"/>
    <w:next w:val="1"/>
    <w:qFormat/>
    <w:uiPriority w:val="0"/>
    <w:pPr>
      <w:spacing w:line="240" w:lineRule="atLeast"/>
      <w:jc w:val="center"/>
    </w:pPr>
    <w:rPr>
      <w:rFonts w:ascii="Times New Roman" w:hAnsi="Times New Roman" w:eastAsia="Times New Roman" w:cs="Times New Roman"/>
      <w:kern w:val="2"/>
      <w:sz w:val="21"/>
      <w:szCs w:val="24"/>
      <w:lang w:val="en-US" w:eastAsia="zh-CN" w:bidi="ar-SA"/>
    </w:rPr>
  </w:style>
  <w:style w:type="paragraph" w:customStyle="1" w:styleId="77">
    <w:name w:val="Table Paragraph"/>
    <w:basedOn w:val="1"/>
    <w:qFormat/>
    <w:uiPriority w:val="1"/>
  </w:style>
  <w:style w:type="paragraph" w:customStyle="1" w:styleId="78">
    <w:name w:val="样式 样式 四号 左侧:  1.53 厘米 + 首行缩进:  2 字符"/>
    <w:basedOn w:val="79"/>
    <w:unhideWhenUsed/>
    <w:qFormat/>
    <w:uiPriority w:val="99"/>
    <w:pPr>
      <w:ind w:left="200" w:leftChars="200"/>
    </w:pPr>
  </w:style>
  <w:style w:type="paragraph" w:customStyle="1" w:styleId="79">
    <w:name w:val="样式 四号 左侧:  1.53 厘米"/>
    <w:basedOn w:val="1"/>
    <w:unhideWhenUsed/>
    <w:qFormat/>
    <w:uiPriority w:val="99"/>
    <w:rPr>
      <w:rFonts w:hint="eastAsia"/>
      <w:w w:val="90"/>
      <w:sz w:val="28"/>
    </w:rPr>
  </w:style>
  <w:style w:type="paragraph" w:customStyle="1" w:styleId="80">
    <w:name w:val="我表格标题"/>
    <w:basedOn w:val="1"/>
    <w:qFormat/>
    <w:uiPriority w:val="0"/>
    <w:pPr>
      <w:jc w:val="center"/>
    </w:pPr>
    <w:rPr>
      <w:b/>
      <w:color w:val="000000"/>
      <w:kern w:val="0"/>
      <w:sz w:val="24"/>
    </w:rPr>
  </w:style>
  <w:style w:type="paragraph" w:customStyle="1" w:styleId="81">
    <w:name w:val="二级标题"/>
    <w:basedOn w:val="1"/>
    <w:qFormat/>
    <w:uiPriority w:val="0"/>
    <w:pPr>
      <w:adjustRightInd w:val="0"/>
      <w:spacing w:before="120" w:after="120" w:line="400" w:lineRule="atLeast"/>
      <w:textAlignment w:val="baseline"/>
    </w:pPr>
    <w:rPr>
      <w:rFonts w:eastAsia="黑体"/>
      <w:kern w:val="0"/>
      <w:sz w:val="28"/>
      <w:szCs w:val="20"/>
    </w:rPr>
  </w:style>
  <w:style w:type="paragraph" w:customStyle="1" w:styleId="82">
    <w:name w:val="表格正文"/>
    <w:basedOn w:val="1"/>
    <w:next w:val="83"/>
    <w:qFormat/>
    <w:uiPriority w:val="0"/>
    <w:pPr>
      <w:adjustRightInd w:val="0"/>
      <w:snapToGrid w:val="0"/>
      <w:spacing w:line="300" w:lineRule="exact"/>
      <w:jc w:val="center"/>
    </w:pPr>
  </w:style>
  <w:style w:type="paragraph" w:customStyle="1" w:styleId="83">
    <w:name w:val="正"/>
    <w:basedOn w:val="1"/>
    <w:qFormat/>
    <w:uiPriority w:val="0"/>
    <w:pPr>
      <w:ind w:firstLine="200" w:firstLineChars="200"/>
    </w:pPr>
    <w:rPr>
      <w:sz w:val="24"/>
      <w:szCs w:val="20"/>
    </w:rPr>
  </w:style>
  <w:style w:type="paragraph" w:customStyle="1" w:styleId="84">
    <w:name w:val="0新建 正文"/>
    <w:basedOn w:val="1"/>
    <w:qFormat/>
    <w:uiPriority w:val="0"/>
    <w:pPr>
      <w:spacing w:line="480" w:lineRule="atLeast"/>
      <w:ind w:firstLine="200" w:firstLineChars="200"/>
    </w:pPr>
    <w:rPr>
      <w:rFonts w:ascii="宋体" w:hAnsi="宋体" w:eastAsia="宋体" w:cs="宋体"/>
      <w:bCs/>
      <w:kern w:val="2"/>
      <w:sz w:val="24"/>
      <w:szCs w:val="24"/>
    </w:rPr>
  </w:style>
  <w:style w:type="paragraph" w:customStyle="1" w:styleId="85">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86">
    <w:name w:val="环评表正文"/>
    <w:basedOn w:val="1"/>
    <w:qFormat/>
    <w:uiPriority w:val="0"/>
    <w:pPr>
      <w:spacing w:line="480" w:lineRule="exact"/>
      <w:ind w:firstLine="1044" w:firstLineChars="200"/>
    </w:pPr>
    <w:rPr>
      <w:rFonts w:ascii="Times New Roman" w:hAnsi="Times New Roman" w:eastAsia="宋体"/>
      <w:sz w:val="24"/>
    </w:rPr>
  </w:style>
  <w:style w:type="paragraph" w:customStyle="1" w:styleId="87">
    <w:name w:val="样式 样式 样式 四号 左侧:  1.53 厘米 + 首行缩进:  2 字符 + 居中 左侧:  2 字符 首行缩进:  2..."/>
    <w:basedOn w:val="78"/>
    <w:unhideWhenUsed/>
    <w:qFormat/>
    <w:uiPriority w:val="0"/>
    <w:pPr>
      <w:spacing w:line="360" w:lineRule="auto"/>
      <w:jc w:val="center"/>
    </w:pPr>
  </w:style>
  <w:style w:type="paragraph" w:customStyle="1" w:styleId="88">
    <w:name w:val="无间隔1"/>
    <w:qFormat/>
    <w:uiPriority w:val="0"/>
    <w:pPr>
      <w:tabs>
        <w:tab w:val="center" w:pos="501"/>
      </w:tabs>
      <w:snapToGrid w:val="0"/>
      <w:jc w:val="center"/>
    </w:pPr>
    <w:rPr>
      <w:rFonts w:ascii="Times New Roman" w:hAnsi="Times New Roman" w:eastAsia="宋体" w:cs="Times New Roman"/>
      <w:color w:val="000000"/>
      <w:sz w:val="21"/>
      <w:szCs w:val="22"/>
      <w:lang w:val="en-US" w:eastAsia="zh-CN" w:bidi="en-US"/>
    </w:rPr>
  </w:style>
  <w:style w:type="paragraph" w:customStyle="1" w:styleId="89">
    <w:name w:val="表格居中"/>
    <w:basedOn w:val="88"/>
    <w:qFormat/>
    <w:uiPriority w:val="0"/>
  </w:style>
  <w:style w:type="paragraph" w:customStyle="1" w:styleId="90">
    <w:name w:val="11报告表正文*"/>
    <w:basedOn w:val="1"/>
    <w:qFormat/>
    <w:uiPriority w:val="0"/>
    <w:pPr>
      <w:spacing w:line="480" w:lineRule="exact"/>
      <w:ind w:firstLine="200" w:firstLineChars="200"/>
    </w:pPr>
    <w:rPr>
      <w:sz w:val="24"/>
      <w:szCs w:val="21"/>
      <w:lang w:val="zh-CN"/>
    </w:rPr>
  </w:style>
  <w:style w:type="paragraph" w:customStyle="1" w:styleId="9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92">
    <w:name w:val="List Paragraph"/>
    <w:basedOn w:val="1"/>
    <w:qFormat/>
    <w:uiPriority w:val="1"/>
    <w:pPr>
      <w:ind w:left="113" w:hanging="325"/>
    </w:pPr>
    <w:rPr>
      <w:rFonts w:ascii="宋体" w:hAnsi="宋体" w:eastAsia="宋体" w:cs="宋体"/>
      <w:lang w:val="zh-CN" w:eastAsia="zh-CN" w:bidi="zh-CN"/>
    </w:rPr>
  </w:style>
  <w:style w:type="paragraph" w:customStyle="1" w:styleId="93">
    <w:name w:val="Quote"/>
    <w:basedOn w:val="1"/>
    <w:next w:val="1"/>
    <w:qFormat/>
    <w:uiPriority w:val="0"/>
    <w:rPr>
      <w:i/>
      <w:szCs w:val="20"/>
    </w:rPr>
  </w:style>
  <w:style w:type="paragraph" w:customStyle="1" w:styleId="94">
    <w:name w:val="环评正文"/>
    <w:basedOn w:val="1"/>
    <w:qFormat/>
    <w:uiPriority w:val="0"/>
    <w:pPr>
      <w:spacing w:line="360" w:lineRule="auto"/>
      <w:ind w:firstLine="200" w:firstLineChars="200"/>
    </w:pPr>
    <w:rPr>
      <w:sz w:val="24"/>
    </w:rPr>
  </w:style>
  <w:style w:type="paragraph" w:customStyle="1" w:styleId="95">
    <w:name w:val="6表头6"/>
    <w:basedOn w:val="1"/>
    <w:qFormat/>
    <w:uiPriority w:val="0"/>
    <w:pPr>
      <w:widowControl/>
      <w:spacing w:before="30" w:beforeLines="30" w:after="20" w:afterLines="20" w:line="360" w:lineRule="exact"/>
      <w:jc w:val="center"/>
    </w:pPr>
    <w:rPr>
      <w:b/>
      <w:kern w:val="0"/>
      <w:sz w:val="24"/>
      <w:szCs w:val="21"/>
    </w:rPr>
  </w:style>
  <w:style w:type="paragraph" w:customStyle="1" w:styleId="9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7">
    <w:name w:val="样式 标题 1一级标题 + 段前: 0.5 行 段后: 0.5 行"/>
    <w:basedOn w:val="2"/>
    <w:qFormat/>
    <w:uiPriority w:val="99"/>
    <w:pPr>
      <w:spacing w:line="320" w:lineRule="exact"/>
      <w:outlineLvl w:val="9"/>
    </w:pPr>
    <w:rPr>
      <w:spacing w:val="-6"/>
      <w:sz w:val="21"/>
      <w:szCs w:val="21"/>
    </w:rPr>
  </w:style>
  <w:style w:type="paragraph" w:customStyle="1" w:styleId="98">
    <w:name w:val="(.a表格内容"/>
    <w:basedOn w:val="1"/>
    <w:qFormat/>
    <w:uiPriority w:val="0"/>
    <w:pPr>
      <w:widowControl/>
      <w:adjustRightInd w:val="0"/>
      <w:spacing w:line="0" w:lineRule="atLeast"/>
      <w:jc w:val="center"/>
    </w:pPr>
    <w:rPr>
      <w:rFonts w:cs="Arial"/>
      <w:bCs/>
    </w:rPr>
  </w:style>
  <w:style w:type="table" w:customStyle="1" w:styleId="99">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00">
    <w:name w:val="表、图题"/>
    <w:basedOn w:val="1"/>
    <w:next w:val="101"/>
    <w:qFormat/>
    <w:uiPriority w:val="0"/>
    <w:pPr>
      <w:ind w:firstLine="0" w:firstLineChars="0"/>
      <w:jc w:val="center"/>
      <w:outlineLvl w:val="4"/>
    </w:pPr>
    <w:rPr>
      <w:rFonts w:eastAsia="黑体"/>
    </w:rPr>
  </w:style>
  <w:style w:type="paragraph" w:customStyle="1" w:styleId="101">
    <w:name w:val="表格文字"/>
    <w:basedOn w:val="1"/>
    <w:qFormat/>
    <w:uiPriority w:val="0"/>
    <w:pPr>
      <w:widowControl/>
      <w:adjustRightInd w:val="0"/>
      <w:spacing w:line="280" w:lineRule="exact"/>
      <w:ind w:firstLine="0" w:firstLineChars="0"/>
      <w:jc w:val="center"/>
      <w:textAlignment w:val="baseline"/>
    </w:pPr>
    <w:rPr>
      <w:sz w:val="21"/>
      <w:szCs w:val="24"/>
    </w:rPr>
  </w:style>
  <w:style w:type="paragraph" w:customStyle="1" w:styleId="102">
    <w:name w:val="报告正文"/>
    <w:basedOn w:val="1"/>
    <w:qFormat/>
    <w:uiPriority w:val="0"/>
    <w:pPr>
      <w:widowControl/>
      <w:snapToGrid/>
      <w:ind w:firstLine="480"/>
    </w:pPr>
    <w:rPr>
      <w:szCs w:val="24"/>
    </w:rPr>
  </w:style>
  <w:style w:type="paragraph" w:customStyle="1" w:styleId="103">
    <w:name w:val="表"/>
    <w:basedOn w:val="104"/>
    <w:qFormat/>
    <w:uiPriority w:val="0"/>
    <w:pPr>
      <w:spacing w:line="440" w:lineRule="exact"/>
      <w:ind w:firstLine="200" w:firstLineChars="200"/>
      <w:jc w:val="both"/>
    </w:pPr>
    <w:rPr>
      <w:rFonts w:ascii="Times New Roman" w:hAnsi="Times New Roman" w:eastAsia="宋体" w:cs="Times New Roman"/>
      <w:sz w:val="24"/>
      <w:lang w:bidi="ar-SA"/>
    </w:rPr>
  </w:style>
  <w:style w:type="paragraph" w:customStyle="1" w:styleId="104">
    <w:name w:val="Char Char Char Char"/>
    <w:basedOn w:val="1"/>
    <w:qFormat/>
    <w:uiPriority w:val="0"/>
  </w:style>
  <w:style w:type="paragraph" w:customStyle="1" w:styleId="105">
    <w:name w:val=" Char Char Char Char"/>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表格内容5号"/>
    <w:qFormat/>
    <w:uiPriority w:val="0"/>
    <w:pPr>
      <w:widowControl w:val="0"/>
      <w:snapToGrid w:val="0"/>
      <w:jc w:val="center"/>
    </w:pPr>
    <w:rPr>
      <w:rFonts w:ascii="Times New Roman" w:hAnsi="Times New Roman" w:eastAsia="宋体" w:cs="Times New Roman"/>
      <w:kern w:val="2"/>
      <w:sz w:val="21"/>
      <w:szCs w:val="24"/>
      <w:lang w:val="en-US" w:eastAsia="zh-CN" w:bidi="ar-SA"/>
    </w:rPr>
  </w:style>
  <w:style w:type="paragraph" w:customStyle="1" w:styleId="107">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08">
    <w:name w:val="Other|1"/>
    <w:basedOn w:val="1"/>
    <w:qFormat/>
    <w:uiPriority w:val="0"/>
    <w:pPr>
      <w:spacing w:after="260"/>
      <w:ind w:firstLine="400"/>
    </w:pPr>
    <w:rPr>
      <w:rFonts w:ascii="宋体" w:hAnsi="宋体" w:cs="宋体"/>
      <w:sz w:val="28"/>
      <w:szCs w:val="28"/>
      <w:lang w:val="zh-TW" w:eastAsia="zh-TW" w:bidi="zh-TW"/>
    </w:rPr>
  </w:style>
  <w:style w:type="paragraph" w:customStyle="1" w:styleId="109">
    <w:name w:val="Body text|1"/>
    <w:basedOn w:val="1"/>
    <w:qFormat/>
    <w:uiPriority w:val="0"/>
    <w:pPr>
      <w:spacing w:line="257" w:lineRule="auto"/>
    </w:pPr>
    <w:rPr>
      <w:rFonts w:ascii="宋体" w:hAnsi="宋体" w:cs="宋体"/>
      <w:sz w:val="19"/>
      <w:szCs w:val="19"/>
      <w:lang w:val="zh-TW" w:eastAsia="zh-TW" w:bidi="zh-TW"/>
    </w:rPr>
  </w:style>
  <w:style w:type="character" w:customStyle="1" w:styleId="110">
    <w:name w:val="checkbox2"/>
    <w:basedOn w:val="38"/>
    <w:qFormat/>
    <w:uiPriority w:val="0"/>
  </w:style>
  <w:style w:type="character" w:customStyle="1" w:styleId="111">
    <w:name w:val="fontstyle01"/>
    <w:qFormat/>
    <w:uiPriority w:val="0"/>
    <w:rPr>
      <w:rFonts w:hint="eastAsia" w:ascii="宋体" w:hAnsi="宋体" w:eastAsia="宋体"/>
      <w:color w:val="000000"/>
      <w:sz w:val="24"/>
      <w:szCs w:val="24"/>
    </w:rPr>
  </w:style>
  <w:style w:type="paragraph" w:customStyle="1" w:styleId="112">
    <w:name w:val="正文_3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
    <w:name w:val="g表格标题"/>
    <w:qFormat/>
    <w:uiPriority w:val="0"/>
    <w:pPr>
      <w:spacing w:line="360" w:lineRule="auto"/>
      <w:jc w:val="center"/>
    </w:pPr>
    <w:rPr>
      <w:rFonts w:ascii="Times New Roman" w:hAnsi="Times New Roman" w:eastAsia="宋体" w:cs="Times New Roman"/>
      <w:b/>
      <w:kern w:val="2"/>
      <w:sz w:val="24"/>
      <w:szCs w:val="24"/>
      <w:lang w:val="en-US" w:eastAsia="zh-CN" w:bidi="ar-SA"/>
    </w:rPr>
  </w:style>
  <w:style w:type="paragraph" w:customStyle="1" w:styleId="114">
    <w:name w:val="1表格文字"/>
    <w:basedOn w:val="115"/>
    <w:next w:val="1"/>
    <w:qFormat/>
    <w:uiPriority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styleId="115">
    <w:name w:val="表格2"/>
    <w:basedOn w:val="1"/>
    <w:qFormat/>
    <w:uiPriority w:val="0"/>
    <w:pPr>
      <w:spacing w:line="320" w:lineRule="exact"/>
      <w:jc w:val="center"/>
    </w:pPr>
    <w:rPr>
      <w:sz w:val="24"/>
      <w:szCs w:val="28"/>
    </w:rPr>
  </w:style>
  <w:style w:type="paragraph" w:customStyle="1" w:styleId="116">
    <w:name w:val="1正文"/>
    <w:basedOn w:val="1"/>
    <w:next w:val="14"/>
    <w:qFormat/>
    <w:uiPriority w:val="0"/>
    <w:pPr>
      <w:spacing w:line="440" w:lineRule="exact"/>
      <w:ind w:firstLine="200" w:firstLineChars="200"/>
    </w:pPr>
    <w:rPr>
      <w:snapToGrid w:val="0"/>
      <w:sz w:val="24"/>
      <w:szCs w:val="24"/>
    </w:rPr>
  </w:style>
  <w:style w:type="paragraph" w:customStyle="1" w:styleId="117">
    <w:name w:val="正文-报告表"/>
    <w:qFormat/>
    <w:uiPriority w:val="0"/>
    <w:pPr>
      <w:autoSpaceDE w:val="0"/>
      <w:autoSpaceDN w:val="0"/>
      <w:adjustRightInd w:val="0"/>
      <w:snapToGrid w:val="0"/>
      <w:spacing w:line="360" w:lineRule="auto"/>
      <w:ind w:firstLine="200" w:firstLineChars="200"/>
      <w:jc w:val="both"/>
    </w:pPr>
    <w:rPr>
      <w:rFonts w:ascii="宋体" w:hAnsi="宋体" w:eastAsia="宋体" w:cs="宋体"/>
      <w:sz w:val="21"/>
      <w:szCs w:val="21"/>
      <w:lang w:val="en-US" w:eastAsia="zh-CN" w:bidi="ar-SA"/>
    </w:rPr>
  </w:style>
  <w:style w:type="paragraph" w:customStyle="1" w:styleId="118">
    <w:name w:val="正文-报告表-行前0.5行"/>
    <w:basedOn w:val="117"/>
    <w:next w:val="117"/>
    <w:qFormat/>
    <w:uiPriority w:val="0"/>
    <w:pPr>
      <w:spacing w:before="50" w:beforeLines="50"/>
    </w:pPr>
  </w:style>
  <w:style w:type="paragraph" w:customStyle="1" w:styleId="119">
    <w:name w:val="小四表文左齐"/>
    <w:basedOn w:val="1"/>
    <w:qFormat/>
    <w:uiPriority w:val="0"/>
    <w:pPr>
      <w:spacing w:line="360" w:lineRule="auto"/>
    </w:pPr>
    <w:rPr>
      <w:rFonts w:ascii="宋体" w:hAnsi="宋体"/>
      <w:bCs/>
      <w:sz w:val="24"/>
    </w:rPr>
  </w:style>
  <w:style w:type="paragraph" w:customStyle="1" w:styleId="120">
    <w:name w:val="表格文字-报告表"/>
    <w:basedOn w:val="1"/>
    <w:qFormat/>
    <w:uiPriority w:val="0"/>
    <w:pPr>
      <w:adjustRightInd w:val="0"/>
      <w:spacing w:line="0" w:lineRule="atLeast"/>
      <w:jc w:val="center"/>
    </w:pPr>
    <w:rPr>
      <w:szCs w:val="21"/>
    </w:rPr>
  </w:style>
  <w:style w:type="paragraph" w:customStyle="1" w:styleId="121">
    <w:name w:val="lh-正文-报告表"/>
    <w:basedOn w:val="1"/>
    <w:autoRedefine/>
    <w:qFormat/>
    <w:uiPriority w:val="0"/>
    <w:pPr>
      <w:spacing w:line="360" w:lineRule="auto"/>
      <w:ind w:firstLine="480" w:firstLineChars="200"/>
    </w:pPr>
    <w:rPr>
      <w:kern w:val="0"/>
      <w:sz w:val="24"/>
      <w:szCs w:val="21"/>
    </w:rPr>
  </w:style>
  <w:style w:type="character" w:customStyle="1" w:styleId="122">
    <w:name w:val="font21"/>
    <w:basedOn w:val="38"/>
    <w:qFormat/>
    <w:uiPriority w:val="0"/>
    <w:rPr>
      <w:rFonts w:hint="eastAsia" w:ascii="宋体" w:hAnsi="宋体" w:eastAsia="宋体" w:cs="宋体"/>
      <w:color w:val="FF0000"/>
      <w:sz w:val="21"/>
      <w:szCs w:val="21"/>
      <w:u w:val="none"/>
    </w:rPr>
  </w:style>
  <w:style w:type="paragraph" w:customStyle="1" w:styleId="123">
    <w:name w:val="04 正文"/>
    <w:basedOn w:val="1"/>
    <w:qFormat/>
    <w:uiPriority w:val="0"/>
    <w:pPr>
      <w:spacing w:line="400" w:lineRule="exact"/>
      <w:ind w:firstLine="480" w:firstLineChars="200"/>
      <w:jc w:val="both"/>
    </w:pPr>
    <w:rPr>
      <w:bCs/>
      <w:color w:val="000000"/>
      <w:sz w:val="24"/>
      <w:szCs w:val="21"/>
    </w:rPr>
  </w:style>
  <w:style w:type="paragraph" w:customStyle="1" w:styleId="124">
    <w:name w:val="表头"/>
    <w:basedOn w:val="18"/>
    <w:next w:val="1"/>
    <w:qFormat/>
    <w:uiPriority w:val="0"/>
    <w:pPr>
      <w:keepNext/>
      <w:adjustRightInd w:val="0"/>
      <w:snapToGrid w:val="0"/>
      <w:spacing w:line="480" w:lineRule="exact"/>
      <w:jc w:val="center"/>
    </w:pPr>
    <w:rPr>
      <w:b/>
      <w:sz w:val="24"/>
      <w:szCs w:val="21"/>
    </w:rPr>
  </w:style>
  <w:style w:type="paragraph" w:customStyle="1" w:styleId="125">
    <w:name w:val="Table Text"/>
    <w:basedOn w:val="1"/>
    <w:semiHidden/>
    <w:qFormat/>
    <w:uiPriority w:val="0"/>
    <w:rPr>
      <w:rFonts w:ascii="宋体" w:hAnsi="宋体" w:eastAsia="宋体" w:cs="宋体"/>
      <w:sz w:val="20"/>
      <w:szCs w:val="20"/>
      <w:lang w:val="en-US" w:eastAsia="en-US" w:bidi="ar-SA"/>
    </w:rPr>
  </w:style>
  <w:style w:type="paragraph" w:customStyle="1" w:styleId="126">
    <w:name w:val="表内"/>
    <w:basedOn w:val="1"/>
    <w:qFormat/>
    <w:uiPriority w:val="0"/>
    <w:pPr>
      <w:spacing w:line="240" w:lineRule="auto"/>
      <w:ind w:firstLine="0" w:firstLineChars="0"/>
      <w:jc w:val="center"/>
    </w:pPr>
    <w:rPr>
      <w:sz w:val="21"/>
    </w:rPr>
  </w:style>
  <w:style w:type="paragraph" w:customStyle="1" w:styleId="127">
    <w:name w:val="表格内容格式"/>
    <w:qFormat/>
    <w:uiPriority w:val="0"/>
    <w:pPr>
      <w:widowControl w:val="0"/>
      <w:adjustRightInd w:val="0"/>
      <w:spacing w:line="240" w:lineRule="atLeast"/>
      <w:jc w:val="both"/>
      <w:textAlignment w:val="baseline"/>
    </w:pPr>
    <w:rPr>
      <w:rFonts w:ascii="宋体" w:hAnsi="宋体" w:eastAsia="宋体" w:cs="Times New Roman"/>
      <w:snapToGrid w:val="0"/>
      <w:color w:val="000000"/>
      <w:kern w:val="0"/>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86</Pages>
  <Words>33694</Words>
  <Characters>35110</Characters>
  <Lines>318</Lines>
  <Paragraphs>89</Paragraphs>
  <TotalTime>3</TotalTime>
  <ScaleCrop>false</ScaleCrop>
  <LinksUpToDate>false</LinksUpToDate>
  <CharactersWithSpaces>35255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2022-02-27T01:03:00Z</dcterms:created>
  <dc:creator>啊</dc:creator>
  <cp:lastModifiedBy>lenovo</cp:lastModifiedBy>
  <cp:lastPrinted>2026-04-09T02:20:00Z</cp:lastPrinted>
  <dcterms:modified xsi:type="dcterms:W3CDTF">2026-09-02T02:56:06Z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A0B3FA2A6A47482DB21CCCB17B99178B_13</vt:lpwstr>
  </property>
  <property fmtid="{D5CDD505-2E9C-101B-9397-08002B2CF9AE}" pid="4" name="KSOTemplateDocerSaveRecord">
    <vt:lpwstr>eyJoZGlkIjoiZTdlMjFhZGY0NDZkMjNiZTljYzRlMjhhOGI2M2FiZmMiLCJ1c2VySWQiOiIxMTY4MzcyMzI2In0=</vt:lpwstr>
  </property>
</Properties>
</file>