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14:paraId="441FF164">
      <w:pPr>
        <w:pStyle w:val="172"/>
        <w:ind w:firstLine="480"/>
        <w:rPr>
          <w:rFonts w:hint="default" w:ascii="Times New Roman" w:hAnsi="Times New Roman" w:cs="Times New Roman"/>
          <w:smallCaps w:val="0"/>
          <w:color w:val="auto"/>
          <w:spacing w:val="0"/>
          <w:highlight w:val="none"/>
        </w:rPr>
      </w:pPr>
    </w:p>
    <w:p w14:paraId="43051C55">
      <w:pPr>
        <w:pStyle w:val="19"/>
        <w:rPr>
          <w:rFonts w:hint="default" w:ascii="Times New Roman" w:hAnsi="Times New Roman" w:cs="Times New Roman"/>
          <w:smallCaps w:val="0"/>
          <w:color w:val="auto"/>
          <w:spacing w:val="0"/>
          <w:highlight w:val="none"/>
        </w:rPr>
      </w:pPr>
    </w:p>
    <w:p w14:paraId="2773DB06">
      <w:pPr>
        <w:rPr>
          <w:rFonts w:hint="default" w:ascii="Times New Roman" w:hAnsi="Times New Roman" w:cs="Times New Roman"/>
          <w:smallCaps w:val="0"/>
          <w:color w:val="auto"/>
          <w:spacing w:val="0"/>
          <w:highlight w:val="none"/>
        </w:rPr>
      </w:pPr>
    </w:p>
    <w:p w14:paraId="0E04A883">
      <w:pPr>
        <w:pStyle w:val="46"/>
        <w:ind w:firstLine="480"/>
        <w:rPr>
          <w:rFonts w:hint="default" w:ascii="Times New Roman" w:hAnsi="Times New Roman" w:cs="Times New Roman"/>
          <w:smallCaps w:val="0"/>
          <w:color w:val="auto"/>
          <w:spacing w:val="0"/>
          <w:highlight w:val="none"/>
        </w:rPr>
      </w:pPr>
    </w:p>
    <w:p w14:paraId="01FFEE0F">
      <w:pPr>
        <w:adjustRightInd w:val="0"/>
        <w:snapToGrid w:val="0"/>
        <w:jc w:val="center"/>
        <w:outlineLvl w:val="0"/>
        <w:rPr>
          <w:rFonts w:hint="default" w:ascii="Times New Roman" w:hAnsi="Times New Roman" w:eastAsia="方正小标宋_GBK" w:cs="Times New Roman"/>
          <w:bCs/>
          <w:smallCaps w:val="0"/>
          <w:color w:val="auto"/>
          <w:spacing w:val="0"/>
          <w:sz w:val="72"/>
          <w:szCs w:val="72"/>
          <w:highlight w:val="none"/>
        </w:rPr>
      </w:pPr>
      <w:bookmarkStart w:id="0" w:name="_Toc14493"/>
      <w:bookmarkStart w:id="1" w:name="_Toc116550324"/>
      <w:bookmarkStart w:id="2" w:name="_Toc8361"/>
      <w:r>
        <w:rPr>
          <w:rFonts w:hint="default" w:ascii="Times New Roman" w:hAnsi="Times New Roman" w:eastAsia="方正小标宋_GBK" w:cs="Times New Roman"/>
          <w:bCs/>
          <w:smallCaps w:val="0"/>
          <w:color w:val="auto"/>
          <w:spacing w:val="0"/>
          <w:sz w:val="72"/>
          <w:szCs w:val="72"/>
          <w:highlight w:val="none"/>
        </w:rPr>
        <w:t>建设项目环境影响报告表</w:t>
      </w:r>
      <w:bookmarkEnd w:id="0"/>
      <w:bookmarkEnd w:id="1"/>
      <w:bookmarkEnd w:id="2"/>
    </w:p>
    <w:p w14:paraId="6C1293D4">
      <w:pPr>
        <w:adjustRightInd w:val="0"/>
        <w:snapToGrid w:val="0"/>
        <w:spacing w:before="192" w:beforeLines="80"/>
        <w:jc w:val="center"/>
        <w:rPr>
          <w:rFonts w:hint="default" w:ascii="Times New Roman" w:hAnsi="Times New Roman" w:eastAsia="楷体_GB2312" w:cs="Times New Roman"/>
          <w:bCs/>
          <w:smallCaps w:val="0"/>
          <w:color w:val="auto"/>
          <w:spacing w:val="0"/>
          <w:sz w:val="48"/>
          <w:szCs w:val="48"/>
          <w:highlight w:val="none"/>
        </w:rPr>
      </w:pPr>
      <w:r>
        <w:rPr>
          <w:rFonts w:hint="default" w:ascii="Times New Roman" w:hAnsi="Times New Roman" w:eastAsia="楷体_GB2312" w:cs="Times New Roman"/>
          <w:bCs/>
          <w:smallCaps w:val="0"/>
          <w:color w:val="auto"/>
          <w:spacing w:val="0"/>
          <w:sz w:val="48"/>
          <w:szCs w:val="48"/>
          <w:highlight w:val="none"/>
        </w:rPr>
        <w:t>（污染影响类）</w:t>
      </w:r>
    </w:p>
    <w:p w14:paraId="232CFCD5">
      <w:pPr>
        <w:pStyle w:val="172"/>
        <w:ind w:firstLine="480"/>
        <w:rPr>
          <w:rFonts w:hint="default" w:ascii="Times New Roman" w:hAnsi="Times New Roman" w:cs="Times New Roman"/>
          <w:smallCaps w:val="0"/>
          <w:color w:val="auto"/>
          <w:spacing w:val="0"/>
          <w:highlight w:val="none"/>
        </w:rPr>
      </w:pPr>
    </w:p>
    <w:p w14:paraId="00C315BD">
      <w:pPr>
        <w:tabs>
          <w:tab w:val="left" w:pos="5460"/>
        </w:tabs>
        <w:jc w:val="center"/>
        <w:rPr>
          <w:rFonts w:hint="default" w:ascii="Times New Roman" w:hAnsi="Times New Roman" w:eastAsia="仿宋" w:cs="Times New Roman"/>
          <w:smallCaps w:val="0"/>
          <w:color w:val="auto"/>
          <w:spacing w:val="0"/>
          <w:sz w:val="52"/>
          <w:szCs w:val="52"/>
          <w:highlight w:val="none"/>
        </w:rPr>
      </w:pPr>
    </w:p>
    <w:p w14:paraId="496E63F0">
      <w:pPr>
        <w:ind w:firstLine="1040"/>
        <w:rPr>
          <w:rFonts w:hint="default" w:ascii="Times New Roman" w:hAnsi="Times New Roman" w:eastAsia="仿宋" w:cs="Times New Roman"/>
          <w:smallCaps w:val="0"/>
          <w:color w:val="auto"/>
          <w:spacing w:val="0"/>
          <w:sz w:val="44"/>
          <w:szCs w:val="44"/>
          <w:highlight w:val="none"/>
        </w:rPr>
      </w:pPr>
    </w:p>
    <w:p w14:paraId="3804A514">
      <w:pPr>
        <w:pStyle w:val="5"/>
        <w:rPr>
          <w:rFonts w:hint="default" w:ascii="Times New Roman" w:hAnsi="Times New Roman" w:eastAsia="仿宋" w:cs="Times New Roman"/>
          <w:smallCaps w:val="0"/>
          <w:color w:val="auto"/>
          <w:spacing w:val="0"/>
          <w:sz w:val="44"/>
          <w:szCs w:val="44"/>
          <w:highlight w:val="none"/>
        </w:rPr>
      </w:pPr>
    </w:p>
    <w:p w14:paraId="5CD1E51F">
      <w:pPr>
        <w:pStyle w:val="6"/>
        <w:rPr>
          <w:rFonts w:hint="default" w:ascii="Times New Roman" w:hAnsi="Times New Roman" w:cs="Times New Roman"/>
          <w:color w:val="auto"/>
          <w:highlight w:val="none"/>
        </w:rPr>
      </w:pPr>
    </w:p>
    <w:p w14:paraId="576D2E97">
      <w:pPr>
        <w:tabs>
          <w:tab w:val="left" w:pos="5639"/>
        </w:tabs>
        <w:ind w:firstLine="1040"/>
        <w:rPr>
          <w:rFonts w:hint="eastAsia" w:ascii="Times New Roman" w:hAnsi="Times New Roman" w:eastAsia="宋体" w:cs="Times New Roman"/>
          <w:smallCaps w:val="0"/>
          <w:color w:val="auto"/>
          <w:spacing w:val="0"/>
          <w:sz w:val="44"/>
          <w:szCs w:val="44"/>
          <w:highlight w:val="none"/>
          <w:lang w:eastAsia="zh-CN"/>
        </w:rPr>
      </w:pPr>
      <w:r>
        <w:rPr>
          <w:rFonts w:hint="eastAsia" w:cs="Times New Roman"/>
          <w:smallCaps w:val="0"/>
          <w:color w:val="auto"/>
          <w:spacing w:val="0"/>
          <w:sz w:val="44"/>
          <w:szCs w:val="44"/>
          <w:highlight w:val="none"/>
          <w:lang w:eastAsia="zh-CN"/>
        </w:rPr>
        <w:tab/>
      </w:r>
    </w:p>
    <w:p w14:paraId="45CDE915">
      <w:pPr>
        <w:keepNext w:val="0"/>
        <w:keepLines w:val="0"/>
        <w:pageBreakBefore w:val="0"/>
        <w:widowControl w:val="0"/>
        <w:kinsoku/>
        <w:wordWrap/>
        <w:overflowPunct/>
        <w:topLinePunct w:val="0"/>
        <w:autoSpaceDE/>
        <w:autoSpaceDN/>
        <w:bidi w:val="0"/>
        <w:adjustRightInd w:val="0"/>
        <w:snapToGrid w:val="0"/>
        <w:spacing w:line="288" w:lineRule="auto"/>
        <w:ind w:left="735" w:leftChars="350"/>
        <w:textAlignment w:val="auto"/>
        <w:rPr>
          <w:rFonts w:hint="default" w:ascii="Times New Roman" w:hAnsi="Times New Roman" w:cs="Times New Roman"/>
          <w:smallCaps w:val="0"/>
          <w:color w:val="auto"/>
          <w:spacing w:val="0"/>
          <w:sz w:val="36"/>
          <w:szCs w:val="36"/>
          <w:highlight w:val="none"/>
          <w:u w:val="single"/>
        </w:rPr>
      </w:pPr>
      <w:r>
        <w:rPr>
          <w:rFonts w:hint="default" w:ascii="Times New Roman" w:hAnsi="Times New Roman" w:cs="Times New Roman"/>
          <w:smallCaps w:val="0"/>
          <w:color w:val="auto"/>
          <w:spacing w:val="0"/>
          <w:sz w:val="36"/>
          <w:szCs w:val="36"/>
          <w:highlight w:val="none"/>
        </w:rPr>
        <w:t>项目名称</w:t>
      </w:r>
      <w:r>
        <w:rPr>
          <w:rFonts w:hint="eastAsia" w:cs="Times New Roman"/>
          <w:smallCaps w:val="0"/>
          <w:color w:val="auto"/>
          <w:spacing w:val="0"/>
          <w:sz w:val="36"/>
          <w:szCs w:val="36"/>
          <w:highlight w:val="none"/>
          <w:lang w:eastAsia="zh-CN"/>
        </w:rPr>
        <w:t>：</w:t>
      </w:r>
      <w:r>
        <w:rPr>
          <w:rFonts w:hint="eastAsia" w:cs="Times New Roman"/>
          <w:smallCaps w:val="0"/>
          <w:color w:val="auto"/>
          <w:spacing w:val="0"/>
          <w:sz w:val="36"/>
          <w:szCs w:val="36"/>
          <w:highlight w:val="none"/>
          <w:u w:val="single"/>
          <w:lang w:val="en-US" w:eastAsia="zh-CN"/>
        </w:rPr>
        <w:t xml:space="preserve">         零部件加工制造项目        </w:t>
      </w:r>
      <w:r>
        <w:rPr>
          <w:rFonts w:hint="default" w:ascii="Times New Roman" w:hAnsi="Times New Roman" w:cs="Times New Roman"/>
          <w:smallCaps w:val="0"/>
          <w:color w:val="auto"/>
          <w:spacing w:val="0"/>
          <w:sz w:val="36"/>
          <w:szCs w:val="36"/>
          <w:highlight w:val="none"/>
          <w:u w:val="single"/>
        </w:rPr>
        <w:t xml:space="preserve"> </w:t>
      </w:r>
    </w:p>
    <w:p w14:paraId="582E1FF1">
      <w:pPr>
        <w:keepNext w:val="0"/>
        <w:keepLines w:val="0"/>
        <w:pageBreakBefore w:val="0"/>
        <w:widowControl w:val="0"/>
        <w:kinsoku/>
        <w:wordWrap/>
        <w:overflowPunct/>
        <w:topLinePunct w:val="0"/>
        <w:autoSpaceDE/>
        <w:autoSpaceDN/>
        <w:bidi w:val="0"/>
        <w:adjustRightInd w:val="0"/>
        <w:snapToGrid w:val="0"/>
        <w:spacing w:line="288" w:lineRule="auto"/>
        <w:ind w:left="735" w:leftChars="350"/>
        <w:textAlignment w:val="auto"/>
        <w:rPr>
          <w:rFonts w:hint="default" w:ascii="Times New Roman" w:hAnsi="Times New Roman" w:cs="Times New Roman"/>
          <w:smallCaps w:val="0"/>
          <w:color w:val="auto"/>
          <w:spacing w:val="0"/>
          <w:sz w:val="36"/>
          <w:szCs w:val="36"/>
          <w:highlight w:val="none"/>
          <w:u w:val="single"/>
        </w:rPr>
      </w:pPr>
      <w:r>
        <w:rPr>
          <w:rFonts w:hint="default" w:ascii="Times New Roman" w:hAnsi="Times New Roman" w:cs="Times New Roman"/>
          <w:smallCaps w:val="0"/>
          <w:color w:val="auto"/>
          <w:spacing w:val="0"/>
          <w:sz w:val="36"/>
          <w:szCs w:val="36"/>
          <w:highlight w:val="none"/>
        </w:rPr>
        <w:t>建设单位</w:t>
      </w:r>
      <w:r>
        <w:rPr>
          <w:rFonts w:hint="eastAsia" w:cs="Times New Roman"/>
          <w:smallCaps w:val="0"/>
          <w:color w:val="auto"/>
          <w:spacing w:val="0"/>
          <w:sz w:val="36"/>
          <w:szCs w:val="36"/>
          <w:highlight w:val="none"/>
          <w:lang w:eastAsia="zh-CN"/>
        </w:rPr>
        <w:t>：</w:t>
      </w:r>
      <w:r>
        <w:rPr>
          <w:rFonts w:hint="eastAsia" w:cs="Times New Roman"/>
          <w:smallCaps w:val="0"/>
          <w:color w:val="auto"/>
          <w:spacing w:val="0"/>
          <w:sz w:val="36"/>
          <w:szCs w:val="36"/>
          <w:highlight w:val="none"/>
          <w:u w:val="single"/>
          <w:lang w:val="en-US" w:eastAsia="zh-CN"/>
        </w:rPr>
        <w:t xml:space="preserve">  </w:t>
      </w:r>
      <w:r>
        <w:rPr>
          <w:rFonts w:hint="eastAsia" w:cs="Times New Roman"/>
          <w:smallCaps w:val="0"/>
          <w:color w:val="auto"/>
          <w:spacing w:val="0"/>
          <w:sz w:val="36"/>
          <w:szCs w:val="36"/>
          <w:highlight w:val="none"/>
          <w:u w:val="single"/>
          <w:lang w:eastAsia="zh-CN"/>
        </w:rPr>
        <w:t>石家庄市荣驰精密机械制造有限公司</w:t>
      </w:r>
      <w:r>
        <w:rPr>
          <w:rFonts w:hint="eastAsia" w:cs="Times New Roman"/>
          <w:smallCaps w:val="0"/>
          <w:color w:val="auto"/>
          <w:spacing w:val="0"/>
          <w:sz w:val="36"/>
          <w:szCs w:val="36"/>
          <w:highlight w:val="none"/>
          <w:u w:val="single"/>
          <w:lang w:val="en-US" w:eastAsia="zh-CN"/>
        </w:rPr>
        <w:t xml:space="preserve">  </w:t>
      </w:r>
    </w:p>
    <w:p w14:paraId="1765A761">
      <w:pPr>
        <w:keepNext w:val="0"/>
        <w:keepLines w:val="0"/>
        <w:pageBreakBefore w:val="0"/>
        <w:widowControl w:val="0"/>
        <w:kinsoku/>
        <w:wordWrap/>
        <w:overflowPunct/>
        <w:topLinePunct w:val="0"/>
        <w:autoSpaceDE/>
        <w:autoSpaceDN/>
        <w:bidi w:val="0"/>
        <w:adjustRightInd w:val="0"/>
        <w:snapToGrid w:val="0"/>
        <w:spacing w:line="288" w:lineRule="auto"/>
        <w:ind w:left="735" w:leftChars="350"/>
        <w:textAlignment w:val="auto"/>
        <w:rPr>
          <w:rFonts w:hint="default" w:ascii="Times New Roman" w:hAnsi="Times New Roman" w:cs="Times New Roman"/>
          <w:smallCaps w:val="0"/>
          <w:color w:val="auto"/>
          <w:spacing w:val="0"/>
          <w:sz w:val="36"/>
          <w:szCs w:val="36"/>
          <w:highlight w:val="none"/>
          <w:u w:val="single"/>
        </w:rPr>
      </w:pPr>
      <w:r>
        <w:rPr>
          <w:rFonts w:hint="default" w:ascii="Times New Roman" w:hAnsi="Times New Roman" w:cs="Times New Roman"/>
          <w:smallCaps w:val="0"/>
          <w:color w:val="auto"/>
          <w:spacing w:val="0"/>
          <w:sz w:val="36"/>
          <w:szCs w:val="36"/>
          <w:highlight w:val="none"/>
        </w:rPr>
        <w:t>编制日期</w:t>
      </w:r>
      <w:r>
        <w:rPr>
          <w:rFonts w:hint="eastAsia" w:cs="Times New Roman"/>
          <w:smallCaps w:val="0"/>
          <w:color w:val="auto"/>
          <w:spacing w:val="0"/>
          <w:sz w:val="36"/>
          <w:szCs w:val="36"/>
          <w:highlight w:val="none"/>
          <w:lang w:eastAsia="zh-CN"/>
        </w:rPr>
        <w:t>：</w:t>
      </w:r>
      <w:r>
        <w:rPr>
          <w:rFonts w:hint="default" w:ascii="Times New Roman" w:hAnsi="Times New Roman" w:cs="Times New Roman"/>
          <w:smallCaps w:val="0"/>
          <w:color w:val="auto"/>
          <w:spacing w:val="0"/>
          <w:sz w:val="36"/>
          <w:szCs w:val="36"/>
          <w:highlight w:val="none"/>
          <w:u w:val="single"/>
        </w:rPr>
        <w:t xml:space="preserve">       </w:t>
      </w:r>
      <w:r>
        <w:rPr>
          <w:rFonts w:hint="eastAsia" w:cs="Times New Roman"/>
          <w:smallCaps w:val="0"/>
          <w:color w:val="auto"/>
          <w:spacing w:val="0"/>
          <w:sz w:val="36"/>
          <w:szCs w:val="36"/>
          <w:highlight w:val="none"/>
          <w:u w:val="single"/>
          <w:lang w:val="en-US" w:eastAsia="zh-CN"/>
        </w:rPr>
        <w:t xml:space="preserve">    </w:t>
      </w:r>
      <w:r>
        <w:rPr>
          <w:rFonts w:hint="default" w:ascii="Times New Roman" w:hAnsi="Times New Roman" w:cs="Times New Roman"/>
          <w:smallCaps w:val="0"/>
          <w:color w:val="auto"/>
          <w:spacing w:val="0"/>
          <w:sz w:val="36"/>
          <w:szCs w:val="36"/>
          <w:highlight w:val="none"/>
          <w:u w:val="single"/>
        </w:rPr>
        <w:t>202</w:t>
      </w:r>
      <w:r>
        <w:rPr>
          <w:rFonts w:hint="eastAsia" w:cs="Times New Roman"/>
          <w:smallCaps w:val="0"/>
          <w:color w:val="auto"/>
          <w:spacing w:val="0"/>
          <w:sz w:val="36"/>
          <w:szCs w:val="36"/>
          <w:highlight w:val="none"/>
          <w:u w:val="single"/>
          <w:lang w:val="en-US" w:eastAsia="zh-CN"/>
        </w:rPr>
        <w:t>6</w:t>
      </w:r>
      <w:r>
        <w:rPr>
          <w:rFonts w:hint="default" w:ascii="Times New Roman" w:hAnsi="Times New Roman" w:cs="Times New Roman"/>
          <w:smallCaps w:val="0"/>
          <w:color w:val="auto"/>
          <w:spacing w:val="0"/>
          <w:sz w:val="36"/>
          <w:szCs w:val="36"/>
          <w:highlight w:val="none"/>
          <w:u w:val="single"/>
        </w:rPr>
        <w:t>年</w:t>
      </w:r>
      <w:r>
        <w:rPr>
          <w:rFonts w:hint="eastAsia" w:cs="Times New Roman"/>
          <w:smallCaps w:val="0"/>
          <w:color w:val="auto"/>
          <w:spacing w:val="0"/>
          <w:sz w:val="36"/>
          <w:szCs w:val="36"/>
          <w:highlight w:val="none"/>
          <w:u w:val="single"/>
          <w:lang w:val="en-US" w:eastAsia="zh-CN"/>
        </w:rPr>
        <w:t>8</w:t>
      </w:r>
      <w:r>
        <w:rPr>
          <w:rFonts w:hint="default" w:ascii="Times New Roman" w:hAnsi="Times New Roman" w:cs="Times New Roman"/>
          <w:smallCaps w:val="0"/>
          <w:color w:val="auto"/>
          <w:spacing w:val="0"/>
          <w:sz w:val="36"/>
          <w:szCs w:val="36"/>
          <w:highlight w:val="none"/>
          <w:u w:val="single"/>
        </w:rPr>
        <w:t xml:space="preserve">月    </w:t>
      </w:r>
      <w:r>
        <w:rPr>
          <w:rFonts w:hint="eastAsia" w:cs="Times New Roman"/>
          <w:smallCaps w:val="0"/>
          <w:color w:val="auto"/>
          <w:spacing w:val="0"/>
          <w:sz w:val="36"/>
          <w:szCs w:val="36"/>
          <w:highlight w:val="none"/>
          <w:u w:val="single"/>
          <w:lang w:val="en-US" w:eastAsia="zh-CN"/>
        </w:rPr>
        <w:t xml:space="preserve">  </w:t>
      </w:r>
      <w:r>
        <w:rPr>
          <w:rFonts w:hint="default" w:ascii="Times New Roman" w:hAnsi="Times New Roman" w:cs="Times New Roman"/>
          <w:smallCaps w:val="0"/>
          <w:color w:val="auto"/>
          <w:spacing w:val="0"/>
          <w:sz w:val="36"/>
          <w:szCs w:val="36"/>
          <w:highlight w:val="none"/>
          <w:u w:val="single"/>
        </w:rPr>
        <w:t xml:space="preserve">     </w:t>
      </w:r>
    </w:p>
    <w:p w14:paraId="2BDA18BA">
      <w:pPr>
        <w:adjustRightInd w:val="0"/>
        <w:snapToGrid w:val="0"/>
        <w:spacing w:line="288" w:lineRule="auto"/>
        <w:ind w:firstLine="1040"/>
        <w:rPr>
          <w:rFonts w:hint="default" w:ascii="Times New Roman" w:hAnsi="Times New Roman" w:eastAsia="仿宋_GB2312" w:cs="Times New Roman"/>
          <w:smallCaps w:val="0"/>
          <w:color w:val="auto"/>
          <w:spacing w:val="0"/>
          <w:sz w:val="36"/>
          <w:szCs w:val="36"/>
          <w:highlight w:val="none"/>
          <w:u w:val="single"/>
        </w:rPr>
      </w:pPr>
      <w:bookmarkStart w:id="3" w:name="_Hlk57884087"/>
    </w:p>
    <w:p w14:paraId="1BACCEA4">
      <w:pPr>
        <w:adjustRightInd w:val="0"/>
        <w:snapToGrid w:val="0"/>
        <w:spacing w:line="288" w:lineRule="auto"/>
        <w:ind w:firstLine="1040"/>
        <w:rPr>
          <w:rFonts w:hint="default" w:ascii="Times New Roman" w:hAnsi="Times New Roman" w:eastAsia="仿宋_GB2312" w:cs="Times New Roman"/>
          <w:smallCaps w:val="0"/>
          <w:color w:val="auto"/>
          <w:spacing w:val="0"/>
          <w:sz w:val="36"/>
          <w:szCs w:val="36"/>
          <w:highlight w:val="none"/>
        </w:rPr>
      </w:pPr>
    </w:p>
    <w:p w14:paraId="7C356710">
      <w:pPr>
        <w:adjustRightInd w:val="0"/>
        <w:snapToGrid w:val="0"/>
        <w:spacing w:line="288" w:lineRule="auto"/>
        <w:ind w:firstLine="1040"/>
        <w:rPr>
          <w:rFonts w:hint="default" w:ascii="Times New Roman" w:hAnsi="Times New Roman" w:eastAsia="仿宋_GB2312" w:cs="Times New Roman"/>
          <w:smallCaps w:val="0"/>
          <w:color w:val="auto"/>
          <w:spacing w:val="0"/>
          <w:sz w:val="36"/>
          <w:szCs w:val="36"/>
          <w:highlight w:val="none"/>
        </w:rPr>
      </w:pPr>
    </w:p>
    <w:p w14:paraId="1EDBEAFB">
      <w:pPr>
        <w:adjustRightInd w:val="0"/>
        <w:snapToGrid w:val="0"/>
        <w:spacing w:line="288" w:lineRule="auto"/>
        <w:rPr>
          <w:rFonts w:hint="default" w:ascii="Times New Roman" w:hAnsi="Times New Roman" w:eastAsia="仿宋_GB2312" w:cs="Times New Roman"/>
          <w:smallCaps w:val="0"/>
          <w:color w:val="auto"/>
          <w:spacing w:val="0"/>
          <w:sz w:val="36"/>
          <w:szCs w:val="36"/>
          <w:highlight w:val="none"/>
        </w:rPr>
      </w:pPr>
    </w:p>
    <w:bookmarkEnd w:id="3"/>
    <w:p w14:paraId="42112390">
      <w:pPr>
        <w:adjustRightInd w:val="0"/>
        <w:snapToGrid w:val="0"/>
        <w:spacing w:line="288" w:lineRule="auto"/>
        <w:jc w:val="center"/>
        <w:rPr>
          <w:rFonts w:hint="default" w:ascii="Times New Roman" w:hAnsi="Times New Roman" w:eastAsia="楷体_GB2312" w:cs="Times New Roman"/>
          <w:smallCaps w:val="0"/>
          <w:color w:val="auto"/>
          <w:spacing w:val="0"/>
          <w:sz w:val="36"/>
          <w:szCs w:val="36"/>
          <w:highlight w:val="none"/>
        </w:rPr>
      </w:pPr>
      <w:r>
        <w:rPr>
          <w:rFonts w:hint="default" w:ascii="Times New Roman" w:hAnsi="Times New Roman" w:eastAsia="楷体_GB2312" w:cs="Times New Roman"/>
          <w:smallCaps w:val="0"/>
          <w:color w:val="auto"/>
          <w:spacing w:val="0"/>
          <w:sz w:val="36"/>
          <w:szCs w:val="36"/>
          <w:highlight w:val="none"/>
        </w:rPr>
        <w:t>中华人民共和国生态环境部制</w:t>
      </w:r>
    </w:p>
    <w:p w14:paraId="516EB8FF">
      <w:pPr>
        <w:pStyle w:val="46"/>
        <w:ind w:firstLine="480"/>
        <w:rPr>
          <w:rFonts w:hint="default" w:ascii="Times New Roman" w:hAnsi="Times New Roman" w:cs="Times New Roman"/>
          <w:smallCaps w:val="0"/>
          <w:color w:val="auto"/>
          <w:spacing w:val="0"/>
          <w:highlight w:val="none"/>
        </w:rPr>
        <w:sectPr>
          <w:footerReference r:id="rId3" w:type="default"/>
          <w:footerReference r:id="rId4" w:type="even"/>
          <w:pgSz w:w="11906" w:h="16838"/>
          <w:pgMar w:top="1701" w:right="1531" w:bottom="1701" w:left="1531" w:header="851" w:footer="1077" w:gutter="0"/>
          <w:pgNumType w:start="3"/>
          <w:cols w:space="720" w:num="1"/>
          <w:docGrid w:linePitch="312" w:charSpace="0"/>
        </w:sectPr>
      </w:pPr>
    </w:p>
    <w:p w14:paraId="26FAA3C5">
      <w:pPr>
        <w:pStyle w:val="45"/>
        <w:rPr>
          <w:rFonts w:hint="default" w:ascii="Times New Roman" w:hAnsi="Times New Roman" w:cs="Times New Roman"/>
          <w:color w:val="auto"/>
          <w:highlight w:val="none"/>
        </w:rPr>
        <w:sectPr>
          <w:pgSz w:w="11906" w:h="16838"/>
          <w:pgMar w:top="1701" w:right="1531" w:bottom="1701" w:left="1531" w:header="851" w:footer="1077" w:gutter="0"/>
          <w:pgNumType w:start="3"/>
          <w:cols w:space="720" w:num="1"/>
          <w:docGrid w:linePitch="312" w:charSpace="0"/>
        </w:sectPr>
      </w:pPr>
    </w:p>
    <w:sdt>
      <w:sdtPr>
        <w:rPr>
          <w:rFonts w:hint="default" w:ascii="Times New Roman" w:hAnsi="Times New Roman" w:eastAsia="宋体" w:cs="Times New Roman"/>
          <w:smallCaps w:val="0"/>
          <w:color w:val="auto"/>
          <w:spacing w:val="0"/>
          <w:kern w:val="2"/>
          <w:sz w:val="21"/>
          <w:szCs w:val="20"/>
          <w:highlight w:val="none"/>
          <w:lang w:val="zh-CN"/>
        </w:rPr>
        <w:id w:val="-2144186691"/>
        <w:docPartObj>
          <w:docPartGallery w:val="Table of Contents"/>
          <w:docPartUnique/>
        </w:docPartObj>
      </w:sdtPr>
      <w:sdtEndPr>
        <w:rPr>
          <w:rFonts w:hint="default" w:ascii="Times New Roman" w:hAnsi="Times New Roman" w:eastAsia="宋体" w:cs="Times New Roman"/>
          <w:b/>
          <w:bCs/>
          <w:smallCaps w:val="0"/>
          <w:color w:val="auto"/>
          <w:spacing w:val="0"/>
          <w:kern w:val="2"/>
          <w:sz w:val="21"/>
          <w:szCs w:val="20"/>
          <w:highlight w:val="none"/>
          <w:lang w:val="zh-CN"/>
        </w:rPr>
      </w:sdtEndPr>
      <w:sdtContent>
        <w:p w14:paraId="7094F689">
          <w:pPr>
            <w:pStyle w:val="218"/>
            <w:spacing w:line="500" w:lineRule="exact"/>
            <w:jc w:val="center"/>
            <w:rPr>
              <w:rFonts w:hint="default" w:ascii="Times New Roman" w:hAnsi="Times New Roman" w:cs="Times New Roman" w:eastAsiaTheme="majorEastAsia"/>
              <w:b/>
              <w:bCs/>
              <w:smallCaps w:val="0"/>
              <w:color w:val="auto"/>
              <w:spacing w:val="0"/>
              <w:kern w:val="0"/>
              <w:sz w:val="24"/>
              <w:szCs w:val="32"/>
              <w:highlight w:val="none"/>
              <w:lang w:val="zh-CN" w:eastAsia="zh-CN" w:bidi="ar-SA"/>
            </w:rPr>
          </w:pPr>
          <w:r>
            <w:rPr>
              <w:rFonts w:hint="default" w:ascii="Times New Roman" w:hAnsi="Times New Roman" w:eastAsia="宋体" w:cs="Times New Roman"/>
              <w:smallCaps w:val="0"/>
              <w:color w:val="auto"/>
              <w:spacing w:val="0"/>
              <w:sz w:val="40"/>
              <w:highlight w:val="none"/>
              <w:lang w:val="zh-CN"/>
            </w:rPr>
            <w:t>目  录</w:t>
          </w:r>
          <w:r>
            <w:rPr>
              <w:rFonts w:hint="default" w:ascii="Times New Roman" w:hAnsi="Times New Roman" w:eastAsia="宋体" w:cs="Times New Roman"/>
              <w:b/>
              <w:bCs/>
              <w:smallCaps w:val="0"/>
              <w:color w:val="auto"/>
              <w:spacing w:val="0"/>
              <w:sz w:val="40"/>
              <w:highlight w:val="none"/>
              <w:lang w:val="zh-CN"/>
            </w:rPr>
            <w:fldChar w:fldCharType="begin"/>
          </w:r>
          <w:r>
            <w:rPr>
              <w:rFonts w:hint="default" w:ascii="Times New Roman" w:hAnsi="Times New Roman" w:eastAsia="宋体" w:cs="Times New Roman"/>
              <w:b/>
              <w:bCs/>
              <w:smallCaps w:val="0"/>
              <w:color w:val="auto"/>
              <w:spacing w:val="0"/>
              <w:sz w:val="40"/>
              <w:highlight w:val="none"/>
              <w:lang w:val="zh-CN"/>
            </w:rPr>
            <w:instrText xml:space="preserve"> TOC \o "1-3" \h \z \u </w:instrText>
          </w:r>
          <w:r>
            <w:rPr>
              <w:rFonts w:hint="default" w:ascii="Times New Roman" w:hAnsi="Times New Roman" w:eastAsia="宋体" w:cs="Times New Roman"/>
              <w:b/>
              <w:bCs/>
              <w:smallCaps w:val="0"/>
              <w:color w:val="auto"/>
              <w:spacing w:val="0"/>
              <w:sz w:val="40"/>
              <w:highlight w:val="none"/>
              <w:lang w:val="zh-CN"/>
            </w:rPr>
            <w:fldChar w:fldCharType="separate"/>
          </w:r>
        </w:p>
        <w:p w14:paraId="737127E3">
          <w:pPr>
            <w:pStyle w:val="3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bCs/>
              <w:smallCaps w:val="0"/>
              <w:color w:val="auto"/>
              <w:spacing w:val="0"/>
              <w:highlight w:val="none"/>
              <w:lang w:val="zh-CN"/>
            </w:rPr>
            <w:fldChar w:fldCharType="begin"/>
          </w:r>
          <w:r>
            <w:rPr>
              <w:rFonts w:hint="default" w:ascii="Times New Roman" w:hAnsi="Times New Roman" w:eastAsia="宋体" w:cs="Times New Roman"/>
              <w:bCs/>
              <w:smallCaps w:val="0"/>
              <w:color w:val="auto"/>
              <w:spacing w:val="0"/>
              <w:highlight w:val="none"/>
              <w:lang w:val="zh-CN"/>
            </w:rPr>
            <w:instrText xml:space="preserve"> HYPERLINK \l _Toc1950 </w:instrText>
          </w:r>
          <w:r>
            <w:rPr>
              <w:rFonts w:hint="default" w:ascii="Times New Roman" w:hAnsi="Times New Roman" w:eastAsia="宋体" w:cs="Times New Roman"/>
              <w:bCs/>
              <w:smallCaps w:val="0"/>
              <w:color w:val="auto"/>
              <w:spacing w:val="0"/>
              <w:highlight w:val="none"/>
              <w:lang w:val="zh-CN"/>
            </w:rPr>
            <w:fldChar w:fldCharType="separate"/>
          </w:r>
          <w:r>
            <w:rPr>
              <w:rFonts w:hint="default" w:ascii="Times New Roman" w:hAnsi="Times New Roman" w:eastAsia="宋体" w:cs="Times New Roman"/>
              <w:smallCaps w:val="0"/>
              <w:snapToGrid w:val="0"/>
              <w:color w:val="auto"/>
              <w:spacing w:val="0"/>
              <w:szCs w:val="30"/>
              <w:highlight w:val="none"/>
            </w:rPr>
            <w:t>一、建设项目基本情况</w:t>
          </w:r>
          <w:r>
            <w:rPr>
              <w:rFonts w:hint="default" w:ascii="Times New Roman" w:hAnsi="Times New Roman" w:eastAsia="宋体" w:cs="Times New Roman"/>
              <w:color w:val="auto"/>
              <w:highlight w:val="none"/>
            </w:rPr>
            <w:tab/>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PAGEREF _Toc1950 \h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1</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bCs/>
              <w:smallCaps w:val="0"/>
              <w:color w:val="auto"/>
              <w:spacing w:val="0"/>
              <w:highlight w:val="none"/>
              <w:lang w:val="zh-CN"/>
            </w:rPr>
            <w:fldChar w:fldCharType="end"/>
          </w:r>
        </w:p>
        <w:p w14:paraId="6C1D1167">
          <w:pPr>
            <w:pStyle w:val="3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bCs/>
              <w:smallCaps w:val="0"/>
              <w:color w:val="auto"/>
              <w:spacing w:val="0"/>
              <w:highlight w:val="none"/>
              <w:lang w:val="zh-CN"/>
            </w:rPr>
            <w:fldChar w:fldCharType="begin"/>
          </w:r>
          <w:r>
            <w:rPr>
              <w:rFonts w:hint="default" w:ascii="Times New Roman" w:hAnsi="Times New Roman" w:eastAsia="宋体" w:cs="Times New Roman"/>
              <w:bCs/>
              <w:smallCaps w:val="0"/>
              <w:color w:val="auto"/>
              <w:spacing w:val="0"/>
              <w:highlight w:val="none"/>
              <w:lang w:val="zh-CN"/>
            </w:rPr>
            <w:instrText xml:space="preserve"> HYPERLINK \l _Toc27745 </w:instrText>
          </w:r>
          <w:r>
            <w:rPr>
              <w:rFonts w:hint="default" w:ascii="Times New Roman" w:hAnsi="Times New Roman" w:eastAsia="宋体" w:cs="Times New Roman"/>
              <w:bCs/>
              <w:smallCaps w:val="0"/>
              <w:color w:val="auto"/>
              <w:spacing w:val="0"/>
              <w:highlight w:val="none"/>
              <w:lang w:val="zh-CN"/>
            </w:rPr>
            <w:fldChar w:fldCharType="separate"/>
          </w:r>
          <w:r>
            <w:rPr>
              <w:rFonts w:hint="default" w:ascii="Times New Roman" w:hAnsi="Times New Roman" w:eastAsia="宋体" w:cs="Times New Roman"/>
              <w:smallCaps w:val="0"/>
              <w:snapToGrid w:val="0"/>
              <w:color w:val="auto"/>
              <w:spacing w:val="0"/>
              <w:szCs w:val="30"/>
              <w:highlight w:val="none"/>
            </w:rPr>
            <w:t>二、建设项目工程分析</w:t>
          </w:r>
          <w:r>
            <w:rPr>
              <w:rFonts w:hint="default" w:ascii="Times New Roman" w:hAnsi="Times New Roman" w:eastAsia="宋体" w:cs="Times New Roman"/>
              <w:color w:val="auto"/>
              <w:highlight w:val="none"/>
            </w:rPr>
            <w:tab/>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PAGEREF _Toc27745 \h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48</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bCs/>
              <w:smallCaps w:val="0"/>
              <w:color w:val="auto"/>
              <w:spacing w:val="0"/>
              <w:highlight w:val="none"/>
              <w:lang w:val="zh-CN"/>
            </w:rPr>
            <w:fldChar w:fldCharType="end"/>
          </w:r>
        </w:p>
        <w:p w14:paraId="27F1592C">
          <w:pPr>
            <w:pStyle w:val="3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bCs/>
              <w:smallCaps w:val="0"/>
              <w:color w:val="auto"/>
              <w:spacing w:val="0"/>
              <w:highlight w:val="none"/>
              <w:lang w:val="zh-CN"/>
            </w:rPr>
            <w:fldChar w:fldCharType="begin"/>
          </w:r>
          <w:r>
            <w:rPr>
              <w:rFonts w:hint="default" w:ascii="Times New Roman" w:hAnsi="Times New Roman" w:eastAsia="宋体" w:cs="Times New Roman"/>
              <w:bCs/>
              <w:smallCaps w:val="0"/>
              <w:color w:val="auto"/>
              <w:spacing w:val="0"/>
              <w:highlight w:val="none"/>
              <w:lang w:val="zh-CN"/>
            </w:rPr>
            <w:instrText xml:space="preserve"> HYPERLINK \l _Toc22540 </w:instrText>
          </w:r>
          <w:r>
            <w:rPr>
              <w:rFonts w:hint="default" w:ascii="Times New Roman" w:hAnsi="Times New Roman" w:eastAsia="宋体" w:cs="Times New Roman"/>
              <w:bCs/>
              <w:smallCaps w:val="0"/>
              <w:color w:val="auto"/>
              <w:spacing w:val="0"/>
              <w:highlight w:val="none"/>
              <w:lang w:val="zh-CN"/>
            </w:rPr>
            <w:fldChar w:fldCharType="separate"/>
          </w:r>
          <w:r>
            <w:rPr>
              <w:rFonts w:hint="default" w:ascii="Times New Roman" w:hAnsi="Times New Roman" w:eastAsia="宋体" w:cs="Times New Roman"/>
              <w:smallCaps w:val="0"/>
              <w:snapToGrid w:val="0"/>
              <w:color w:val="auto"/>
              <w:spacing w:val="0"/>
              <w:szCs w:val="30"/>
              <w:highlight w:val="none"/>
            </w:rPr>
            <w:t>三、区域环境质量现状、环境保护目标及评价标准</w:t>
          </w:r>
          <w:r>
            <w:rPr>
              <w:rFonts w:hint="default" w:ascii="Times New Roman" w:hAnsi="Times New Roman" w:eastAsia="宋体" w:cs="Times New Roman"/>
              <w:color w:val="auto"/>
              <w:highlight w:val="none"/>
            </w:rPr>
            <w:tab/>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PAGEREF _Toc22540 \h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58</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bCs/>
              <w:smallCaps w:val="0"/>
              <w:color w:val="auto"/>
              <w:spacing w:val="0"/>
              <w:highlight w:val="none"/>
              <w:lang w:val="zh-CN"/>
            </w:rPr>
            <w:fldChar w:fldCharType="end"/>
          </w:r>
        </w:p>
        <w:p w14:paraId="71B9D17C">
          <w:pPr>
            <w:pStyle w:val="3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bCs/>
              <w:smallCaps w:val="0"/>
              <w:color w:val="auto"/>
              <w:spacing w:val="0"/>
              <w:highlight w:val="none"/>
              <w:lang w:val="zh-CN"/>
            </w:rPr>
            <w:fldChar w:fldCharType="begin"/>
          </w:r>
          <w:r>
            <w:rPr>
              <w:rFonts w:hint="default" w:ascii="Times New Roman" w:hAnsi="Times New Roman" w:eastAsia="宋体" w:cs="Times New Roman"/>
              <w:bCs/>
              <w:smallCaps w:val="0"/>
              <w:color w:val="auto"/>
              <w:spacing w:val="0"/>
              <w:highlight w:val="none"/>
              <w:lang w:val="zh-CN"/>
            </w:rPr>
            <w:instrText xml:space="preserve"> HYPERLINK \l _Toc10441 </w:instrText>
          </w:r>
          <w:r>
            <w:rPr>
              <w:rFonts w:hint="default" w:ascii="Times New Roman" w:hAnsi="Times New Roman" w:eastAsia="宋体" w:cs="Times New Roman"/>
              <w:bCs/>
              <w:smallCaps w:val="0"/>
              <w:color w:val="auto"/>
              <w:spacing w:val="0"/>
              <w:highlight w:val="none"/>
              <w:lang w:val="zh-CN"/>
            </w:rPr>
            <w:fldChar w:fldCharType="separate"/>
          </w:r>
          <w:r>
            <w:rPr>
              <w:rFonts w:hint="default" w:ascii="Times New Roman" w:hAnsi="Times New Roman" w:eastAsia="宋体" w:cs="Times New Roman"/>
              <w:smallCaps w:val="0"/>
              <w:snapToGrid w:val="0"/>
              <w:color w:val="auto"/>
              <w:spacing w:val="0"/>
              <w:szCs w:val="30"/>
              <w:highlight w:val="none"/>
            </w:rPr>
            <w:t>四、主要环境影响和保护措施</w:t>
          </w:r>
          <w:r>
            <w:rPr>
              <w:rFonts w:hint="default" w:ascii="Times New Roman" w:hAnsi="Times New Roman" w:eastAsia="宋体" w:cs="Times New Roman"/>
              <w:color w:val="auto"/>
              <w:highlight w:val="none"/>
            </w:rPr>
            <w:tab/>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PAGEREF _Toc10441 \h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63</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bCs/>
              <w:smallCaps w:val="0"/>
              <w:color w:val="auto"/>
              <w:spacing w:val="0"/>
              <w:highlight w:val="none"/>
              <w:lang w:val="zh-CN"/>
            </w:rPr>
            <w:fldChar w:fldCharType="end"/>
          </w:r>
        </w:p>
        <w:p w14:paraId="242D0469">
          <w:pPr>
            <w:pStyle w:val="3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bCs/>
              <w:smallCaps w:val="0"/>
              <w:color w:val="auto"/>
              <w:spacing w:val="0"/>
              <w:highlight w:val="none"/>
              <w:lang w:val="zh-CN"/>
            </w:rPr>
            <w:fldChar w:fldCharType="begin"/>
          </w:r>
          <w:r>
            <w:rPr>
              <w:rFonts w:hint="default" w:ascii="Times New Roman" w:hAnsi="Times New Roman" w:eastAsia="宋体" w:cs="Times New Roman"/>
              <w:bCs/>
              <w:smallCaps w:val="0"/>
              <w:color w:val="auto"/>
              <w:spacing w:val="0"/>
              <w:highlight w:val="none"/>
              <w:lang w:val="zh-CN"/>
            </w:rPr>
            <w:instrText xml:space="preserve"> HYPERLINK \l _Toc18955 </w:instrText>
          </w:r>
          <w:r>
            <w:rPr>
              <w:rFonts w:hint="default" w:ascii="Times New Roman" w:hAnsi="Times New Roman" w:eastAsia="宋体" w:cs="Times New Roman"/>
              <w:bCs/>
              <w:smallCaps w:val="0"/>
              <w:color w:val="auto"/>
              <w:spacing w:val="0"/>
              <w:highlight w:val="none"/>
              <w:lang w:val="zh-CN"/>
            </w:rPr>
            <w:fldChar w:fldCharType="separate"/>
          </w:r>
          <w:r>
            <w:rPr>
              <w:rFonts w:hint="default" w:ascii="Times New Roman" w:hAnsi="Times New Roman" w:eastAsia="宋体" w:cs="Times New Roman"/>
              <w:smallCaps w:val="0"/>
              <w:snapToGrid w:val="0"/>
              <w:color w:val="auto"/>
              <w:spacing w:val="0"/>
              <w:szCs w:val="30"/>
              <w:highlight w:val="none"/>
            </w:rPr>
            <w:t>五、环境保护措施监督检查清单</w:t>
          </w:r>
          <w:r>
            <w:rPr>
              <w:rFonts w:hint="default" w:ascii="Times New Roman" w:hAnsi="Times New Roman" w:eastAsia="宋体" w:cs="Times New Roman"/>
              <w:color w:val="auto"/>
              <w:highlight w:val="none"/>
            </w:rPr>
            <w:tab/>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PAGEREF _Toc18955 \h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88</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bCs/>
              <w:smallCaps w:val="0"/>
              <w:color w:val="auto"/>
              <w:spacing w:val="0"/>
              <w:highlight w:val="none"/>
              <w:lang w:val="zh-CN"/>
            </w:rPr>
            <w:fldChar w:fldCharType="end"/>
          </w:r>
        </w:p>
        <w:p w14:paraId="72981FFC">
          <w:pPr>
            <w:pStyle w:val="3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bCs/>
              <w:smallCaps w:val="0"/>
              <w:color w:val="auto"/>
              <w:spacing w:val="0"/>
              <w:highlight w:val="none"/>
              <w:lang w:val="zh-CN"/>
            </w:rPr>
            <w:fldChar w:fldCharType="begin"/>
          </w:r>
          <w:r>
            <w:rPr>
              <w:rFonts w:hint="default" w:ascii="Times New Roman" w:hAnsi="Times New Roman" w:eastAsia="宋体" w:cs="Times New Roman"/>
              <w:bCs/>
              <w:smallCaps w:val="0"/>
              <w:color w:val="auto"/>
              <w:spacing w:val="0"/>
              <w:highlight w:val="none"/>
              <w:lang w:val="zh-CN"/>
            </w:rPr>
            <w:instrText xml:space="preserve"> HYPERLINK \l _Toc5925 </w:instrText>
          </w:r>
          <w:r>
            <w:rPr>
              <w:rFonts w:hint="default" w:ascii="Times New Roman" w:hAnsi="Times New Roman" w:eastAsia="宋体" w:cs="Times New Roman"/>
              <w:bCs/>
              <w:smallCaps w:val="0"/>
              <w:color w:val="auto"/>
              <w:spacing w:val="0"/>
              <w:highlight w:val="none"/>
              <w:lang w:val="zh-CN"/>
            </w:rPr>
            <w:fldChar w:fldCharType="separate"/>
          </w:r>
          <w:r>
            <w:rPr>
              <w:rFonts w:hint="default" w:ascii="Times New Roman" w:hAnsi="Times New Roman" w:eastAsia="宋体" w:cs="Times New Roman"/>
              <w:smallCaps w:val="0"/>
              <w:snapToGrid w:val="0"/>
              <w:color w:val="auto"/>
              <w:spacing w:val="0"/>
              <w:szCs w:val="30"/>
              <w:highlight w:val="none"/>
            </w:rPr>
            <w:t>六、结论</w:t>
          </w:r>
          <w:r>
            <w:rPr>
              <w:rFonts w:hint="default" w:ascii="Times New Roman" w:hAnsi="Times New Roman" w:eastAsia="宋体" w:cs="Times New Roman"/>
              <w:color w:val="auto"/>
              <w:highlight w:val="none"/>
            </w:rPr>
            <w:tab/>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PAGEREF _Toc5925 \h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92</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bCs/>
              <w:smallCaps w:val="0"/>
              <w:color w:val="auto"/>
              <w:spacing w:val="0"/>
              <w:highlight w:val="none"/>
              <w:lang w:val="zh-CN"/>
            </w:rPr>
            <w:fldChar w:fldCharType="end"/>
          </w:r>
        </w:p>
        <w:p w14:paraId="19DA8468">
          <w:pPr>
            <w:pStyle w:val="35"/>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bCs/>
              <w:smallCaps w:val="0"/>
              <w:color w:val="auto"/>
              <w:spacing w:val="0"/>
              <w:highlight w:val="none"/>
              <w:lang w:val="zh-CN"/>
            </w:rPr>
            <w:fldChar w:fldCharType="begin"/>
          </w:r>
          <w:r>
            <w:rPr>
              <w:rFonts w:hint="default" w:ascii="Times New Roman" w:hAnsi="Times New Roman" w:eastAsia="宋体" w:cs="Times New Roman"/>
              <w:bCs/>
              <w:smallCaps w:val="0"/>
              <w:color w:val="auto"/>
              <w:spacing w:val="0"/>
              <w:highlight w:val="none"/>
              <w:lang w:val="zh-CN"/>
            </w:rPr>
            <w:instrText xml:space="preserve"> HYPERLINK \l _Toc27848 </w:instrText>
          </w:r>
          <w:r>
            <w:rPr>
              <w:rFonts w:hint="default" w:ascii="Times New Roman" w:hAnsi="Times New Roman" w:eastAsia="宋体" w:cs="Times New Roman"/>
              <w:bCs/>
              <w:smallCaps w:val="0"/>
              <w:color w:val="auto"/>
              <w:spacing w:val="0"/>
              <w:highlight w:val="none"/>
              <w:lang w:val="zh-CN"/>
            </w:rPr>
            <w:fldChar w:fldCharType="separate"/>
          </w:r>
          <w:r>
            <w:rPr>
              <w:rFonts w:hint="default" w:ascii="Times New Roman" w:hAnsi="Times New Roman" w:eastAsia="宋体" w:cs="Times New Roman"/>
              <w:snapToGrid w:val="0"/>
              <w:color w:val="auto"/>
              <w:szCs w:val="32"/>
              <w:highlight w:val="none"/>
            </w:rPr>
            <w:t>附表</w:t>
          </w:r>
          <w:r>
            <w:rPr>
              <w:rFonts w:hint="default" w:ascii="Times New Roman" w:hAnsi="Times New Roman" w:eastAsia="宋体" w:cs="Times New Roman"/>
              <w:color w:val="auto"/>
              <w:highlight w:val="none"/>
            </w:rPr>
            <w:tab/>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PAGEREF _Toc27848 \h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93</w:t>
          </w:r>
          <w:r>
            <w:rPr>
              <w:rFonts w:hint="default" w:ascii="Times New Roman" w:hAnsi="Times New Roman" w:eastAsia="宋体" w:cs="Times New Roman"/>
              <w:color w:val="auto"/>
              <w:highlight w:val="none"/>
            </w:rPr>
            <w:fldChar w:fldCharType="end"/>
          </w:r>
          <w:r>
            <w:rPr>
              <w:rFonts w:hint="default" w:ascii="Times New Roman" w:hAnsi="Times New Roman" w:eastAsia="宋体" w:cs="Times New Roman"/>
              <w:bCs/>
              <w:smallCaps w:val="0"/>
              <w:color w:val="auto"/>
              <w:spacing w:val="0"/>
              <w:highlight w:val="none"/>
              <w:lang w:val="zh-CN"/>
            </w:rPr>
            <w:fldChar w:fldCharType="end"/>
          </w:r>
        </w:p>
        <w:p w14:paraId="1CE3A33A">
          <w:pPr>
            <w:spacing w:line="500" w:lineRule="exact"/>
            <w:jc w:val="center"/>
            <w:rPr>
              <w:rFonts w:hint="default" w:ascii="Times New Roman" w:hAnsi="Times New Roman" w:cs="Times New Roman"/>
              <w:smallCaps w:val="0"/>
              <w:color w:val="auto"/>
              <w:spacing w:val="0"/>
              <w:highlight w:val="none"/>
            </w:rPr>
          </w:pPr>
          <w:r>
            <w:rPr>
              <w:rFonts w:hint="default" w:ascii="Times New Roman" w:hAnsi="Times New Roman" w:cs="Times New Roman"/>
              <w:b/>
              <w:bCs/>
              <w:smallCaps w:val="0"/>
              <w:color w:val="auto"/>
              <w:spacing w:val="0"/>
              <w:sz w:val="24"/>
              <w:highlight w:val="none"/>
              <w:lang w:val="zh-CN"/>
            </w:rPr>
            <w:fldChar w:fldCharType="end"/>
          </w:r>
        </w:p>
      </w:sdtContent>
    </w:sdt>
    <w:p w14:paraId="04835C71">
      <w:pPr>
        <w:pStyle w:val="172"/>
        <w:ind w:left="0" w:leftChars="0" w:firstLine="0" w:firstLineChars="0"/>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lang w:val="en-US" w:eastAsia="zh-CN"/>
        </w:rPr>
        <w:t>附图</w:t>
      </w:r>
      <w:r>
        <w:rPr>
          <w:rFonts w:hint="eastAsia" w:cs="Times New Roman"/>
          <w:smallCaps w:val="0"/>
          <w:color w:val="auto"/>
          <w:spacing w:val="0"/>
          <w:highlight w:val="none"/>
          <w:lang w:val="en-US" w:eastAsia="zh-CN"/>
        </w:rPr>
        <w:t>：</w:t>
      </w:r>
    </w:p>
    <w:p w14:paraId="54BE72FC">
      <w:pPr>
        <w:pStyle w:val="172"/>
        <w:ind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附图1</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项目地理位置图</w:t>
      </w:r>
    </w:p>
    <w:p w14:paraId="5B3E6AC9">
      <w:pPr>
        <w:pStyle w:val="172"/>
        <w:ind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附图2</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项目周边关系图</w:t>
      </w:r>
    </w:p>
    <w:p w14:paraId="05053978">
      <w:pPr>
        <w:pStyle w:val="172"/>
        <w:ind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附图</w:t>
      </w:r>
      <w:r>
        <w:rPr>
          <w:rFonts w:hint="eastAsia" w:ascii="Times New Roman" w:hAnsi="Times New Roman" w:cs="Times New Roman"/>
          <w:smallCaps w:val="0"/>
          <w:color w:val="auto"/>
          <w:spacing w:val="0"/>
          <w:highlight w:val="none"/>
          <w:lang w:val="en-US" w:eastAsia="zh-CN"/>
        </w:rPr>
        <w:t>3</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w:t>
      </w:r>
      <w:r>
        <w:rPr>
          <w:rFonts w:hint="eastAsia" w:ascii="Times New Roman" w:hAnsi="Times New Roman" w:cs="Times New Roman"/>
          <w:smallCaps w:val="0"/>
          <w:color w:val="auto"/>
          <w:spacing w:val="0"/>
          <w:highlight w:val="none"/>
          <w:lang w:val="en-US" w:eastAsia="zh-CN"/>
        </w:rPr>
        <w:t>平面布置图</w:t>
      </w:r>
    </w:p>
    <w:p w14:paraId="5DEE7FEC">
      <w:pPr>
        <w:pStyle w:val="172"/>
        <w:ind w:firstLine="480"/>
        <w:rPr>
          <w:rFonts w:hint="eastAsia" w:ascii="Times New Roman" w:hAnsi="Times New Roman" w:eastAsia="宋体"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附图</w:t>
      </w:r>
      <w:r>
        <w:rPr>
          <w:rFonts w:hint="eastAsia" w:cs="Times New Roman"/>
          <w:smallCaps w:val="0"/>
          <w:color w:val="auto"/>
          <w:spacing w:val="0"/>
          <w:highlight w:val="none"/>
          <w:lang w:val="en-US" w:eastAsia="zh-CN"/>
        </w:rPr>
        <w:t>4</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项目分区防渗图</w:t>
      </w:r>
    </w:p>
    <w:p w14:paraId="375A5290">
      <w:pPr>
        <w:pStyle w:val="172"/>
        <w:ind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附图</w:t>
      </w:r>
      <w:r>
        <w:rPr>
          <w:rFonts w:hint="eastAsia" w:cs="Times New Roman"/>
          <w:smallCaps w:val="0"/>
          <w:color w:val="auto"/>
          <w:spacing w:val="0"/>
          <w:highlight w:val="none"/>
          <w:lang w:val="en-US" w:eastAsia="zh-CN"/>
        </w:rPr>
        <w:t>5</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项目与石家庄市井陉矿区集中式饮用水水源保护区位置关系图</w:t>
      </w:r>
    </w:p>
    <w:p w14:paraId="7E944BAA">
      <w:pPr>
        <w:pStyle w:val="172"/>
        <w:ind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附图</w:t>
      </w:r>
      <w:r>
        <w:rPr>
          <w:rFonts w:hint="eastAsia" w:cs="Times New Roman"/>
          <w:smallCaps w:val="0"/>
          <w:color w:val="auto"/>
          <w:spacing w:val="0"/>
          <w:highlight w:val="none"/>
          <w:lang w:val="en-US" w:eastAsia="zh-CN"/>
        </w:rPr>
        <w:t>6</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项目与生态保护红线位置关系图</w:t>
      </w:r>
    </w:p>
    <w:p w14:paraId="6E3F126C">
      <w:pPr>
        <w:pStyle w:val="172"/>
        <w:ind w:firstLine="480"/>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附图</w:t>
      </w:r>
      <w:r>
        <w:rPr>
          <w:rFonts w:hint="eastAsia" w:cs="Times New Roman"/>
          <w:smallCaps w:val="0"/>
          <w:color w:val="auto"/>
          <w:spacing w:val="0"/>
          <w:highlight w:val="none"/>
          <w:lang w:val="en-US" w:eastAsia="zh-CN"/>
        </w:rPr>
        <w:t>7</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项目与河北石家庄矿区工业园区总体发展规划（2022-2030年）-国土空间格局规划图</w:t>
      </w:r>
    </w:p>
    <w:p w14:paraId="78FE5D85">
      <w:pPr>
        <w:pStyle w:val="172"/>
        <w:ind w:firstLine="480"/>
        <w:rPr>
          <w:rFonts w:hint="eastAsia"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附图</w:t>
      </w:r>
      <w:r>
        <w:rPr>
          <w:rFonts w:hint="eastAsia" w:cs="Times New Roman"/>
          <w:smallCaps w:val="0"/>
          <w:color w:val="auto"/>
          <w:spacing w:val="0"/>
          <w:highlight w:val="none"/>
          <w:lang w:val="en-US" w:eastAsia="zh-CN"/>
        </w:rPr>
        <w:t>8</w:t>
      </w:r>
      <w:r>
        <w:rPr>
          <w:rFonts w:hint="eastAsia" w:cs="Times New Roman"/>
          <w:smallCaps w:val="0"/>
          <w:color w:val="auto"/>
          <w:spacing w:val="0"/>
          <w:highlight w:val="none"/>
          <w:lang w:eastAsia="zh-CN"/>
        </w:rPr>
        <w:t>：项目与引用现状监测点位位置关系图</w:t>
      </w:r>
    </w:p>
    <w:p w14:paraId="569F7537">
      <w:pPr>
        <w:pStyle w:val="172"/>
        <w:ind w:firstLine="480"/>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附图</w:t>
      </w:r>
      <w:r>
        <w:rPr>
          <w:rFonts w:hint="eastAsia" w:cs="Times New Roman"/>
          <w:smallCaps w:val="0"/>
          <w:color w:val="auto"/>
          <w:spacing w:val="0"/>
          <w:highlight w:val="none"/>
          <w:lang w:val="en-US" w:eastAsia="zh-CN"/>
        </w:rPr>
        <w:t>9</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项目与沙区范围位置关系图</w:t>
      </w:r>
    </w:p>
    <w:p w14:paraId="2203AE5E">
      <w:pPr>
        <w:pStyle w:val="172"/>
        <w:ind w:firstLine="480"/>
        <w:rPr>
          <w:rFonts w:hint="default" w:ascii="Times New Roman" w:hAnsi="Times New Roman" w:eastAsia="宋体" w:cs="Times New Roman"/>
          <w:smallCaps w:val="0"/>
          <w:color w:val="auto"/>
          <w:spacing w:val="0"/>
          <w:highlight w:val="none"/>
          <w:lang w:val="en-US" w:eastAsia="zh-CN"/>
        </w:rPr>
      </w:pPr>
    </w:p>
    <w:p w14:paraId="663BB2DD">
      <w:pPr>
        <w:pStyle w:val="172"/>
        <w:ind w:left="0" w:leftChars="0" w:firstLine="0" w:firstLineChars="0"/>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lang w:val="en-US" w:eastAsia="zh-CN"/>
        </w:rPr>
        <w:t>附件</w:t>
      </w:r>
      <w:r>
        <w:rPr>
          <w:rFonts w:hint="eastAsia" w:cs="Times New Roman"/>
          <w:smallCaps w:val="0"/>
          <w:color w:val="auto"/>
          <w:spacing w:val="0"/>
          <w:highlight w:val="none"/>
          <w:lang w:val="en-US" w:eastAsia="zh-CN"/>
        </w:rPr>
        <w:t>：</w:t>
      </w:r>
    </w:p>
    <w:p w14:paraId="6C8CDAC4">
      <w:pPr>
        <w:pStyle w:val="172"/>
        <w:ind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附件1</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备案信息</w:t>
      </w:r>
    </w:p>
    <w:p w14:paraId="488155FC">
      <w:pPr>
        <w:pStyle w:val="172"/>
        <w:ind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附件2</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建设单位营业执照</w:t>
      </w:r>
    </w:p>
    <w:p w14:paraId="3797B163">
      <w:pPr>
        <w:pStyle w:val="172"/>
        <w:ind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附件3</w:t>
      </w:r>
      <w:r>
        <w:rPr>
          <w:rFonts w:hint="eastAsia" w:cs="Times New Roman"/>
          <w:smallCaps w:val="0"/>
          <w:color w:val="auto"/>
          <w:spacing w:val="0"/>
          <w:highlight w:val="none"/>
          <w:lang w:eastAsia="zh-CN"/>
        </w:rPr>
        <w:t>：</w:t>
      </w:r>
      <w:r>
        <w:rPr>
          <w:rFonts w:hint="eastAsia" w:cs="Times New Roman"/>
          <w:smallCaps w:val="0"/>
          <w:color w:val="auto"/>
          <w:spacing w:val="0"/>
          <w:highlight w:val="none"/>
          <w:lang w:val="en-US" w:eastAsia="zh-CN"/>
        </w:rPr>
        <w:t>土地手续</w:t>
      </w:r>
    </w:p>
    <w:p w14:paraId="4F969729">
      <w:pPr>
        <w:pStyle w:val="172"/>
        <w:ind w:firstLine="480"/>
        <w:rPr>
          <w:rFonts w:hint="eastAsia"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附件</w:t>
      </w:r>
      <w:r>
        <w:rPr>
          <w:rFonts w:hint="eastAsia" w:cs="Times New Roman"/>
          <w:smallCaps w:val="0"/>
          <w:color w:val="auto"/>
          <w:spacing w:val="0"/>
          <w:highlight w:val="none"/>
          <w:lang w:val="en-US" w:eastAsia="zh-CN"/>
        </w:rPr>
        <w:t>4：现状检测报告</w:t>
      </w:r>
    </w:p>
    <w:p w14:paraId="5288C335">
      <w:pPr>
        <w:pStyle w:val="172"/>
        <w:ind w:firstLine="480"/>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附件5：河北石家庄矿区工业园区管理委员会关于本项目选址的意见</w:t>
      </w:r>
    </w:p>
    <w:p w14:paraId="2A8A825D">
      <w:pPr>
        <w:pStyle w:val="172"/>
        <w:ind w:firstLine="480"/>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附件6：河北省生态环境厅关于《河北石家庄矿区工业园区总体发展规划（2022-2030年）环境影响报告书》的审查意见</w:t>
      </w:r>
    </w:p>
    <w:p w14:paraId="5FFEF50A">
      <w:pPr>
        <w:pStyle w:val="172"/>
        <w:ind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附件</w:t>
      </w:r>
      <w:r>
        <w:rPr>
          <w:rFonts w:hint="eastAsia" w:cs="Times New Roman"/>
          <w:smallCaps w:val="0"/>
          <w:color w:val="auto"/>
          <w:spacing w:val="0"/>
          <w:highlight w:val="none"/>
          <w:lang w:val="en-US" w:eastAsia="zh-CN"/>
        </w:rPr>
        <w:t>7</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委托书</w:t>
      </w:r>
    </w:p>
    <w:p w14:paraId="1304E037">
      <w:pPr>
        <w:pStyle w:val="172"/>
        <w:ind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附件</w:t>
      </w:r>
      <w:r>
        <w:rPr>
          <w:rFonts w:hint="eastAsia" w:cs="Times New Roman"/>
          <w:smallCaps w:val="0"/>
          <w:color w:val="auto"/>
          <w:spacing w:val="0"/>
          <w:highlight w:val="none"/>
          <w:lang w:val="en-US" w:eastAsia="zh-CN"/>
        </w:rPr>
        <w:t>8</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企业承诺书</w:t>
      </w:r>
    </w:p>
    <w:p w14:paraId="1D8A9378">
      <w:pPr>
        <w:pStyle w:val="172"/>
        <w:ind w:firstLine="480"/>
        <w:rPr>
          <w:rFonts w:hint="default"/>
          <w:color w:val="auto"/>
          <w:highlight w:val="none"/>
        </w:rPr>
        <w:sectPr>
          <w:pgSz w:w="11906" w:h="16838"/>
          <w:pgMar w:top="1701" w:right="1531" w:bottom="1701" w:left="1531" w:header="851" w:footer="1077" w:gutter="0"/>
          <w:pgNumType w:start="3"/>
          <w:cols w:space="720" w:num="1"/>
          <w:docGrid w:linePitch="312" w:charSpace="0"/>
        </w:sectPr>
      </w:pPr>
      <w:r>
        <w:rPr>
          <w:rFonts w:hint="default" w:ascii="Times New Roman" w:hAnsi="Times New Roman" w:cs="Times New Roman"/>
          <w:smallCaps w:val="0"/>
          <w:color w:val="auto"/>
          <w:spacing w:val="0"/>
          <w:highlight w:val="none"/>
        </w:rPr>
        <w:t>附件</w:t>
      </w:r>
      <w:r>
        <w:rPr>
          <w:rFonts w:hint="eastAsia" w:cs="Times New Roman"/>
          <w:smallCaps w:val="0"/>
          <w:color w:val="auto"/>
          <w:spacing w:val="0"/>
          <w:highlight w:val="none"/>
          <w:lang w:val="en-US" w:eastAsia="zh-CN"/>
        </w:rPr>
        <w:t>9</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环评承诺书</w:t>
      </w:r>
    </w:p>
    <w:p w14:paraId="0D498EF7">
      <w:pPr>
        <w:pStyle w:val="41"/>
        <w:jc w:val="center"/>
        <w:outlineLvl w:val="0"/>
        <w:rPr>
          <w:rFonts w:hint="default" w:ascii="Times New Roman" w:hAnsi="Times New Roman" w:eastAsia="黑体" w:cs="Times New Roman"/>
          <w:smallCaps w:val="0"/>
          <w:snapToGrid w:val="0"/>
          <w:color w:val="auto"/>
          <w:spacing w:val="0"/>
          <w:sz w:val="30"/>
          <w:szCs w:val="30"/>
          <w:highlight w:val="none"/>
        </w:rPr>
      </w:pPr>
      <w:bookmarkStart w:id="4" w:name="_Toc1950"/>
      <w:r>
        <w:rPr>
          <w:rFonts w:hint="default" w:ascii="Times New Roman" w:hAnsi="Times New Roman" w:eastAsia="黑体" w:cs="Times New Roman"/>
          <w:smallCaps w:val="0"/>
          <w:snapToGrid w:val="0"/>
          <w:color w:val="auto"/>
          <w:spacing w:val="0"/>
          <w:sz w:val="30"/>
          <w:szCs w:val="30"/>
          <w:highlight w:val="none"/>
        </w:rPr>
        <w:t>一、建设项目基本情况</w:t>
      </w:r>
      <w:bookmarkEnd w:id="4"/>
    </w:p>
    <w:tbl>
      <w:tblPr>
        <w:tblStyle w:val="47"/>
        <w:tblW w:w="5306"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556"/>
        <w:gridCol w:w="1821"/>
        <w:gridCol w:w="2150"/>
        <w:gridCol w:w="3886"/>
      </w:tblGrid>
      <w:tr w14:paraId="5FF5FB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0" w:hRule="atLeast"/>
          <w:jc w:val="center"/>
        </w:trPr>
        <w:tc>
          <w:tcPr>
            <w:tcW w:w="826" w:type="pct"/>
            <w:tcMar>
              <w:top w:w="16" w:type="dxa"/>
              <w:left w:w="16" w:type="dxa"/>
              <w:right w:w="16" w:type="dxa"/>
            </w:tcMar>
            <w:vAlign w:val="center"/>
          </w:tcPr>
          <w:p w14:paraId="11C36A9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建设项目名称</w:t>
            </w:r>
          </w:p>
        </w:tc>
        <w:tc>
          <w:tcPr>
            <w:tcW w:w="4173" w:type="pct"/>
            <w:gridSpan w:val="3"/>
            <w:vAlign w:val="center"/>
          </w:tcPr>
          <w:p w14:paraId="4E339366">
            <w:pPr>
              <w:pStyle w:val="172"/>
              <w:keepNext w:val="0"/>
              <w:keepLines w:val="0"/>
              <w:suppressLineNumbers w:val="0"/>
              <w:spacing w:before="0" w:beforeAutospacing="0" w:after="0" w:afterAutospacing="0"/>
              <w:ind w:left="0" w:right="0" w:firstLine="480"/>
              <w:jc w:val="center"/>
              <w:rPr>
                <w:rFonts w:hint="default" w:ascii="Times New Roman" w:hAnsi="Times New Roman" w:eastAsia="宋体" w:cs="Times New Roman"/>
                <w:smallCaps w:val="0"/>
                <w:color w:val="auto"/>
                <w:spacing w:val="0"/>
                <w:highlight w:val="none"/>
                <w:lang w:eastAsia="zh-CN"/>
              </w:rPr>
            </w:pPr>
            <w:r>
              <w:rPr>
                <w:rFonts w:hint="eastAsia" w:cs="Times New Roman"/>
                <w:smallCaps w:val="0"/>
                <w:color w:val="auto"/>
                <w:spacing w:val="0"/>
                <w:highlight w:val="none"/>
                <w:lang w:eastAsia="zh-CN"/>
              </w:rPr>
              <w:t>零部件加工制造项目</w:t>
            </w:r>
          </w:p>
        </w:tc>
      </w:tr>
      <w:tr w14:paraId="7683E1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8" w:hRule="atLeast"/>
          <w:jc w:val="center"/>
        </w:trPr>
        <w:tc>
          <w:tcPr>
            <w:tcW w:w="826" w:type="pct"/>
            <w:tcMar>
              <w:top w:w="16" w:type="dxa"/>
              <w:left w:w="16" w:type="dxa"/>
              <w:right w:w="16" w:type="dxa"/>
            </w:tcMar>
            <w:vAlign w:val="center"/>
          </w:tcPr>
          <w:p w14:paraId="7D65798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项目代码</w:t>
            </w:r>
          </w:p>
        </w:tc>
        <w:tc>
          <w:tcPr>
            <w:tcW w:w="4173" w:type="pct"/>
            <w:gridSpan w:val="3"/>
          </w:tcPr>
          <w:p w14:paraId="69FC5357">
            <w:pPr>
              <w:pStyle w:val="172"/>
              <w:keepNext w:val="0"/>
              <w:keepLines w:val="0"/>
              <w:suppressLineNumbers w:val="0"/>
              <w:spacing w:before="0" w:beforeAutospacing="0" w:after="0" w:afterAutospacing="0"/>
              <w:ind w:left="0" w:right="0" w:firstLine="480"/>
              <w:jc w:val="center"/>
              <w:rPr>
                <w:rFonts w:hint="default" w:ascii="Times New Roman" w:hAnsi="Times New Roman" w:eastAsia="宋体" w:cs="Times New Roman"/>
                <w:smallCaps w:val="0"/>
                <w:color w:val="auto"/>
                <w:spacing w:val="0"/>
                <w:highlight w:val="none"/>
                <w:lang w:eastAsia="zh-CN"/>
              </w:rPr>
            </w:pPr>
            <w:r>
              <w:rPr>
                <w:rFonts w:hint="eastAsia" w:cs="Times New Roman"/>
                <w:smallCaps w:val="0"/>
                <w:color w:val="auto"/>
                <w:spacing w:val="0"/>
                <w:highlight w:val="none"/>
                <w:lang w:eastAsia="zh-CN"/>
              </w:rPr>
              <w:t>2606-130107-89-01-296779</w:t>
            </w:r>
          </w:p>
        </w:tc>
      </w:tr>
      <w:tr w14:paraId="554A23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49" w:hRule="atLeast"/>
          <w:jc w:val="center"/>
        </w:trPr>
        <w:tc>
          <w:tcPr>
            <w:tcW w:w="826" w:type="pct"/>
            <w:tcMar>
              <w:top w:w="16" w:type="dxa"/>
              <w:left w:w="16" w:type="dxa"/>
              <w:right w:w="16" w:type="dxa"/>
            </w:tcMar>
            <w:vAlign w:val="center"/>
          </w:tcPr>
          <w:p w14:paraId="342797A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i w:val="0"/>
                <w:iCs w:val="0"/>
                <w:smallCaps w:val="0"/>
                <w:color w:val="auto"/>
                <w:spacing w:val="0"/>
                <w:sz w:val="24"/>
                <w:szCs w:val="24"/>
                <w:highlight w:val="none"/>
              </w:rPr>
            </w:pPr>
            <w:r>
              <w:rPr>
                <w:rFonts w:hint="default" w:ascii="Times New Roman" w:hAnsi="Times New Roman" w:cs="Times New Roman"/>
                <w:i w:val="0"/>
                <w:iCs w:val="0"/>
                <w:smallCaps w:val="0"/>
                <w:color w:val="auto"/>
                <w:spacing w:val="0"/>
                <w:sz w:val="24"/>
                <w:szCs w:val="24"/>
                <w:highlight w:val="none"/>
              </w:rPr>
              <w:t>建设单位联系人</w:t>
            </w:r>
          </w:p>
        </w:tc>
        <w:tc>
          <w:tcPr>
            <w:tcW w:w="967" w:type="pct"/>
            <w:vAlign w:val="center"/>
          </w:tcPr>
          <w:p w14:paraId="76E954C7">
            <w:pPr>
              <w:keepNext w:val="0"/>
              <w:keepLines w:val="0"/>
              <w:suppressLineNumbers w:val="0"/>
              <w:adjustRightInd w:val="0"/>
              <w:snapToGrid w:val="0"/>
              <w:spacing w:before="0" w:beforeAutospacing="0" w:after="0" w:afterAutospacing="0"/>
              <w:ind w:left="0" w:right="0" w:firstLine="720" w:firstLineChars="300"/>
              <w:rPr>
                <w:rFonts w:hint="default" w:ascii="Times New Roman" w:hAnsi="Times New Roman" w:eastAsia="宋体" w:cs="Times New Roman"/>
                <w:i w:val="0"/>
                <w:iCs w:val="0"/>
                <w:smallCaps w:val="0"/>
                <w:color w:val="auto"/>
                <w:spacing w:val="0"/>
                <w:sz w:val="24"/>
                <w:szCs w:val="24"/>
                <w:highlight w:val="none"/>
                <w:lang w:eastAsia="zh-CN"/>
              </w:rPr>
            </w:pPr>
            <w:r>
              <w:rPr>
                <w:rFonts w:hint="eastAsia" w:cs="Times New Roman"/>
                <w:i w:val="0"/>
                <w:iCs w:val="0"/>
                <w:smallCaps w:val="0"/>
                <w:color w:val="auto"/>
                <w:spacing w:val="0"/>
                <w:sz w:val="24"/>
                <w:szCs w:val="24"/>
                <w:highlight w:val="none"/>
                <w:lang w:eastAsia="zh-CN"/>
              </w:rPr>
              <w:t>褚红霞</w:t>
            </w:r>
          </w:p>
        </w:tc>
        <w:tc>
          <w:tcPr>
            <w:tcW w:w="1142" w:type="pct"/>
            <w:vAlign w:val="center"/>
          </w:tcPr>
          <w:p w14:paraId="0824653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i w:val="0"/>
                <w:iCs w:val="0"/>
                <w:smallCaps w:val="0"/>
                <w:color w:val="auto"/>
                <w:spacing w:val="0"/>
                <w:sz w:val="24"/>
                <w:szCs w:val="24"/>
                <w:highlight w:val="none"/>
              </w:rPr>
            </w:pPr>
            <w:r>
              <w:rPr>
                <w:rFonts w:hint="default" w:ascii="Times New Roman" w:hAnsi="Times New Roman" w:cs="Times New Roman"/>
                <w:i w:val="0"/>
                <w:iCs w:val="0"/>
                <w:smallCaps w:val="0"/>
                <w:color w:val="auto"/>
                <w:spacing w:val="0"/>
                <w:sz w:val="24"/>
                <w:szCs w:val="24"/>
                <w:highlight w:val="none"/>
              </w:rPr>
              <w:t>联系方式</w:t>
            </w:r>
          </w:p>
        </w:tc>
        <w:tc>
          <w:tcPr>
            <w:tcW w:w="2064" w:type="pct"/>
            <w:vAlign w:val="center"/>
          </w:tcPr>
          <w:p w14:paraId="551EDE45">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i w:val="0"/>
                <w:iCs w:val="0"/>
                <w:smallCaps w:val="0"/>
                <w:color w:val="auto"/>
                <w:spacing w:val="0"/>
                <w:sz w:val="24"/>
                <w:szCs w:val="24"/>
                <w:highlight w:val="none"/>
                <w:lang w:eastAsia="zh-CN"/>
              </w:rPr>
            </w:pPr>
            <w:r>
              <w:rPr>
                <w:rFonts w:hint="eastAsia" w:cs="Times New Roman"/>
                <w:i w:val="0"/>
                <w:iCs w:val="0"/>
                <w:smallCaps w:val="0"/>
                <w:color w:val="auto"/>
                <w:spacing w:val="0"/>
                <w:sz w:val="24"/>
                <w:szCs w:val="24"/>
                <w:highlight w:val="none"/>
                <w:lang w:eastAsia="zh-CN"/>
              </w:rPr>
              <w:t>18713180181</w:t>
            </w:r>
          </w:p>
        </w:tc>
      </w:tr>
      <w:tr w14:paraId="03A0F5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826" w:type="pct"/>
            <w:tcMar>
              <w:top w:w="16" w:type="dxa"/>
              <w:left w:w="16" w:type="dxa"/>
              <w:right w:w="16" w:type="dxa"/>
            </w:tcMar>
            <w:vAlign w:val="center"/>
          </w:tcPr>
          <w:p w14:paraId="24C0658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建设地点</w:t>
            </w:r>
          </w:p>
        </w:tc>
        <w:tc>
          <w:tcPr>
            <w:tcW w:w="4173" w:type="pct"/>
            <w:gridSpan w:val="3"/>
            <w:vAlign w:val="center"/>
          </w:tcPr>
          <w:p w14:paraId="7F9F4BE6">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smallCaps w:val="0"/>
                <w:color w:val="auto"/>
                <w:spacing w:val="0"/>
                <w:sz w:val="24"/>
                <w:szCs w:val="24"/>
                <w:highlight w:val="none"/>
                <w:lang w:eastAsia="zh-CN"/>
              </w:rPr>
            </w:pPr>
            <w:r>
              <w:rPr>
                <w:rFonts w:hint="default" w:ascii="Times New Roman" w:hAnsi="Times New Roman" w:cs="Times New Roman"/>
                <w:smallCaps w:val="0"/>
                <w:color w:val="auto"/>
                <w:spacing w:val="0"/>
                <w:sz w:val="24"/>
                <w:szCs w:val="24"/>
                <w:highlight w:val="none"/>
                <w:u w:val="single"/>
              </w:rPr>
              <w:t>河北</w:t>
            </w:r>
            <w:r>
              <w:rPr>
                <w:rFonts w:hint="default" w:ascii="Times New Roman" w:hAnsi="Times New Roman" w:cs="Times New Roman"/>
                <w:smallCaps w:val="0"/>
                <w:color w:val="auto"/>
                <w:spacing w:val="0"/>
                <w:sz w:val="24"/>
                <w:szCs w:val="24"/>
                <w:highlight w:val="none"/>
              </w:rPr>
              <w:t>省（自治区）</w:t>
            </w:r>
            <w:r>
              <w:rPr>
                <w:rFonts w:hint="default" w:ascii="Times New Roman" w:hAnsi="Times New Roman" w:cs="Times New Roman"/>
                <w:smallCaps w:val="0"/>
                <w:color w:val="auto"/>
                <w:spacing w:val="0"/>
                <w:sz w:val="24"/>
                <w:szCs w:val="24"/>
                <w:highlight w:val="none"/>
                <w:u w:val="single"/>
              </w:rPr>
              <w:t>石家庄</w:t>
            </w:r>
            <w:r>
              <w:rPr>
                <w:rFonts w:hint="default" w:ascii="Times New Roman" w:hAnsi="Times New Roman" w:cs="Times New Roman"/>
                <w:smallCaps w:val="0"/>
                <w:color w:val="auto"/>
                <w:spacing w:val="0"/>
                <w:sz w:val="24"/>
                <w:szCs w:val="24"/>
                <w:highlight w:val="none"/>
              </w:rPr>
              <w:t>市</w:t>
            </w:r>
            <w:r>
              <w:rPr>
                <w:rFonts w:hint="eastAsia" w:cs="Times New Roman"/>
                <w:smallCaps w:val="0"/>
                <w:color w:val="auto"/>
                <w:spacing w:val="0"/>
                <w:sz w:val="24"/>
                <w:szCs w:val="24"/>
                <w:highlight w:val="none"/>
                <w:u w:val="single"/>
                <w:lang w:val="en-US" w:eastAsia="zh-CN"/>
              </w:rPr>
              <w:t>井陉矿</w:t>
            </w:r>
            <w:r>
              <w:rPr>
                <w:rFonts w:hint="default" w:ascii="Times New Roman" w:hAnsi="Times New Roman" w:cs="Times New Roman"/>
                <w:smallCaps w:val="0"/>
                <w:color w:val="auto"/>
                <w:spacing w:val="0"/>
                <w:sz w:val="24"/>
                <w:szCs w:val="24"/>
                <w:highlight w:val="none"/>
              </w:rPr>
              <w:t>区</w:t>
            </w:r>
            <w:r>
              <w:rPr>
                <w:rFonts w:hint="eastAsia" w:cs="Times New Roman"/>
                <w:smallCaps w:val="0"/>
                <w:color w:val="auto"/>
                <w:spacing w:val="0"/>
                <w:sz w:val="24"/>
                <w:szCs w:val="24"/>
                <w:highlight w:val="none"/>
                <w:u w:val="single"/>
                <w:lang w:eastAsia="zh-CN"/>
              </w:rPr>
              <w:t>世纪大道以北，石钢路以西</w:t>
            </w:r>
          </w:p>
        </w:tc>
      </w:tr>
      <w:tr w14:paraId="15CF95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2" w:hRule="atLeast"/>
          <w:jc w:val="center"/>
        </w:trPr>
        <w:tc>
          <w:tcPr>
            <w:tcW w:w="826" w:type="pct"/>
            <w:tcMar>
              <w:top w:w="16" w:type="dxa"/>
              <w:left w:w="16" w:type="dxa"/>
              <w:right w:w="16" w:type="dxa"/>
            </w:tcMar>
            <w:vAlign w:val="center"/>
          </w:tcPr>
          <w:p w14:paraId="7643249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地理坐标</w:t>
            </w:r>
          </w:p>
        </w:tc>
        <w:tc>
          <w:tcPr>
            <w:tcW w:w="4173" w:type="pct"/>
            <w:gridSpan w:val="3"/>
            <w:vAlign w:val="center"/>
          </w:tcPr>
          <w:p w14:paraId="6D9B98B7">
            <w:pPr>
              <w:keepNext w:val="0"/>
              <w:keepLines w:val="0"/>
              <w:suppressLineNumbers w:val="0"/>
              <w:tabs>
                <w:tab w:val="left" w:pos="3150"/>
              </w:tabs>
              <w:spacing w:before="0" w:beforeAutospacing="0" w:after="0" w:afterAutospacing="0"/>
              <w:ind w:left="0" w:right="0"/>
              <w:jc w:val="center"/>
              <w:rPr>
                <w:rFonts w:hint="eastAsia" w:ascii="Times New Roman" w:hAnsi="Times New Roman" w:eastAsia="宋体" w:cs="Times New Roman"/>
                <w:smallCaps w:val="0"/>
                <w:color w:val="auto"/>
                <w:spacing w:val="0"/>
                <w:sz w:val="24"/>
                <w:szCs w:val="24"/>
                <w:highlight w:val="none"/>
                <w:lang w:eastAsia="zh-CN"/>
              </w:rPr>
            </w:pPr>
            <w:r>
              <w:rPr>
                <w:rFonts w:hint="default" w:ascii="Times New Roman" w:hAnsi="Times New Roman" w:cs="Times New Roman"/>
                <w:smallCaps w:val="0"/>
                <w:color w:val="auto"/>
                <w:spacing w:val="0"/>
                <w:sz w:val="24"/>
                <w:szCs w:val="24"/>
                <w:highlight w:val="none"/>
                <w:lang w:eastAsia="zh-CN"/>
              </w:rPr>
              <w:t>东经114°1′27.681″，北纬38°4′11.002″</w:t>
            </w:r>
          </w:p>
        </w:tc>
      </w:tr>
      <w:tr w14:paraId="54BC36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826" w:type="pct"/>
            <w:tcMar>
              <w:top w:w="16" w:type="dxa"/>
              <w:left w:w="16" w:type="dxa"/>
              <w:right w:w="16" w:type="dxa"/>
            </w:tcMar>
            <w:vAlign w:val="center"/>
          </w:tcPr>
          <w:p w14:paraId="73A26344">
            <w:pPr>
              <w:pStyle w:val="172"/>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国民经济行业类别</w:t>
            </w:r>
          </w:p>
        </w:tc>
        <w:tc>
          <w:tcPr>
            <w:tcW w:w="967" w:type="pct"/>
            <w:vAlign w:val="center"/>
          </w:tcPr>
          <w:p w14:paraId="19F22A68">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eastAsia="zh-CN"/>
              </w:rPr>
              <w:t>C3489其他通用零部件制造；</w:t>
            </w:r>
            <w:r>
              <w:rPr>
                <w:rFonts w:hint="eastAsia" w:cs="Times New Roman"/>
                <w:smallCaps w:val="0"/>
                <w:color w:val="auto"/>
                <w:spacing w:val="0"/>
                <w:highlight w:val="none"/>
                <w:lang w:val="en-US" w:eastAsia="zh-CN"/>
              </w:rPr>
              <w:t>C3360金属表面处理及热处理加工</w:t>
            </w:r>
          </w:p>
        </w:tc>
        <w:tc>
          <w:tcPr>
            <w:tcW w:w="1142" w:type="pct"/>
            <w:vAlign w:val="center"/>
          </w:tcPr>
          <w:p w14:paraId="4D90668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mallCaps w:val="0"/>
                <w:color w:val="auto"/>
                <w:spacing w:val="0"/>
                <w:sz w:val="24"/>
                <w:szCs w:val="24"/>
                <w:highlight w:val="none"/>
                <w:lang w:val="en-US" w:eastAsia="zh-CN"/>
              </w:rPr>
            </w:pPr>
            <w:bookmarkStart w:id="5" w:name="_Hlk49843745"/>
            <w:r>
              <w:rPr>
                <w:rFonts w:hint="default" w:ascii="Times New Roman" w:hAnsi="Times New Roman" w:cs="Times New Roman"/>
                <w:smallCaps w:val="0"/>
                <w:color w:val="auto"/>
                <w:spacing w:val="0"/>
                <w:sz w:val="24"/>
                <w:szCs w:val="24"/>
                <w:highlight w:val="none"/>
              </w:rPr>
              <w:t>建设项目</w:t>
            </w:r>
          </w:p>
          <w:p w14:paraId="1049378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行业类别</w:t>
            </w:r>
            <w:bookmarkEnd w:id="5"/>
          </w:p>
        </w:tc>
        <w:tc>
          <w:tcPr>
            <w:tcW w:w="2064" w:type="pct"/>
            <w:vAlign w:val="center"/>
          </w:tcPr>
          <w:p w14:paraId="46A734E8">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三十一、通用设备制造业34-69锅炉及原动设备制造341；金属加工机械制造 342；物料搬运设备制造 343；泵、阀门、压缩机及类似机械制造 344；轴承、齿轮和传动部件制造345；烘炉、风机、包装等设备制造 346；文化、办公用机械制造 347；通用零部件制造 348；其他通用设备制造业 349-其他（仅分割、焊接、组装的除外；年用非溶剂型低VOCs含量涂料10吨以下的除外）；三十、金属制品业33-67金属表面处理及热处理加工-其他（年用非溶剂型低VOCs含量涂料10吨以下的除外）</w:t>
            </w:r>
          </w:p>
        </w:tc>
      </w:tr>
      <w:tr w14:paraId="307837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826" w:type="pct"/>
            <w:tcMar>
              <w:top w:w="16" w:type="dxa"/>
              <w:left w:w="16" w:type="dxa"/>
              <w:right w:w="16" w:type="dxa"/>
            </w:tcMar>
            <w:vAlign w:val="center"/>
          </w:tcPr>
          <w:p w14:paraId="03D83B4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建设性质</w:t>
            </w:r>
          </w:p>
        </w:tc>
        <w:tc>
          <w:tcPr>
            <w:tcW w:w="967" w:type="pct"/>
            <w:vAlign w:val="center"/>
          </w:tcPr>
          <w:p w14:paraId="1D212A8C">
            <w:pPr>
              <w:keepNext w:val="0"/>
              <w:keepLines w:val="0"/>
              <w:suppressLineNumbers w:val="0"/>
              <w:spacing w:before="0" w:beforeAutospacing="0" w:after="0" w:afterAutospacing="0"/>
              <w:ind w:left="0" w:right="0"/>
              <w:jc w:val="left"/>
              <w:rPr>
                <w:rFonts w:hint="default" w:ascii="Times New Roman" w:hAnsi="Times New Roman" w:cs="Times New Roman"/>
                <w:smallCaps w:val="0"/>
                <w:color w:val="auto"/>
                <w:spacing w:val="0"/>
                <w:sz w:val="24"/>
                <w:szCs w:val="24"/>
                <w:highlight w:val="none"/>
              </w:rPr>
            </w:pPr>
            <w:r>
              <w:rPr>
                <w:rFonts w:hint="eastAsia"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新建（迁建）</w:t>
            </w:r>
          </w:p>
          <w:p w14:paraId="00F8E9BA">
            <w:pPr>
              <w:keepNext w:val="0"/>
              <w:keepLines w:val="0"/>
              <w:suppressLineNumbers w:val="0"/>
              <w:spacing w:before="0" w:beforeAutospacing="0" w:after="0" w:afterAutospacing="0"/>
              <w:ind w:left="0" w:right="0"/>
              <w:jc w:val="left"/>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□改建</w:t>
            </w:r>
          </w:p>
          <w:p w14:paraId="4E24B373">
            <w:pPr>
              <w:keepNext w:val="0"/>
              <w:keepLines w:val="0"/>
              <w:suppressLineNumbers w:val="0"/>
              <w:spacing w:before="0" w:beforeAutospacing="0" w:after="0" w:afterAutospacing="0"/>
              <w:ind w:left="0" w:right="0"/>
              <w:jc w:val="left"/>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□扩建</w:t>
            </w:r>
          </w:p>
          <w:p w14:paraId="637A2DE0">
            <w:pPr>
              <w:keepNext w:val="0"/>
              <w:keepLines w:val="0"/>
              <w:suppressLineNumbers w:val="0"/>
              <w:spacing w:before="0" w:beforeAutospacing="0" w:after="0" w:afterAutospacing="0"/>
              <w:ind w:left="0" w:right="0"/>
              <w:jc w:val="left"/>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□技术改造</w:t>
            </w:r>
          </w:p>
        </w:tc>
        <w:tc>
          <w:tcPr>
            <w:tcW w:w="1142" w:type="pct"/>
            <w:vAlign w:val="center"/>
          </w:tcPr>
          <w:p w14:paraId="16CE0C5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建设项目</w:t>
            </w:r>
          </w:p>
          <w:p w14:paraId="61748EB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申报情形</w:t>
            </w:r>
          </w:p>
        </w:tc>
        <w:tc>
          <w:tcPr>
            <w:tcW w:w="2064" w:type="pct"/>
            <w:vAlign w:val="center"/>
          </w:tcPr>
          <w:p w14:paraId="0CE8F1A5">
            <w:pPr>
              <w:keepNext w:val="0"/>
              <w:keepLines w:val="0"/>
              <w:suppressLineNumbers w:val="0"/>
              <w:spacing w:before="0" w:beforeAutospacing="0" w:after="0" w:afterAutospacing="0"/>
              <w:ind w:left="0" w:right="0"/>
              <w:jc w:val="left"/>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 xml:space="preserve">☑首次申报项目             </w:t>
            </w:r>
          </w:p>
          <w:p w14:paraId="76EE7732">
            <w:pPr>
              <w:keepNext w:val="0"/>
              <w:keepLines w:val="0"/>
              <w:suppressLineNumbers w:val="0"/>
              <w:spacing w:before="0" w:beforeAutospacing="0" w:after="0" w:afterAutospacing="0"/>
              <w:ind w:left="0" w:right="0"/>
              <w:jc w:val="left"/>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□不予批准后再次申报项目</w:t>
            </w:r>
          </w:p>
          <w:p w14:paraId="13C07F59">
            <w:pPr>
              <w:keepNext w:val="0"/>
              <w:keepLines w:val="0"/>
              <w:suppressLineNumbers w:val="0"/>
              <w:spacing w:before="0" w:beforeAutospacing="0" w:after="0" w:afterAutospacing="0"/>
              <w:ind w:left="0" w:right="0"/>
              <w:jc w:val="left"/>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 xml:space="preserve">□超五年重新审核项目     </w:t>
            </w:r>
          </w:p>
          <w:p w14:paraId="1BB12E45">
            <w:pPr>
              <w:keepNext w:val="0"/>
              <w:keepLines w:val="0"/>
              <w:suppressLineNumbers w:val="0"/>
              <w:spacing w:before="0" w:beforeAutospacing="0" w:after="0" w:afterAutospacing="0"/>
              <w:ind w:left="0" w:right="0"/>
              <w:jc w:val="left"/>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□重大变动重新报批项目</w:t>
            </w:r>
          </w:p>
        </w:tc>
      </w:tr>
      <w:tr w14:paraId="15994F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826" w:type="pct"/>
            <w:tcMar>
              <w:top w:w="16" w:type="dxa"/>
              <w:left w:w="16" w:type="dxa"/>
              <w:right w:w="16" w:type="dxa"/>
            </w:tcMar>
            <w:vAlign w:val="center"/>
          </w:tcPr>
          <w:p w14:paraId="643BB9D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项目审批（核准/备案）部门（选填）</w:t>
            </w:r>
          </w:p>
        </w:tc>
        <w:tc>
          <w:tcPr>
            <w:tcW w:w="967" w:type="pct"/>
            <w:vAlign w:val="center"/>
          </w:tcPr>
          <w:p w14:paraId="7B5F3C5B">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mallCaps w:val="0"/>
                <w:color w:val="auto"/>
                <w:spacing w:val="0"/>
                <w:sz w:val="24"/>
                <w:szCs w:val="24"/>
                <w:highlight w:val="none"/>
                <w:lang w:eastAsia="zh-CN"/>
              </w:rPr>
            </w:pPr>
            <w:r>
              <w:rPr>
                <w:rFonts w:hint="eastAsia" w:cs="Times New Roman"/>
                <w:smallCaps w:val="0"/>
                <w:color w:val="auto"/>
                <w:spacing w:val="0"/>
                <w:sz w:val="24"/>
                <w:szCs w:val="24"/>
                <w:highlight w:val="none"/>
                <w:lang w:eastAsia="zh-CN"/>
              </w:rPr>
              <w:t>石家庄市井陉矿区数据和政务服务局</w:t>
            </w:r>
          </w:p>
        </w:tc>
        <w:tc>
          <w:tcPr>
            <w:tcW w:w="1142" w:type="pct"/>
            <w:vAlign w:val="center"/>
          </w:tcPr>
          <w:p w14:paraId="22BE3E0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项目审批（核准/</w:t>
            </w:r>
          </w:p>
          <w:p w14:paraId="4477C26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备案）文号（选填）</w:t>
            </w:r>
          </w:p>
        </w:tc>
        <w:tc>
          <w:tcPr>
            <w:tcW w:w="2064" w:type="pct"/>
            <w:vAlign w:val="center"/>
          </w:tcPr>
          <w:p w14:paraId="42D62BCB">
            <w:pPr>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sz w:val="24"/>
                <w:szCs w:val="24"/>
                <w:highlight w:val="none"/>
                <w:lang w:eastAsia="zh-CN"/>
              </w:rPr>
            </w:pPr>
            <w:r>
              <w:rPr>
                <w:rFonts w:hint="eastAsia" w:cs="Times New Roman"/>
                <w:smallCaps w:val="0"/>
                <w:color w:val="auto"/>
                <w:spacing w:val="0"/>
                <w:sz w:val="24"/>
                <w:szCs w:val="24"/>
                <w:highlight w:val="none"/>
                <w:lang w:eastAsia="zh-CN"/>
              </w:rPr>
              <w:t>矿数政投资备字〔2026〕58号</w:t>
            </w:r>
          </w:p>
        </w:tc>
      </w:tr>
      <w:tr w14:paraId="5E0DDB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28" w:hRule="atLeast"/>
          <w:jc w:val="center"/>
        </w:trPr>
        <w:tc>
          <w:tcPr>
            <w:tcW w:w="826" w:type="pct"/>
            <w:tcMar>
              <w:top w:w="16" w:type="dxa"/>
              <w:left w:w="16" w:type="dxa"/>
              <w:right w:w="16" w:type="dxa"/>
            </w:tcMar>
            <w:vAlign w:val="center"/>
          </w:tcPr>
          <w:p w14:paraId="56DD8CF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总投资（万元）</w:t>
            </w:r>
          </w:p>
        </w:tc>
        <w:tc>
          <w:tcPr>
            <w:tcW w:w="967" w:type="pct"/>
            <w:vAlign w:val="center"/>
          </w:tcPr>
          <w:p w14:paraId="3BA4260F">
            <w:pPr>
              <w:pStyle w:val="172"/>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10050.14</w:t>
            </w:r>
          </w:p>
        </w:tc>
        <w:tc>
          <w:tcPr>
            <w:tcW w:w="1142" w:type="pct"/>
            <w:tcMar>
              <w:top w:w="16" w:type="dxa"/>
              <w:left w:w="16" w:type="dxa"/>
              <w:right w:w="16" w:type="dxa"/>
            </w:tcMar>
            <w:vAlign w:val="center"/>
          </w:tcPr>
          <w:p w14:paraId="3B47C3D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环保投资（万元）</w:t>
            </w:r>
          </w:p>
        </w:tc>
        <w:tc>
          <w:tcPr>
            <w:tcW w:w="2064" w:type="pct"/>
            <w:vAlign w:val="center"/>
          </w:tcPr>
          <w:p w14:paraId="0EB6816B">
            <w:pPr>
              <w:pStyle w:val="172"/>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300</w:t>
            </w:r>
          </w:p>
        </w:tc>
      </w:tr>
      <w:tr w14:paraId="5A38BE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34" w:hRule="atLeast"/>
          <w:jc w:val="center"/>
        </w:trPr>
        <w:tc>
          <w:tcPr>
            <w:tcW w:w="826" w:type="pct"/>
            <w:tcMar>
              <w:top w:w="16" w:type="dxa"/>
              <w:left w:w="16" w:type="dxa"/>
              <w:right w:w="16" w:type="dxa"/>
            </w:tcMar>
            <w:vAlign w:val="center"/>
          </w:tcPr>
          <w:p w14:paraId="0F68F43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环保投资占比（%）</w:t>
            </w:r>
          </w:p>
        </w:tc>
        <w:tc>
          <w:tcPr>
            <w:tcW w:w="967" w:type="pct"/>
            <w:vAlign w:val="center"/>
          </w:tcPr>
          <w:p w14:paraId="2FE8D669">
            <w:pPr>
              <w:pStyle w:val="172"/>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2.98</w:t>
            </w:r>
          </w:p>
        </w:tc>
        <w:tc>
          <w:tcPr>
            <w:tcW w:w="1142" w:type="pct"/>
            <w:tcMar>
              <w:top w:w="16" w:type="dxa"/>
              <w:left w:w="16" w:type="dxa"/>
              <w:right w:w="16" w:type="dxa"/>
            </w:tcMar>
            <w:vAlign w:val="center"/>
          </w:tcPr>
          <w:p w14:paraId="1E58FA5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施工工期</w:t>
            </w:r>
          </w:p>
        </w:tc>
        <w:tc>
          <w:tcPr>
            <w:tcW w:w="2064" w:type="pct"/>
            <w:vAlign w:val="center"/>
          </w:tcPr>
          <w:p w14:paraId="2D9BB68C">
            <w:pPr>
              <w:pStyle w:val="172"/>
              <w:keepNext w:val="0"/>
              <w:keepLines w:val="0"/>
              <w:suppressLineNumbers w:val="0"/>
              <w:spacing w:before="0" w:beforeAutospacing="0" w:after="0" w:afterAutospacing="0"/>
              <w:ind w:left="0" w:leftChars="0" w:right="0" w:firstLine="0" w:firstLineChars="0"/>
              <w:jc w:val="center"/>
              <w:rPr>
                <w:rFonts w:hint="default" w:ascii="Times New Roman" w:hAnsi="Times New Roman" w:cs="Times New Roman"/>
                <w:smallCaps w:val="0"/>
                <w:color w:val="auto"/>
                <w:spacing w:val="0"/>
                <w:highlight w:val="none"/>
              </w:rPr>
            </w:pPr>
            <w:r>
              <w:rPr>
                <w:rFonts w:hint="eastAsia" w:cs="Times New Roman"/>
                <w:smallCaps w:val="0"/>
                <w:color w:val="auto"/>
                <w:spacing w:val="0"/>
                <w:highlight w:val="none"/>
                <w:lang w:val="en-US" w:eastAsia="zh-CN"/>
              </w:rPr>
              <w:t>6</w:t>
            </w:r>
            <w:r>
              <w:rPr>
                <w:rFonts w:hint="default" w:ascii="Times New Roman" w:hAnsi="Times New Roman" w:cs="Times New Roman"/>
                <w:smallCaps w:val="0"/>
                <w:color w:val="auto"/>
                <w:spacing w:val="0"/>
                <w:highlight w:val="none"/>
              </w:rPr>
              <w:t>个月</w:t>
            </w:r>
          </w:p>
        </w:tc>
      </w:tr>
      <w:tr w14:paraId="09978F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826" w:type="pct"/>
            <w:shd w:val="clear" w:color="auto" w:fill="auto"/>
            <w:tcMar>
              <w:top w:w="16" w:type="dxa"/>
              <w:left w:w="16" w:type="dxa"/>
              <w:right w:w="16" w:type="dxa"/>
            </w:tcMar>
            <w:vAlign w:val="center"/>
          </w:tcPr>
          <w:p w14:paraId="4753CB6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是否开工建设</w:t>
            </w:r>
          </w:p>
        </w:tc>
        <w:tc>
          <w:tcPr>
            <w:tcW w:w="967" w:type="pct"/>
            <w:shd w:val="clear" w:color="auto" w:fill="auto"/>
            <w:vAlign w:val="center"/>
          </w:tcPr>
          <w:p w14:paraId="55CBFFCC">
            <w:pPr>
              <w:keepNext w:val="0"/>
              <w:keepLines w:val="0"/>
              <w:suppressLineNumbers w:val="0"/>
              <w:adjustRightInd w:val="0"/>
              <w:snapToGrid w:val="0"/>
              <w:spacing w:before="0" w:beforeAutospacing="0" w:after="0" w:afterAutospacing="0"/>
              <w:ind w:left="0" w:right="0"/>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☑否</w:t>
            </w:r>
          </w:p>
          <w:p w14:paraId="4890D3C6">
            <w:pPr>
              <w:keepNext w:val="0"/>
              <w:keepLines w:val="0"/>
              <w:suppressLineNumbers w:val="0"/>
              <w:adjustRightInd w:val="0"/>
              <w:snapToGrid w:val="0"/>
              <w:spacing w:before="0" w:beforeAutospacing="0" w:after="0" w:afterAutospacing="0"/>
              <w:ind w:left="0" w:right="0"/>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□是</w:t>
            </w:r>
          </w:p>
        </w:tc>
        <w:tc>
          <w:tcPr>
            <w:tcW w:w="1142" w:type="pct"/>
            <w:tcMar>
              <w:top w:w="16" w:type="dxa"/>
              <w:left w:w="16" w:type="dxa"/>
              <w:right w:w="16" w:type="dxa"/>
            </w:tcMar>
            <w:vAlign w:val="center"/>
          </w:tcPr>
          <w:p w14:paraId="28FF2F0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用地（用海）</w:t>
            </w:r>
          </w:p>
          <w:p w14:paraId="709E3B7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smallCaps w:val="0"/>
                <w:color w:val="auto"/>
                <w:spacing w:val="0"/>
                <w:sz w:val="24"/>
                <w:szCs w:val="24"/>
                <w:highlight w:val="none"/>
              </w:rPr>
              <w:t>面积（m</w:t>
            </w:r>
            <w:r>
              <w:rPr>
                <w:rFonts w:hint="default" w:ascii="Times New Roman" w:hAnsi="Times New Roman" w:cs="Times New Roman"/>
                <w:smallCaps w:val="0"/>
                <w:color w:val="auto"/>
                <w:spacing w:val="0"/>
                <w:sz w:val="24"/>
                <w:szCs w:val="24"/>
                <w:highlight w:val="none"/>
                <w:vertAlign w:val="superscript"/>
              </w:rPr>
              <w:t>2</w:t>
            </w:r>
            <w:r>
              <w:rPr>
                <w:rFonts w:hint="default" w:ascii="Times New Roman" w:hAnsi="Times New Roman" w:cs="Times New Roman"/>
                <w:smallCaps w:val="0"/>
                <w:color w:val="auto"/>
                <w:spacing w:val="0"/>
                <w:sz w:val="24"/>
                <w:szCs w:val="24"/>
                <w:highlight w:val="none"/>
              </w:rPr>
              <w:t>）</w:t>
            </w:r>
          </w:p>
        </w:tc>
        <w:tc>
          <w:tcPr>
            <w:tcW w:w="2064" w:type="pct"/>
            <w:vAlign w:val="center"/>
          </w:tcPr>
          <w:p w14:paraId="6B9888C6">
            <w:pPr>
              <w:pStyle w:val="172"/>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20621.58</w:t>
            </w:r>
          </w:p>
        </w:tc>
      </w:tr>
      <w:tr w14:paraId="4F968D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826" w:type="pct"/>
            <w:vAlign w:val="center"/>
          </w:tcPr>
          <w:p w14:paraId="0AB4D7A9">
            <w:pPr>
              <w:pStyle w:val="172"/>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eastAsia="宋体" w:cs="Times New Roman"/>
                <w:smallCaps w:val="0"/>
                <w:color w:val="auto"/>
                <w:spacing w:val="0"/>
                <w:highlight w:val="none"/>
                <w:lang w:val="en-US" w:eastAsia="zh-CN"/>
              </w:rPr>
              <w:t>专项评价设置情况</w:t>
            </w:r>
          </w:p>
        </w:tc>
        <w:tc>
          <w:tcPr>
            <w:tcW w:w="4173" w:type="pct"/>
            <w:gridSpan w:val="3"/>
            <w:vAlign w:val="center"/>
          </w:tcPr>
          <w:p w14:paraId="26F62A9B">
            <w:pPr>
              <w:pStyle w:val="172"/>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eastAsia="宋体" w:cs="Times New Roman"/>
                <w:smallCaps w:val="0"/>
                <w:color w:val="auto"/>
                <w:spacing w:val="0"/>
                <w:highlight w:val="none"/>
                <w:lang w:val="en-US" w:eastAsia="zh-CN"/>
              </w:rPr>
              <w:t>无</w:t>
            </w:r>
          </w:p>
        </w:tc>
      </w:tr>
      <w:tr w14:paraId="52B1C0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826" w:type="pct"/>
            <w:shd w:val="clear" w:color="auto" w:fill="auto"/>
            <w:vAlign w:val="center"/>
          </w:tcPr>
          <w:p w14:paraId="464CCC46">
            <w:pPr>
              <w:pStyle w:val="172"/>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4"/>
                <w:szCs w:val="24"/>
                <w:highlight w:val="none"/>
                <w:lang w:val="en-US" w:eastAsia="zh-CN" w:bidi="ar-SA"/>
              </w:rPr>
            </w:pPr>
            <w:r>
              <w:rPr>
                <w:rFonts w:hint="default" w:ascii="Times New Roman" w:hAnsi="Times New Roman" w:cs="Times New Roman"/>
                <w:smallCaps w:val="0"/>
                <w:color w:val="auto"/>
                <w:spacing w:val="0"/>
                <w:highlight w:val="none"/>
              </w:rPr>
              <w:t>规划情况</w:t>
            </w:r>
          </w:p>
        </w:tc>
        <w:tc>
          <w:tcPr>
            <w:tcW w:w="4173" w:type="pct"/>
            <w:gridSpan w:val="3"/>
            <w:shd w:val="clear" w:color="auto" w:fill="auto"/>
            <w:vAlign w:val="center"/>
          </w:tcPr>
          <w:p w14:paraId="4EE93E78">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default" w:ascii="Times New Roman" w:hAnsi="Times New Roman" w:eastAsia="宋体" w:cs="Times New Roman"/>
                <w:smallCaps w:val="0"/>
                <w:snapToGrid w:val="0"/>
                <w:color w:val="auto"/>
                <w:spacing w:val="0"/>
                <w:kern w:val="2"/>
                <w:sz w:val="24"/>
                <w:szCs w:val="24"/>
                <w:highlight w:val="none"/>
                <w:lang w:val="en-US" w:eastAsia="zh-CN" w:bidi="ar"/>
              </w:rPr>
            </w:pPr>
            <w:r>
              <w:rPr>
                <w:rFonts w:hint="default" w:ascii="Times New Roman" w:hAnsi="Times New Roman" w:cs="Times New Roman"/>
                <w:smallCaps w:val="0"/>
                <w:color w:val="auto"/>
                <w:spacing w:val="0"/>
                <w:kern w:val="0"/>
                <w:highlight w:val="none"/>
                <w:lang w:val="en-US" w:eastAsia="zh-CN"/>
              </w:rPr>
              <w:t>规划名称</w:t>
            </w:r>
            <w:r>
              <w:rPr>
                <w:rFonts w:hint="eastAsia" w:ascii="Times New Roman" w:hAnsi="Times New Roman" w:cs="Times New Roman"/>
                <w:smallCaps w:val="0"/>
                <w:color w:val="auto"/>
                <w:spacing w:val="0"/>
                <w:kern w:val="0"/>
                <w:highlight w:val="none"/>
                <w:lang w:val="en-US" w:eastAsia="zh-CN"/>
              </w:rPr>
              <w:t>：</w:t>
            </w:r>
            <w:r>
              <w:rPr>
                <w:rFonts w:hint="default" w:ascii="Times New Roman" w:hAnsi="Times New Roman" w:cs="Times New Roman"/>
                <w:smallCaps w:val="0"/>
                <w:color w:val="auto"/>
                <w:spacing w:val="0"/>
                <w:kern w:val="0"/>
                <w:highlight w:val="none"/>
                <w:lang w:eastAsia="zh-CN"/>
              </w:rPr>
              <w:t>《</w:t>
            </w:r>
            <w:r>
              <w:rPr>
                <w:rFonts w:hint="default" w:ascii="Times New Roman" w:hAnsi="Times New Roman" w:cs="Times New Roman"/>
                <w:smallCaps w:val="0"/>
                <w:color w:val="auto"/>
                <w:spacing w:val="0"/>
                <w:kern w:val="0"/>
                <w:highlight w:val="none"/>
                <w:lang w:val="en-US" w:eastAsia="zh-CN"/>
              </w:rPr>
              <w:t>河北石家庄矿区工业园区总体</w:t>
            </w:r>
            <w:r>
              <w:rPr>
                <w:rFonts w:hint="eastAsia" w:ascii="Times New Roman" w:hAnsi="Times New Roman" w:cs="Times New Roman"/>
                <w:smallCaps w:val="0"/>
                <w:color w:val="auto"/>
                <w:spacing w:val="0"/>
                <w:kern w:val="0"/>
                <w:highlight w:val="none"/>
                <w:lang w:val="en-US" w:eastAsia="zh-CN"/>
              </w:rPr>
              <w:t>发展</w:t>
            </w:r>
            <w:r>
              <w:rPr>
                <w:rFonts w:hint="default" w:ascii="Times New Roman" w:hAnsi="Times New Roman" w:cs="Times New Roman"/>
                <w:smallCaps w:val="0"/>
                <w:color w:val="auto"/>
                <w:spacing w:val="0"/>
                <w:kern w:val="0"/>
                <w:highlight w:val="none"/>
                <w:lang w:val="en-US" w:eastAsia="zh-CN"/>
              </w:rPr>
              <w:t>规划（</w:t>
            </w:r>
            <w:r>
              <w:rPr>
                <w:rFonts w:hint="eastAsia" w:ascii="Times New Roman" w:hAnsi="Times New Roman" w:cs="Times New Roman"/>
                <w:smallCaps w:val="0"/>
                <w:color w:val="auto"/>
                <w:spacing w:val="0"/>
                <w:kern w:val="0"/>
                <w:highlight w:val="none"/>
                <w:lang w:val="en-US" w:eastAsia="zh-CN"/>
              </w:rPr>
              <w:t>2022-2030</w:t>
            </w:r>
            <w:r>
              <w:rPr>
                <w:rFonts w:hint="default" w:ascii="Times New Roman" w:hAnsi="Times New Roman" w:cs="Times New Roman"/>
                <w:smallCaps w:val="0"/>
                <w:color w:val="auto"/>
                <w:spacing w:val="0"/>
                <w:kern w:val="0"/>
                <w:highlight w:val="none"/>
                <w:lang w:val="en-US" w:eastAsia="zh-CN"/>
              </w:rPr>
              <w:t>年）</w:t>
            </w:r>
            <w:r>
              <w:rPr>
                <w:rFonts w:hint="default" w:ascii="Times New Roman" w:hAnsi="Times New Roman" w:cs="Times New Roman"/>
                <w:smallCaps w:val="0"/>
                <w:color w:val="auto"/>
                <w:spacing w:val="0"/>
                <w:kern w:val="0"/>
                <w:highlight w:val="none"/>
                <w:lang w:eastAsia="zh-CN"/>
              </w:rPr>
              <w:t>》</w:t>
            </w:r>
            <w:r>
              <w:rPr>
                <w:rFonts w:hint="eastAsia" w:cs="Times New Roman"/>
                <w:smallCaps w:val="0"/>
                <w:color w:val="auto"/>
                <w:spacing w:val="0"/>
                <w:kern w:val="0"/>
                <w:highlight w:val="none"/>
                <w:lang w:eastAsia="zh-CN"/>
              </w:rPr>
              <w:t>。</w:t>
            </w:r>
          </w:p>
        </w:tc>
      </w:tr>
      <w:tr w14:paraId="642CE8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826" w:type="pct"/>
            <w:shd w:val="clear" w:color="auto" w:fill="auto"/>
            <w:vAlign w:val="center"/>
          </w:tcPr>
          <w:p w14:paraId="10456B46">
            <w:pPr>
              <w:pStyle w:val="172"/>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default" w:ascii="Times New Roman" w:hAnsi="Times New Roman" w:cs="Times New Roman"/>
                <w:smallCaps w:val="0"/>
                <w:color w:val="auto"/>
                <w:spacing w:val="0"/>
                <w:highlight w:val="none"/>
              </w:rPr>
              <w:t>规划环境影响评价情况</w:t>
            </w:r>
          </w:p>
        </w:tc>
        <w:tc>
          <w:tcPr>
            <w:tcW w:w="4173" w:type="pct"/>
            <w:gridSpan w:val="3"/>
            <w:shd w:val="clear" w:color="auto" w:fill="auto"/>
            <w:vAlign w:val="center"/>
          </w:tcPr>
          <w:p w14:paraId="6BA66E28">
            <w:pPr>
              <w:keepNext w:val="0"/>
              <w:keepLines w:val="0"/>
              <w:pageBreakBefore w:val="0"/>
              <w:widowControl w:val="0"/>
              <w:suppressLineNumbers w:val="0"/>
              <w:shd w:val="clear" w:color="auto" w:fill="auto"/>
              <w:kinsoku/>
              <w:wordWrap/>
              <w:overflowPunct/>
              <w:topLinePunct w:val="0"/>
              <w:autoSpaceDE w:val="0"/>
              <w:autoSpaceDN w:val="0"/>
              <w:bidi w:val="0"/>
              <w:adjustRightInd/>
              <w:snapToGrid/>
              <w:spacing w:before="0" w:beforeAutospacing="0" w:after="0" w:afterAutospacing="0" w:line="440" w:lineRule="exact"/>
              <w:ind w:left="0" w:right="0" w:firstLine="480" w:firstLineChars="200"/>
              <w:textAlignment w:val="auto"/>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规划环境影响评价文件名称</w:t>
            </w:r>
            <w:r>
              <w:rPr>
                <w:rFonts w:hint="eastAsia" w:ascii="Times New Roman" w:hAnsi="Times New Roman" w:cs="Times New Roman"/>
                <w:smallCaps w:val="0"/>
                <w:color w:val="auto"/>
                <w:spacing w:val="0"/>
                <w:sz w:val="24"/>
                <w:szCs w:val="20"/>
                <w:highlight w:val="none"/>
                <w:lang w:eastAsia="zh-CN"/>
              </w:rPr>
              <w:t>：</w:t>
            </w:r>
            <w:r>
              <w:rPr>
                <w:rFonts w:hint="eastAsia" w:cs="Times New Roman"/>
                <w:smallCaps w:val="0"/>
                <w:color w:val="auto"/>
                <w:spacing w:val="0"/>
                <w:sz w:val="24"/>
                <w:szCs w:val="20"/>
                <w:highlight w:val="none"/>
                <w:lang w:val="en-US" w:eastAsia="zh-CN"/>
              </w:rPr>
              <w:t>《河北石家庄矿区工业园区总体发展规划（2022-2030年）环境影响报告书》</w:t>
            </w:r>
          </w:p>
          <w:p w14:paraId="3E6CCE28">
            <w:pPr>
              <w:keepNext w:val="0"/>
              <w:keepLines w:val="0"/>
              <w:pageBreakBefore w:val="0"/>
              <w:widowControl w:val="0"/>
              <w:suppressLineNumbers w:val="0"/>
              <w:shd w:val="clear" w:color="auto" w:fill="auto"/>
              <w:kinsoku/>
              <w:wordWrap/>
              <w:overflowPunct/>
              <w:topLinePunct w:val="0"/>
              <w:autoSpaceDE w:val="0"/>
              <w:autoSpaceDN w:val="0"/>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smallCaps w:val="0"/>
                <w:color w:val="auto"/>
                <w:spacing w:val="0"/>
                <w:sz w:val="24"/>
                <w:szCs w:val="20"/>
                <w:highlight w:val="none"/>
                <w:lang w:val="en-US" w:eastAsia="zh-CN"/>
              </w:rPr>
            </w:pPr>
            <w:r>
              <w:rPr>
                <w:rFonts w:hint="default" w:ascii="Times New Roman" w:hAnsi="Times New Roman" w:cs="Times New Roman"/>
                <w:smallCaps w:val="0"/>
                <w:color w:val="auto"/>
                <w:spacing w:val="0"/>
                <w:sz w:val="24"/>
                <w:szCs w:val="20"/>
                <w:highlight w:val="none"/>
              </w:rPr>
              <w:t>召集审查机关</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河北省</w:t>
            </w:r>
            <w:r>
              <w:rPr>
                <w:rFonts w:hint="eastAsia" w:ascii="Times New Roman" w:hAnsi="Times New Roman" w:cs="Times New Roman"/>
                <w:smallCaps w:val="0"/>
                <w:color w:val="auto"/>
                <w:spacing w:val="0"/>
                <w:sz w:val="24"/>
                <w:szCs w:val="20"/>
                <w:highlight w:val="none"/>
                <w:lang w:val="en-US" w:eastAsia="zh-CN"/>
              </w:rPr>
              <w:t>生态环境厅</w:t>
            </w:r>
          </w:p>
          <w:p w14:paraId="3503FC16">
            <w:pPr>
              <w:keepNext w:val="0"/>
              <w:keepLines w:val="0"/>
              <w:pageBreakBefore w:val="0"/>
              <w:widowControl w:val="0"/>
              <w:suppressLineNumbers w:val="0"/>
              <w:shd w:val="clear" w:color="auto" w:fill="auto"/>
              <w:kinsoku/>
              <w:wordWrap/>
              <w:overflowPunct/>
              <w:topLinePunct w:val="0"/>
              <w:autoSpaceDE w:val="0"/>
              <w:autoSpaceDN w:val="0"/>
              <w:bidi w:val="0"/>
              <w:adjustRightInd/>
              <w:snapToGrid/>
              <w:spacing w:before="0" w:beforeAutospacing="0" w:after="0" w:afterAutospacing="0" w:line="440" w:lineRule="exact"/>
              <w:ind w:left="0" w:right="0" w:firstLine="480" w:firstLineChars="200"/>
              <w:textAlignment w:val="auto"/>
              <w:rPr>
                <w:rFonts w:hint="eastAsia" w:ascii="Times New Roman" w:hAnsi="Times New Roman" w:eastAsia="宋体" w:cs="Times New Roman"/>
                <w:smallCaps w:val="0"/>
                <w:color w:val="auto"/>
                <w:spacing w:val="0"/>
                <w:kern w:val="2"/>
                <w:sz w:val="24"/>
                <w:szCs w:val="20"/>
                <w:highlight w:val="none"/>
                <w:lang w:val="en-US" w:eastAsia="zh-CN" w:bidi="ar-SA"/>
              </w:rPr>
            </w:pPr>
            <w:r>
              <w:rPr>
                <w:rFonts w:hint="default" w:ascii="Times New Roman" w:hAnsi="Times New Roman" w:cs="Times New Roman"/>
                <w:smallCaps w:val="0"/>
                <w:color w:val="auto"/>
                <w:spacing w:val="0"/>
                <w:sz w:val="24"/>
                <w:szCs w:val="20"/>
                <w:highlight w:val="none"/>
              </w:rPr>
              <w:t>审查文件名称及文号</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《关于</w:t>
            </w:r>
            <w:r>
              <w:rPr>
                <w:rFonts w:hint="eastAsia" w:ascii="Times New Roman" w:hAnsi="Times New Roman" w:cs="Times New Roman"/>
                <w:smallCaps w:val="0"/>
                <w:color w:val="auto"/>
                <w:spacing w:val="0"/>
                <w:sz w:val="24"/>
                <w:szCs w:val="20"/>
                <w:highlight w:val="none"/>
                <w:lang w:val="en-US" w:eastAsia="zh-CN"/>
              </w:rPr>
              <w:t>&lt;</w:t>
            </w:r>
            <w:r>
              <w:rPr>
                <w:rFonts w:hint="default" w:ascii="Times New Roman" w:hAnsi="Times New Roman" w:cs="Times New Roman"/>
                <w:smallCaps w:val="0"/>
                <w:color w:val="auto"/>
                <w:spacing w:val="0"/>
                <w:sz w:val="24"/>
                <w:szCs w:val="20"/>
                <w:highlight w:val="none"/>
              </w:rPr>
              <w:t>河北石家庄矿区工业园区总体</w:t>
            </w:r>
            <w:r>
              <w:rPr>
                <w:rFonts w:hint="eastAsia" w:ascii="Times New Roman" w:hAnsi="Times New Roman" w:cs="Times New Roman"/>
                <w:smallCaps w:val="0"/>
                <w:color w:val="auto"/>
                <w:spacing w:val="0"/>
                <w:sz w:val="24"/>
                <w:szCs w:val="20"/>
                <w:highlight w:val="none"/>
                <w:lang w:val="en-US" w:eastAsia="zh-CN"/>
              </w:rPr>
              <w:t>发展</w:t>
            </w:r>
            <w:r>
              <w:rPr>
                <w:rFonts w:hint="default" w:ascii="Times New Roman" w:hAnsi="Times New Roman" w:cs="Times New Roman"/>
                <w:smallCaps w:val="0"/>
                <w:color w:val="auto"/>
                <w:spacing w:val="0"/>
                <w:sz w:val="24"/>
                <w:szCs w:val="20"/>
                <w:highlight w:val="none"/>
              </w:rPr>
              <w:t>规划</w:t>
            </w:r>
            <w:r>
              <w:rPr>
                <w:rFonts w:hint="eastAsia" w:ascii="Times New Roman" w:hAnsi="Times New Roman" w:cs="Times New Roman"/>
                <w:smallCaps w:val="0"/>
                <w:color w:val="auto"/>
                <w:spacing w:val="0"/>
                <w:sz w:val="24"/>
                <w:szCs w:val="20"/>
                <w:highlight w:val="none"/>
                <w:lang w:eastAsia="zh-CN"/>
              </w:rPr>
              <w:t>（</w:t>
            </w:r>
            <w:r>
              <w:rPr>
                <w:rFonts w:hint="eastAsia" w:ascii="Times New Roman" w:hAnsi="Times New Roman" w:cs="Times New Roman"/>
                <w:smallCaps w:val="0"/>
                <w:color w:val="auto"/>
                <w:spacing w:val="0"/>
                <w:sz w:val="24"/>
                <w:szCs w:val="20"/>
                <w:highlight w:val="none"/>
                <w:lang w:val="en-US" w:eastAsia="zh-CN"/>
              </w:rPr>
              <w:t>2022-2030年</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环境影响报告书</w:t>
            </w:r>
            <w:r>
              <w:rPr>
                <w:rFonts w:hint="eastAsia" w:ascii="Times New Roman" w:hAnsi="Times New Roman" w:cs="Times New Roman"/>
                <w:smallCaps w:val="0"/>
                <w:color w:val="auto"/>
                <w:spacing w:val="0"/>
                <w:sz w:val="24"/>
                <w:szCs w:val="20"/>
                <w:highlight w:val="none"/>
                <w:lang w:val="en-US" w:eastAsia="zh-CN"/>
              </w:rPr>
              <w:t>&gt;的审查意见</w:t>
            </w:r>
            <w:r>
              <w:rPr>
                <w:rFonts w:hint="default" w:ascii="Times New Roman" w:hAnsi="Times New Roman" w:cs="Times New Roman"/>
                <w:smallCaps w:val="0"/>
                <w:color w:val="auto"/>
                <w:spacing w:val="0"/>
                <w:sz w:val="24"/>
                <w:szCs w:val="20"/>
                <w:highlight w:val="none"/>
              </w:rPr>
              <w:t>》（冀环</w:t>
            </w:r>
            <w:r>
              <w:rPr>
                <w:rFonts w:hint="eastAsia" w:ascii="Times New Roman" w:hAnsi="Times New Roman" w:cs="Times New Roman"/>
                <w:smallCaps w:val="0"/>
                <w:color w:val="auto"/>
                <w:spacing w:val="0"/>
                <w:sz w:val="24"/>
                <w:szCs w:val="20"/>
                <w:highlight w:val="none"/>
                <w:lang w:val="en-US" w:eastAsia="zh-CN"/>
              </w:rPr>
              <w:t>环</w:t>
            </w:r>
            <w:r>
              <w:rPr>
                <w:rFonts w:hint="default" w:ascii="Times New Roman" w:hAnsi="Times New Roman" w:cs="Times New Roman"/>
                <w:smallCaps w:val="0"/>
                <w:color w:val="auto"/>
                <w:spacing w:val="0"/>
                <w:sz w:val="24"/>
                <w:szCs w:val="20"/>
                <w:highlight w:val="none"/>
              </w:rPr>
              <w:t>评函〔</w:t>
            </w:r>
            <w:r>
              <w:rPr>
                <w:rFonts w:hint="eastAsia" w:ascii="Times New Roman" w:hAnsi="Times New Roman" w:cs="Times New Roman"/>
                <w:smallCaps w:val="0"/>
                <w:color w:val="auto"/>
                <w:spacing w:val="0"/>
                <w:sz w:val="24"/>
                <w:szCs w:val="20"/>
                <w:highlight w:val="none"/>
                <w:lang w:val="en-US" w:eastAsia="zh-CN"/>
              </w:rPr>
              <w:t>2025</w:t>
            </w:r>
            <w:r>
              <w:rPr>
                <w:rFonts w:hint="default" w:ascii="Times New Roman" w:hAnsi="Times New Roman" w:cs="Times New Roman"/>
                <w:smallCaps w:val="0"/>
                <w:color w:val="auto"/>
                <w:spacing w:val="0"/>
                <w:sz w:val="24"/>
                <w:szCs w:val="20"/>
                <w:highlight w:val="none"/>
              </w:rPr>
              <w:t>〕</w:t>
            </w:r>
            <w:r>
              <w:rPr>
                <w:rFonts w:hint="eastAsia" w:ascii="Times New Roman" w:hAnsi="Times New Roman" w:cs="Times New Roman"/>
                <w:smallCaps w:val="0"/>
                <w:color w:val="auto"/>
                <w:spacing w:val="0"/>
                <w:sz w:val="24"/>
                <w:szCs w:val="20"/>
                <w:highlight w:val="none"/>
                <w:lang w:val="en-US" w:eastAsia="zh-CN"/>
              </w:rPr>
              <w:t>1318</w:t>
            </w:r>
            <w:r>
              <w:rPr>
                <w:rFonts w:hint="default" w:ascii="Times New Roman" w:hAnsi="Times New Roman" w:cs="Times New Roman"/>
                <w:smallCaps w:val="0"/>
                <w:color w:val="auto"/>
                <w:spacing w:val="0"/>
                <w:sz w:val="24"/>
                <w:szCs w:val="20"/>
                <w:highlight w:val="none"/>
              </w:rPr>
              <w:t>号）</w:t>
            </w:r>
          </w:p>
        </w:tc>
      </w:tr>
      <w:tr w14:paraId="63CE21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90" w:hRule="atLeast"/>
          <w:jc w:val="center"/>
        </w:trPr>
        <w:tc>
          <w:tcPr>
            <w:tcW w:w="826" w:type="pct"/>
            <w:shd w:val="clear" w:color="auto" w:fill="auto"/>
            <w:vAlign w:val="center"/>
          </w:tcPr>
          <w:p w14:paraId="74E71D20">
            <w:pPr>
              <w:pStyle w:val="172"/>
              <w:keepNext w:val="0"/>
              <w:keepLines w:val="0"/>
              <w:suppressLineNumbers w:val="0"/>
              <w:spacing w:before="0" w:beforeAutospacing="0" w:after="0" w:afterAutospacing="0"/>
              <w:ind w:left="0" w:leftChars="0" w:right="0" w:rightChars="0" w:firstLine="0" w:firstLineChars="0"/>
              <w:jc w:val="center"/>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default" w:ascii="Times New Roman" w:hAnsi="Times New Roman" w:cs="Times New Roman"/>
                <w:smallCaps w:val="0"/>
                <w:color w:val="auto"/>
                <w:spacing w:val="0"/>
                <w:highlight w:val="none"/>
              </w:rPr>
              <w:t>规划及规划环境影响评价符合性分析</w:t>
            </w:r>
          </w:p>
        </w:tc>
        <w:tc>
          <w:tcPr>
            <w:tcW w:w="4173" w:type="pct"/>
            <w:gridSpan w:val="3"/>
            <w:shd w:val="clear" w:color="auto" w:fill="auto"/>
            <w:vAlign w:val="center"/>
          </w:tcPr>
          <w:p w14:paraId="6C78C357">
            <w:pPr>
              <w:keepNext w:val="0"/>
              <w:keepLines w:val="0"/>
              <w:suppressLineNumbers w:val="0"/>
              <w:adjustRightInd w:val="0"/>
              <w:snapToGrid w:val="0"/>
              <w:spacing w:before="0" w:beforeAutospacing="0" w:after="0" w:afterAutospacing="0" w:line="460" w:lineRule="exact"/>
              <w:ind w:left="0" w:right="0" w:firstLine="482" w:firstLineChars="200"/>
              <w:jc w:val="left"/>
              <w:rPr>
                <w:rFonts w:hint="default" w:ascii="Times New Roman" w:hAnsi="Times New Roman" w:cs="Times New Roman"/>
                <w:b/>
                <w:smallCaps w:val="0"/>
                <w:color w:val="auto"/>
                <w:spacing w:val="0"/>
                <w:kern w:val="0"/>
                <w:sz w:val="24"/>
                <w:szCs w:val="20"/>
                <w:highlight w:val="none"/>
              </w:rPr>
            </w:pPr>
            <w:r>
              <w:rPr>
                <w:rFonts w:hint="default" w:ascii="Times New Roman" w:hAnsi="Times New Roman" w:cs="Times New Roman"/>
                <w:b/>
                <w:smallCaps w:val="0"/>
                <w:color w:val="auto"/>
                <w:spacing w:val="0"/>
                <w:kern w:val="0"/>
                <w:sz w:val="24"/>
                <w:szCs w:val="20"/>
                <w:highlight w:val="none"/>
              </w:rPr>
              <w:t>1、规划符合性分析</w:t>
            </w:r>
          </w:p>
          <w:p w14:paraId="3D4CB0F6">
            <w:pPr>
              <w:keepNext w:val="0"/>
              <w:keepLines w:val="0"/>
              <w:suppressLineNumbers w:val="0"/>
              <w:adjustRightInd w:val="0"/>
              <w:snapToGrid w:val="0"/>
              <w:spacing w:before="0" w:beforeAutospacing="0" w:after="0" w:afterAutospacing="0" w:line="460" w:lineRule="exact"/>
              <w:ind w:left="0" w:right="0" w:firstLine="480" w:firstLineChars="200"/>
              <w:jc w:val="left"/>
              <w:rPr>
                <w:rFonts w:hint="default" w:ascii="Times New Roman" w:hAnsi="Times New Roman" w:cs="Times New Roman"/>
                <w:b w:val="0"/>
                <w:bCs/>
                <w:smallCaps w:val="0"/>
                <w:color w:val="auto"/>
                <w:spacing w:val="0"/>
                <w:kern w:val="0"/>
                <w:sz w:val="24"/>
                <w:szCs w:val="20"/>
                <w:highlight w:val="none"/>
              </w:rPr>
            </w:pPr>
            <w:r>
              <w:rPr>
                <w:rFonts w:hint="default" w:ascii="Times New Roman" w:hAnsi="Times New Roman" w:cs="Times New Roman"/>
                <w:b w:val="0"/>
                <w:bCs/>
                <w:smallCaps w:val="0"/>
                <w:color w:val="auto"/>
                <w:spacing w:val="0"/>
                <w:kern w:val="0"/>
                <w:sz w:val="24"/>
                <w:szCs w:val="20"/>
                <w:highlight w:val="none"/>
              </w:rPr>
              <w:t>（1）规划范围</w:t>
            </w:r>
          </w:p>
          <w:p w14:paraId="32E1E534">
            <w:pPr>
              <w:keepNext w:val="0"/>
              <w:keepLines w:val="0"/>
              <w:suppressLineNumbers w:val="0"/>
              <w:spacing w:before="0" w:beforeAutospacing="0" w:after="0" w:afterAutospacing="0" w:line="460" w:lineRule="exact"/>
              <w:ind w:left="0" w:right="0" w:firstLine="480" w:firstLineChars="200"/>
              <w:rPr>
                <w:rFonts w:hint="eastAsia" w:ascii="Times New Roman" w:hAnsi="Times New Roman" w:eastAsia="宋体" w:cs="Times New Roman"/>
                <w:smallCaps w:val="0"/>
                <w:color w:val="auto"/>
                <w:spacing w:val="0"/>
                <w:kern w:val="0"/>
                <w:sz w:val="24"/>
                <w:szCs w:val="20"/>
                <w:highlight w:val="none"/>
                <w:lang w:eastAsia="zh-CN"/>
              </w:rPr>
            </w:pPr>
            <w:r>
              <w:rPr>
                <w:rFonts w:hint="default" w:ascii="Times New Roman" w:hAnsi="Times New Roman" w:cs="Times New Roman"/>
                <w:smallCaps w:val="0"/>
                <w:color w:val="auto"/>
                <w:spacing w:val="0"/>
                <w:kern w:val="0"/>
                <w:sz w:val="24"/>
                <w:szCs w:val="20"/>
                <w:highlight w:val="none"/>
              </w:rPr>
              <w:t>总规划范围1775.19公顷，分为四个片区</w:t>
            </w:r>
            <w:r>
              <w:rPr>
                <w:rFonts w:hint="eastAsia" w:ascii="Times New Roman" w:hAnsi="Times New Roman" w:cs="Times New Roman"/>
                <w:smallCaps w:val="0"/>
                <w:color w:val="auto"/>
                <w:spacing w:val="0"/>
                <w:kern w:val="0"/>
                <w:sz w:val="24"/>
                <w:szCs w:val="20"/>
                <w:highlight w:val="none"/>
                <w:lang w:eastAsia="zh-CN"/>
              </w:rPr>
              <w:t>：</w:t>
            </w:r>
          </w:p>
          <w:p w14:paraId="2E3D4958">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kern w:val="0"/>
                <w:sz w:val="24"/>
                <w:szCs w:val="20"/>
                <w:highlight w:val="none"/>
              </w:rPr>
            </w:pPr>
            <w:r>
              <w:rPr>
                <w:rFonts w:hint="default" w:ascii="Times New Roman" w:hAnsi="Times New Roman" w:cs="Times New Roman"/>
                <w:smallCaps w:val="0"/>
                <w:color w:val="auto"/>
                <w:spacing w:val="0"/>
                <w:kern w:val="0"/>
                <w:sz w:val="24"/>
                <w:szCs w:val="20"/>
                <w:highlight w:val="none"/>
              </w:rPr>
              <w:t>石钢片区</w:t>
            </w:r>
            <w:r>
              <w:rPr>
                <w:rFonts w:hint="eastAsia" w:ascii="Times New Roman" w:hAnsi="Times New Roman" w:cs="Times New Roman"/>
                <w:smallCaps w:val="0"/>
                <w:color w:val="auto"/>
                <w:spacing w:val="0"/>
                <w:kern w:val="0"/>
                <w:sz w:val="24"/>
                <w:szCs w:val="20"/>
                <w:highlight w:val="none"/>
                <w:lang w:eastAsia="zh-CN"/>
              </w:rPr>
              <w:t>：</w:t>
            </w:r>
            <w:r>
              <w:rPr>
                <w:rFonts w:hint="default" w:ascii="Times New Roman" w:hAnsi="Times New Roman" w:cs="Times New Roman"/>
                <w:smallCaps w:val="0"/>
                <w:color w:val="auto"/>
                <w:spacing w:val="0"/>
                <w:kern w:val="0"/>
                <w:sz w:val="24"/>
                <w:szCs w:val="20"/>
                <w:highlight w:val="none"/>
              </w:rPr>
              <w:t>东至南寨村、新王舍村及西岗头社区西侧，南至世纪大道、张家井村北侧，西至西环旅游路，北至西四排，规划面积880.52公顷。</w:t>
            </w:r>
          </w:p>
          <w:p w14:paraId="2C118228">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kern w:val="0"/>
                <w:sz w:val="24"/>
                <w:szCs w:val="20"/>
                <w:highlight w:val="none"/>
              </w:rPr>
            </w:pPr>
            <w:r>
              <w:rPr>
                <w:rFonts w:hint="default" w:ascii="Times New Roman" w:hAnsi="Times New Roman" w:cs="Times New Roman"/>
                <w:smallCaps w:val="0"/>
                <w:color w:val="auto"/>
                <w:spacing w:val="0"/>
                <w:kern w:val="0"/>
                <w:sz w:val="24"/>
                <w:szCs w:val="20"/>
                <w:highlight w:val="none"/>
              </w:rPr>
              <w:t>天汇片区</w:t>
            </w:r>
            <w:r>
              <w:rPr>
                <w:rFonts w:hint="eastAsia" w:ascii="Times New Roman" w:hAnsi="Times New Roman" w:cs="Times New Roman"/>
                <w:smallCaps w:val="0"/>
                <w:color w:val="auto"/>
                <w:spacing w:val="0"/>
                <w:kern w:val="0"/>
                <w:sz w:val="24"/>
                <w:szCs w:val="20"/>
                <w:highlight w:val="none"/>
                <w:lang w:eastAsia="zh-CN"/>
              </w:rPr>
              <w:t>：</w:t>
            </w:r>
            <w:r>
              <w:rPr>
                <w:rFonts w:hint="default" w:ascii="Times New Roman" w:hAnsi="Times New Roman" w:cs="Times New Roman"/>
                <w:smallCaps w:val="0"/>
                <w:color w:val="auto"/>
                <w:spacing w:val="0"/>
                <w:kern w:val="0"/>
                <w:sz w:val="24"/>
                <w:szCs w:val="20"/>
                <w:highlight w:val="none"/>
              </w:rPr>
              <w:t>东至矿区垃圾填埋场西侧，南至冯家沟村北侧，西至南寨村东侧、南寨水库西侧，北至峰矿水泥厂采石场，规划面积184.13公顷。</w:t>
            </w:r>
          </w:p>
          <w:p w14:paraId="617C5A5C">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kern w:val="0"/>
                <w:sz w:val="24"/>
                <w:szCs w:val="20"/>
                <w:highlight w:val="none"/>
              </w:rPr>
            </w:pPr>
            <w:r>
              <w:rPr>
                <w:rFonts w:hint="default" w:ascii="Times New Roman" w:hAnsi="Times New Roman" w:cs="Times New Roman"/>
                <w:smallCaps w:val="0"/>
                <w:color w:val="auto"/>
                <w:spacing w:val="0"/>
                <w:kern w:val="0"/>
                <w:sz w:val="24"/>
                <w:szCs w:val="20"/>
                <w:highlight w:val="none"/>
              </w:rPr>
              <w:t>丰达片区</w:t>
            </w:r>
            <w:r>
              <w:rPr>
                <w:rFonts w:hint="eastAsia" w:ascii="Times New Roman" w:hAnsi="Times New Roman" w:cs="Times New Roman"/>
                <w:smallCaps w:val="0"/>
                <w:color w:val="auto"/>
                <w:spacing w:val="0"/>
                <w:kern w:val="0"/>
                <w:sz w:val="24"/>
                <w:szCs w:val="20"/>
                <w:highlight w:val="none"/>
                <w:lang w:eastAsia="zh-CN"/>
              </w:rPr>
              <w:t>：</w:t>
            </w:r>
            <w:r>
              <w:rPr>
                <w:rFonts w:hint="default" w:ascii="Times New Roman" w:hAnsi="Times New Roman" w:cs="Times New Roman"/>
                <w:smallCaps w:val="0"/>
                <w:color w:val="auto"/>
                <w:spacing w:val="0"/>
                <w:kern w:val="0"/>
                <w:sz w:val="24"/>
                <w:szCs w:val="20"/>
                <w:highlight w:val="none"/>
              </w:rPr>
              <w:t>东至冶金新材料装备产业园，南至秋树坡村北侧，西至赵村店东侧及古桥北街，北至赵村铺南侧，规划面积210.23公顷。</w:t>
            </w:r>
          </w:p>
          <w:p w14:paraId="618A1E50">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kern w:val="0"/>
                <w:sz w:val="24"/>
                <w:szCs w:val="20"/>
                <w:highlight w:val="none"/>
              </w:rPr>
            </w:pPr>
            <w:r>
              <w:rPr>
                <w:rFonts w:hint="default" w:ascii="Times New Roman" w:hAnsi="Times New Roman" w:cs="Times New Roman"/>
                <w:smallCaps w:val="0"/>
                <w:color w:val="auto"/>
                <w:spacing w:val="0"/>
                <w:kern w:val="0"/>
                <w:sz w:val="24"/>
                <w:szCs w:val="20"/>
                <w:highlight w:val="none"/>
              </w:rPr>
              <w:t>融合片区分为一区和二区</w:t>
            </w:r>
            <w:r>
              <w:rPr>
                <w:rFonts w:hint="eastAsia" w:ascii="Times New Roman" w:hAnsi="Times New Roman" w:cs="Times New Roman"/>
                <w:smallCaps w:val="0"/>
                <w:color w:val="auto"/>
                <w:spacing w:val="0"/>
                <w:kern w:val="0"/>
                <w:sz w:val="24"/>
                <w:szCs w:val="20"/>
                <w:highlight w:val="none"/>
                <w:lang w:eastAsia="zh-CN"/>
              </w:rPr>
              <w:t>：</w:t>
            </w:r>
            <w:r>
              <w:rPr>
                <w:rFonts w:hint="default" w:ascii="Times New Roman" w:hAnsi="Times New Roman" w:cs="Times New Roman"/>
                <w:smallCaps w:val="0"/>
                <w:color w:val="auto"/>
                <w:spacing w:val="0"/>
                <w:kern w:val="0"/>
                <w:sz w:val="24"/>
                <w:szCs w:val="20"/>
                <w:highlight w:val="none"/>
              </w:rPr>
              <w:t>一区东至绵左支渠东侧，南至贾天公路南侧，西至红星路西侧，北至北清线，规划面积409.51公顷；</w:t>
            </w:r>
          </w:p>
          <w:p w14:paraId="7E1EC31D">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kern w:val="0"/>
                <w:sz w:val="24"/>
                <w:szCs w:val="20"/>
                <w:highlight w:val="none"/>
              </w:rPr>
              <w:t>二区东至西南正村西侧，南至井矿快速路北侧，西至青泉村东侧，北至北清线、古桥南街，规划面积71.16公顷。目前该规划环境影响报告书已通过河北省生态环境厅审查（冀环环评函〔2025〕1318号）。</w:t>
            </w:r>
          </w:p>
          <w:p w14:paraId="50212159">
            <w:pPr>
              <w:keepNext w:val="0"/>
              <w:keepLines w:val="0"/>
              <w:suppressLineNumbers w:val="0"/>
              <w:adjustRightInd w:val="0"/>
              <w:snapToGrid w:val="0"/>
              <w:spacing w:before="0" w:beforeAutospacing="0" w:after="0" w:afterAutospacing="0" w:line="460" w:lineRule="exact"/>
              <w:ind w:left="0" w:right="0" w:firstLine="482" w:firstLineChars="200"/>
              <w:jc w:val="left"/>
              <w:rPr>
                <w:rFonts w:hint="default" w:ascii="Times New Roman" w:hAnsi="Times New Roman" w:cs="Times New Roman"/>
                <w:b/>
                <w:bCs w:val="0"/>
                <w:smallCaps w:val="0"/>
                <w:color w:val="auto"/>
                <w:spacing w:val="0"/>
                <w:sz w:val="24"/>
                <w:szCs w:val="20"/>
                <w:highlight w:val="none"/>
              </w:rPr>
            </w:pPr>
            <w:r>
              <w:rPr>
                <w:rFonts w:hint="default" w:ascii="Times New Roman" w:hAnsi="Times New Roman" w:cs="Times New Roman"/>
                <w:b/>
                <w:bCs w:val="0"/>
                <w:smallCaps w:val="0"/>
                <w:color w:val="auto"/>
                <w:spacing w:val="0"/>
                <w:sz w:val="24"/>
                <w:szCs w:val="20"/>
                <w:highlight w:val="none"/>
              </w:rPr>
              <w:t>本项目位于</w:t>
            </w:r>
            <w:r>
              <w:rPr>
                <w:rFonts w:hint="default" w:ascii="Times New Roman" w:hAnsi="Times New Roman" w:cs="Times New Roman"/>
                <w:b/>
                <w:bCs w:val="0"/>
                <w:smallCaps w:val="0"/>
                <w:color w:val="auto"/>
                <w:spacing w:val="0"/>
                <w:sz w:val="24"/>
                <w:szCs w:val="20"/>
                <w:highlight w:val="none"/>
                <w:lang w:eastAsia="zh-CN"/>
              </w:rPr>
              <w:t>河北省石家庄市井陉矿区</w:t>
            </w:r>
            <w:r>
              <w:rPr>
                <w:rFonts w:hint="eastAsia" w:cs="Times New Roman"/>
                <w:b/>
                <w:bCs w:val="0"/>
                <w:smallCaps w:val="0"/>
                <w:color w:val="auto"/>
                <w:spacing w:val="0"/>
                <w:sz w:val="24"/>
                <w:szCs w:val="20"/>
                <w:highlight w:val="none"/>
                <w:lang w:eastAsia="zh-CN"/>
              </w:rPr>
              <w:t>世纪大道以北，石钢路以西</w:t>
            </w:r>
            <w:r>
              <w:rPr>
                <w:rFonts w:hint="default" w:ascii="Times New Roman" w:hAnsi="Times New Roman"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rPr>
              <w:t>位于</w:t>
            </w:r>
            <w:r>
              <w:rPr>
                <w:rFonts w:hint="default" w:ascii="Times New Roman" w:hAnsi="Times New Roman" w:cs="Times New Roman"/>
                <w:b/>
                <w:bCs w:val="0"/>
                <w:smallCaps w:val="0"/>
                <w:color w:val="auto"/>
                <w:spacing w:val="0"/>
                <w:kern w:val="0"/>
                <w:sz w:val="24"/>
                <w:szCs w:val="20"/>
                <w:highlight w:val="none"/>
              </w:rPr>
              <w:t>石家庄矿区工业园区</w:t>
            </w:r>
            <w:r>
              <w:rPr>
                <w:rFonts w:hint="default" w:ascii="Times New Roman" w:hAnsi="Times New Roman" w:cs="Times New Roman"/>
                <w:b/>
                <w:bCs w:val="0"/>
                <w:smallCaps w:val="0"/>
                <w:color w:val="auto"/>
                <w:spacing w:val="0"/>
                <w:sz w:val="24"/>
                <w:szCs w:val="20"/>
                <w:highlight w:val="none"/>
              </w:rPr>
              <w:t>的</w:t>
            </w:r>
            <w:r>
              <w:rPr>
                <w:rFonts w:hint="eastAsia" w:ascii="Times New Roman" w:hAnsi="Times New Roman" w:cs="Times New Roman"/>
                <w:b/>
                <w:bCs w:val="0"/>
                <w:smallCaps w:val="0"/>
                <w:color w:val="auto"/>
                <w:spacing w:val="0"/>
                <w:sz w:val="24"/>
                <w:szCs w:val="20"/>
                <w:highlight w:val="none"/>
                <w:lang w:val="en-US" w:eastAsia="zh-CN"/>
              </w:rPr>
              <w:t>石钢片区</w:t>
            </w:r>
            <w:r>
              <w:rPr>
                <w:rFonts w:hint="default" w:ascii="Times New Roman" w:hAnsi="Times New Roman" w:cs="Times New Roman"/>
                <w:b/>
                <w:bCs w:val="0"/>
                <w:smallCaps w:val="0"/>
                <w:color w:val="auto"/>
                <w:spacing w:val="0"/>
                <w:sz w:val="24"/>
                <w:szCs w:val="20"/>
                <w:highlight w:val="none"/>
              </w:rPr>
              <w:t>规划范围内。</w:t>
            </w:r>
          </w:p>
          <w:p w14:paraId="460409F4">
            <w:pPr>
              <w:keepNext w:val="0"/>
              <w:keepLines w:val="0"/>
              <w:suppressLineNumbers w:val="0"/>
              <w:adjustRightInd w:val="0"/>
              <w:snapToGrid w:val="0"/>
              <w:spacing w:before="0" w:beforeAutospacing="0" w:after="0" w:afterAutospacing="0" w:line="460" w:lineRule="exact"/>
              <w:ind w:left="0" w:right="0" w:firstLine="480" w:firstLineChars="200"/>
              <w:jc w:val="left"/>
              <w:rPr>
                <w:rFonts w:hint="default" w:ascii="Times New Roman" w:hAnsi="Times New Roman" w:cs="Times New Roman"/>
                <w:b w:val="0"/>
                <w:bCs/>
                <w:smallCaps w:val="0"/>
                <w:color w:val="auto"/>
                <w:spacing w:val="0"/>
                <w:sz w:val="24"/>
                <w:szCs w:val="20"/>
                <w:highlight w:val="none"/>
              </w:rPr>
            </w:pPr>
            <w:r>
              <w:rPr>
                <w:rFonts w:hint="default" w:ascii="Times New Roman" w:hAnsi="Times New Roman" w:cs="Times New Roman"/>
                <w:b w:val="0"/>
                <w:bCs/>
                <w:smallCaps w:val="0"/>
                <w:color w:val="auto"/>
                <w:spacing w:val="0"/>
                <w:sz w:val="24"/>
                <w:szCs w:val="20"/>
                <w:highlight w:val="none"/>
              </w:rPr>
              <w:t>（2）产业定位</w:t>
            </w:r>
          </w:p>
          <w:p w14:paraId="01DE718B">
            <w:pPr>
              <w:keepNext w:val="0"/>
              <w:keepLines w:val="0"/>
              <w:suppressLineNumbers w:val="0"/>
              <w:autoSpaceDE w:val="0"/>
              <w:autoSpaceDN w:val="0"/>
              <w:adjustRightInd w:val="0"/>
              <w:snapToGrid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①特钢</w:t>
            </w:r>
            <w:r>
              <w:rPr>
                <w:rFonts w:hint="eastAsia" w:ascii="Times New Roman" w:hAnsi="Times New Roman" w:cs="Times New Roman"/>
                <w:smallCaps w:val="0"/>
                <w:color w:val="auto"/>
                <w:spacing w:val="0"/>
                <w:sz w:val="24"/>
                <w:szCs w:val="20"/>
                <w:highlight w:val="none"/>
                <w:lang w:val="en-US" w:eastAsia="zh-CN"/>
              </w:rPr>
              <w:t>上下游</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以特种钢产业为主导，形成以机加工为突破口、以关键部件和基础零部件为支撑的</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1+2</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产业构架，打造河北省战略性新兴产业示范基地、京津冀晋特钢精深加工区域中心。产业主要发展方向包括</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1）围绕石钢齿轮钢、弹簧钢、易切削钢、轴承钢等产品，以石钢后部处理工序为主要内容，将石钢自有生产线与外部后处理环节外包、外协企业结合，加快推进精密棒材银亮、冷拔、探伤、精密锻造等系列项目建设，推进产品向</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近终型</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发展，发展特钢后部精细加工业2）依托石钢特钢项目，重点发展关键核心零部件产业3）围绕石钢生产配套发展钢铁装备维修、加工业，带动传统中小型机械加工企业转型升级，形成特钢生产配套体系。特钢上下游产业主要分布在石钢片区。</w:t>
            </w:r>
          </w:p>
          <w:p w14:paraId="0EF63E08">
            <w:pPr>
              <w:keepNext w:val="0"/>
              <w:keepLines w:val="0"/>
              <w:suppressLineNumbers w:val="0"/>
              <w:autoSpaceDE w:val="0"/>
              <w:autoSpaceDN w:val="0"/>
              <w:adjustRightInd w:val="0"/>
              <w:snapToGrid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②</w:t>
            </w:r>
            <w:r>
              <w:rPr>
                <w:rFonts w:hint="eastAsia" w:ascii="Times New Roman" w:hAnsi="Times New Roman" w:cs="Times New Roman"/>
                <w:smallCaps w:val="0"/>
                <w:color w:val="auto"/>
                <w:spacing w:val="0"/>
                <w:sz w:val="24"/>
                <w:szCs w:val="20"/>
                <w:highlight w:val="none"/>
                <w:lang w:val="en-US" w:eastAsia="zh-CN"/>
              </w:rPr>
              <w:t>高端装备制造</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依托上游特钢上下游产业优势，建成在河北省具有一定特色，涵盖汽车、矿山、铁路交通、工程机械、电气机械和器材等领域的装备制造基地，使之成为推动园区经济快速发展的成长产业和新的增长极。装备制造产业发展思路紧抓国家出台《装备制造业调整和振兴规划》的契机，对园区装备制造业进行整合升级，做大做强现有企业，做精现有产品，做好优势产品，配合石家庄和园区近期及中长期发展需要，积极招商引资，引进大型装备制造企业，打造装备制造产业链，实现产品类型多样化、全面化发展，促进园区乃至石家庄装备制造业的快速发展。高端装备制造产业主要分布在丰达片区和融合片区，另外在石钢片区和天汇片区也有少量分布。</w:t>
            </w:r>
          </w:p>
          <w:p w14:paraId="7818E0D9">
            <w:pPr>
              <w:keepNext w:val="0"/>
              <w:keepLines w:val="0"/>
              <w:suppressLineNumbers w:val="0"/>
              <w:spacing w:before="0" w:beforeAutospacing="0" w:after="0" w:afterAutospacing="0" w:line="460" w:lineRule="exact"/>
              <w:ind w:left="0" w:right="0" w:firstLine="480" w:firstLineChars="200"/>
              <w:rPr>
                <w:rFonts w:hint="eastAsia" w:ascii="Times New Roman" w:hAnsi="Times New Roman" w:cs="Times New Roman"/>
                <w:smallCaps w:val="0"/>
                <w:color w:val="auto"/>
                <w:spacing w:val="0"/>
                <w:sz w:val="24"/>
                <w:szCs w:val="20"/>
                <w:highlight w:val="none"/>
                <w:lang w:eastAsia="zh-CN"/>
              </w:rPr>
            </w:pPr>
            <w:r>
              <w:rPr>
                <w:rFonts w:hint="default" w:ascii="Times New Roman" w:hAnsi="Times New Roman" w:cs="Times New Roman"/>
                <w:smallCaps w:val="0"/>
                <w:color w:val="auto"/>
                <w:spacing w:val="0"/>
                <w:sz w:val="24"/>
                <w:szCs w:val="20"/>
                <w:highlight w:val="none"/>
              </w:rPr>
              <w:t>③</w:t>
            </w:r>
            <w:r>
              <w:rPr>
                <w:rFonts w:hint="eastAsia" w:ascii="Times New Roman" w:hAnsi="Times New Roman" w:cs="Times New Roman"/>
                <w:smallCaps w:val="0"/>
                <w:color w:val="auto"/>
                <w:spacing w:val="0"/>
                <w:sz w:val="24"/>
                <w:szCs w:val="20"/>
                <w:highlight w:val="none"/>
                <w:lang w:val="en-US" w:eastAsia="zh-CN"/>
              </w:rPr>
              <w:t>新材料</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以绿色化、生态化为方向，激发传统产业在新材料方向发展新动能，深入挖掘矿峰水泥等大型本地企业资源，加快推进建材行业提档升级，转型发展。主要发展方向为</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依托矿峰水泥，打造新材料产业基地，大力发展新型建材等产业。优化新材料产业布局和结构，建立完善的产业链条、提升产业集聚度、推动产业结构升级、加强企业技术创新，推广绿色生产技术、开发环保型新材料产品、建立循环经济体系，促进新材料产业的健康可持续发展。新型金属材料主要包括</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高性能金属材料及特殊合金材料生产技术；电子元器件用金属功能材料制造技术；半导体材料生产技术；特殊功能有色金属材料及应用技术；金属及非金属材料先进制备、加工和成型技术等。新型无机非金属材料主要包括</w:t>
            </w:r>
            <w:r>
              <w:rPr>
                <w:rFonts w:hint="eastAsia"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高性能结构陶瓷强化增韧技术；高性能功能陶瓷制造技术；节能与环保用新型无机非金属材料制造技术。新材料产业主要分布在天汇片区，另外在石钢片区和丰达片区也有少量分布</w:t>
            </w:r>
            <w:r>
              <w:rPr>
                <w:rFonts w:hint="eastAsia" w:ascii="Times New Roman" w:hAnsi="Times New Roman" w:cs="Times New Roman"/>
                <w:smallCaps w:val="0"/>
                <w:color w:val="auto"/>
                <w:spacing w:val="0"/>
                <w:sz w:val="24"/>
                <w:szCs w:val="20"/>
                <w:highlight w:val="none"/>
                <w:lang w:eastAsia="zh-CN"/>
              </w:rPr>
              <w:t>。</w:t>
            </w:r>
          </w:p>
          <w:p w14:paraId="77AA8689">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Cs w:val="21"/>
                <w:highlight w:val="none"/>
              </w:rPr>
            </w:pPr>
            <w:r>
              <w:rPr>
                <w:rFonts w:hint="eastAsia" w:ascii="Times New Roman" w:hAnsi="Times New Roman" w:cs="Times New Roman"/>
                <w:smallCaps w:val="0"/>
                <w:color w:val="auto"/>
                <w:spacing w:val="0"/>
                <w:sz w:val="24"/>
                <w:szCs w:val="20"/>
                <w:highlight w:val="none"/>
                <w:lang w:eastAsia="zh-CN"/>
              </w:rPr>
              <w:t>④全面推进园区能源资源的梯级利用和系统优化，加强园区内产业循环耦合，创建生态工业示范园区和绿色产业示范基地，推动园区各产业跨行业废旧资源综合利用融合发展、集聚发展，积极做好碳达峰、碳中和工作。主要发展方向为：1）围绕各产业生产工艺以及配套公辅工程等环节产生的废旧资源进行回收利用，为特钢、先进装备制造、新材料等产业生产提供废钢资源、稀有金属辅配料、特钢材料等原材料，实现物质流循环2）充分利用石钢、矿峰水泥余热，实现能量流循环</w:t>
            </w:r>
            <w:r>
              <w:rPr>
                <w:rFonts w:hint="default" w:ascii="Times New Roman" w:hAnsi="Times New Roman" w:cs="Times New Roman"/>
                <w:smallCaps w:val="0"/>
                <w:color w:val="auto"/>
                <w:spacing w:val="0"/>
                <w:sz w:val="24"/>
                <w:szCs w:val="20"/>
                <w:highlight w:val="none"/>
              </w:rPr>
              <w:t>。</w:t>
            </w:r>
          </w:p>
          <w:p w14:paraId="378A09C6">
            <w:pPr>
              <w:keepNext w:val="0"/>
              <w:keepLines w:val="0"/>
              <w:suppressLineNumbers w:val="0"/>
              <w:adjustRightInd w:val="0"/>
              <w:snapToGrid w:val="0"/>
              <w:spacing w:before="0" w:beforeAutospacing="0" w:after="0" w:afterAutospacing="0" w:line="460" w:lineRule="exact"/>
              <w:ind w:left="0" w:right="0" w:firstLine="482" w:firstLineChars="200"/>
              <w:jc w:val="left"/>
              <w:rPr>
                <w:rFonts w:hint="default" w:ascii="Times New Roman" w:hAnsi="Times New Roman" w:cs="Times New Roman"/>
                <w:b/>
                <w:bCs w:val="0"/>
                <w:smallCaps w:val="0"/>
                <w:color w:val="auto"/>
                <w:spacing w:val="0"/>
                <w:sz w:val="24"/>
                <w:szCs w:val="20"/>
                <w:highlight w:val="none"/>
              </w:rPr>
            </w:pPr>
            <w:r>
              <w:rPr>
                <w:rFonts w:hint="default" w:ascii="Times New Roman" w:hAnsi="Times New Roman" w:cs="Times New Roman"/>
                <w:b/>
                <w:bCs w:val="0"/>
                <w:smallCaps w:val="0"/>
                <w:color w:val="auto"/>
                <w:spacing w:val="0"/>
                <w:sz w:val="24"/>
                <w:szCs w:val="20"/>
                <w:highlight w:val="none"/>
              </w:rPr>
              <w:t>本项目为其他通用零部件制造</w:t>
            </w:r>
            <w:r>
              <w:rPr>
                <w:rFonts w:hint="eastAsia" w:ascii="Times New Roman" w:hAnsi="Times New Roman"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rPr>
              <w:t>金属表面处理及热处理加工项目</w:t>
            </w:r>
            <w:r>
              <w:rPr>
                <w:rFonts w:hint="eastAsia" w:cs="Times New Roman"/>
                <w:b/>
                <w:bCs w:val="0"/>
                <w:smallCaps w:val="0"/>
                <w:color w:val="auto"/>
                <w:spacing w:val="0"/>
                <w:sz w:val="24"/>
                <w:szCs w:val="20"/>
                <w:highlight w:val="none"/>
                <w:lang w:eastAsia="zh-CN"/>
              </w:rPr>
              <w:t>，</w:t>
            </w:r>
            <w:r>
              <w:rPr>
                <w:rFonts w:hint="eastAsia" w:cs="Times New Roman"/>
                <w:b/>
                <w:bCs w:val="0"/>
                <w:smallCaps w:val="0"/>
                <w:color w:val="auto"/>
                <w:spacing w:val="0"/>
                <w:sz w:val="24"/>
                <w:szCs w:val="20"/>
                <w:highlight w:val="none"/>
                <w:lang w:val="en-US" w:eastAsia="zh-CN"/>
              </w:rPr>
              <w:t>项目年生产钻杆25万吨、车轴37万吨</w:t>
            </w:r>
            <w:r>
              <w:rPr>
                <w:rFonts w:hint="default" w:ascii="Times New Roman" w:hAnsi="Times New Roman"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rPr>
              <w:t>属于</w:t>
            </w:r>
            <w:r>
              <w:rPr>
                <w:rFonts w:hint="eastAsia" w:cs="Times New Roman"/>
                <w:b/>
                <w:bCs w:val="0"/>
                <w:smallCaps w:val="0"/>
                <w:color w:val="auto"/>
                <w:spacing w:val="0"/>
                <w:sz w:val="24"/>
                <w:szCs w:val="20"/>
                <w:highlight w:val="none"/>
                <w:lang w:val="en-US" w:eastAsia="zh-CN"/>
              </w:rPr>
              <w:t>围绕石钢生产的钻杆、车轴</w:t>
            </w:r>
            <w:r>
              <w:rPr>
                <w:rFonts w:hint="default" w:ascii="Times New Roman" w:hAnsi="Times New Roman"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rPr>
              <w:t>位于园区</w:t>
            </w:r>
            <w:r>
              <w:rPr>
                <w:rFonts w:hint="eastAsia" w:cs="Times New Roman"/>
                <w:b/>
                <w:bCs w:val="0"/>
                <w:smallCaps w:val="0"/>
                <w:color w:val="auto"/>
                <w:spacing w:val="0"/>
                <w:sz w:val="24"/>
                <w:szCs w:val="20"/>
                <w:highlight w:val="none"/>
                <w:lang w:val="en-US" w:eastAsia="zh-CN"/>
              </w:rPr>
              <w:t>石钢片区</w:t>
            </w:r>
            <w:r>
              <w:rPr>
                <w:rFonts w:hint="default" w:ascii="Times New Roman" w:hAnsi="Times New Roman" w:cs="Times New Roman"/>
                <w:b/>
                <w:bCs w:val="0"/>
                <w:smallCaps w:val="0"/>
                <w:color w:val="auto"/>
                <w:spacing w:val="0"/>
                <w:sz w:val="24"/>
                <w:szCs w:val="20"/>
                <w:highlight w:val="none"/>
              </w:rPr>
              <w:t>范围内。根据</w:t>
            </w:r>
            <w:r>
              <w:rPr>
                <w:rFonts w:hint="eastAsia"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lang w:val="en-US" w:eastAsia="zh-CN"/>
              </w:rPr>
              <w:t>河北石家庄矿区工业园区总体</w:t>
            </w:r>
            <w:r>
              <w:rPr>
                <w:rFonts w:hint="eastAsia" w:cs="Times New Roman"/>
                <w:b/>
                <w:bCs w:val="0"/>
                <w:smallCaps w:val="0"/>
                <w:color w:val="auto"/>
                <w:spacing w:val="0"/>
                <w:sz w:val="24"/>
                <w:szCs w:val="20"/>
                <w:highlight w:val="none"/>
                <w:lang w:val="en-US" w:eastAsia="zh-CN"/>
              </w:rPr>
              <w:t>发展</w:t>
            </w:r>
            <w:r>
              <w:rPr>
                <w:rFonts w:hint="default" w:ascii="Times New Roman" w:hAnsi="Times New Roman" w:cs="Times New Roman"/>
                <w:b/>
                <w:bCs w:val="0"/>
                <w:smallCaps w:val="0"/>
                <w:color w:val="auto"/>
                <w:spacing w:val="0"/>
                <w:sz w:val="24"/>
                <w:szCs w:val="20"/>
                <w:highlight w:val="none"/>
                <w:lang w:val="en-US" w:eastAsia="zh-CN"/>
              </w:rPr>
              <w:t>规划（</w:t>
            </w:r>
            <w:r>
              <w:rPr>
                <w:rFonts w:hint="eastAsia" w:cs="Times New Roman"/>
                <w:b/>
                <w:bCs w:val="0"/>
                <w:smallCaps w:val="0"/>
                <w:color w:val="auto"/>
                <w:spacing w:val="0"/>
                <w:sz w:val="24"/>
                <w:szCs w:val="20"/>
                <w:highlight w:val="none"/>
                <w:lang w:val="en-US" w:eastAsia="zh-CN"/>
              </w:rPr>
              <w:t>2022-2030</w:t>
            </w:r>
            <w:r>
              <w:rPr>
                <w:rFonts w:hint="default" w:ascii="Times New Roman" w:hAnsi="Times New Roman" w:cs="Times New Roman"/>
                <w:b/>
                <w:bCs w:val="0"/>
                <w:smallCaps w:val="0"/>
                <w:color w:val="auto"/>
                <w:spacing w:val="0"/>
                <w:sz w:val="24"/>
                <w:szCs w:val="20"/>
                <w:highlight w:val="none"/>
                <w:lang w:val="en-US" w:eastAsia="zh-CN"/>
              </w:rPr>
              <w:t>年）-</w:t>
            </w:r>
            <w:r>
              <w:rPr>
                <w:rFonts w:hint="eastAsia" w:cs="Times New Roman"/>
                <w:b/>
                <w:bCs w:val="0"/>
                <w:smallCaps w:val="0"/>
                <w:color w:val="auto"/>
                <w:spacing w:val="0"/>
                <w:sz w:val="24"/>
                <w:szCs w:val="20"/>
                <w:highlight w:val="none"/>
                <w:lang w:val="en-US" w:eastAsia="zh-CN"/>
              </w:rPr>
              <w:t>产业布局规划图</w:t>
            </w:r>
            <w:r>
              <w:rPr>
                <w:rFonts w:hint="eastAsia"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rPr>
              <w:t>本项目符合</w:t>
            </w:r>
            <w:r>
              <w:rPr>
                <w:rFonts w:hint="default" w:ascii="Times New Roman" w:hAnsi="Times New Roman" w:cs="Times New Roman"/>
                <w:b/>
                <w:bCs w:val="0"/>
                <w:smallCaps w:val="0"/>
                <w:color w:val="auto"/>
                <w:spacing w:val="0"/>
                <w:sz w:val="24"/>
                <w:szCs w:val="20"/>
                <w:highlight w:val="none"/>
                <w:lang w:val="en-US" w:eastAsia="zh-CN"/>
              </w:rPr>
              <w:t>河北石家庄矿区工业园区总体</w:t>
            </w:r>
            <w:r>
              <w:rPr>
                <w:rFonts w:hint="eastAsia" w:cs="Times New Roman"/>
                <w:b/>
                <w:bCs w:val="0"/>
                <w:smallCaps w:val="0"/>
                <w:color w:val="auto"/>
                <w:spacing w:val="0"/>
                <w:sz w:val="24"/>
                <w:szCs w:val="20"/>
                <w:highlight w:val="none"/>
                <w:lang w:val="en-US" w:eastAsia="zh-CN"/>
              </w:rPr>
              <w:t>发展</w:t>
            </w:r>
            <w:r>
              <w:rPr>
                <w:rFonts w:hint="default" w:ascii="Times New Roman" w:hAnsi="Times New Roman" w:cs="Times New Roman"/>
                <w:b/>
                <w:bCs w:val="0"/>
                <w:smallCaps w:val="0"/>
                <w:color w:val="auto"/>
                <w:spacing w:val="0"/>
                <w:sz w:val="24"/>
                <w:szCs w:val="20"/>
                <w:highlight w:val="none"/>
                <w:lang w:val="en-US" w:eastAsia="zh-CN"/>
              </w:rPr>
              <w:t>规划</w:t>
            </w:r>
            <w:r>
              <w:rPr>
                <w:rFonts w:hint="eastAsia" w:cs="Times New Roman"/>
                <w:b/>
                <w:bCs w:val="0"/>
                <w:smallCaps w:val="0"/>
                <w:color w:val="auto"/>
                <w:spacing w:val="0"/>
                <w:sz w:val="24"/>
                <w:szCs w:val="20"/>
                <w:highlight w:val="none"/>
                <w:lang w:val="en-US" w:eastAsia="zh-CN"/>
              </w:rPr>
              <w:t>的产业定位及产业布局</w:t>
            </w:r>
            <w:r>
              <w:rPr>
                <w:rFonts w:hint="default" w:ascii="Times New Roman" w:hAnsi="Times New Roman" w:cs="Times New Roman"/>
                <w:b/>
                <w:bCs w:val="0"/>
                <w:smallCaps w:val="0"/>
                <w:color w:val="auto"/>
                <w:spacing w:val="0"/>
                <w:sz w:val="24"/>
                <w:szCs w:val="20"/>
                <w:highlight w:val="none"/>
              </w:rPr>
              <w:t>。</w:t>
            </w:r>
          </w:p>
          <w:p w14:paraId="250D15A3">
            <w:pPr>
              <w:keepNext w:val="0"/>
              <w:keepLines w:val="0"/>
              <w:suppressLineNumbers w:val="0"/>
              <w:adjustRightInd w:val="0"/>
              <w:snapToGrid w:val="0"/>
              <w:spacing w:before="0" w:beforeAutospacing="0" w:after="0" w:afterAutospacing="0" w:line="460" w:lineRule="exact"/>
              <w:ind w:left="0" w:right="0" w:firstLine="480" w:firstLineChars="200"/>
              <w:jc w:val="left"/>
              <w:rPr>
                <w:rFonts w:hint="default" w:ascii="Times New Roman" w:hAnsi="Times New Roman" w:cs="Times New Roman"/>
                <w:b w:val="0"/>
                <w:bCs/>
                <w:smallCaps w:val="0"/>
                <w:color w:val="auto"/>
                <w:spacing w:val="0"/>
                <w:sz w:val="24"/>
                <w:szCs w:val="20"/>
                <w:highlight w:val="none"/>
              </w:rPr>
            </w:pPr>
            <w:r>
              <w:rPr>
                <w:rFonts w:hint="default" w:ascii="Times New Roman" w:hAnsi="Times New Roman" w:cs="Times New Roman"/>
                <w:b w:val="0"/>
                <w:bCs/>
                <w:smallCaps w:val="0"/>
                <w:color w:val="auto"/>
                <w:spacing w:val="0"/>
                <w:kern w:val="0"/>
                <w:sz w:val="24"/>
                <w:szCs w:val="20"/>
                <w:highlight w:val="none"/>
              </w:rPr>
              <w:t>（</w:t>
            </w:r>
            <w:r>
              <w:rPr>
                <w:rFonts w:hint="default" w:ascii="Times New Roman" w:hAnsi="Times New Roman" w:cs="Times New Roman"/>
                <w:b w:val="0"/>
                <w:bCs/>
                <w:smallCaps w:val="0"/>
                <w:color w:val="auto"/>
                <w:spacing w:val="0"/>
                <w:sz w:val="24"/>
                <w:szCs w:val="20"/>
                <w:highlight w:val="none"/>
              </w:rPr>
              <w:t>3）规划用地布局</w:t>
            </w:r>
          </w:p>
          <w:p w14:paraId="7FA1A491">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规划将园区空间布局结构概括为</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两轴四区</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w:t>
            </w:r>
          </w:p>
          <w:p w14:paraId="3BAD3C82">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两轴：分别为东西向发展轴和南北向发展轴，一是以世纪大道—南纬西路—南纬东路形成的东西向发展轴，二是以古桥北街—纬一路—古桥南街形成的南北向发展轴，是连接园区的重要桥梁。</w:t>
            </w:r>
          </w:p>
          <w:p w14:paraId="20E83E4B">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 w:val="24"/>
                <w:szCs w:val="20"/>
                <w:highlight w:val="none"/>
              </w:rPr>
              <w:t>四区：园区四个功能组团，石钢片区为特钢上下游产业区，天汇片区为新材料产业区，丰达片区和融合片区为高端装备制造产业区。</w:t>
            </w:r>
          </w:p>
          <w:p w14:paraId="35E87D61">
            <w:pPr>
              <w:keepNext w:val="0"/>
              <w:keepLines w:val="0"/>
              <w:suppressLineNumbers w:val="0"/>
              <w:adjustRightInd w:val="0"/>
              <w:snapToGrid w:val="0"/>
              <w:spacing w:before="0" w:beforeAutospacing="0" w:after="0" w:afterAutospacing="0" w:line="460" w:lineRule="exact"/>
              <w:ind w:left="0" w:right="0" w:firstLine="482" w:firstLineChars="200"/>
              <w:rPr>
                <w:rFonts w:hint="default" w:ascii="Times New Roman" w:hAnsi="Times New Roman" w:cs="Times New Roman"/>
                <w:b/>
                <w:bCs w:val="0"/>
                <w:smallCaps w:val="0"/>
                <w:color w:val="auto"/>
                <w:spacing w:val="0"/>
                <w:sz w:val="24"/>
                <w:szCs w:val="20"/>
                <w:highlight w:val="none"/>
              </w:rPr>
            </w:pPr>
            <w:r>
              <w:rPr>
                <w:rFonts w:hint="default" w:ascii="Times New Roman" w:hAnsi="Times New Roman" w:cs="Times New Roman"/>
                <w:b/>
                <w:bCs w:val="0"/>
                <w:smallCaps w:val="0"/>
                <w:color w:val="auto"/>
                <w:spacing w:val="0"/>
                <w:sz w:val="24"/>
                <w:szCs w:val="20"/>
                <w:highlight w:val="none"/>
              </w:rPr>
              <w:t>根据</w:t>
            </w:r>
            <w:r>
              <w:rPr>
                <w:rFonts w:hint="eastAsia"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kern w:val="0"/>
                <w:sz w:val="24"/>
                <w:szCs w:val="20"/>
                <w:highlight w:val="none"/>
              </w:rPr>
              <w:t>项目与河北石家庄矿区工业园区总体</w:t>
            </w:r>
            <w:r>
              <w:rPr>
                <w:rFonts w:hint="eastAsia" w:cs="Times New Roman"/>
                <w:b/>
                <w:bCs w:val="0"/>
                <w:smallCaps w:val="0"/>
                <w:color w:val="auto"/>
                <w:spacing w:val="0"/>
                <w:kern w:val="0"/>
                <w:sz w:val="24"/>
                <w:szCs w:val="20"/>
                <w:highlight w:val="none"/>
                <w:lang w:val="en-US" w:eastAsia="zh-CN"/>
              </w:rPr>
              <w:t>发展</w:t>
            </w:r>
            <w:r>
              <w:rPr>
                <w:rFonts w:hint="default" w:ascii="Times New Roman" w:hAnsi="Times New Roman" w:cs="Times New Roman"/>
                <w:b/>
                <w:bCs w:val="0"/>
                <w:smallCaps w:val="0"/>
                <w:color w:val="auto"/>
                <w:spacing w:val="0"/>
                <w:kern w:val="0"/>
                <w:sz w:val="24"/>
                <w:szCs w:val="20"/>
                <w:highlight w:val="none"/>
              </w:rPr>
              <w:t>规划（</w:t>
            </w:r>
            <w:r>
              <w:rPr>
                <w:rFonts w:hint="eastAsia" w:cs="Times New Roman"/>
                <w:b/>
                <w:bCs w:val="0"/>
                <w:smallCaps w:val="0"/>
                <w:color w:val="auto"/>
                <w:spacing w:val="0"/>
                <w:kern w:val="0"/>
                <w:sz w:val="24"/>
                <w:szCs w:val="20"/>
                <w:highlight w:val="none"/>
                <w:lang w:val="en-US" w:eastAsia="zh-CN"/>
              </w:rPr>
              <w:t>2022-2030</w:t>
            </w:r>
            <w:r>
              <w:rPr>
                <w:rFonts w:hint="default" w:ascii="Times New Roman" w:hAnsi="Times New Roman" w:cs="Times New Roman"/>
                <w:b/>
                <w:bCs w:val="0"/>
                <w:smallCaps w:val="0"/>
                <w:color w:val="auto"/>
                <w:spacing w:val="0"/>
                <w:kern w:val="0"/>
                <w:sz w:val="24"/>
                <w:szCs w:val="20"/>
                <w:highlight w:val="none"/>
              </w:rPr>
              <w:t>年）-</w:t>
            </w:r>
            <w:r>
              <w:rPr>
                <w:rFonts w:hint="eastAsia" w:cs="Times New Roman"/>
                <w:b/>
                <w:bCs w:val="0"/>
                <w:smallCaps w:val="0"/>
                <w:color w:val="auto"/>
                <w:spacing w:val="0"/>
                <w:kern w:val="0"/>
                <w:sz w:val="24"/>
                <w:szCs w:val="20"/>
                <w:highlight w:val="none"/>
                <w:lang w:val="en-US" w:eastAsia="zh-CN"/>
              </w:rPr>
              <w:t>土地使用规划图</w:t>
            </w:r>
            <w:r>
              <w:rPr>
                <w:rFonts w:hint="eastAsia"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rPr>
              <w:t>本项目占地为规划的</w:t>
            </w:r>
            <w:r>
              <w:rPr>
                <w:rFonts w:hint="eastAsia" w:cs="Times New Roman"/>
                <w:b/>
                <w:bCs w:val="0"/>
                <w:smallCaps w:val="0"/>
                <w:color w:val="auto"/>
                <w:spacing w:val="0"/>
                <w:sz w:val="24"/>
                <w:szCs w:val="20"/>
                <w:highlight w:val="none"/>
                <w:lang w:eastAsia="zh-CN"/>
              </w:rPr>
              <w:t>工业用地</w:t>
            </w:r>
            <w:r>
              <w:rPr>
                <w:rFonts w:hint="default" w:ascii="Times New Roman" w:hAnsi="Times New Roman"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rPr>
              <w:t>本项目符合用地</w:t>
            </w:r>
            <w:r>
              <w:rPr>
                <w:rFonts w:hint="eastAsia" w:cs="Times New Roman"/>
                <w:b/>
                <w:bCs w:val="0"/>
                <w:smallCaps w:val="0"/>
                <w:color w:val="auto"/>
                <w:spacing w:val="0"/>
                <w:sz w:val="24"/>
                <w:szCs w:val="20"/>
                <w:highlight w:val="none"/>
                <w:lang w:val="en-US" w:eastAsia="zh-CN"/>
              </w:rPr>
              <w:t>规划</w:t>
            </w:r>
            <w:r>
              <w:rPr>
                <w:rFonts w:hint="default" w:ascii="Times New Roman" w:hAnsi="Times New Roman" w:cs="Times New Roman"/>
                <w:b/>
                <w:bCs w:val="0"/>
                <w:smallCaps w:val="0"/>
                <w:color w:val="auto"/>
                <w:spacing w:val="0"/>
                <w:sz w:val="24"/>
                <w:szCs w:val="20"/>
                <w:highlight w:val="none"/>
              </w:rPr>
              <w:t>要求。</w:t>
            </w:r>
          </w:p>
          <w:p w14:paraId="3B92D1B7">
            <w:pPr>
              <w:keepNext w:val="0"/>
              <w:keepLines w:val="0"/>
              <w:suppressLineNumbers w:val="0"/>
              <w:adjustRightInd w:val="0"/>
              <w:snapToGrid w:val="0"/>
              <w:spacing w:before="0" w:beforeAutospacing="0" w:after="0" w:afterAutospacing="0" w:line="460" w:lineRule="exact"/>
              <w:ind w:left="0" w:right="0" w:firstLine="480" w:firstLineChars="200"/>
              <w:jc w:val="left"/>
              <w:rPr>
                <w:rFonts w:hint="default" w:ascii="Times New Roman" w:hAnsi="Times New Roman" w:cs="Times New Roman"/>
                <w:b w:val="0"/>
                <w:bCs/>
                <w:smallCaps w:val="0"/>
                <w:color w:val="auto"/>
                <w:spacing w:val="0"/>
                <w:kern w:val="0"/>
                <w:sz w:val="24"/>
                <w:szCs w:val="20"/>
                <w:highlight w:val="none"/>
              </w:rPr>
            </w:pPr>
            <w:r>
              <w:rPr>
                <w:rFonts w:hint="default" w:ascii="Times New Roman" w:hAnsi="Times New Roman" w:cs="Times New Roman"/>
                <w:b w:val="0"/>
                <w:bCs/>
                <w:smallCaps w:val="0"/>
                <w:color w:val="auto"/>
                <w:spacing w:val="0"/>
                <w:kern w:val="0"/>
                <w:sz w:val="24"/>
                <w:szCs w:val="20"/>
                <w:highlight w:val="none"/>
              </w:rPr>
              <w:t>（4）基础设施</w:t>
            </w:r>
          </w:p>
          <w:p w14:paraId="53D7DA63">
            <w:pPr>
              <w:keepNext w:val="0"/>
              <w:keepLines w:val="0"/>
              <w:suppressLineNumbers w:val="0"/>
              <w:adjustRightInd w:val="0"/>
              <w:snapToGrid w:val="0"/>
              <w:spacing w:before="0" w:beforeAutospacing="0" w:after="0" w:afterAutospacing="0" w:line="460" w:lineRule="exact"/>
              <w:ind w:left="0" w:right="0" w:firstLine="480" w:firstLineChars="200"/>
              <w:jc w:val="left"/>
              <w:rPr>
                <w:rFonts w:hint="eastAsia" w:ascii="Times New Roman" w:hAnsi="Times New Roman" w:eastAsia="宋体" w:cs="Times New Roman"/>
                <w:smallCaps w:val="0"/>
                <w:color w:val="auto"/>
                <w:spacing w:val="0"/>
                <w:sz w:val="24"/>
                <w:szCs w:val="20"/>
                <w:highlight w:val="none"/>
                <w:lang w:eastAsia="zh-CN"/>
              </w:rPr>
            </w:pPr>
            <w:r>
              <w:rPr>
                <w:rFonts w:hint="default" w:ascii="Times New Roman" w:hAnsi="Times New Roman" w:cs="Times New Roman"/>
                <w:smallCaps w:val="0"/>
                <w:color w:val="auto"/>
                <w:spacing w:val="0"/>
                <w:sz w:val="24"/>
                <w:szCs w:val="20"/>
                <w:highlight w:val="none"/>
              </w:rPr>
              <w:fldChar w:fldCharType="begin"/>
            </w:r>
            <w:r>
              <w:rPr>
                <w:rFonts w:hint="default" w:ascii="Times New Roman" w:hAnsi="Times New Roman" w:cs="Times New Roman"/>
                <w:smallCaps w:val="0"/>
                <w:color w:val="auto"/>
                <w:spacing w:val="0"/>
                <w:sz w:val="24"/>
                <w:szCs w:val="20"/>
                <w:highlight w:val="none"/>
              </w:rPr>
              <w:instrText xml:space="preserve"> = 1 \* GB3 </w:instrText>
            </w:r>
            <w:r>
              <w:rPr>
                <w:rFonts w:hint="default" w:ascii="Times New Roman" w:hAnsi="Times New Roman" w:cs="Times New Roman"/>
                <w:smallCaps w:val="0"/>
                <w:color w:val="auto"/>
                <w:spacing w:val="0"/>
                <w:sz w:val="24"/>
                <w:szCs w:val="20"/>
                <w:highlight w:val="none"/>
              </w:rPr>
              <w:fldChar w:fldCharType="separate"/>
            </w:r>
            <w:r>
              <w:rPr>
                <w:rFonts w:hint="default" w:ascii="Times New Roman" w:hAnsi="Times New Roman" w:cs="Times New Roman"/>
                <w:smallCaps w:val="0"/>
                <w:color w:val="auto"/>
                <w:spacing w:val="0"/>
                <w:sz w:val="24"/>
                <w:szCs w:val="20"/>
                <w:highlight w:val="none"/>
              </w:rPr>
              <w:t>①</w:t>
            </w:r>
            <w:r>
              <w:rPr>
                <w:rFonts w:hint="default" w:ascii="Times New Roman" w:hAnsi="Times New Roman" w:cs="Times New Roman"/>
                <w:smallCaps w:val="0"/>
                <w:color w:val="auto"/>
                <w:spacing w:val="0"/>
                <w:sz w:val="24"/>
                <w:szCs w:val="20"/>
                <w:highlight w:val="none"/>
              </w:rPr>
              <w:fldChar w:fldCharType="end"/>
            </w:r>
            <w:r>
              <w:rPr>
                <w:rFonts w:hint="eastAsia" w:cs="Times New Roman"/>
                <w:smallCaps w:val="0"/>
                <w:color w:val="auto"/>
                <w:spacing w:val="0"/>
                <w:sz w:val="24"/>
                <w:szCs w:val="20"/>
                <w:highlight w:val="none"/>
                <w:lang w:val="en-US" w:eastAsia="zh-CN"/>
              </w:rPr>
              <w:t>给水工程规划</w:t>
            </w:r>
            <w:r>
              <w:rPr>
                <w:rFonts w:hint="eastAsia" w:ascii="Times New Roman" w:hAnsi="Times New Roman" w:cs="Times New Roman"/>
                <w:smallCaps w:val="0"/>
                <w:color w:val="auto"/>
                <w:spacing w:val="0"/>
                <w:sz w:val="24"/>
                <w:szCs w:val="20"/>
                <w:highlight w:val="none"/>
                <w:lang w:eastAsia="zh-CN"/>
              </w:rPr>
              <w:t>：</w:t>
            </w:r>
          </w:p>
          <w:p w14:paraId="15127437">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smallCaps w:val="0"/>
                <w:color w:val="auto"/>
                <w:spacing w:val="0"/>
                <w:sz w:val="24"/>
                <w:szCs w:val="20"/>
                <w:highlight w:val="none"/>
                <w:lang w:val="en-US" w:eastAsia="zh-CN"/>
              </w:rPr>
            </w:pPr>
            <w:r>
              <w:rPr>
                <w:rFonts w:hint="default" w:ascii="Times New Roman" w:hAnsi="Times New Roman" w:cs="Times New Roman"/>
                <w:b/>
                <w:bCs/>
                <w:smallCaps w:val="0"/>
                <w:color w:val="auto"/>
                <w:spacing w:val="0"/>
                <w:sz w:val="24"/>
                <w:szCs w:val="20"/>
                <w:highlight w:val="none"/>
              </w:rPr>
              <w:t>表1</w:t>
            </w:r>
            <w:r>
              <w:rPr>
                <w:rFonts w:hint="default" w:ascii="Times New Roman" w:hAnsi="Times New Roman" w:cs="Times New Roman"/>
                <w:b/>
                <w:bCs/>
                <w:smallCaps w:val="0"/>
                <w:color w:val="auto"/>
                <w:spacing w:val="0"/>
                <w:sz w:val="24"/>
                <w:szCs w:val="20"/>
                <w:highlight w:val="none"/>
                <w:lang w:val="en-US" w:eastAsia="zh-CN"/>
              </w:rPr>
              <w:t xml:space="preserve">-1  </w:t>
            </w:r>
            <w:r>
              <w:rPr>
                <w:rFonts w:hint="default" w:ascii="Times New Roman" w:hAnsi="Times New Roman" w:cs="Times New Roman"/>
                <w:b/>
                <w:bCs/>
                <w:smallCaps w:val="0"/>
                <w:color w:val="auto"/>
                <w:spacing w:val="0"/>
                <w:sz w:val="24"/>
                <w:szCs w:val="20"/>
                <w:highlight w:val="none"/>
              </w:rPr>
              <w:t xml:space="preserve">  </w:t>
            </w:r>
            <w:r>
              <w:rPr>
                <w:rFonts w:hint="eastAsia" w:cs="Times New Roman"/>
                <w:b/>
                <w:bCs/>
                <w:smallCaps w:val="0"/>
                <w:color w:val="auto"/>
                <w:spacing w:val="0"/>
                <w:sz w:val="24"/>
                <w:szCs w:val="20"/>
                <w:highlight w:val="none"/>
                <w:lang w:val="en-US" w:eastAsia="zh-CN"/>
              </w:rPr>
              <w:t>给水工程规划一览表</w:t>
            </w:r>
          </w:p>
          <w:tbl>
            <w:tblPr>
              <w:tblStyle w:val="4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96"/>
              <w:gridCol w:w="1183"/>
              <w:gridCol w:w="5846"/>
            </w:tblGrid>
            <w:tr w14:paraId="4465B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1A1BDF34">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eastAsia="zh-CN"/>
                    </w:rPr>
                  </w:pPr>
                  <w:r>
                    <w:rPr>
                      <w:rFonts w:hint="eastAsia" w:ascii="Times New Roman" w:eastAsia="宋体" w:cs="Times New Roman"/>
                      <w:smallCaps w:val="0"/>
                      <w:color w:val="auto"/>
                      <w:spacing w:val="0"/>
                      <w:sz w:val="21"/>
                      <w:szCs w:val="21"/>
                      <w:highlight w:val="none"/>
                      <w:lang w:val="en-US" w:eastAsia="zh-CN"/>
                    </w:rPr>
                    <w:t>序号</w:t>
                  </w:r>
                </w:p>
              </w:tc>
              <w:tc>
                <w:tcPr>
                  <w:tcW w:w="775" w:type="pct"/>
                  <w:noWrap w:val="0"/>
                  <w:vAlign w:val="center"/>
                </w:tcPr>
                <w:p w14:paraId="7702DAC6">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项目</w:t>
                  </w:r>
                </w:p>
              </w:tc>
              <w:tc>
                <w:tcPr>
                  <w:tcW w:w="3833" w:type="pct"/>
                  <w:noWrap w:val="0"/>
                  <w:vAlign w:val="center"/>
                </w:tcPr>
                <w:p w14:paraId="73EC4085">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内容</w:t>
                  </w:r>
                </w:p>
              </w:tc>
            </w:tr>
            <w:tr w14:paraId="1C8A7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0DB19DEF">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1</w:t>
                  </w:r>
                </w:p>
              </w:tc>
              <w:tc>
                <w:tcPr>
                  <w:tcW w:w="775" w:type="pct"/>
                  <w:noWrap w:val="0"/>
                  <w:vAlign w:val="center"/>
                </w:tcPr>
                <w:p w14:paraId="1E417E2A">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水源选择</w:t>
                  </w:r>
                </w:p>
              </w:tc>
              <w:tc>
                <w:tcPr>
                  <w:tcW w:w="3833" w:type="pct"/>
                  <w:noWrap w:val="0"/>
                  <w:vAlign w:val="center"/>
                </w:tcPr>
                <w:p w14:paraId="7DAF11A9">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规划园区水源以地表水和再生水为主，地下水作为紧急备用水源。</w:t>
                  </w:r>
                </w:p>
              </w:tc>
            </w:tr>
            <w:tr w14:paraId="01834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11A487C8">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2</w:t>
                  </w:r>
                </w:p>
              </w:tc>
              <w:tc>
                <w:tcPr>
                  <w:tcW w:w="775" w:type="pct"/>
                  <w:noWrap w:val="0"/>
                  <w:vAlign w:val="center"/>
                </w:tcPr>
                <w:p w14:paraId="5E69606D">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水源规划</w:t>
                  </w:r>
                </w:p>
              </w:tc>
              <w:tc>
                <w:tcPr>
                  <w:tcW w:w="3833" w:type="pct"/>
                  <w:noWrap w:val="0"/>
                  <w:vAlign w:val="center"/>
                </w:tcPr>
                <w:p w14:paraId="306AE702">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园区的用水结构为地表水优先供应生活用水；再生水优先供应石钢公司工业用水，其次供应其他企业工业用水、景观用水、浇洒道路、市政用水。</w:t>
                  </w:r>
                </w:p>
              </w:tc>
            </w:tr>
            <w:tr w14:paraId="0ABCA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237CC6AA">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3</w:t>
                  </w:r>
                </w:p>
              </w:tc>
              <w:tc>
                <w:tcPr>
                  <w:tcW w:w="775" w:type="pct"/>
                  <w:noWrap w:val="0"/>
                  <w:vAlign w:val="center"/>
                </w:tcPr>
                <w:p w14:paraId="79E38398">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供水设施规划</w:t>
                  </w:r>
                </w:p>
              </w:tc>
              <w:tc>
                <w:tcPr>
                  <w:tcW w:w="3833" w:type="pct"/>
                  <w:noWrap w:val="0"/>
                  <w:vAlign w:val="center"/>
                </w:tcPr>
                <w:p w14:paraId="21B03845">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矿区白彪水厂，近期规模2.0万立方米/日，远期规模达到4.5万立方米/日，占地2.03公顷。规划在南寨水库东侧新建南寨水厂，水源为地表水，供水规模为2.00万立方米/日，占地1.71公顷。 规划保留2座再生水厂，其中矿区再生水厂位于城区东南侧，设计规模为2万m</w:t>
                  </w:r>
                  <w:r>
                    <w:rPr>
                      <w:rFonts w:hint="eastAsia" w:ascii="Times New Roman" w:eastAsia="宋体" w:cs="Times New Roman"/>
                      <w:smallCaps w:val="0"/>
                      <w:color w:val="auto"/>
                      <w:spacing w:val="0"/>
                      <w:sz w:val="21"/>
                      <w:szCs w:val="21"/>
                      <w:highlight w:val="none"/>
                      <w:vertAlign w:val="superscript"/>
                      <w:lang w:val="en-US" w:eastAsia="zh-CN"/>
                    </w:rPr>
                    <w:t>3</w:t>
                  </w:r>
                  <w:r>
                    <w:rPr>
                      <w:rFonts w:hint="eastAsia" w:ascii="Times New Roman" w:eastAsia="宋体" w:cs="Times New Roman"/>
                      <w:smallCaps w:val="0"/>
                      <w:color w:val="auto"/>
                      <w:spacing w:val="0"/>
                      <w:sz w:val="21"/>
                      <w:szCs w:val="21"/>
                      <w:highlight w:val="none"/>
                      <w:lang w:val="en-US" w:eastAsia="zh-CN"/>
                    </w:rPr>
                    <w:t>/d；贾庄再生水厂位于石钢片区北侧，设计规模为1500m</w:t>
                  </w:r>
                  <w:r>
                    <w:rPr>
                      <w:rFonts w:hint="eastAsia" w:ascii="Times New Roman" w:eastAsia="宋体" w:cs="Times New Roman"/>
                      <w:smallCaps w:val="0"/>
                      <w:color w:val="auto"/>
                      <w:spacing w:val="0"/>
                      <w:sz w:val="21"/>
                      <w:szCs w:val="21"/>
                      <w:highlight w:val="none"/>
                      <w:vertAlign w:val="superscript"/>
                      <w:lang w:val="en-US" w:eastAsia="zh-CN"/>
                    </w:rPr>
                    <w:t>3</w:t>
                  </w:r>
                  <w:r>
                    <w:rPr>
                      <w:rFonts w:hint="eastAsia" w:ascii="Times New Roman" w:eastAsia="宋体" w:cs="Times New Roman"/>
                      <w:smallCaps w:val="0"/>
                      <w:color w:val="auto"/>
                      <w:spacing w:val="0"/>
                      <w:sz w:val="21"/>
                      <w:szCs w:val="21"/>
                      <w:highlight w:val="none"/>
                      <w:lang w:val="en-US" w:eastAsia="zh-CN"/>
                    </w:rPr>
                    <w:t>/d。</w:t>
                  </w:r>
                </w:p>
              </w:tc>
            </w:tr>
            <w:tr w14:paraId="49CA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56935CF7">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4</w:t>
                  </w:r>
                </w:p>
              </w:tc>
              <w:tc>
                <w:tcPr>
                  <w:tcW w:w="775" w:type="pct"/>
                  <w:noWrap w:val="0"/>
                  <w:vAlign w:val="center"/>
                </w:tcPr>
                <w:p w14:paraId="52E54A4C">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管网规划</w:t>
                  </w:r>
                </w:p>
              </w:tc>
              <w:tc>
                <w:tcPr>
                  <w:tcW w:w="3833" w:type="pct"/>
                  <w:noWrap w:val="0"/>
                  <w:vAlign w:val="center"/>
                </w:tcPr>
                <w:p w14:paraId="4D53E999">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在充分利用现状给水管道的基础上，结合近期规划，考虑分期建设可能，自供水厂沿矿峰街、贾凤路、工业大道、世纪大道、纬一路、北环路、金川路、古桥街等主要道路布设给水干管，形成环状和枝状相结合的配水管网。</w:t>
                  </w:r>
                </w:p>
              </w:tc>
            </w:tr>
          </w:tbl>
          <w:p w14:paraId="6B170AC0">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现状：园区生产和生活用水水源为地下水和再生水。石钢生产用水全部使用中水，目前矿区中水厂和贾庄污水处理厂中水管网均已接入石钢厂区，能够满足石钢的用水需求；园区内其他企业用水由白彪水厂（现名为恒兴自来水厂）或自备井供应，能够满足现有企业的用水需求。</w:t>
            </w:r>
          </w:p>
          <w:p w14:paraId="376B2D91">
            <w:pPr>
              <w:keepNext w:val="0"/>
              <w:keepLines w:val="0"/>
              <w:suppressLineNumbers w:val="0"/>
              <w:adjustRightInd w:val="0"/>
              <w:snapToGrid w:val="0"/>
              <w:spacing w:before="0" w:beforeAutospacing="0" w:after="0" w:afterAutospacing="0" w:line="460" w:lineRule="exact"/>
              <w:ind w:left="0" w:right="0" w:firstLine="482" w:firstLineChars="200"/>
              <w:rPr>
                <w:rFonts w:hint="default" w:ascii="Times New Roman" w:hAnsi="Times New Roman" w:cs="Times New Roman"/>
                <w:b/>
                <w:bCs/>
                <w:smallCaps w:val="0"/>
                <w:color w:val="auto"/>
                <w:spacing w:val="0"/>
                <w:sz w:val="24"/>
                <w:szCs w:val="20"/>
                <w:highlight w:val="none"/>
              </w:rPr>
            </w:pPr>
            <w:r>
              <w:rPr>
                <w:rFonts w:hint="default" w:ascii="Times New Roman" w:hAnsi="Times New Roman" w:cs="Times New Roman"/>
                <w:b/>
                <w:bCs/>
                <w:smallCaps w:val="0"/>
                <w:color w:val="auto"/>
                <w:spacing w:val="0"/>
                <w:kern w:val="0"/>
                <w:sz w:val="24"/>
                <w:szCs w:val="20"/>
                <w:highlight w:val="none"/>
              </w:rPr>
              <w:t>本项目用水主要为</w:t>
            </w:r>
            <w:r>
              <w:rPr>
                <w:rFonts w:hint="eastAsia" w:cs="Times New Roman"/>
                <w:b/>
                <w:bCs/>
                <w:smallCaps w:val="0"/>
                <w:color w:val="auto"/>
                <w:spacing w:val="0"/>
                <w:kern w:val="0"/>
                <w:sz w:val="24"/>
                <w:szCs w:val="20"/>
                <w:highlight w:val="none"/>
                <w:lang w:eastAsia="zh-CN"/>
              </w:rPr>
              <w:t>淬火、回火冷却水用水、</w:t>
            </w:r>
            <w:r>
              <w:rPr>
                <w:rFonts w:hint="eastAsia" w:cs="Times New Roman"/>
                <w:b/>
                <w:bCs/>
                <w:smallCaps w:val="0"/>
                <w:color w:val="auto"/>
                <w:spacing w:val="0"/>
                <w:kern w:val="0"/>
                <w:sz w:val="24"/>
                <w:szCs w:val="20"/>
                <w:highlight w:val="none"/>
                <w:lang w:val="en-US" w:eastAsia="zh-CN"/>
              </w:rPr>
              <w:t>职工生活用水</w:t>
            </w:r>
            <w:r>
              <w:rPr>
                <w:rFonts w:hint="default" w:ascii="Times New Roman" w:hAnsi="Times New Roman" w:cs="Times New Roman"/>
                <w:b/>
                <w:bCs/>
                <w:smallCaps w:val="0"/>
                <w:color w:val="auto"/>
                <w:spacing w:val="0"/>
                <w:kern w:val="0"/>
                <w:sz w:val="24"/>
                <w:szCs w:val="20"/>
                <w:highlight w:val="none"/>
              </w:rPr>
              <w:t>，</w:t>
            </w:r>
            <w:r>
              <w:rPr>
                <w:rFonts w:hint="eastAsia" w:cs="Times New Roman"/>
                <w:b/>
                <w:bCs/>
                <w:smallCaps w:val="0"/>
                <w:color w:val="auto"/>
                <w:spacing w:val="0"/>
                <w:kern w:val="0"/>
                <w:sz w:val="24"/>
                <w:szCs w:val="20"/>
                <w:highlight w:val="none"/>
                <w:lang w:val="en-US" w:eastAsia="zh-CN"/>
              </w:rPr>
              <w:t>新鲜水</w:t>
            </w:r>
            <w:r>
              <w:rPr>
                <w:rFonts w:hint="default" w:ascii="Times New Roman" w:hAnsi="Times New Roman" w:cs="Times New Roman"/>
                <w:b/>
                <w:bCs/>
                <w:smallCaps w:val="0"/>
                <w:color w:val="auto"/>
                <w:spacing w:val="0"/>
                <w:kern w:val="0"/>
                <w:sz w:val="24"/>
                <w:szCs w:val="20"/>
                <w:highlight w:val="none"/>
              </w:rPr>
              <w:t>总用水量为</w:t>
            </w:r>
            <w:r>
              <w:rPr>
                <w:rFonts w:hint="eastAsia" w:cs="Times New Roman"/>
                <w:b/>
                <w:bCs/>
                <w:smallCaps w:val="0"/>
                <w:color w:val="auto"/>
                <w:spacing w:val="0"/>
                <w:kern w:val="0"/>
                <w:sz w:val="24"/>
                <w:szCs w:val="20"/>
                <w:highlight w:val="none"/>
                <w:lang w:val="en-US" w:eastAsia="zh-CN"/>
              </w:rPr>
              <w:t>1719.9</w:t>
            </w:r>
            <w:r>
              <w:rPr>
                <w:rFonts w:hint="default" w:ascii="Times New Roman" w:hAnsi="Times New Roman" w:cs="Times New Roman"/>
                <w:b/>
                <w:bCs/>
                <w:smallCaps w:val="0"/>
                <w:color w:val="auto"/>
                <w:spacing w:val="0"/>
                <w:kern w:val="0"/>
                <w:sz w:val="24"/>
                <w:szCs w:val="20"/>
                <w:highlight w:val="none"/>
              </w:rPr>
              <w:t>m</w:t>
            </w:r>
            <w:r>
              <w:rPr>
                <w:rFonts w:hint="default" w:ascii="Times New Roman" w:hAnsi="Times New Roman" w:cs="Times New Roman"/>
                <w:b/>
                <w:bCs/>
                <w:smallCaps w:val="0"/>
                <w:color w:val="auto"/>
                <w:spacing w:val="0"/>
                <w:kern w:val="0"/>
                <w:sz w:val="24"/>
                <w:szCs w:val="20"/>
                <w:highlight w:val="none"/>
                <w:vertAlign w:val="superscript"/>
              </w:rPr>
              <w:t>3</w:t>
            </w:r>
            <w:r>
              <w:rPr>
                <w:rFonts w:hint="default" w:ascii="Times New Roman" w:hAnsi="Times New Roman" w:cs="Times New Roman"/>
                <w:b/>
                <w:bCs/>
                <w:smallCaps w:val="0"/>
                <w:color w:val="auto"/>
                <w:spacing w:val="0"/>
                <w:kern w:val="0"/>
                <w:sz w:val="24"/>
                <w:szCs w:val="20"/>
                <w:highlight w:val="none"/>
              </w:rPr>
              <w:t>/a</w:t>
            </w:r>
            <w:r>
              <w:rPr>
                <w:rFonts w:hint="eastAsia" w:cs="Times New Roman"/>
                <w:b/>
                <w:bCs/>
                <w:smallCaps w:val="0"/>
                <w:color w:val="auto"/>
                <w:spacing w:val="0"/>
                <w:kern w:val="0"/>
                <w:sz w:val="24"/>
                <w:szCs w:val="20"/>
                <w:highlight w:val="none"/>
                <w:lang w:eastAsia="zh-CN"/>
              </w:rPr>
              <w:t>，</w:t>
            </w:r>
            <w:r>
              <w:rPr>
                <w:rFonts w:hint="eastAsia" w:cs="Times New Roman"/>
                <w:b/>
                <w:bCs/>
                <w:smallCaps w:val="0"/>
                <w:color w:val="auto"/>
                <w:spacing w:val="0"/>
                <w:kern w:val="0"/>
                <w:sz w:val="24"/>
                <w:szCs w:val="20"/>
                <w:highlight w:val="none"/>
                <w:lang w:val="en-US" w:eastAsia="zh-CN"/>
              </w:rPr>
              <w:t>不设置自备水井</w:t>
            </w:r>
            <w:r>
              <w:rPr>
                <w:rFonts w:hint="default" w:ascii="Times New Roman" w:hAnsi="Times New Roman" w:cs="Times New Roman"/>
                <w:b/>
                <w:bCs/>
                <w:smallCaps w:val="0"/>
                <w:snapToGrid w:val="0"/>
                <w:color w:val="auto"/>
                <w:spacing w:val="0"/>
                <w:sz w:val="24"/>
                <w:szCs w:val="20"/>
                <w:highlight w:val="none"/>
                <w:lang w:eastAsia="zh-CN"/>
              </w:rPr>
              <w:t>，</w:t>
            </w:r>
            <w:r>
              <w:rPr>
                <w:rFonts w:hint="default" w:ascii="Times New Roman" w:hAnsi="Times New Roman" w:cs="Times New Roman"/>
                <w:b/>
                <w:bCs/>
                <w:smallCaps w:val="0"/>
                <w:color w:val="auto"/>
                <w:spacing w:val="0"/>
                <w:kern w:val="0"/>
                <w:sz w:val="24"/>
                <w:szCs w:val="20"/>
                <w:highlight w:val="none"/>
                <w:lang w:eastAsia="zh-CN"/>
              </w:rPr>
              <w:t>由园区供水管网提供，</w:t>
            </w:r>
            <w:r>
              <w:rPr>
                <w:rFonts w:hint="default" w:ascii="Times New Roman" w:hAnsi="Times New Roman" w:cs="Times New Roman"/>
                <w:b/>
                <w:bCs/>
                <w:smallCaps w:val="0"/>
                <w:color w:val="auto"/>
                <w:spacing w:val="0"/>
                <w:kern w:val="0"/>
                <w:sz w:val="24"/>
                <w:szCs w:val="20"/>
                <w:highlight w:val="none"/>
              </w:rPr>
              <w:t>能够满足项目生产用水需求。</w:t>
            </w:r>
          </w:p>
          <w:p w14:paraId="66BBB570">
            <w:pPr>
              <w:keepNext w:val="0"/>
              <w:keepLines w:val="0"/>
              <w:suppressLineNumbers w:val="0"/>
              <w:adjustRightInd w:val="0"/>
              <w:snapToGrid w:val="0"/>
              <w:spacing w:before="0" w:beforeAutospacing="0" w:after="0" w:afterAutospacing="0" w:line="460" w:lineRule="exact"/>
              <w:ind w:left="0" w:right="0" w:firstLine="480" w:firstLineChars="200"/>
              <w:jc w:val="left"/>
              <w:rPr>
                <w:rFonts w:hint="eastAsia" w:ascii="Times New Roman" w:hAnsi="Times New Roman" w:eastAsia="宋体" w:cs="Times New Roman"/>
                <w:smallCaps w:val="0"/>
                <w:color w:val="auto"/>
                <w:spacing w:val="0"/>
                <w:sz w:val="24"/>
                <w:szCs w:val="20"/>
                <w:highlight w:val="none"/>
                <w:lang w:eastAsia="zh-CN"/>
              </w:rPr>
            </w:pPr>
            <w:r>
              <w:rPr>
                <w:rFonts w:hint="default" w:ascii="Times New Roman" w:hAnsi="Times New Roman" w:cs="Times New Roman"/>
                <w:smallCaps w:val="0"/>
                <w:color w:val="auto"/>
                <w:spacing w:val="0"/>
                <w:sz w:val="24"/>
                <w:szCs w:val="20"/>
                <w:highlight w:val="none"/>
              </w:rPr>
              <w:fldChar w:fldCharType="begin"/>
            </w:r>
            <w:r>
              <w:rPr>
                <w:rFonts w:hint="default" w:ascii="Times New Roman" w:hAnsi="Times New Roman" w:cs="Times New Roman"/>
                <w:smallCaps w:val="0"/>
                <w:color w:val="auto"/>
                <w:spacing w:val="0"/>
                <w:sz w:val="24"/>
                <w:szCs w:val="20"/>
                <w:highlight w:val="none"/>
              </w:rPr>
              <w:instrText xml:space="preserve"> = 2 \* GB3 </w:instrText>
            </w:r>
            <w:r>
              <w:rPr>
                <w:rFonts w:hint="default" w:ascii="Times New Roman" w:hAnsi="Times New Roman" w:cs="Times New Roman"/>
                <w:smallCaps w:val="0"/>
                <w:color w:val="auto"/>
                <w:spacing w:val="0"/>
                <w:sz w:val="24"/>
                <w:szCs w:val="20"/>
                <w:highlight w:val="none"/>
              </w:rPr>
              <w:fldChar w:fldCharType="separate"/>
            </w:r>
            <w:r>
              <w:rPr>
                <w:rFonts w:hint="default" w:ascii="Times New Roman" w:hAnsi="Times New Roman" w:cs="Times New Roman"/>
                <w:smallCaps w:val="0"/>
                <w:color w:val="auto"/>
                <w:spacing w:val="0"/>
                <w:sz w:val="24"/>
                <w:szCs w:val="20"/>
                <w:highlight w:val="none"/>
              </w:rPr>
              <w:t>②</w:t>
            </w:r>
            <w:r>
              <w:rPr>
                <w:rFonts w:hint="default" w:ascii="Times New Roman" w:hAnsi="Times New Roman" w:cs="Times New Roman"/>
                <w:smallCaps w:val="0"/>
                <w:color w:val="auto"/>
                <w:spacing w:val="0"/>
                <w:sz w:val="24"/>
                <w:szCs w:val="20"/>
                <w:highlight w:val="none"/>
              </w:rPr>
              <w:fldChar w:fldCharType="end"/>
            </w:r>
            <w:r>
              <w:rPr>
                <w:rFonts w:hint="eastAsia" w:cs="Times New Roman"/>
                <w:smallCaps w:val="0"/>
                <w:color w:val="auto"/>
                <w:spacing w:val="0"/>
                <w:sz w:val="24"/>
                <w:szCs w:val="20"/>
                <w:highlight w:val="none"/>
                <w:lang w:val="en-US" w:eastAsia="zh-CN"/>
              </w:rPr>
              <w:t>园区排水工程规划</w:t>
            </w:r>
            <w:r>
              <w:rPr>
                <w:rFonts w:hint="eastAsia" w:ascii="Times New Roman" w:hAnsi="Times New Roman" w:cs="Times New Roman"/>
                <w:smallCaps w:val="0"/>
                <w:color w:val="auto"/>
                <w:spacing w:val="0"/>
                <w:sz w:val="24"/>
                <w:szCs w:val="20"/>
                <w:highlight w:val="none"/>
                <w:lang w:eastAsia="zh-CN"/>
              </w:rPr>
              <w:t>：</w:t>
            </w:r>
          </w:p>
          <w:p w14:paraId="1C567F89">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smallCaps w:val="0"/>
                <w:color w:val="auto"/>
                <w:spacing w:val="0"/>
                <w:sz w:val="24"/>
                <w:szCs w:val="20"/>
                <w:highlight w:val="none"/>
                <w:lang w:val="en-US" w:eastAsia="zh-CN"/>
              </w:rPr>
            </w:pPr>
            <w:r>
              <w:rPr>
                <w:rFonts w:hint="default" w:ascii="Times New Roman" w:hAnsi="Times New Roman" w:cs="Times New Roman"/>
                <w:b/>
                <w:bCs/>
                <w:smallCaps w:val="0"/>
                <w:color w:val="auto"/>
                <w:spacing w:val="0"/>
                <w:sz w:val="24"/>
                <w:szCs w:val="20"/>
                <w:highlight w:val="none"/>
              </w:rPr>
              <w:t>表1</w:t>
            </w:r>
            <w:r>
              <w:rPr>
                <w:rFonts w:hint="default" w:ascii="Times New Roman" w:hAnsi="Times New Roman" w:cs="Times New Roman"/>
                <w:b/>
                <w:bCs/>
                <w:smallCaps w:val="0"/>
                <w:color w:val="auto"/>
                <w:spacing w:val="0"/>
                <w:sz w:val="24"/>
                <w:szCs w:val="20"/>
                <w:highlight w:val="none"/>
                <w:lang w:val="en-US" w:eastAsia="zh-CN"/>
              </w:rPr>
              <w:t>-</w:t>
            </w:r>
            <w:r>
              <w:rPr>
                <w:rFonts w:hint="eastAsia" w:cs="Times New Roman"/>
                <w:b/>
                <w:bCs/>
                <w:smallCaps w:val="0"/>
                <w:color w:val="auto"/>
                <w:spacing w:val="0"/>
                <w:sz w:val="24"/>
                <w:szCs w:val="20"/>
                <w:highlight w:val="none"/>
                <w:lang w:val="en-US" w:eastAsia="zh-CN"/>
              </w:rPr>
              <w:t>2</w:t>
            </w:r>
            <w:r>
              <w:rPr>
                <w:rFonts w:hint="default" w:ascii="Times New Roman" w:hAnsi="Times New Roman" w:cs="Times New Roman"/>
                <w:b/>
                <w:bCs/>
                <w:smallCaps w:val="0"/>
                <w:color w:val="auto"/>
                <w:spacing w:val="0"/>
                <w:sz w:val="24"/>
                <w:szCs w:val="20"/>
                <w:highlight w:val="none"/>
                <w:lang w:val="en-US" w:eastAsia="zh-CN"/>
              </w:rPr>
              <w:t xml:space="preserve">  </w:t>
            </w:r>
            <w:r>
              <w:rPr>
                <w:rFonts w:hint="default" w:ascii="Times New Roman" w:hAnsi="Times New Roman" w:cs="Times New Roman"/>
                <w:b/>
                <w:bCs/>
                <w:smallCaps w:val="0"/>
                <w:color w:val="auto"/>
                <w:spacing w:val="0"/>
                <w:sz w:val="24"/>
                <w:szCs w:val="20"/>
                <w:highlight w:val="none"/>
              </w:rPr>
              <w:t xml:space="preserve">  </w:t>
            </w:r>
            <w:r>
              <w:rPr>
                <w:rFonts w:hint="eastAsia" w:cs="Times New Roman"/>
                <w:b/>
                <w:bCs/>
                <w:smallCaps w:val="0"/>
                <w:color w:val="auto"/>
                <w:spacing w:val="0"/>
                <w:sz w:val="24"/>
                <w:szCs w:val="20"/>
                <w:highlight w:val="none"/>
                <w:lang w:val="en-US" w:eastAsia="zh-CN"/>
              </w:rPr>
              <w:t>排水工程规划一览表</w:t>
            </w:r>
          </w:p>
          <w:tbl>
            <w:tblPr>
              <w:tblStyle w:val="4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96"/>
              <w:gridCol w:w="538"/>
              <w:gridCol w:w="1104"/>
              <w:gridCol w:w="5387"/>
            </w:tblGrid>
            <w:tr w14:paraId="2AE20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12DF4482">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eastAsia="zh-CN"/>
                    </w:rPr>
                  </w:pPr>
                  <w:r>
                    <w:rPr>
                      <w:rFonts w:hint="eastAsia" w:ascii="Times New Roman" w:eastAsia="宋体" w:cs="Times New Roman"/>
                      <w:smallCaps w:val="0"/>
                      <w:color w:val="auto"/>
                      <w:spacing w:val="0"/>
                      <w:sz w:val="21"/>
                      <w:szCs w:val="21"/>
                      <w:highlight w:val="none"/>
                      <w:lang w:val="en-US" w:eastAsia="zh-CN"/>
                    </w:rPr>
                    <w:t>序号</w:t>
                  </w:r>
                </w:p>
              </w:tc>
              <w:tc>
                <w:tcPr>
                  <w:tcW w:w="1076" w:type="pct"/>
                  <w:gridSpan w:val="2"/>
                  <w:noWrap w:val="0"/>
                  <w:vAlign w:val="center"/>
                </w:tcPr>
                <w:p w14:paraId="1D44CBBF">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项目</w:t>
                  </w:r>
                </w:p>
              </w:tc>
              <w:tc>
                <w:tcPr>
                  <w:tcW w:w="3532" w:type="pct"/>
                  <w:noWrap w:val="0"/>
                  <w:vAlign w:val="center"/>
                </w:tcPr>
                <w:p w14:paraId="40254D95">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内容</w:t>
                  </w:r>
                </w:p>
              </w:tc>
            </w:tr>
            <w:tr w14:paraId="55AB7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61712722">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1</w:t>
                  </w:r>
                </w:p>
              </w:tc>
              <w:tc>
                <w:tcPr>
                  <w:tcW w:w="1076" w:type="pct"/>
                  <w:gridSpan w:val="2"/>
                  <w:noWrap w:val="0"/>
                  <w:vAlign w:val="center"/>
                </w:tcPr>
                <w:p w14:paraId="015D0D79">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排水体制</w:t>
                  </w:r>
                </w:p>
              </w:tc>
              <w:tc>
                <w:tcPr>
                  <w:tcW w:w="3532" w:type="pct"/>
                  <w:noWrap w:val="0"/>
                  <w:vAlign w:val="center"/>
                </w:tcPr>
                <w:p w14:paraId="5F35C4FC">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规划排水体制采用雨污分流制。</w:t>
                  </w:r>
                </w:p>
              </w:tc>
            </w:tr>
            <w:tr w14:paraId="410F9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vMerge w:val="restart"/>
                  <w:noWrap w:val="0"/>
                  <w:vAlign w:val="center"/>
                </w:tcPr>
                <w:p w14:paraId="1F547EAD">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2</w:t>
                  </w:r>
                </w:p>
              </w:tc>
              <w:tc>
                <w:tcPr>
                  <w:tcW w:w="352" w:type="pct"/>
                  <w:vMerge w:val="restart"/>
                  <w:noWrap w:val="0"/>
                  <w:vAlign w:val="center"/>
                </w:tcPr>
                <w:p w14:paraId="398D65CC">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污水工程</w:t>
                  </w:r>
                </w:p>
              </w:tc>
              <w:tc>
                <w:tcPr>
                  <w:tcW w:w="723" w:type="pct"/>
                  <w:noWrap w:val="0"/>
                  <w:vAlign w:val="center"/>
                </w:tcPr>
                <w:p w14:paraId="6299B7A2">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污水处理</w:t>
                  </w:r>
                </w:p>
              </w:tc>
              <w:tc>
                <w:tcPr>
                  <w:tcW w:w="3532" w:type="pct"/>
                  <w:noWrap w:val="0"/>
                  <w:vAlign w:val="center"/>
                </w:tcPr>
                <w:p w14:paraId="3C1CB753">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遵守水源保护地准保护区政策，生产污水处理采用企业自行处理方式，实现生产污水处理零排放，后期对企业进行跟踪，严令禁止排放污水。生活污水由污水管道排入矿区绿洁污水处理厂和贾庄污水处理厂。</w:t>
                  </w:r>
                </w:p>
              </w:tc>
            </w:tr>
            <w:tr w14:paraId="61FF0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vMerge w:val="continue"/>
                  <w:noWrap w:val="0"/>
                  <w:vAlign w:val="center"/>
                </w:tcPr>
                <w:p w14:paraId="5949B8EB">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eastAsia="宋体" w:cs="Times New Roman"/>
                      <w:smallCaps w:val="0"/>
                      <w:color w:val="auto"/>
                      <w:spacing w:val="0"/>
                      <w:sz w:val="21"/>
                      <w:szCs w:val="21"/>
                      <w:highlight w:val="none"/>
                      <w:lang w:val="en-US" w:eastAsia="zh-CN"/>
                    </w:rPr>
                  </w:pPr>
                </w:p>
              </w:tc>
              <w:tc>
                <w:tcPr>
                  <w:tcW w:w="352" w:type="pct"/>
                  <w:vMerge w:val="continue"/>
                  <w:noWrap w:val="0"/>
                  <w:vAlign w:val="center"/>
                </w:tcPr>
                <w:p w14:paraId="4D975586">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p>
              </w:tc>
              <w:tc>
                <w:tcPr>
                  <w:tcW w:w="723" w:type="pct"/>
                  <w:noWrap w:val="0"/>
                  <w:vAlign w:val="center"/>
                </w:tcPr>
                <w:p w14:paraId="7DE8B5CE">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污水处理厂</w:t>
                  </w:r>
                </w:p>
              </w:tc>
              <w:tc>
                <w:tcPr>
                  <w:tcW w:w="3532" w:type="pct"/>
                  <w:noWrap w:val="0"/>
                  <w:vAlign w:val="center"/>
                </w:tcPr>
                <w:p w14:paraId="2FC17FC0">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规划保留现状2座生活污水处理厂，矿区绿洁污水处理厂位于城区东南侧，设计规模为2万m</w:t>
                  </w:r>
                  <w:r>
                    <w:rPr>
                      <w:rFonts w:hint="eastAsia" w:ascii="Times New Roman" w:eastAsia="宋体" w:cs="Times New Roman"/>
                      <w:smallCaps w:val="0"/>
                      <w:color w:val="auto"/>
                      <w:spacing w:val="0"/>
                      <w:sz w:val="21"/>
                      <w:szCs w:val="21"/>
                      <w:highlight w:val="none"/>
                      <w:vertAlign w:val="superscript"/>
                      <w:lang w:val="en-US" w:eastAsia="zh-CN"/>
                    </w:rPr>
                    <w:t>3</w:t>
                  </w:r>
                  <w:r>
                    <w:rPr>
                      <w:rFonts w:hint="eastAsia" w:ascii="Times New Roman" w:eastAsia="宋体" w:cs="Times New Roman"/>
                      <w:smallCaps w:val="0"/>
                      <w:color w:val="auto"/>
                      <w:spacing w:val="0"/>
                      <w:sz w:val="21"/>
                      <w:szCs w:val="21"/>
                      <w:highlight w:val="none"/>
                      <w:lang w:val="en-US" w:eastAsia="zh-CN"/>
                    </w:rPr>
                    <w:t>/d；贾庄污水处理厂位于石钢片区北侧，设计规模为1500m</w:t>
                  </w:r>
                  <w:r>
                    <w:rPr>
                      <w:rFonts w:hint="eastAsia" w:ascii="Times New Roman" w:eastAsia="宋体" w:cs="Times New Roman"/>
                      <w:smallCaps w:val="0"/>
                      <w:color w:val="auto"/>
                      <w:spacing w:val="0"/>
                      <w:sz w:val="21"/>
                      <w:szCs w:val="21"/>
                      <w:highlight w:val="none"/>
                      <w:vertAlign w:val="superscript"/>
                      <w:lang w:val="en-US" w:eastAsia="zh-CN"/>
                    </w:rPr>
                    <w:t>3</w:t>
                  </w:r>
                  <w:r>
                    <w:rPr>
                      <w:rFonts w:hint="eastAsia" w:ascii="Times New Roman" w:eastAsia="宋体" w:cs="Times New Roman"/>
                      <w:smallCaps w:val="0"/>
                      <w:color w:val="auto"/>
                      <w:spacing w:val="0"/>
                      <w:sz w:val="21"/>
                      <w:szCs w:val="21"/>
                      <w:highlight w:val="none"/>
                      <w:lang w:val="en-US" w:eastAsia="zh-CN"/>
                    </w:rPr>
                    <w:t>/d。</w:t>
                  </w:r>
                </w:p>
              </w:tc>
            </w:tr>
            <w:tr w14:paraId="31E23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vMerge w:val="continue"/>
                  <w:noWrap w:val="0"/>
                  <w:vAlign w:val="center"/>
                </w:tcPr>
                <w:p w14:paraId="21B7D4B9">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eastAsia="宋体" w:cs="Times New Roman"/>
                      <w:smallCaps w:val="0"/>
                      <w:color w:val="auto"/>
                      <w:spacing w:val="0"/>
                      <w:sz w:val="21"/>
                      <w:szCs w:val="21"/>
                      <w:highlight w:val="none"/>
                      <w:lang w:val="en-US" w:eastAsia="zh-CN"/>
                    </w:rPr>
                  </w:pPr>
                </w:p>
              </w:tc>
              <w:tc>
                <w:tcPr>
                  <w:tcW w:w="352" w:type="pct"/>
                  <w:vMerge w:val="continue"/>
                  <w:noWrap w:val="0"/>
                  <w:vAlign w:val="center"/>
                </w:tcPr>
                <w:p w14:paraId="772FE7B4">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p>
              </w:tc>
              <w:tc>
                <w:tcPr>
                  <w:tcW w:w="723" w:type="pct"/>
                  <w:noWrap w:val="0"/>
                  <w:vAlign w:val="center"/>
                </w:tcPr>
                <w:p w14:paraId="4226F0F1">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管网规划</w:t>
                  </w:r>
                </w:p>
              </w:tc>
              <w:tc>
                <w:tcPr>
                  <w:tcW w:w="3532" w:type="pct"/>
                  <w:noWrap w:val="0"/>
                  <w:vAlign w:val="center"/>
                </w:tcPr>
                <w:p w14:paraId="2727FB43">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石钢片区北部、丰达片区北部及天汇片区污水管道沿北环路、纬一路、矿峰街、工业大道、贾凤路等向北排入贾庄污水处理厂，石钢片区南部、丰达片区南部及融合片区污水管道沿世纪大道、贾凤路、金川路等排入矿区绿洁污水处理厂。</w:t>
                  </w:r>
                </w:p>
              </w:tc>
            </w:tr>
            <w:tr w14:paraId="2A10F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vMerge w:val="restart"/>
                  <w:noWrap w:val="0"/>
                  <w:vAlign w:val="center"/>
                </w:tcPr>
                <w:p w14:paraId="166E2136">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3</w:t>
                  </w:r>
                </w:p>
              </w:tc>
              <w:tc>
                <w:tcPr>
                  <w:tcW w:w="352" w:type="pct"/>
                  <w:vMerge w:val="restart"/>
                  <w:noWrap w:val="0"/>
                  <w:vAlign w:val="center"/>
                </w:tcPr>
                <w:p w14:paraId="4EF7BB76">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雨水工程</w:t>
                  </w:r>
                </w:p>
              </w:tc>
              <w:tc>
                <w:tcPr>
                  <w:tcW w:w="723" w:type="pct"/>
                  <w:noWrap w:val="0"/>
                  <w:vAlign w:val="center"/>
                </w:tcPr>
                <w:p w14:paraId="592CA25B">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雨水管网规划</w:t>
                  </w:r>
                </w:p>
              </w:tc>
              <w:tc>
                <w:tcPr>
                  <w:tcW w:w="3532" w:type="pct"/>
                  <w:noWrap w:val="0"/>
                  <w:vAlign w:val="center"/>
                </w:tcPr>
                <w:p w14:paraId="1F22ABB6">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丰达片区地势较低，规划在丰达片区和天汇片区之间及石钢片区建设污水提升泵站2座。污水管道采用钢筋混凝土圆管，最小管径为D300，道路上污水管道起始埋深不小于2米。</w:t>
                  </w:r>
                </w:p>
              </w:tc>
            </w:tr>
            <w:tr w14:paraId="44C27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vMerge w:val="continue"/>
                  <w:noWrap w:val="0"/>
                  <w:vAlign w:val="center"/>
                </w:tcPr>
                <w:p w14:paraId="674774A4">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eastAsia="宋体" w:cs="Times New Roman"/>
                      <w:smallCaps w:val="0"/>
                      <w:color w:val="auto"/>
                      <w:spacing w:val="0"/>
                      <w:sz w:val="21"/>
                      <w:szCs w:val="21"/>
                      <w:highlight w:val="none"/>
                      <w:lang w:val="en-US" w:eastAsia="zh-CN"/>
                    </w:rPr>
                  </w:pPr>
                </w:p>
              </w:tc>
              <w:tc>
                <w:tcPr>
                  <w:tcW w:w="352" w:type="pct"/>
                  <w:vMerge w:val="continue"/>
                  <w:noWrap w:val="0"/>
                  <w:vAlign w:val="center"/>
                </w:tcPr>
                <w:p w14:paraId="7233FD8B">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p>
              </w:tc>
              <w:tc>
                <w:tcPr>
                  <w:tcW w:w="723" w:type="pct"/>
                  <w:noWrap w:val="0"/>
                  <w:vAlign w:val="center"/>
                </w:tcPr>
                <w:p w14:paraId="5B9BA886">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雨水排水分区</w:t>
                  </w:r>
                </w:p>
              </w:tc>
              <w:tc>
                <w:tcPr>
                  <w:tcW w:w="3532" w:type="pct"/>
                  <w:noWrap w:val="0"/>
                  <w:vAlign w:val="center"/>
                </w:tcPr>
                <w:p w14:paraId="097CAB52">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石钢片区：石钢片区分为四个雨水片区，北部片区雨水经过道路及边沟收集，就近排入红星水库和小作河；西部片区雨水经道路及边沟收集后沿西环旅游路、工业大道、石钢路排入排洪沟；东部片区雨水经道路及边沟收集后沿贾凤路、工业大道、纬一路等排入清凉湾湿地公园；南部片区雨水收集后沿世纪大道、贾凤路排入南侧的杏花沟生态公园。天汇片区：天汇片区用地布局紧凑，规划统一为一个雨水片区，雨水经过道路及边沟收集，向南排入排洪沟，沿排洪沟最终排入清凉湾湿地公园。丰达片区：丰达片区规划为两个雨水片区，北部片区雨水经道路及边沟收集后，沿丰达路排入排洪沟，沿排洪沟向南排入长岗沟；南部片区雨水经道路收集后，沿关圣路、刘赵街排入长岗沟。融合片区：一区以凤山镇区为界将片区分为东西两个雨水片区，东部片区雨水收集后沿贾天公路、矿市北街、矿市南街、金川路排至杏花沟生态公园；中部片区雨水收集后沿贾天公路、西环旅游路、云凤路排入凤山镇排水系统；西部片区雨水收集后沿贾凤路排至杏花沟生态公园。二区规划统一为一个雨水片区，雨水经道路及边沟收集后，沿红房街、金川路、凤中路、贾凤路排至古桥南街排洪沟，沿排洪沟排入东侧长岗沟。</w:t>
                  </w:r>
                </w:p>
              </w:tc>
            </w:tr>
            <w:tr w14:paraId="5BD7F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vMerge w:val="continue"/>
                  <w:noWrap w:val="0"/>
                  <w:vAlign w:val="center"/>
                </w:tcPr>
                <w:p w14:paraId="405C0851">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eastAsia="宋体" w:cs="Times New Roman"/>
                      <w:smallCaps w:val="0"/>
                      <w:color w:val="auto"/>
                      <w:spacing w:val="0"/>
                      <w:sz w:val="21"/>
                      <w:szCs w:val="21"/>
                      <w:highlight w:val="none"/>
                      <w:lang w:val="en-US" w:eastAsia="zh-CN"/>
                    </w:rPr>
                  </w:pPr>
                </w:p>
              </w:tc>
              <w:tc>
                <w:tcPr>
                  <w:tcW w:w="352" w:type="pct"/>
                  <w:vMerge w:val="continue"/>
                  <w:noWrap w:val="0"/>
                  <w:vAlign w:val="center"/>
                </w:tcPr>
                <w:p w14:paraId="0341EFDA">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p>
              </w:tc>
              <w:tc>
                <w:tcPr>
                  <w:tcW w:w="723" w:type="pct"/>
                  <w:noWrap w:val="0"/>
                  <w:vAlign w:val="center"/>
                </w:tcPr>
                <w:p w14:paraId="1DEB5545">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雨水综合利用</w:t>
                  </w:r>
                </w:p>
              </w:tc>
              <w:tc>
                <w:tcPr>
                  <w:tcW w:w="3532" w:type="pct"/>
                  <w:noWrap w:val="0"/>
                  <w:vAlign w:val="center"/>
                </w:tcPr>
                <w:p w14:paraId="4DFDD1F7">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建设雨水利用设施，鼓励公建区、企事业单位建设雨水调节池，充分利用雨水资源。铺设渗水型道路或便道铺装，让雨水直接回渗地下，减少降水径流量，补充地下水。改变传统的设计方式，降低绿化带标高，将绿地作为入渗设施或雨水径流的截污措施等。园区在建设时，尽可能的减少硬化铺装，保持现有不可利用的自然状态，可有效加快雨水入渗速度，减少洪水形成的机率。</w:t>
                  </w:r>
                </w:p>
              </w:tc>
            </w:tr>
          </w:tbl>
          <w:p w14:paraId="1FACDF37">
            <w:pPr>
              <w:keepNext w:val="0"/>
              <w:keepLines w:val="0"/>
              <w:suppressLineNumbers w:val="0"/>
              <w:adjustRightInd w:val="0"/>
              <w:snapToGrid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现状：园区内现有企业除河北庆晟精密机械制造有限公司、河北受成新材料科技有限公司、中渥集团中铂科技有限公司生活污水约22.9m</w:t>
            </w:r>
            <w:r>
              <w:rPr>
                <w:rFonts w:hint="default" w:ascii="Times New Roman" w:hAnsi="Times New Roman" w:cs="Times New Roman"/>
                <w:smallCaps w:val="0"/>
                <w:color w:val="auto"/>
                <w:spacing w:val="0"/>
                <w:sz w:val="24"/>
                <w:szCs w:val="20"/>
                <w:highlight w:val="none"/>
                <w:vertAlign w:val="superscript"/>
              </w:rPr>
              <w:t>3</w:t>
            </w:r>
            <w:r>
              <w:rPr>
                <w:rFonts w:hint="default" w:ascii="Times New Roman" w:hAnsi="Times New Roman" w:cs="Times New Roman"/>
                <w:smallCaps w:val="0"/>
                <w:color w:val="auto"/>
                <w:spacing w:val="0"/>
                <w:sz w:val="24"/>
                <w:szCs w:val="20"/>
                <w:highlight w:val="none"/>
              </w:rPr>
              <w:t>/d排入矿区污水处理厂，其他企业生产废水和生活污水全部回用，不外排。规划矿区北部新建污水处理厂已于2020年12月底前建成，设计处理能力为1500吨/日，因园区位于地表水水源地准保护区，排水受限，根据园区工业企业实际建设情况，园区内现有企业生产废水经处理后全部回用，该污水处理厂只收集处理工业园区内生活污水，不收集处理企业生产废水；目前实际污水处理量约970m</w:t>
            </w:r>
            <w:r>
              <w:rPr>
                <w:rFonts w:hint="default" w:ascii="Times New Roman" w:hAnsi="Times New Roman" w:cs="Times New Roman"/>
                <w:smallCaps w:val="0"/>
                <w:color w:val="auto"/>
                <w:spacing w:val="0"/>
                <w:sz w:val="24"/>
                <w:szCs w:val="20"/>
                <w:highlight w:val="none"/>
                <w:vertAlign w:val="superscript"/>
              </w:rPr>
              <w:t>3</w:t>
            </w:r>
            <w:r>
              <w:rPr>
                <w:rFonts w:hint="default" w:ascii="Times New Roman" w:hAnsi="Times New Roman" w:cs="Times New Roman"/>
                <w:smallCaps w:val="0"/>
                <w:color w:val="auto"/>
                <w:spacing w:val="0"/>
                <w:sz w:val="24"/>
                <w:szCs w:val="20"/>
                <w:highlight w:val="none"/>
              </w:rPr>
              <w:t>/d，处理后的达标中水全部回用于河钢集团石家庄钢铁有限责任公司，园区污水处理率和再生水利用率均达到100%的指标要求。</w:t>
            </w:r>
          </w:p>
          <w:p w14:paraId="76546C4A">
            <w:pPr>
              <w:keepNext w:val="0"/>
              <w:keepLines w:val="0"/>
              <w:suppressLineNumbers w:val="0"/>
              <w:spacing w:before="0" w:beforeAutospacing="0" w:after="0" w:afterAutospacing="0" w:line="460" w:lineRule="exact"/>
              <w:ind w:left="0" w:right="0" w:firstLine="482" w:firstLineChars="200"/>
              <w:rPr>
                <w:rFonts w:hint="default" w:ascii="Times New Roman" w:hAnsi="Times New Roman" w:cs="Times New Roman"/>
                <w:b/>
                <w:bCs w:val="0"/>
                <w:smallCaps w:val="0"/>
                <w:color w:val="auto"/>
                <w:spacing w:val="0"/>
                <w:sz w:val="24"/>
                <w:szCs w:val="20"/>
                <w:highlight w:val="none"/>
              </w:rPr>
            </w:pPr>
            <w:r>
              <w:rPr>
                <w:rFonts w:hint="default" w:ascii="Times New Roman" w:hAnsi="Times New Roman" w:cs="Times New Roman"/>
                <w:b/>
                <w:bCs w:val="0"/>
                <w:smallCaps w:val="0"/>
                <w:color w:val="auto"/>
                <w:spacing w:val="0"/>
                <w:sz w:val="24"/>
                <w:szCs w:val="20"/>
                <w:highlight w:val="none"/>
              </w:rPr>
              <w:t>本项目</w:t>
            </w:r>
            <w:r>
              <w:rPr>
                <w:rFonts w:hint="default" w:ascii="Times New Roman" w:hAnsi="Times New Roman" w:cs="Times New Roman"/>
                <w:b/>
                <w:bCs w:val="0"/>
                <w:smallCaps w:val="0"/>
                <w:color w:val="auto"/>
                <w:spacing w:val="0"/>
                <w:sz w:val="24"/>
                <w:szCs w:val="20"/>
                <w:highlight w:val="none"/>
                <w:lang w:val="en-US" w:eastAsia="zh-CN"/>
              </w:rPr>
              <w:t>废水主要为</w:t>
            </w:r>
            <w:r>
              <w:rPr>
                <w:rFonts w:hint="eastAsia" w:cs="Times New Roman"/>
                <w:b/>
                <w:bCs w:val="0"/>
                <w:smallCaps w:val="0"/>
                <w:color w:val="auto"/>
                <w:spacing w:val="0"/>
                <w:sz w:val="24"/>
                <w:szCs w:val="20"/>
                <w:highlight w:val="none"/>
                <w:lang w:val="en-US" w:eastAsia="zh-CN"/>
              </w:rPr>
              <w:t>淬火、回火冷却水定期排污水和生活污水</w:t>
            </w:r>
            <w:r>
              <w:rPr>
                <w:rFonts w:hint="default" w:ascii="Times New Roman" w:hAnsi="Times New Roman" w:cs="Times New Roman"/>
                <w:b/>
                <w:bCs w:val="0"/>
                <w:smallCaps w:val="0"/>
                <w:color w:val="auto"/>
                <w:spacing w:val="0"/>
                <w:sz w:val="24"/>
                <w:szCs w:val="20"/>
                <w:highlight w:val="none"/>
                <w:lang w:val="en-US" w:eastAsia="zh-CN"/>
              </w:rPr>
              <w:t>。</w:t>
            </w:r>
            <w:r>
              <w:rPr>
                <w:rFonts w:hint="eastAsia" w:cs="Times New Roman"/>
                <w:b/>
                <w:bCs w:val="0"/>
                <w:smallCaps w:val="0"/>
                <w:color w:val="auto"/>
                <w:spacing w:val="0"/>
                <w:sz w:val="24"/>
                <w:szCs w:val="20"/>
                <w:highlight w:val="none"/>
                <w:lang w:val="en-US" w:eastAsia="zh-CN"/>
              </w:rPr>
              <w:t>淬火、回火冷却水循环使用不外排</w:t>
            </w:r>
            <w:r>
              <w:rPr>
                <w:rFonts w:hint="eastAsia" w:cs="Times New Roman"/>
                <w:b/>
                <w:bCs w:val="0"/>
                <w:smallCaps w:val="0"/>
                <w:color w:val="auto"/>
                <w:spacing w:val="0"/>
                <w:sz w:val="24"/>
                <w:szCs w:val="20"/>
                <w:highlight w:val="none"/>
                <w:lang w:eastAsia="zh-CN"/>
              </w:rPr>
              <w:t>；生活污水经化粪池处理后定期由吸粪车抽走</w:t>
            </w:r>
            <w:r>
              <w:rPr>
                <w:rFonts w:hint="default" w:ascii="Times New Roman" w:hAnsi="Times New Roman" w:cs="Times New Roman"/>
                <w:b/>
                <w:bCs w:val="0"/>
                <w:smallCaps w:val="0"/>
                <w:color w:val="auto"/>
                <w:spacing w:val="0"/>
                <w:sz w:val="24"/>
                <w:szCs w:val="20"/>
                <w:highlight w:val="none"/>
              </w:rPr>
              <w:t>。</w:t>
            </w:r>
          </w:p>
          <w:p w14:paraId="1602E13A">
            <w:pPr>
              <w:keepNext w:val="0"/>
              <w:keepLines w:val="0"/>
              <w:suppressLineNumbers w:val="0"/>
              <w:adjustRightInd w:val="0"/>
              <w:snapToGrid w:val="0"/>
              <w:spacing w:before="0" w:beforeAutospacing="0" w:after="0" w:afterAutospacing="0" w:line="460" w:lineRule="exact"/>
              <w:ind w:left="0" w:right="0" w:firstLine="480" w:firstLineChars="200"/>
              <w:jc w:val="left"/>
              <w:rPr>
                <w:rFonts w:hint="eastAsia" w:ascii="Times New Roman" w:hAnsi="Times New Roman" w:eastAsia="宋体" w:cs="Times New Roman"/>
                <w:smallCaps w:val="0"/>
                <w:color w:val="auto"/>
                <w:spacing w:val="0"/>
                <w:sz w:val="24"/>
                <w:szCs w:val="20"/>
                <w:highlight w:val="none"/>
                <w:lang w:val="en-US" w:eastAsia="zh-CN"/>
              </w:rPr>
            </w:pPr>
            <w:r>
              <w:rPr>
                <w:rFonts w:hint="default" w:ascii="Times New Roman" w:hAnsi="Times New Roman" w:cs="Times New Roman"/>
                <w:smallCaps w:val="0"/>
                <w:color w:val="auto"/>
                <w:spacing w:val="0"/>
                <w:sz w:val="24"/>
                <w:szCs w:val="20"/>
                <w:highlight w:val="none"/>
              </w:rPr>
              <w:fldChar w:fldCharType="begin"/>
            </w:r>
            <w:r>
              <w:rPr>
                <w:rFonts w:hint="default" w:ascii="Times New Roman" w:hAnsi="Times New Roman" w:cs="Times New Roman"/>
                <w:smallCaps w:val="0"/>
                <w:color w:val="auto"/>
                <w:spacing w:val="0"/>
                <w:sz w:val="24"/>
                <w:szCs w:val="20"/>
                <w:highlight w:val="none"/>
              </w:rPr>
              <w:instrText xml:space="preserve"> = 3 \* GB3 </w:instrText>
            </w:r>
            <w:r>
              <w:rPr>
                <w:rFonts w:hint="default" w:ascii="Times New Roman" w:hAnsi="Times New Roman" w:cs="Times New Roman"/>
                <w:smallCaps w:val="0"/>
                <w:color w:val="auto"/>
                <w:spacing w:val="0"/>
                <w:sz w:val="24"/>
                <w:szCs w:val="20"/>
                <w:highlight w:val="none"/>
              </w:rPr>
              <w:fldChar w:fldCharType="separate"/>
            </w:r>
            <w:r>
              <w:rPr>
                <w:rFonts w:hint="default" w:ascii="Times New Roman" w:hAnsi="Times New Roman" w:cs="Times New Roman"/>
                <w:smallCaps w:val="0"/>
                <w:color w:val="auto"/>
                <w:spacing w:val="0"/>
                <w:sz w:val="24"/>
                <w:szCs w:val="20"/>
                <w:highlight w:val="none"/>
              </w:rPr>
              <w:t>③</w:t>
            </w:r>
            <w:r>
              <w:rPr>
                <w:rFonts w:hint="default" w:ascii="Times New Roman" w:hAnsi="Times New Roman" w:cs="Times New Roman"/>
                <w:smallCaps w:val="0"/>
                <w:color w:val="auto"/>
                <w:spacing w:val="0"/>
                <w:sz w:val="24"/>
                <w:szCs w:val="20"/>
                <w:highlight w:val="none"/>
              </w:rPr>
              <w:fldChar w:fldCharType="end"/>
            </w:r>
            <w:r>
              <w:rPr>
                <w:rFonts w:hint="default" w:ascii="Times New Roman" w:hAnsi="Times New Roman" w:cs="Times New Roman"/>
                <w:smallCaps w:val="0"/>
                <w:color w:val="auto"/>
                <w:spacing w:val="0"/>
                <w:sz w:val="24"/>
                <w:szCs w:val="20"/>
                <w:highlight w:val="none"/>
              </w:rPr>
              <w:t>供热</w:t>
            </w:r>
            <w:r>
              <w:rPr>
                <w:rFonts w:hint="eastAsia" w:cs="Times New Roman"/>
                <w:smallCaps w:val="0"/>
                <w:color w:val="auto"/>
                <w:spacing w:val="0"/>
                <w:sz w:val="24"/>
                <w:szCs w:val="20"/>
                <w:highlight w:val="none"/>
                <w:lang w:val="en-US" w:eastAsia="zh-CN"/>
              </w:rPr>
              <w:t>工程</w:t>
            </w:r>
          </w:p>
          <w:p w14:paraId="1757DE30">
            <w:pPr>
              <w:keepNext w:val="0"/>
              <w:keepLines w:val="0"/>
              <w:suppressLineNumbers w:val="0"/>
              <w:spacing w:before="0" w:beforeAutospacing="0" w:after="0" w:afterAutospacing="0" w:line="460" w:lineRule="exact"/>
              <w:ind w:left="0" w:right="0" w:firstLine="480" w:firstLineChars="200"/>
              <w:rPr>
                <w:rFonts w:hint="default" w:ascii="Wingdings" w:hAnsi="Wingdings" w:eastAsia="宋体" w:cs="Times New Roman"/>
                <w:smallCaps w:val="0"/>
                <w:color w:val="auto"/>
                <w:spacing w:val="0"/>
                <w:kern w:val="2"/>
                <w:sz w:val="24"/>
                <w:szCs w:val="20"/>
                <w:highlight w:val="none"/>
                <w:lang w:val="en-US" w:eastAsia="zh-CN" w:bidi="ar-SA"/>
              </w:rPr>
            </w:pPr>
            <w:r>
              <w:rPr>
                <w:rFonts w:hint="eastAsia" w:ascii="Wingdings" w:hAnsi="Wingdings" w:cs="Times New Roman"/>
                <w:smallCaps w:val="0"/>
                <w:color w:val="auto"/>
                <w:spacing w:val="0"/>
                <w:kern w:val="2"/>
                <w:sz w:val="24"/>
                <w:szCs w:val="20"/>
                <w:highlight w:val="none"/>
                <w:lang w:val="en-US" w:eastAsia="zh-CN" w:bidi="ar-SA"/>
              </w:rPr>
              <w:t>园区供热工程规划情况见下表。</w:t>
            </w:r>
          </w:p>
          <w:p w14:paraId="2F3F1BAF">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smallCaps w:val="0"/>
                <w:color w:val="auto"/>
                <w:spacing w:val="0"/>
                <w:sz w:val="24"/>
                <w:szCs w:val="20"/>
                <w:highlight w:val="none"/>
                <w:lang w:val="en-US" w:eastAsia="zh-CN"/>
              </w:rPr>
            </w:pPr>
            <w:r>
              <w:rPr>
                <w:rFonts w:hint="default" w:ascii="Times New Roman" w:hAnsi="Times New Roman" w:cs="Times New Roman"/>
                <w:b/>
                <w:bCs/>
                <w:smallCaps w:val="0"/>
                <w:color w:val="auto"/>
                <w:spacing w:val="0"/>
                <w:sz w:val="24"/>
                <w:szCs w:val="20"/>
                <w:highlight w:val="none"/>
              </w:rPr>
              <w:t>表1</w:t>
            </w:r>
            <w:r>
              <w:rPr>
                <w:rFonts w:hint="default" w:ascii="Times New Roman" w:hAnsi="Times New Roman" w:cs="Times New Roman"/>
                <w:b/>
                <w:bCs/>
                <w:smallCaps w:val="0"/>
                <w:color w:val="auto"/>
                <w:spacing w:val="0"/>
                <w:sz w:val="24"/>
                <w:szCs w:val="20"/>
                <w:highlight w:val="none"/>
                <w:lang w:val="en-US" w:eastAsia="zh-CN"/>
              </w:rPr>
              <w:t>-</w:t>
            </w:r>
            <w:r>
              <w:rPr>
                <w:rFonts w:hint="eastAsia" w:cs="Times New Roman"/>
                <w:b/>
                <w:bCs/>
                <w:smallCaps w:val="0"/>
                <w:color w:val="auto"/>
                <w:spacing w:val="0"/>
                <w:sz w:val="24"/>
                <w:szCs w:val="20"/>
                <w:highlight w:val="none"/>
                <w:lang w:val="en-US" w:eastAsia="zh-CN"/>
              </w:rPr>
              <w:t>3</w:t>
            </w:r>
            <w:r>
              <w:rPr>
                <w:rFonts w:hint="default" w:ascii="Times New Roman" w:hAnsi="Times New Roman" w:cs="Times New Roman"/>
                <w:b/>
                <w:bCs/>
                <w:smallCaps w:val="0"/>
                <w:color w:val="auto"/>
                <w:spacing w:val="0"/>
                <w:sz w:val="24"/>
                <w:szCs w:val="20"/>
                <w:highlight w:val="none"/>
                <w:lang w:val="en-US" w:eastAsia="zh-CN"/>
              </w:rPr>
              <w:t xml:space="preserve">  </w:t>
            </w:r>
            <w:r>
              <w:rPr>
                <w:rFonts w:hint="default" w:ascii="Times New Roman" w:hAnsi="Times New Roman" w:cs="Times New Roman"/>
                <w:b/>
                <w:bCs/>
                <w:smallCaps w:val="0"/>
                <w:color w:val="auto"/>
                <w:spacing w:val="0"/>
                <w:sz w:val="24"/>
                <w:szCs w:val="20"/>
                <w:highlight w:val="none"/>
              </w:rPr>
              <w:t xml:space="preserve">  </w:t>
            </w:r>
            <w:r>
              <w:rPr>
                <w:rFonts w:hint="eastAsia" w:cs="Times New Roman"/>
                <w:b/>
                <w:bCs/>
                <w:smallCaps w:val="0"/>
                <w:color w:val="auto"/>
                <w:spacing w:val="0"/>
                <w:sz w:val="24"/>
                <w:szCs w:val="20"/>
                <w:highlight w:val="none"/>
                <w:lang w:val="en-US" w:eastAsia="zh-CN"/>
              </w:rPr>
              <w:t>供热工程规划一览表</w:t>
            </w:r>
          </w:p>
          <w:tbl>
            <w:tblPr>
              <w:tblStyle w:val="4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96"/>
              <w:gridCol w:w="1642"/>
              <w:gridCol w:w="5387"/>
            </w:tblGrid>
            <w:tr w14:paraId="044BE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4FB74846">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eastAsia="zh-CN"/>
                    </w:rPr>
                  </w:pPr>
                  <w:r>
                    <w:rPr>
                      <w:rFonts w:hint="eastAsia" w:ascii="Times New Roman" w:eastAsia="宋体" w:cs="Times New Roman"/>
                      <w:smallCaps w:val="0"/>
                      <w:color w:val="auto"/>
                      <w:spacing w:val="0"/>
                      <w:sz w:val="21"/>
                      <w:szCs w:val="21"/>
                      <w:highlight w:val="none"/>
                      <w:lang w:val="en-US" w:eastAsia="zh-CN"/>
                    </w:rPr>
                    <w:t>序号</w:t>
                  </w:r>
                </w:p>
              </w:tc>
              <w:tc>
                <w:tcPr>
                  <w:tcW w:w="1076" w:type="pct"/>
                  <w:noWrap w:val="0"/>
                  <w:vAlign w:val="center"/>
                </w:tcPr>
                <w:p w14:paraId="01949ECA">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项目</w:t>
                  </w:r>
                </w:p>
              </w:tc>
              <w:tc>
                <w:tcPr>
                  <w:tcW w:w="3532" w:type="pct"/>
                  <w:noWrap w:val="0"/>
                  <w:vAlign w:val="center"/>
                </w:tcPr>
                <w:p w14:paraId="3D5AC037">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内容</w:t>
                  </w:r>
                </w:p>
              </w:tc>
            </w:tr>
            <w:tr w14:paraId="43C18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0470EFA4">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1</w:t>
                  </w:r>
                </w:p>
              </w:tc>
              <w:tc>
                <w:tcPr>
                  <w:tcW w:w="1076" w:type="pct"/>
                  <w:noWrap w:val="0"/>
                  <w:vAlign w:val="center"/>
                </w:tcPr>
                <w:p w14:paraId="4A0C99AB">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热负荷预测</w:t>
                  </w:r>
                </w:p>
              </w:tc>
              <w:tc>
                <w:tcPr>
                  <w:tcW w:w="3532" w:type="pct"/>
                  <w:noWrap w:val="0"/>
                  <w:vAlign w:val="center"/>
                </w:tcPr>
                <w:p w14:paraId="0012CC7A">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本次规划不再对热负荷进行预测。</w:t>
                  </w:r>
                </w:p>
              </w:tc>
            </w:tr>
            <w:tr w14:paraId="0825F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58A410A6">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2</w:t>
                  </w:r>
                </w:p>
              </w:tc>
              <w:tc>
                <w:tcPr>
                  <w:tcW w:w="1076" w:type="pct"/>
                  <w:noWrap w:val="0"/>
                  <w:vAlign w:val="center"/>
                </w:tcPr>
                <w:p w14:paraId="4818FE97">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热源规划</w:t>
                  </w:r>
                </w:p>
              </w:tc>
              <w:tc>
                <w:tcPr>
                  <w:tcW w:w="3532" w:type="pct"/>
                  <w:noWrap w:val="0"/>
                  <w:vAlign w:val="center"/>
                </w:tcPr>
                <w:p w14:paraId="0829143A">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根据生产特点，钢铁企业生产用热可自身解决；装备制造行业中的中频炉熔融、退火、烘干等工序用热使用电或天然气，采暖也通过自身生产余热供给；在无法实施集中供热的区域，积极采用太阳能、地热、电能、天然气等多种环保型供热方式。 本次规划不再规划集中供热设施，园区企业根据行业特点充分利用生产余热为主力热源，天然气、电能等清洁能源为补充，远期视园区发展情况而定。</w:t>
                  </w:r>
                </w:p>
              </w:tc>
            </w:tr>
          </w:tbl>
          <w:p w14:paraId="7F26DD09">
            <w:pPr>
              <w:keepNext w:val="0"/>
              <w:keepLines w:val="0"/>
              <w:suppressLineNumbers w:val="0"/>
              <w:spacing w:before="0" w:beforeAutospacing="0" w:after="0" w:afterAutospacing="0" w:line="460" w:lineRule="exact"/>
              <w:ind w:left="0" w:right="0" w:firstLine="480" w:firstLineChars="200"/>
              <w:rPr>
                <w:rFonts w:hint="default" w:ascii="Wingdings" w:hAnsi="Wingdings" w:eastAsia="宋体" w:cs="Times New Roman"/>
                <w:smallCaps w:val="0"/>
                <w:color w:val="auto"/>
                <w:spacing w:val="0"/>
                <w:kern w:val="2"/>
                <w:sz w:val="24"/>
                <w:szCs w:val="20"/>
                <w:highlight w:val="none"/>
                <w:lang w:val="en-US" w:eastAsia="zh-CN" w:bidi="ar-SA"/>
              </w:rPr>
            </w:pPr>
            <w:r>
              <w:rPr>
                <w:rFonts w:hint="default" w:ascii="Wingdings" w:hAnsi="Wingdings" w:eastAsia="宋体" w:cs="Times New Roman"/>
                <w:smallCaps w:val="0"/>
                <w:color w:val="auto"/>
                <w:spacing w:val="0"/>
                <w:kern w:val="2"/>
                <w:sz w:val="24"/>
                <w:szCs w:val="20"/>
                <w:highlight w:val="none"/>
                <w:lang w:val="en-US" w:eastAsia="zh-CN" w:bidi="ar-SA"/>
              </w:rPr>
              <w:t>现状：园区内共有石钢、矿峰水泥、鸿科碳素、凤山化工（南区）四处集中供热热源，可以满足井陉矿区城区供热需求。园区内企业根据生产特点，钢铁企业生产用热可自身解决；通用零部件及装备制造行业中的中频炉熔融、退火、烘干等工序用热使用电或天然气，采暖也通过自身生产余热或由其他产热企业供给；在无法实施集中供热的区域，目前均采用电能、天然气等环保型供热方式，可以满足园区的生产和生活需求。城区北部未建设集中供热锅炉。</w:t>
            </w:r>
          </w:p>
          <w:p w14:paraId="30D7D435">
            <w:pPr>
              <w:keepNext w:val="0"/>
              <w:keepLines w:val="0"/>
              <w:suppressLineNumbers w:val="0"/>
              <w:spacing w:before="0" w:beforeAutospacing="0" w:after="0" w:afterAutospacing="0" w:line="460" w:lineRule="exact"/>
              <w:ind w:left="0" w:right="0" w:firstLine="482" w:firstLineChars="200"/>
              <w:rPr>
                <w:rFonts w:hint="default" w:ascii="Times New Roman" w:hAnsi="Times New Roman" w:cs="Times New Roman"/>
                <w:b/>
                <w:bCs w:val="0"/>
                <w:smallCaps w:val="0"/>
                <w:color w:val="auto"/>
                <w:spacing w:val="0"/>
                <w:sz w:val="24"/>
                <w:szCs w:val="20"/>
                <w:highlight w:val="none"/>
              </w:rPr>
            </w:pPr>
            <w:r>
              <w:rPr>
                <w:rFonts w:hint="default" w:ascii="Times New Roman" w:hAnsi="Times New Roman" w:cs="Times New Roman"/>
                <w:b/>
                <w:bCs w:val="0"/>
                <w:smallCaps w:val="0"/>
                <w:color w:val="auto"/>
                <w:spacing w:val="0"/>
                <w:sz w:val="24"/>
                <w:szCs w:val="20"/>
                <w:highlight w:val="none"/>
              </w:rPr>
              <w:t>本项目生产用热采用</w:t>
            </w:r>
            <w:r>
              <w:rPr>
                <w:rFonts w:hint="eastAsia" w:cs="Times New Roman"/>
                <w:b/>
                <w:bCs w:val="0"/>
                <w:smallCaps w:val="0"/>
                <w:color w:val="auto"/>
                <w:spacing w:val="0"/>
                <w:sz w:val="24"/>
                <w:szCs w:val="20"/>
                <w:highlight w:val="none"/>
                <w:lang w:val="en-US" w:eastAsia="zh-CN"/>
              </w:rPr>
              <w:t>电加热</w:t>
            </w:r>
            <w:r>
              <w:rPr>
                <w:rFonts w:hint="default" w:ascii="Times New Roman" w:hAnsi="Times New Roman"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rPr>
              <w:t>夏季制冷、冬季采暖使用空调。</w:t>
            </w:r>
          </w:p>
          <w:p w14:paraId="2745190B">
            <w:pPr>
              <w:keepNext w:val="0"/>
              <w:keepLines w:val="0"/>
              <w:suppressLineNumbers w:val="0"/>
              <w:spacing w:before="0" w:beforeAutospacing="0" w:after="0" w:afterAutospacing="0" w:line="460" w:lineRule="exact"/>
              <w:ind w:left="480" w:right="0"/>
              <w:rPr>
                <w:rFonts w:hint="eastAsia" w:ascii="Times New Roman" w:hAnsi="Times New Roman" w:eastAsia="宋体" w:cs="Times New Roman"/>
                <w:smallCaps w:val="0"/>
                <w:color w:val="auto"/>
                <w:spacing w:val="0"/>
                <w:sz w:val="24"/>
                <w:szCs w:val="20"/>
                <w:highlight w:val="none"/>
                <w:lang w:val="en-US" w:eastAsia="zh-CN"/>
              </w:rPr>
            </w:pPr>
            <w:r>
              <w:rPr>
                <w:rFonts w:hint="default" w:ascii="Times New Roman" w:hAnsi="Times New Roman" w:cs="Times New Roman"/>
                <w:smallCaps w:val="0"/>
                <w:color w:val="auto"/>
                <w:spacing w:val="0"/>
                <w:sz w:val="24"/>
                <w:szCs w:val="20"/>
                <w:highlight w:val="none"/>
              </w:rPr>
              <w:t>④电力</w:t>
            </w:r>
            <w:r>
              <w:rPr>
                <w:rFonts w:hint="eastAsia" w:cs="Times New Roman"/>
                <w:smallCaps w:val="0"/>
                <w:color w:val="auto"/>
                <w:spacing w:val="0"/>
                <w:sz w:val="24"/>
                <w:szCs w:val="20"/>
                <w:highlight w:val="none"/>
                <w:lang w:val="en-US" w:eastAsia="zh-CN"/>
              </w:rPr>
              <w:t>工程</w:t>
            </w:r>
          </w:p>
          <w:p w14:paraId="4EF8E185">
            <w:pPr>
              <w:keepNext w:val="0"/>
              <w:keepLines w:val="0"/>
              <w:suppressLineNumbers w:val="0"/>
              <w:spacing w:before="0" w:beforeAutospacing="0" w:after="0" w:afterAutospacing="0" w:line="460" w:lineRule="exact"/>
              <w:ind w:left="0" w:right="0" w:firstLine="480" w:firstLineChars="200"/>
              <w:rPr>
                <w:rFonts w:hint="default" w:ascii="Times New Roman" w:hAnsi="Times New Roman" w:eastAsia="宋体" w:cs="Times New Roman"/>
                <w:smallCaps w:val="0"/>
                <w:color w:val="auto"/>
                <w:spacing w:val="0"/>
                <w:sz w:val="24"/>
                <w:szCs w:val="20"/>
                <w:highlight w:val="none"/>
                <w:lang w:val="en-US" w:eastAsia="zh-CN"/>
              </w:rPr>
            </w:pPr>
            <w:r>
              <w:rPr>
                <w:rFonts w:hint="eastAsia" w:cs="Times New Roman"/>
                <w:smallCaps w:val="0"/>
                <w:color w:val="auto"/>
                <w:spacing w:val="0"/>
                <w:sz w:val="24"/>
                <w:szCs w:val="20"/>
                <w:highlight w:val="none"/>
                <w:lang w:val="en-US" w:eastAsia="zh-CN"/>
              </w:rPr>
              <w:t>园区电力工程规划情况见下表。</w:t>
            </w:r>
          </w:p>
          <w:p w14:paraId="6CDC7815">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smallCaps w:val="0"/>
                <w:color w:val="auto"/>
                <w:spacing w:val="0"/>
                <w:sz w:val="24"/>
                <w:szCs w:val="20"/>
                <w:highlight w:val="none"/>
                <w:lang w:val="en-US" w:eastAsia="zh-CN"/>
              </w:rPr>
            </w:pPr>
            <w:r>
              <w:rPr>
                <w:rFonts w:hint="default" w:ascii="Times New Roman" w:hAnsi="Times New Roman" w:cs="Times New Roman"/>
                <w:b/>
                <w:bCs/>
                <w:smallCaps w:val="0"/>
                <w:color w:val="auto"/>
                <w:spacing w:val="0"/>
                <w:sz w:val="24"/>
                <w:szCs w:val="20"/>
                <w:highlight w:val="none"/>
              </w:rPr>
              <w:t>表1</w:t>
            </w:r>
            <w:r>
              <w:rPr>
                <w:rFonts w:hint="default" w:ascii="Times New Roman" w:hAnsi="Times New Roman" w:cs="Times New Roman"/>
                <w:b/>
                <w:bCs/>
                <w:smallCaps w:val="0"/>
                <w:color w:val="auto"/>
                <w:spacing w:val="0"/>
                <w:sz w:val="24"/>
                <w:szCs w:val="20"/>
                <w:highlight w:val="none"/>
                <w:lang w:val="en-US" w:eastAsia="zh-CN"/>
              </w:rPr>
              <w:t>-</w:t>
            </w:r>
            <w:r>
              <w:rPr>
                <w:rFonts w:hint="eastAsia" w:cs="Times New Roman"/>
                <w:b/>
                <w:bCs/>
                <w:smallCaps w:val="0"/>
                <w:color w:val="auto"/>
                <w:spacing w:val="0"/>
                <w:sz w:val="24"/>
                <w:szCs w:val="20"/>
                <w:highlight w:val="none"/>
                <w:lang w:val="en-US" w:eastAsia="zh-CN"/>
              </w:rPr>
              <w:t>4</w:t>
            </w:r>
            <w:r>
              <w:rPr>
                <w:rFonts w:hint="default" w:ascii="Times New Roman" w:hAnsi="Times New Roman" w:cs="Times New Roman"/>
                <w:b/>
                <w:bCs/>
                <w:smallCaps w:val="0"/>
                <w:color w:val="auto"/>
                <w:spacing w:val="0"/>
                <w:sz w:val="24"/>
                <w:szCs w:val="20"/>
                <w:highlight w:val="none"/>
                <w:lang w:val="en-US" w:eastAsia="zh-CN"/>
              </w:rPr>
              <w:t xml:space="preserve">  </w:t>
            </w:r>
            <w:r>
              <w:rPr>
                <w:rFonts w:hint="default" w:ascii="Times New Roman" w:hAnsi="Times New Roman" w:cs="Times New Roman"/>
                <w:b/>
                <w:bCs/>
                <w:smallCaps w:val="0"/>
                <w:color w:val="auto"/>
                <w:spacing w:val="0"/>
                <w:sz w:val="24"/>
                <w:szCs w:val="20"/>
                <w:highlight w:val="none"/>
              </w:rPr>
              <w:t xml:space="preserve">  </w:t>
            </w:r>
            <w:r>
              <w:rPr>
                <w:rFonts w:hint="eastAsia" w:cs="Times New Roman"/>
                <w:b/>
                <w:bCs/>
                <w:smallCaps w:val="0"/>
                <w:color w:val="auto"/>
                <w:spacing w:val="0"/>
                <w:sz w:val="24"/>
                <w:szCs w:val="20"/>
                <w:highlight w:val="none"/>
                <w:lang w:val="en-US" w:eastAsia="zh-CN"/>
              </w:rPr>
              <w:t>电力工程规划一览表</w:t>
            </w:r>
          </w:p>
          <w:tbl>
            <w:tblPr>
              <w:tblStyle w:val="4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96"/>
              <w:gridCol w:w="1642"/>
              <w:gridCol w:w="5387"/>
            </w:tblGrid>
            <w:tr w14:paraId="3BB7F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504D79F8">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eastAsia="zh-CN"/>
                    </w:rPr>
                  </w:pPr>
                  <w:r>
                    <w:rPr>
                      <w:rFonts w:hint="eastAsia" w:ascii="Times New Roman" w:eastAsia="宋体" w:cs="Times New Roman"/>
                      <w:smallCaps w:val="0"/>
                      <w:color w:val="auto"/>
                      <w:spacing w:val="0"/>
                      <w:sz w:val="21"/>
                      <w:szCs w:val="21"/>
                      <w:highlight w:val="none"/>
                      <w:lang w:val="en-US" w:eastAsia="zh-CN"/>
                    </w:rPr>
                    <w:t>序号</w:t>
                  </w:r>
                </w:p>
              </w:tc>
              <w:tc>
                <w:tcPr>
                  <w:tcW w:w="1076" w:type="pct"/>
                  <w:noWrap w:val="0"/>
                  <w:vAlign w:val="center"/>
                </w:tcPr>
                <w:p w14:paraId="76F52478">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项目</w:t>
                  </w:r>
                </w:p>
              </w:tc>
              <w:tc>
                <w:tcPr>
                  <w:tcW w:w="3532" w:type="pct"/>
                  <w:noWrap w:val="0"/>
                  <w:vAlign w:val="center"/>
                </w:tcPr>
                <w:p w14:paraId="34A5E379">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内容</w:t>
                  </w:r>
                </w:p>
              </w:tc>
            </w:tr>
            <w:tr w14:paraId="0CC0A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299668C0">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1</w:t>
                  </w:r>
                </w:p>
              </w:tc>
              <w:tc>
                <w:tcPr>
                  <w:tcW w:w="1076" w:type="pct"/>
                  <w:noWrap w:val="0"/>
                  <w:vAlign w:val="center"/>
                </w:tcPr>
                <w:p w14:paraId="1247E32F">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电力负荷预测</w:t>
                  </w:r>
                </w:p>
              </w:tc>
              <w:tc>
                <w:tcPr>
                  <w:tcW w:w="3532" w:type="pct"/>
                  <w:noWrap w:val="0"/>
                  <w:vAlign w:val="center"/>
                </w:tcPr>
                <w:p w14:paraId="47537758">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规划期末，园区年负荷预测为139.10MW。</w:t>
                  </w:r>
                </w:p>
              </w:tc>
            </w:tr>
            <w:tr w14:paraId="20466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0BF4FE76">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2</w:t>
                  </w:r>
                </w:p>
              </w:tc>
              <w:tc>
                <w:tcPr>
                  <w:tcW w:w="1076" w:type="pct"/>
                  <w:noWrap w:val="0"/>
                  <w:vAlign w:val="center"/>
                </w:tcPr>
                <w:p w14:paraId="5B7FDB85">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电力设施规划</w:t>
                  </w:r>
                </w:p>
              </w:tc>
              <w:tc>
                <w:tcPr>
                  <w:tcW w:w="3532" w:type="pct"/>
                  <w:noWrap w:val="0"/>
                  <w:vAlign w:val="center"/>
                </w:tcPr>
                <w:p w14:paraId="5F9DC562">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1.220kv变电站建设保留现状园区井矿220kV变电站。2.110kv变电站建设规划新增110千伏凤凰站一座，位于南区西南侧，规模为150MVA，占地0.52公顷。扩建升级现状35千伏洪州站为110千伏站，规模为100MVA，占地0.62公顷。保留现状110kv王舍、西王、清泉变电站。</w:t>
                  </w:r>
                </w:p>
              </w:tc>
            </w:tr>
            <w:tr w14:paraId="594E7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4E743B02">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3</w:t>
                  </w:r>
                </w:p>
              </w:tc>
              <w:tc>
                <w:tcPr>
                  <w:tcW w:w="1076" w:type="pct"/>
                  <w:noWrap w:val="0"/>
                  <w:vAlign w:val="center"/>
                </w:tcPr>
                <w:p w14:paraId="5264B77B">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电网规划</w:t>
                  </w:r>
                </w:p>
              </w:tc>
              <w:tc>
                <w:tcPr>
                  <w:tcW w:w="3532" w:type="pct"/>
                  <w:noWrap w:val="0"/>
                  <w:vAlign w:val="center"/>
                </w:tcPr>
                <w:p w14:paraId="6E64B712">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10kv线路一般采用架空与地下电缆敷设相结合方式，当电缆数量较多时，可采用电缆隧道或排管敷设，当电缆数量较少时，可采用直埋敷设。</w:t>
                  </w:r>
                </w:p>
              </w:tc>
            </w:tr>
          </w:tbl>
          <w:p w14:paraId="631AA9E2">
            <w:pPr>
              <w:keepNext w:val="0"/>
              <w:keepLines w:val="0"/>
              <w:suppressLineNumbers w:val="0"/>
              <w:spacing w:before="0" w:beforeAutospacing="0" w:after="0" w:afterAutospacing="0" w:line="460" w:lineRule="exact"/>
              <w:ind w:left="0" w:right="0" w:firstLine="482" w:firstLineChars="200"/>
              <w:rPr>
                <w:rFonts w:hint="default" w:ascii="Times New Roman" w:hAnsi="Times New Roman" w:cs="Times New Roman"/>
                <w:b/>
                <w:bCs w:val="0"/>
                <w:smallCaps w:val="0"/>
                <w:color w:val="auto"/>
                <w:spacing w:val="0"/>
                <w:sz w:val="24"/>
                <w:szCs w:val="20"/>
                <w:highlight w:val="none"/>
              </w:rPr>
            </w:pPr>
            <w:r>
              <w:rPr>
                <w:rFonts w:hint="default" w:ascii="Times New Roman" w:hAnsi="Times New Roman" w:cs="Times New Roman"/>
                <w:b/>
                <w:bCs w:val="0"/>
                <w:smallCaps w:val="0"/>
                <w:color w:val="auto"/>
                <w:spacing w:val="0"/>
                <w:sz w:val="24"/>
                <w:szCs w:val="20"/>
                <w:highlight w:val="none"/>
              </w:rPr>
              <w:t>本项目年用电量</w:t>
            </w:r>
            <w:r>
              <w:rPr>
                <w:rFonts w:hint="eastAsia" w:cs="Times New Roman"/>
                <w:b/>
                <w:bCs w:val="0"/>
                <w:smallCaps w:val="0"/>
                <w:color w:val="auto"/>
                <w:spacing w:val="0"/>
                <w:sz w:val="24"/>
                <w:szCs w:val="20"/>
                <w:highlight w:val="none"/>
                <w:lang w:val="en-US" w:eastAsia="zh-CN"/>
              </w:rPr>
              <w:t>300万</w:t>
            </w:r>
            <w:r>
              <w:rPr>
                <w:rFonts w:hint="default" w:ascii="Times New Roman" w:hAnsi="Times New Roman" w:cs="Times New Roman"/>
                <w:b/>
                <w:bCs w:val="0"/>
                <w:smallCaps w:val="0"/>
                <w:color w:val="auto"/>
                <w:spacing w:val="0"/>
                <w:sz w:val="24"/>
                <w:szCs w:val="20"/>
                <w:highlight w:val="none"/>
              </w:rPr>
              <w:t>kW▪h</w:t>
            </w:r>
            <w:r>
              <w:rPr>
                <w:rFonts w:hint="default" w:ascii="Times New Roman" w:hAnsi="Times New Roman"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rPr>
              <w:t>用电由</w:t>
            </w:r>
            <w:r>
              <w:rPr>
                <w:rFonts w:hint="default" w:ascii="Times New Roman" w:hAnsi="Times New Roman" w:cs="Times New Roman"/>
                <w:b/>
                <w:bCs w:val="0"/>
                <w:smallCaps w:val="0"/>
                <w:color w:val="auto"/>
                <w:spacing w:val="0"/>
                <w:sz w:val="24"/>
                <w:szCs w:val="20"/>
                <w:highlight w:val="none"/>
                <w:lang w:val="en-US" w:eastAsia="zh-CN"/>
              </w:rPr>
              <w:t>园区供电管网提供</w:t>
            </w:r>
            <w:r>
              <w:rPr>
                <w:rFonts w:hint="default" w:ascii="Times New Roman" w:hAnsi="Times New Roman" w:cs="Times New Roman"/>
                <w:b/>
                <w:bCs w:val="0"/>
                <w:smallCaps w:val="0"/>
                <w:color w:val="auto"/>
                <w:spacing w:val="0"/>
                <w:sz w:val="24"/>
                <w:szCs w:val="20"/>
                <w:highlight w:val="none"/>
                <w:lang w:eastAsia="zh-CN"/>
              </w:rPr>
              <w:t>，</w:t>
            </w:r>
            <w:r>
              <w:rPr>
                <w:rFonts w:hint="default" w:ascii="Times New Roman" w:hAnsi="Times New Roman" w:cs="Times New Roman"/>
                <w:b/>
                <w:bCs w:val="0"/>
                <w:smallCaps w:val="0"/>
                <w:color w:val="auto"/>
                <w:spacing w:val="0"/>
                <w:sz w:val="24"/>
                <w:szCs w:val="20"/>
                <w:highlight w:val="none"/>
              </w:rPr>
              <w:t>满足本项目用电需求。</w:t>
            </w:r>
          </w:p>
          <w:p w14:paraId="0FD18EFC">
            <w:pPr>
              <w:keepNext w:val="0"/>
              <w:keepLines w:val="0"/>
              <w:suppressLineNumbers w:val="0"/>
              <w:adjustRightInd w:val="0"/>
              <w:snapToGrid w:val="0"/>
              <w:spacing w:before="0" w:beforeAutospacing="0" w:after="0" w:afterAutospacing="0" w:line="460" w:lineRule="exact"/>
              <w:ind w:left="0" w:right="0" w:firstLine="480" w:firstLineChars="200"/>
              <w:jc w:val="left"/>
              <w:rPr>
                <w:rFonts w:hint="eastAsia" w:ascii="Times New Roman" w:hAnsi="Times New Roman" w:eastAsia="宋体" w:cs="Times New Roman"/>
                <w:smallCaps w:val="0"/>
                <w:color w:val="auto"/>
                <w:spacing w:val="0"/>
                <w:sz w:val="24"/>
                <w:szCs w:val="20"/>
                <w:highlight w:val="none"/>
                <w:lang w:val="en-US" w:eastAsia="zh-CN"/>
              </w:rPr>
            </w:pPr>
            <w:r>
              <w:rPr>
                <w:rFonts w:hint="default" w:ascii="Times New Roman" w:hAnsi="Times New Roman" w:cs="Times New Roman"/>
                <w:smallCaps w:val="0"/>
                <w:color w:val="auto"/>
                <w:spacing w:val="0"/>
                <w:sz w:val="24"/>
                <w:szCs w:val="20"/>
                <w:highlight w:val="none"/>
              </w:rPr>
              <w:t>⑤燃气</w:t>
            </w:r>
            <w:r>
              <w:rPr>
                <w:rFonts w:hint="eastAsia" w:cs="Times New Roman"/>
                <w:smallCaps w:val="0"/>
                <w:color w:val="auto"/>
                <w:spacing w:val="0"/>
                <w:sz w:val="24"/>
                <w:szCs w:val="20"/>
                <w:highlight w:val="none"/>
                <w:lang w:val="en-US" w:eastAsia="zh-CN"/>
              </w:rPr>
              <w:t>工程</w:t>
            </w:r>
          </w:p>
          <w:p w14:paraId="0745E542">
            <w:pPr>
              <w:keepNext w:val="0"/>
              <w:keepLines w:val="0"/>
              <w:suppressLineNumbers w:val="0"/>
              <w:spacing w:before="0" w:beforeAutospacing="0" w:after="0" w:afterAutospacing="0" w:line="460" w:lineRule="exact"/>
              <w:ind w:left="0" w:right="0" w:firstLine="480" w:firstLineChars="200"/>
              <w:rPr>
                <w:rFonts w:hint="default" w:ascii="Times New Roman" w:hAnsi="Times New Roman" w:eastAsia="宋体" w:cs="Times New Roman"/>
                <w:smallCaps w:val="0"/>
                <w:color w:val="auto"/>
                <w:spacing w:val="0"/>
                <w:sz w:val="24"/>
                <w:szCs w:val="20"/>
                <w:highlight w:val="none"/>
                <w:lang w:val="en-US" w:eastAsia="zh-CN"/>
              </w:rPr>
            </w:pPr>
            <w:r>
              <w:rPr>
                <w:rFonts w:hint="eastAsia" w:cs="Times New Roman"/>
                <w:smallCaps w:val="0"/>
                <w:color w:val="auto"/>
                <w:spacing w:val="0"/>
                <w:sz w:val="24"/>
                <w:szCs w:val="20"/>
                <w:highlight w:val="none"/>
                <w:lang w:val="en-US" w:eastAsia="zh-CN"/>
              </w:rPr>
              <w:t>园区燃气工程规划情况见下表。</w:t>
            </w:r>
          </w:p>
          <w:p w14:paraId="07474C4E">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smallCaps w:val="0"/>
                <w:color w:val="auto"/>
                <w:spacing w:val="0"/>
                <w:sz w:val="24"/>
                <w:szCs w:val="20"/>
                <w:highlight w:val="none"/>
                <w:lang w:val="en-US" w:eastAsia="zh-CN"/>
              </w:rPr>
            </w:pPr>
            <w:r>
              <w:rPr>
                <w:rFonts w:hint="default" w:ascii="Times New Roman" w:hAnsi="Times New Roman" w:cs="Times New Roman"/>
                <w:b/>
                <w:bCs/>
                <w:smallCaps w:val="0"/>
                <w:color w:val="auto"/>
                <w:spacing w:val="0"/>
                <w:sz w:val="24"/>
                <w:szCs w:val="20"/>
                <w:highlight w:val="none"/>
              </w:rPr>
              <w:t>表1</w:t>
            </w:r>
            <w:r>
              <w:rPr>
                <w:rFonts w:hint="default" w:ascii="Times New Roman" w:hAnsi="Times New Roman" w:cs="Times New Roman"/>
                <w:b/>
                <w:bCs/>
                <w:smallCaps w:val="0"/>
                <w:color w:val="auto"/>
                <w:spacing w:val="0"/>
                <w:sz w:val="24"/>
                <w:szCs w:val="20"/>
                <w:highlight w:val="none"/>
                <w:lang w:val="en-US" w:eastAsia="zh-CN"/>
              </w:rPr>
              <w:t>-</w:t>
            </w:r>
            <w:r>
              <w:rPr>
                <w:rFonts w:hint="eastAsia" w:cs="Times New Roman"/>
                <w:b/>
                <w:bCs/>
                <w:smallCaps w:val="0"/>
                <w:color w:val="auto"/>
                <w:spacing w:val="0"/>
                <w:sz w:val="24"/>
                <w:szCs w:val="20"/>
                <w:highlight w:val="none"/>
                <w:lang w:val="en-US" w:eastAsia="zh-CN"/>
              </w:rPr>
              <w:t>5</w:t>
            </w:r>
            <w:r>
              <w:rPr>
                <w:rFonts w:hint="default" w:ascii="Times New Roman" w:hAnsi="Times New Roman" w:cs="Times New Roman"/>
                <w:b/>
                <w:bCs/>
                <w:smallCaps w:val="0"/>
                <w:color w:val="auto"/>
                <w:spacing w:val="0"/>
                <w:sz w:val="24"/>
                <w:szCs w:val="20"/>
                <w:highlight w:val="none"/>
                <w:lang w:val="en-US" w:eastAsia="zh-CN"/>
              </w:rPr>
              <w:t xml:space="preserve">  </w:t>
            </w:r>
            <w:r>
              <w:rPr>
                <w:rFonts w:hint="default" w:ascii="Times New Roman" w:hAnsi="Times New Roman" w:cs="Times New Roman"/>
                <w:b/>
                <w:bCs/>
                <w:smallCaps w:val="0"/>
                <w:color w:val="auto"/>
                <w:spacing w:val="0"/>
                <w:sz w:val="24"/>
                <w:szCs w:val="20"/>
                <w:highlight w:val="none"/>
              </w:rPr>
              <w:t xml:space="preserve"> </w:t>
            </w:r>
            <w:r>
              <w:rPr>
                <w:rFonts w:hint="eastAsia" w:cs="Times New Roman"/>
                <w:b/>
                <w:bCs/>
                <w:smallCaps w:val="0"/>
                <w:color w:val="auto"/>
                <w:spacing w:val="0"/>
                <w:sz w:val="24"/>
                <w:szCs w:val="20"/>
                <w:highlight w:val="none"/>
                <w:lang w:val="en-US" w:eastAsia="zh-CN"/>
              </w:rPr>
              <w:t>燃气工程规划一览表</w:t>
            </w:r>
          </w:p>
          <w:tbl>
            <w:tblPr>
              <w:tblStyle w:val="4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96"/>
              <w:gridCol w:w="1642"/>
              <w:gridCol w:w="5387"/>
            </w:tblGrid>
            <w:tr w14:paraId="28243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2201EE5D">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eastAsia="zh-CN"/>
                    </w:rPr>
                  </w:pPr>
                  <w:r>
                    <w:rPr>
                      <w:rFonts w:hint="eastAsia" w:ascii="Times New Roman" w:eastAsia="宋体" w:cs="Times New Roman"/>
                      <w:smallCaps w:val="0"/>
                      <w:color w:val="auto"/>
                      <w:spacing w:val="0"/>
                      <w:sz w:val="21"/>
                      <w:szCs w:val="21"/>
                      <w:highlight w:val="none"/>
                      <w:lang w:val="en-US" w:eastAsia="zh-CN"/>
                    </w:rPr>
                    <w:t>序号</w:t>
                  </w:r>
                </w:p>
              </w:tc>
              <w:tc>
                <w:tcPr>
                  <w:tcW w:w="1076" w:type="pct"/>
                  <w:noWrap w:val="0"/>
                  <w:vAlign w:val="center"/>
                </w:tcPr>
                <w:p w14:paraId="7F3916F0">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项目</w:t>
                  </w:r>
                </w:p>
              </w:tc>
              <w:tc>
                <w:tcPr>
                  <w:tcW w:w="3532" w:type="pct"/>
                  <w:noWrap w:val="0"/>
                  <w:vAlign w:val="center"/>
                </w:tcPr>
                <w:p w14:paraId="7AF8275F">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内容</w:t>
                  </w:r>
                </w:p>
              </w:tc>
            </w:tr>
            <w:tr w14:paraId="6AAA6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311EC6E7">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1</w:t>
                  </w:r>
                </w:p>
              </w:tc>
              <w:tc>
                <w:tcPr>
                  <w:tcW w:w="1076" w:type="pct"/>
                  <w:noWrap w:val="0"/>
                  <w:vAlign w:val="center"/>
                </w:tcPr>
                <w:p w14:paraId="1C66D679">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用气量预测</w:t>
                  </w:r>
                </w:p>
              </w:tc>
              <w:tc>
                <w:tcPr>
                  <w:tcW w:w="3532" w:type="pct"/>
                  <w:noWrap w:val="0"/>
                  <w:vAlign w:val="center"/>
                </w:tcPr>
                <w:p w14:paraId="47A0927A">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远期园区年平均日用气量为79.5万标准立方米。本次规划不再对热负荷进行预测。</w:t>
                  </w:r>
                </w:p>
              </w:tc>
            </w:tr>
            <w:tr w14:paraId="2192E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41FC0574">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2</w:t>
                  </w:r>
                </w:p>
              </w:tc>
              <w:tc>
                <w:tcPr>
                  <w:tcW w:w="1076" w:type="pct"/>
                  <w:noWrap w:val="0"/>
                  <w:vAlign w:val="center"/>
                </w:tcPr>
                <w:p w14:paraId="1BED0146">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气源规划</w:t>
                  </w:r>
                </w:p>
              </w:tc>
              <w:tc>
                <w:tcPr>
                  <w:tcW w:w="3532" w:type="pct"/>
                  <w:noWrap w:val="0"/>
                  <w:vAlign w:val="center"/>
                </w:tcPr>
                <w:p w14:paraId="4747D3B9">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根据矿区国土空间总体规划，保留现状矿区门站，续建贾庄门站，规模为12万m</w:t>
                  </w:r>
                  <w:r>
                    <w:rPr>
                      <w:rFonts w:hint="eastAsia" w:ascii="Times New Roman" w:eastAsia="宋体" w:cs="Times New Roman"/>
                      <w:smallCaps w:val="0"/>
                      <w:color w:val="auto"/>
                      <w:spacing w:val="0"/>
                      <w:sz w:val="21"/>
                      <w:szCs w:val="21"/>
                      <w:highlight w:val="none"/>
                      <w:vertAlign w:val="superscript"/>
                      <w:lang w:val="en-US" w:eastAsia="zh-CN"/>
                    </w:rPr>
                    <w:t>3</w:t>
                  </w:r>
                  <w:r>
                    <w:rPr>
                      <w:rFonts w:hint="eastAsia" w:ascii="Times New Roman" w:eastAsia="宋体" w:cs="Times New Roman"/>
                      <w:smallCaps w:val="0"/>
                      <w:color w:val="auto"/>
                      <w:spacing w:val="0"/>
                      <w:sz w:val="21"/>
                      <w:szCs w:val="21"/>
                      <w:highlight w:val="none"/>
                      <w:lang w:val="en-US" w:eastAsia="zh-CN"/>
                    </w:rPr>
                    <w:t>/h。加强应急储气保障，规划结合贾庄门站新建LNG储配站1座。</w:t>
                  </w:r>
                </w:p>
              </w:tc>
            </w:tr>
            <w:tr w14:paraId="5C773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568FD98B">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3</w:t>
                  </w:r>
                </w:p>
              </w:tc>
              <w:tc>
                <w:tcPr>
                  <w:tcW w:w="1076" w:type="pct"/>
                  <w:noWrap w:val="0"/>
                  <w:vAlign w:val="center"/>
                </w:tcPr>
                <w:p w14:paraId="54723F31">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供气规划</w:t>
                  </w:r>
                </w:p>
              </w:tc>
              <w:tc>
                <w:tcPr>
                  <w:tcW w:w="3532" w:type="pct"/>
                  <w:noWrap w:val="0"/>
                  <w:vAlign w:val="center"/>
                </w:tcPr>
                <w:p w14:paraId="38611B36">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保留现状南石门分输站-贾庄门站、井陉门站-矿区门站高压管线；保留现状矿区门站，续建贾庄门站，规模12万方/时。加强应急储气保障，规划结合贾庄门站新建LNG储配站1座。加强高压输气线路安全防护管控，为燃气资源输配提供通道。</w:t>
                  </w:r>
                </w:p>
              </w:tc>
            </w:tr>
            <w:tr w14:paraId="04571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4D04C707">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4</w:t>
                  </w:r>
                </w:p>
              </w:tc>
              <w:tc>
                <w:tcPr>
                  <w:tcW w:w="1076" w:type="pct"/>
                  <w:noWrap w:val="0"/>
                  <w:vAlign w:val="center"/>
                </w:tcPr>
                <w:p w14:paraId="00A298A1">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燃气输配系统</w:t>
                  </w:r>
                </w:p>
              </w:tc>
              <w:tc>
                <w:tcPr>
                  <w:tcW w:w="3532" w:type="pct"/>
                  <w:noWrap w:val="0"/>
                  <w:vAlign w:val="center"/>
                </w:tcPr>
                <w:p w14:paraId="2734DBCE">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中压管网采用环枝状结合方式布置，以提高供气的可靠性，低压管网在居民用户集中的区域尽可能布置成环状，在居住区密度不大的情况下，布置成枝状。在中压管网与低压管网间建设多座中、低压调压站，在工业区内设局部专用调压站。</w:t>
                  </w:r>
                </w:p>
              </w:tc>
            </w:tr>
            <w:tr w14:paraId="44432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54" w:hRule="atLeast"/>
              </w:trPr>
              <w:tc>
                <w:tcPr>
                  <w:tcW w:w="390" w:type="pct"/>
                  <w:noWrap w:val="0"/>
                  <w:vAlign w:val="center"/>
                </w:tcPr>
                <w:p w14:paraId="2F323EF9">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5</w:t>
                  </w:r>
                </w:p>
              </w:tc>
              <w:tc>
                <w:tcPr>
                  <w:tcW w:w="1076" w:type="pct"/>
                  <w:noWrap w:val="0"/>
                  <w:vAlign w:val="center"/>
                </w:tcPr>
                <w:p w14:paraId="71DD34C7">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管网走向及敷设规划</w:t>
                  </w:r>
                </w:p>
              </w:tc>
              <w:tc>
                <w:tcPr>
                  <w:tcW w:w="3532" w:type="pct"/>
                  <w:noWrap w:val="0"/>
                  <w:vAlign w:val="center"/>
                </w:tcPr>
                <w:p w14:paraId="659FA193">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燃气管网布置在道路西侧、北侧。地下埋设地下燃气管道与建筑物、构筑物或相邻管道之间的水平净距，地下燃气管道与构筑物或相邻管道之间垂直净距，地下燃气管道埋设的最小覆土深度应严格按《城镇燃气设计规范》（GB50028-2020）中的要求执行。</w:t>
                  </w:r>
                </w:p>
              </w:tc>
            </w:tr>
          </w:tbl>
          <w:p w14:paraId="73D8DD94">
            <w:pPr>
              <w:keepNext w:val="0"/>
              <w:keepLines w:val="0"/>
              <w:suppressLineNumbers w:val="0"/>
              <w:spacing w:before="0" w:beforeAutospacing="0" w:after="0" w:afterAutospacing="0" w:line="46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现状：园区燃气主气源为管道天然气，气源来自中石油</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陕京24号线井陉矿区门站</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，门站位于井陉矿区横涧乡刘赵村东，供气能力50万m</w:t>
            </w:r>
            <w:r>
              <w:rPr>
                <w:rFonts w:hint="default" w:ascii="Times New Roman" w:hAnsi="Times New Roman" w:cs="Times New Roman"/>
                <w:smallCaps w:val="0"/>
                <w:color w:val="auto"/>
                <w:spacing w:val="0"/>
                <w:sz w:val="24"/>
                <w:szCs w:val="20"/>
                <w:highlight w:val="none"/>
                <w:vertAlign w:val="superscript"/>
              </w:rPr>
              <w:t>3</w:t>
            </w:r>
            <w:r>
              <w:rPr>
                <w:rFonts w:hint="default" w:ascii="Times New Roman" w:hAnsi="Times New Roman" w:cs="Times New Roman"/>
                <w:smallCaps w:val="0"/>
                <w:color w:val="auto"/>
                <w:spacing w:val="0"/>
                <w:sz w:val="24"/>
                <w:szCs w:val="20"/>
                <w:highlight w:val="none"/>
              </w:rPr>
              <w:t>/d。井陉矿区现状供气管网总长47千米，主管道管径为DN350。目前天然气管道已接入石钢片区和丰达片区，尚未接入天汇片区和融合片区，可以满足园区企业用气需求。</w:t>
            </w:r>
          </w:p>
          <w:p w14:paraId="64605F5F">
            <w:pPr>
              <w:keepNext w:val="0"/>
              <w:keepLines w:val="0"/>
              <w:suppressLineNumbers w:val="0"/>
              <w:spacing w:before="0" w:beforeAutospacing="0" w:after="0" w:afterAutospacing="0" w:line="460" w:lineRule="exact"/>
              <w:ind w:left="0" w:right="0" w:firstLine="482" w:firstLineChars="200"/>
              <w:rPr>
                <w:rFonts w:hint="eastAsia" w:cs="Times New Roman"/>
                <w:b/>
                <w:bCs w:val="0"/>
                <w:smallCaps w:val="0"/>
                <w:color w:val="auto"/>
                <w:spacing w:val="0"/>
                <w:sz w:val="24"/>
                <w:szCs w:val="20"/>
                <w:highlight w:val="none"/>
                <w:lang w:val="en-US" w:eastAsia="zh-CN"/>
              </w:rPr>
            </w:pPr>
            <w:r>
              <w:rPr>
                <w:rFonts w:hint="default" w:ascii="Times New Roman" w:hAnsi="Times New Roman" w:cs="Times New Roman"/>
                <w:b/>
                <w:bCs w:val="0"/>
                <w:smallCaps w:val="0"/>
                <w:color w:val="auto"/>
                <w:spacing w:val="0"/>
                <w:sz w:val="24"/>
                <w:szCs w:val="20"/>
                <w:highlight w:val="none"/>
              </w:rPr>
              <w:t>本项目</w:t>
            </w:r>
            <w:r>
              <w:rPr>
                <w:rFonts w:hint="eastAsia" w:cs="Times New Roman"/>
                <w:b/>
                <w:bCs w:val="0"/>
                <w:smallCaps w:val="0"/>
                <w:color w:val="auto"/>
                <w:spacing w:val="0"/>
                <w:sz w:val="24"/>
                <w:szCs w:val="20"/>
                <w:highlight w:val="none"/>
                <w:lang w:val="en-US" w:eastAsia="zh-CN"/>
              </w:rPr>
              <w:t>加热炉、回火炉采用电加热</w:t>
            </w:r>
            <w:r>
              <w:rPr>
                <w:rFonts w:hint="default" w:ascii="Times New Roman" w:hAnsi="Times New Roman" w:cs="Times New Roman"/>
                <w:b/>
                <w:bCs w:val="0"/>
                <w:smallCaps w:val="0"/>
                <w:color w:val="auto"/>
                <w:spacing w:val="0"/>
                <w:sz w:val="24"/>
                <w:szCs w:val="20"/>
                <w:highlight w:val="none"/>
                <w:lang w:eastAsia="zh-CN"/>
              </w:rPr>
              <w:t>，</w:t>
            </w:r>
            <w:r>
              <w:rPr>
                <w:rFonts w:hint="eastAsia" w:cs="Times New Roman"/>
                <w:b/>
                <w:bCs w:val="0"/>
                <w:smallCaps w:val="0"/>
                <w:color w:val="auto"/>
                <w:spacing w:val="0"/>
                <w:sz w:val="24"/>
                <w:szCs w:val="20"/>
                <w:highlight w:val="none"/>
                <w:lang w:val="en-US" w:eastAsia="zh-CN"/>
              </w:rPr>
              <w:t>不涉及使用天然气。</w:t>
            </w:r>
          </w:p>
          <w:p w14:paraId="448361FD">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textAlignment w:val="auto"/>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b/>
                <w:smallCaps w:val="0"/>
                <w:color w:val="auto"/>
                <w:spacing w:val="0"/>
                <w:kern w:val="0"/>
                <w:sz w:val="24"/>
                <w:szCs w:val="20"/>
                <w:highlight w:val="none"/>
                <w:lang w:val="en-US" w:eastAsia="zh-CN" w:bidi="ar"/>
              </w:rPr>
              <w:t>2</w:t>
            </w:r>
            <w:r>
              <w:rPr>
                <w:rFonts w:hint="default" w:ascii="Times New Roman" w:hAnsi="Times New Roman" w:cs="Times New Roman"/>
                <w:b/>
                <w:smallCaps w:val="0"/>
                <w:color w:val="auto"/>
                <w:spacing w:val="0"/>
                <w:kern w:val="0"/>
                <w:sz w:val="24"/>
                <w:szCs w:val="20"/>
                <w:highlight w:val="none"/>
                <w:lang w:bidi="ar"/>
              </w:rPr>
              <w:t>、规划环评</w:t>
            </w:r>
            <w:r>
              <w:rPr>
                <w:rFonts w:hint="eastAsia" w:cs="Times New Roman"/>
                <w:b/>
                <w:smallCaps w:val="0"/>
                <w:color w:val="auto"/>
                <w:spacing w:val="0"/>
                <w:kern w:val="0"/>
                <w:sz w:val="24"/>
                <w:szCs w:val="20"/>
                <w:highlight w:val="none"/>
                <w:lang w:val="en-US" w:eastAsia="zh-CN" w:bidi="ar"/>
              </w:rPr>
              <w:t>结论</w:t>
            </w:r>
            <w:r>
              <w:rPr>
                <w:rFonts w:hint="default" w:ascii="Times New Roman" w:hAnsi="Times New Roman" w:cs="Times New Roman"/>
                <w:b/>
                <w:smallCaps w:val="0"/>
                <w:color w:val="auto"/>
                <w:spacing w:val="0"/>
                <w:kern w:val="0"/>
                <w:sz w:val="24"/>
                <w:szCs w:val="20"/>
                <w:highlight w:val="none"/>
                <w:lang w:bidi="ar"/>
              </w:rPr>
              <w:t>符合性分析</w:t>
            </w:r>
          </w:p>
          <w:p w14:paraId="0605BB14">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right="0" w:firstLine="480" w:firstLineChars="200"/>
              <w:textAlignment w:val="auto"/>
              <w:rPr>
                <w:rFonts w:hint="default" w:ascii="Times New Roman" w:hAnsi="Times New Roman" w:cs="Times New Roman"/>
                <w:smallCaps w:val="0"/>
                <w:color w:val="auto"/>
                <w:spacing w:val="0"/>
                <w:sz w:val="24"/>
                <w:szCs w:val="20"/>
                <w:highlight w:val="none"/>
              </w:rPr>
            </w:pPr>
            <w:r>
              <w:rPr>
                <w:rFonts w:hint="eastAsia" w:cs="Times New Roman"/>
                <w:smallCaps w:val="0"/>
                <w:color w:val="auto"/>
                <w:spacing w:val="0"/>
                <w:sz w:val="24"/>
                <w:szCs w:val="20"/>
                <w:highlight w:val="none"/>
                <w:lang w:val="en-US" w:eastAsia="zh-CN"/>
              </w:rPr>
              <w:t>项目与</w:t>
            </w:r>
            <w:r>
              <w:rPr>
                <w:rFonts w:hint="default" w:ascii="Times New Roman" w:hAnsi="Times New Roman" w:cs="Times New Roman"/>
                <w:smallCaps w:val="0"/>
                <w:color w:val="auto"/>
                <w:spacing w:val="0"/>
                <w:sz w:val="24"/>
                <w:szCs w:val="20"/>
                <w:highlight w:val="none"/>
              </w:rPr>
              <w:t>《河北石家庄矿区工业园区总体</w:t>
            </w:r>
            <w:r>
              <w:rPr>
                <w:rFonts w:hint="eastAsia" w:cs="Times New Roman"/>
                <w:smallCaps w:val="0"/>
                <w:color w:val="auto"/>
                <w:spacing w:val="0"/>
                <w:sz w:val="24"/>
                <w:szCs w:val="20"/>
                <w:highlight w:val="none"/>
                <w:lang w:val="en-US" w:eastAsia="zh-CN"/>
              </w:rPr>
              <w:t>发展</w:t>
            </w:r>
            <w:r>
              <w:rPr>
                <w:rFonts w:hint="default" w:ascii="Times New Roman" w:hAnsi="Times New Roman" w:cs="Times New Roman"/>
                <w:smallCaps w:val="0"/>
                <w:color w:val="auto"/>
                <w:spacing w:val="0"/>
                <w:sz w:val="24"/>
                <w:szCs w:val="20"/>
                <w:highlight w:val="none"/>
              </w:rPr>
              <w:t>规划</w:t>
            </w:r>
            <w:r>
              <w:rPr>
                <w:rFonts w:hint="eastAsia" w:cs="Times New Roman"/>
                <w:smallCaps w:val="0"/>
                <w:color w:val="auto"/>
                <w:spacing w:val="0"/>
                <w:sz w:val="24"/>
                <w:szCs w:val="20"/>
                <w:highlight w:val="none"/>
                <w:lang w:eastAsia="zh-CN"/>
              </w:rPr>
              <w:t>（</w:t>
            </w:r>
            <w:r>
              <w:rPr>
                <w:rFonts w:hint="eastAsia" w:cs="Times New Roman"/>
                <w:smallCaps w:val="0"/>
                <w:color w:val="auto"/>
                <w:spacing w:val="0"/>
                <w:sz w:val="24"/>
                <w:szCs w:val="20"/>
                <w:highlight w:val="none"/>
                <w:lang w:val="en-US" w:eastAsia="zh-CN"/>
              </w:rPr>
              <w:t>2022-2030年</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环境影响报告书》</w:t>
            </w:r>
            <w:r>
              <w:rPr>
                <w:rFonts w:hint="eastAsia" w:cs="Times New Roman"/>
                <w:smallCaps w:val="0"/>
                <w:color w:val="auto"/>
                <w:spacing w:val="0"/>
                <w:sz w:val="24"/>
                <w:szCs w:val="20"/>
                <w:highlight w:val="none"/>
                <w:lang w:val="en-US" w:eastAsia="zh-CN"/>
              </w:rPr>
              <w:t>主要结论的符合性分析</w:t>
            </w:r>
            <w:r>
              <w:rPr>
                <w:rFonts w:hint="default" w:ascii="Times New Roman" w:hAnsi="Times New Roman" w:cs="Times New Roman"/>
                <w:smallCaps w:val="0"/>
                <w:color w:val="auto"/>
                <w:spacing w:val="0"/>
                <w:sz w:val="24"/>
                <w:szCs w:val="20"/>
                <w:highlight w:val="none"/>
              </w:rPr>
              <w:t>见表1-</w:t>
            </w:r>
            <w:r>
              <w:rPr>
                <w:rFonts w:hint="eastAsia" w:cs="Times New Roman"/>
                <w:smallCaps w:val="0"/>
                <w:color w:val="auto"/>
                <w:spacing w:val="0"/>
                <w:sz w:val="24"/>
                <w:szCs w:val="20"/>
                <w:highlight w:val="none"/>
                <w:lang w:val="en-US" w:eastAsia="zh-CN"/>
              </w:rPr>
              <w:t>6</w:t>
            </w:r>
            <w:r>
              <w:rPr>
                <w:rFonts w:hint="default" w:ascii="Times New Roman" w:hAnsi="Times New Roman" w:cs="Times New Roman"/>
                <w:smallCaps w:val="0"/>
                <w:color w:val="auto"/>
                <w:spacing w:val="0"/>
                <w:sz w:val="24"/>
                <w:szCs w:val="20"/>
                <w:highlight w:val="none"/>
              </w:rPr>
              <w:t>。</w:t>
            </w:r>
          </w:p>
          <w:p w14:paraId="33CE0C87">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right="0"/>
              <w:jc w:val="center"/>
              <w:textAlignment w:val="auto"/>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b/>
                <w:bCs/>
                <w:smallCaps w:val="0"/>
                <w:color w:val="auto"/>
                <w:spacing w:val="0"/>
                <w:sz w:val="24"/>
                <w:szCs w:val="20"/>
                <w:highlight w:val="none"/>
              </w:rPr>
              <w:t>表1</w:t>
            </w:r>
            <w:r>
              <w:rPr>
                <w:rFonts w:hint="default" w:ascii="Times New Roman" w:hAnsi="Times New Roman" w:cs="Times New Roman"/>
                <w:b/>
                <w:bCs/>
                <w:smallCaps w:val="0"/>
                <w:color w:val="auto"/>
                <w:spacing w:val="0"/>
                <w:sz w:val="24"/>
                <w:szCs w:val="20"/>
                <w:highlight w:val="none"/>
                <w:lang w:val="en-US" w:eastAsia="zh-CN"/>
              </w:rPr>
              <w:t>-</w:t>
            </w:r>
            <w:r>
              <w:rPr>
                <w:rFonts w:hint="eastAsia" w:cs="Times New Roman"/>
                <w:b/>
                <w:bCs/>
                <w:smallCaps w:val="0"/>
                <w:color w:val="auto"/>
                <w:spacing w:val="0"/>
                <w:sz w:val="24"/>
                <w:szCs w:val="20"/>
                <w:highlight w:val="none"/>
                <w:lang w:val="en-US" w:eastAsia="zh-CN"/>
              </w:rPr>
              <w:t>6</w:t>
            </w:r>
            <w:r>
              <w:rPr>
                <w:rFonts w:hint="default" w:ascii="Times New Roman" w:hAnsi="Times New Roman" w:cs="Times New Roman"/>
                <w:b/>
                <w:bCs/>
                <w:smallCaps w:val="0"/>
                <w:color w:val="auto"/>
                <w:spacing w:val="0"/>
                <w:sz w:val="24"/>
                <w:szCs w:val="20"/>
                <w:highlight w:val="none"/>
              </w:rPr>
              <w:t xml:space="preserve">  本项目与规划环评</w:t>
            </w:r>
            <w:r>
              <w:rPr>
                <w:rFonts w:hint="eastAsia" w:cs="Times New Roman"/>
                <w:b/>
                <w:bCs/>
                <w:smallCaps w:val="0"/>
                <w:color w:val="auto"/>
                <w:spacing w:val="0"/>
                <w:sz w:val="24"/>
                <w:szCs w:val="20"/>
                <w:highlight w:val="none"/>
                <w:lang w:val="en-US" w:eastAsia="zh-CN"/>
              </w:rPr>
              <w:t>主要结论</w:t>
            </w:r>
            <w:r>
              <w:rPr>
                <w:rFonts w:hint="default" w:ascii="Times New Roman" w:hAnsi="Times New Roman" w:cs="Times New Roman"/>
                <w:b/>
                <w:bCs/>
                <w:smallCaps w:val="0"/>
                <w:color w:val="auto"/>
                <w:spacing w:val="0"/>
                <w:sz w:val="24"/>
                <w:szCs w:val="20"/>
                <w:highlight w:val="none"/>
              </w:rPr>
              <w:t>的相符性</w:t>
            </w:r>
          </w:p>
          <w:tbl>
            <w:tblPr>
              <w:tblStyle w:val="4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624"/>
              <w:gridCol w:w="4479"/>
              <w:gridCol w:w="1951"/>
              <w:gridCol w:w="571"/>
            </w:tblGrid>
            <w:tr w14:paraId="1B71F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7358D190">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序号</w:t>
                  </w:r>
                </w:p>
              </w:tc>
              <w:tc>
                <w:tcPr>
                  <w:tcW w:w="2937" w:type="pct"/>
                  <w:noWrap w:val="0"/>
                  <w:vAlign w:val="center"/>
                </w:tcPr>
                <w:p w14:paraId="49260D86">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园区环评批复要求</w:t>
                  </w:r>
                </w:p>
              </w:tc>
              <w:tc>
                <w:tcPr>
                  <w:tcW w:w="1279" w:type="pct"/>
                  <w:noWrap w:val="0"/>
                  <w:vAlign w:val="center"/>
                </w:tcPr>
                <w:p w14:paraId="6C74F4D9">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本项目情况</w:t>
                  </w:r>
                </w:p>
              </w:tc>
              <w:tc>
                <w:tcPr>
                  <w:tcW w:w="374" w:type="pct"/>
                  <w:noWrap w:val="0"/>
                  <w:vAlign w:val="center"/>
                </w:tcPr>
                <w:p w14:paraId="63CFA6BA">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相符性</w:t>
                  </w:r>
                </w:p>
              </w:tc>
            </w:tr>
            <w:tr w14:paraId="62570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246148F0">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1</w:t>
                  </w:r>
                </w:p>
              </w:tc>
              <w:tc>
                <w:tcPr>
                  <w:tcW w:w="2937" w:type="pct"/>
                  <w:noWrap w:val="0"/>
                  <w:vAlign w:val="center"/>
                </w:tcPr>
                <w:p w14:paraId="6A0461A1">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大气环境影响评价结论：本次规划实施后，在入区企业严格按照环评建议提出的要求，采取完善的环境治理措施的前提下，落实规划提出的削减措施的前提下，对区域环境空气的影响程度在可接受范围之内。</w:t>
                  </w:r>
                </w:p>
              </w:tc>
              <w:tc>
                <w:tcPr>
                  <w:tcW w:w="1279" w:type="pct"/>
                  <w:noWrap w:val="0"/>
                  <w:vAlign w:val="center"/>
                </w:tcPr>
                <w:p w14:paraId="52C08B59">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本项目废气采取可行的治理措施后，达标排放，对区域环境空气的影响程度较小，在可接受范围之内。</w:t>
                  </w:r>
                </w:p>
              </w:tc>
              <w:tc>
                <w:tcPr>
                  <w:tcW w:w="374" w:type="pct"/>
                  <w:noWrap w:val="0"/>
                  <w:vAlign w:val="center"/>
                </w:tcPr>
                <w:p w14:paraId="7FD31A26">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符合</w:t>
                  </w:r>
                </w:p>
              </w:tc>
            </w:tr>
            <w:tr w14:paraId="5479C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24F0D45C">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2</w:t>
                  </w:r>
                </w:p>
              </w:tc>
              <w:tc>
                <w:tcPr>
                  <w:tcW w:w="2937" w:type="pct"/>
                  <w:noWrap w:val="0"/>
                  <w:vAlign w:val="center"/>
                </w:tcPr>
                <w:p w14:paraId="374418C3">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地表水环境影响评价结论：园区规划实施后，矿区绿洁污水处理厂处理后废水中COD、BOD</w:t>
                  </w:r>
                  <w:r>
                    <w:rPr>
                      <w:rFonts w:hint="default" w:ascii="Times New Roman" w:hAnsi="Times New Roman" w:eastAsia="宋体" w:cs="Times New Roman"/>
                      <w:smallCaps w:val="0"/>
                      <w:color w:val="auto"/>
                      <w:spacing w:val="0"/>
                      <w:sz w:val="21"/>
                      <w:szCs w:val="21"/>
                      <w:highlight w:val="none"/>
                      <w:vertAlign w:val="subscript"/>
                    </w:rPr>
                    <w:t>5</w:t>
                  </w:r>
                  <w:r>
                    <w:rPr>
                      <w:rFonts w:hint="default" w:ascii="Times New Roman" w:hAnsi="Times New Roman" w:eastAsia="宋体" w:cs="Times New Roman"/>
                      <w:smallCaps w:val="0"/>
                      <w:color w:val="auto"/>
                      <w:spacing w:val="0"/>
                      <w:sz w:val="21"/>
                      <w:szCs w:val="21"/>
                      <w:highlight w:val="none"/>
                    </w:rPr>
                    <w:t>、氨氮、总氮、总磷排放浓度满足《子牙河流域水污染物排放标准》</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DB13/2796-2018</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表1中重点控制区排放限值、《城市污水再生利用工业用水水质》</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GB/T19923-2005</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表1冷却用水标准和《农田灌溉水质标准》</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GB/5084-2021</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标准要求，部分回用于河钢集团石家庄钢铁有限责任公司特殊钢分公司内部生产、杏花沟生态补水、城市道路洒扫降尘、城市绿化，剩余中水排入长岗沟，进行生态补水。根据《石家庄市矿区绿洁污水处理有限公司环境影响报告书》，矿区绿洁污水处理厂污水处理后外排可行。另外，本次评价提出了入区企业和园区污水处理厂事故状态下的防范措施，保证事故工况下不会对区域地表水产生污染影响。综上分析，本次规划实施后对区域地表水环境影响可接受。</w:t>
                  </w:r>
                </w:p>
              </w:tc>
              <w:tc>
                <w:tcPr>
                  <w:tcW w:w="1279" w:type="pct"/>
                  <w:noWrap w:val="0"/>
                  <w:vAlign w:val="center"/>
                </w:tcPr>
                <w:p w14:paraId="612298FF">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本项目生产废水全部</w:t>
                  </w:r>
                </w:p>
                <w:p w14:paraId="759C12FD">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回用不外排，</w:t>
                  </w:r>
                  <w:r>
                    <w:rPr>
                      <w:rFonts w:hint="eastAsia" w:ascii="Times New Roman" w:eastAsia="宋体" w:cs="Times New Roman"/>
                      <w:smallCaps w:val="0"/>
                      <w:color w:val="auto"/>
                      <w:spacing w:val="0"/>
                      <w:sz w:val="21"/>
                      <w:szCs w:val="21"/>
                      <w:highlight w:val="none"/>
                      <w:lang w:eastAsia="zh-CN"/>
                    </w:rPr>
                    <w:t>生活污水经化粪池处理后定期由吸粪车抽走</w:t>
                  </w:r>
                  <w:r>
                    <w:rPr>
                      <w:rFonts w:hint="default" w:ascii="Times New Roman" w:hAnsi="Times New Roman" w:eastAsia="宋体" w:cs="Times New Roman"/>
                      <w:smallCaps w:val="0"/>
                      <w:color w:val="auto"/>
                      <w:spacing w:val="0"/>
                      <w:sz w:val="21"/>
                      <w:szCs w:val="21"/>
                      <w:highlight w:val="none"/>
                    </w:rPr>
                    <w:t>。不会对区域地表水产生污染影响。</w:t>
                  </w:r>
                </w:p>
              </w:tc>
              <w:tc>
                <w:tcPr>
                  <w:tcW w:w="374" w:type="pct"/>
                  <w:noWrap w:val="0"/>
                  <w:vAlign w:val="center"/>
                </w:tcPr>
                <w:p w14:paraId="21A1258C">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eastAsia" w:ascii="Times New Roman" w:eastAsia="宋体" w:cs="Times New Roman"/>
                      <w:smallCaps w:val="0"/>
                      <w:color w:val="auto"/>
                      <w:spacing w:val="0"/>
                      <w:sz w:val="21"/>
                      <w:szCs w:val="21"/>
                      <w:highlight w:val="none"/>
                      <w:lang w:val="en-US" w:eastAsia="zh-CN"/>
                    </w:rPr>
                    <w:t>符合</w:t>
                  </w:r>
                </w:p>
              </w:tc>
            </w:tr>
            <w:tr w14:paraId="0C786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3FDD3E96">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3</w:t>
                  </w:r>
                </w:p>
              </w:tc>
              <w:tc>
                <w:tcPr>
                  <w:tcW w:w="2937" w:type="pct"/>
                  <w:noWrap w:val="0"/>
                  <w:vAlign w:val="center"/>
                </w:tcPr>
                <w:p w14:paraId="288E19EA">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地下水环境影响评价结论：园区内企业在严格落实防渗措施，建立健全地下水水质监测系统，突发事件预警预报系统和事故应急防范措施的基础上，园区内企业对地下水环境影响较小。因此在强化管理切实落实各项环保措施的前提下，从地下水保护的角度分析，本评价认为该园区规划是可行的。</w:t>
                  </w:r>
                </w:p>
              </w:tc>
              <w:tc>
                <w:tcPr>
                  <w:tcW w:w="1279" w:type="pct"/>
                  <w:noWrap w:val="0"/>
                  <w:vAlign w:val="center"/>
                </w:tcPr>
                <w:p w14:paraId="0455A8C7">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本项目采取分区防渗</w:t>
                  </w:r>
                </w:p>
                <w:p w14:paraId="1565DF76">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措施，不会对地下水环境造成影响。</w:t>
                  </w:r>
                </w:p>
              </w:tc>
              <w:tc>
                <w:tcPr>
                  <w:tcW w:w="374" w:type="pct"/>
                  <w:noWrap w:val="0"/>
                  <w:vAlign w:val="center"/>
                </w:tcPr>
                <w:p w14:paraId="3C4694BA">
                  <w:pPr>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eastAsia" w:ascii="Times New Roman" w:eastAsia="宋体" w:cs="Times New Roman"/>
                      <w:smallCaps w:val="0"/>
                      <w:color w:val="auto"/>
                      <w:spacing w:val="0"/>
                      <w:sz w:val="21"/>
                      <w:szCs w:val="21"/>
                      <w:highlight w:val="none"/>
                      <w:lang w:val="en-US" w:eastAsia="zh-CN"/>
                    </w:rPr>
                    <w:t>符合</w:t>
                  </w:r>
                </w:p>
              </w:tc>
            </w:tr>
            <w:tr w14:paraId="016CA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65729325">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4</w:t>
                  </w:r>
                </w:p>
              </w:tc>
              <w:tc>
                <w:tcPr>
                  <w:tcW w:w="2937" w:type="pct"/>
                  <w:noWrap w:val="0"/>
                  <w:vAlign w:val="center"/>
                </w:tcPr>
                <w:p w14:paraId="09840D9A">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声环境影响评价结论：根据园区规划布局和预测结果可知，园区规划道路全部建成通车后，高速路的交通噪声40m以内区域满足《声环境质量标准》（GB3096-2008）4a类区标准（昼间70dB</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A</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、夜间55dB</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A</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）要求；省道及规划其他主、次干道的交通噪声20m以外区域声环境满足（GB3096-2008）3类区标准（昼间65B</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A</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、夜间55dB</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A</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）要求。规划的实施不会改变区域声环境功能，满足环境质量底线要求。</w:t>
                  </w:r>
                </w:p>
              </w:tc>
              <w:tc>
                <w:tcPr>
                  <w:tcW w:w="1279" w:type="pct"/>
                  <w:noWrap w:val="0"/>
                  <w:vAlign w:val="center"/>
                </w:tcPr>
                <w:p w14:paraId="5312E489">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本项目噪声主要为生</w:t>
                  </w:r>
                </w:p>
                <w:p w14:paraId="3D846161">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产设备、风机、泵类等产生的噪声，通过采取选用低噪声设备，基础减震、厂房隔声等措施，厂界噪声符合3类标准要求，不会改变区域声环境功能。</w:t>
                  </w:r>
                </w:p>
              </w:tc>
              <w:tc>
                <w:tcPr>
                  <w:tcW w:w="374" w:type="pct"/>
                  <w:noWrap w:val="0"/>
                  <w:vAlign w:val="center"/>
                </w:tcPr>
                <w:p w14:paraId="52D30E36">
                  <w:pPr>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eastAsia" w:ascii="Times New Roman" w:eastAsia="宋体" w:cs="Times New Roman"/>
                      <w:smallCaps w:val="0"/>
                      <w:color w:val="auto"/>
                      <w:spacing w:val="0"/>
                      <w:sz w:val="21"/>
                      <w:szCs w:val="21"/>
                      <w:highlight w:val="none"/>
                      <w:lang w:val="en-US" w:eastAsia="zh-CN"/>
                    </w:rPr>
                    <w:t>符合</w:t>
                  </w:r>
                </w:p>
              </w:tc>
            </w:tr>
            <w:tr w14:paraId="6D5E7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351DC786">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5</w:t>
                  </w:r>
                </w:p>
              </w:tc>
              <w:tc>
                <w:tcPr>
                  <w:tcW w:w="2937" w:type="pct"/>
                  <w:noWrap w:val="0"/>
                  <w:vAlign w:val="center"/>
                </w:tcPr>
                <w:p w14:paraId="75A76FE6">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固体废物影响评价结论：园区产生的生活垃圾全部进行无害化处置</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一般工业固体废物全部回收利用或外售综合利用</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危险废物委托有资质单位进行处理处置。在落实本评价提出的固体废物处置措施的情况下，园区产生的固体废物可全部综合利用或妥善处置，不会对区域环境产生明显不良影响。</w:t>
                  </w:r>
                </w:p>
              </w:tc>
              <w:tc>
                <w:tcPr>
                  <w:tcW w:w="1279" w:type="pct"/>
                  <w:noWrap w:val="0"/>
                  <w:vAlign w:val="center"/>
                </w:tcPr>
                <w:p w14:paraId="4B00BB6B">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本项目生活垃圾采用</w:t>
                  </w:r>
                </w:p>
                <w:p w14:paraId="714F4A28">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垃圾桶收集后，由环卫部门定期清理统一进行无害化处置；一般工业固体废物全部综合利用；危险废物即产即清、交有资质的单位处理。因此，不会对区域环境产生明显不良影响。</w:t>
                  </w:r>
                </w:p>
              </w:tc>
              <w:tc>
                <w:tcPr>
                  <w:tcW w:w="374" w:type="pct"/>
                  <w:noWrap w:val="0"/>
                  <w:vAlign w:val="center"/>
                </w:tcPr>
                <w:p w14:paraId="34382B42">
                  <w:pPr>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eastAsia" w:ascii="Times New Roman" w:eastAsia="宋体" w:cs="Times New Roman"/>
                      <w:smallCaps w:val="0"/>
                      <w:color w:val="auto"/>
                      <w:spacing w:val="0"/>
                      <w:sz w:val="21"/>
                      <w:szCs w:val="21"/>
                      <w:highlight w:val="none"/>
                      <w:lang w:val="en-US" w:eastAsia="zh-CN"/>
                    </w:rPr>
                    <w:t>符合</w:t>
                  </w:r>
                </w:p>
              </w:tc>
            </w:tr>
            <w:tr w14:paraId="3F62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3C6BEC8B">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6</w:t>
                  </w:r>
                </w:p>
              </w:tc>
              <w:tc>
                <w:tcPr>
                  <w:tcW w:w="2937" w:type="pct"/>
                  <w:noWrap w:val="0"/>
                  <w:vAlign w:val="center"/>
                </w:tcPr>
                <w:p w14:paraId="12B0302B">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土壤环境影响评价结论根据分析可知，在非正常状况下，园区储罐泄漏、污水处理站泄漏、焦炭吸附池泄漏均会对土壤造成一定影响。因此规划区内企业应严格实行分区防渗的要求，对各类储罐做好检漏工作，发生事故后及时清理污染土壤。各企业在严格落实分区防渗和应急处置等措施的前提下，土壤环境影响可接受。</w:t>
                  </w:r>
                </w:p>
              </w:tc>
              <w:tc>
                <w:tcPr>
                  <w:tcW w:w="1279" w:type="pct"/>
                  <w:noWrap w:val="0"/>
                  <w:vAlign w:val="center"/>
                </w:tcPr>
                <w:p w14:paraId="7B291334">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本项目采取分区防</w:t>
                  </w:r>
                </w:p>
                <w:p w14:paraId="25D71AAB">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渗措施，做好检漏工</w:t>
                  </w:r>
                </w:p>
                <w:p w14:paraId="292E7159">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作，土壤环境影响可接受。</w:t>
                  </w:r>
                </w:p>
              </w:tc>
              <w:tc>
                <w:tcPr>
                  <w:tcW w:w="374" w:type="pct"/>
                  <w:noWrap w:val="0"/>
                  <w:vAlign w:val="center"/>
                </w:tcPr>
                <w:p w14:paraId="3197C2B3">
                  <w:pPr>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eastAsia" w:ascii="Times New Roman" w:eastAsia="宋体" w:cs="Times New Roman"/>
                      <w:smallCaps w:val="0"/>
                      <w:color w:val="auto"/>
                      <w:spacing w:val="0"/>
                      <w:sz w:val="21"/>
                      <w:szCs w:val="21"/>
                      <w:highlight w:val="none"/>
                      <w:lang w:val="en-US" w:eastAsia="zh-CN"/>
                    </w:rPr>
                    <w:t>符合</w:t>
                  </w:r>
                </w:p>
              </w:tc>
            </w:tr>
            <w:tr w14:paraId="7781C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0F9BA192">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7</w:t>
                  </w:r>
                </w:p>
              </w:tc>
              <w:tc>
                <w:tcPr>
                  <w:tcW w:w="2937" w:type="pct"/>
                  <w:noWrap w:val="0"/>
                  <w:vAlign w:val="center"/>
                </w:tcPr>
                <w:p w14:paraId="2F27518A">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生态环境影响评价结论：规划实施后，对工业园区内土地利用类型有一定影响，园区内耕地被完全破坏转换为工业用地，园区内城镇生态系统面积有所增加，园区的建设虽会导致园区土地利用类型发生变化，但不影响评价区范围内主导土地利用类型，不会导致评价区范围内生态功能改变，对区域生态系统影响可接受。</w:t>
                  </w:r>
                </w:p>
              </w:tc>
              <w:tc>
                <w:tcPr>
                  <w:tcW w:w="1279" w:type="pct"/>
                  <w:noWrap w:val="0"/>
                  <w:vAlign w:val="center"/>
                </w:tcPr>
                <w:p w14:paraId="2E077A18">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本项目占地属于开发</w:t>
                  </w:r>
                </w:p>
                <w:p w14:paraId="4B352029">
                  <w:pPr>
                    <w:pStyle w:val="60"/>
                    <w:keepNext w:val="0"/>
                    <w:keepLines w:val="0"/>
                    <w:suppressLineNumbers w:val="0"/>
                    <w:shd w:val="clear" w:color="auto" w:fill="auto"/>
                    <w:adjustRightInd/>
                    <w:spacing w:before="0" w:beforeAutospacing="0" w:after="0" w:afterAutospacing="0"/>
                    <w:ind w:left="0" w:right="0"/>
                    <w:jc w:val="center"/>
                    <w:rPr>
                      <w:rFonts w:hint="eastAsia" w:ascii="Times New Roman" w:hAnsi="Times New Roman" w:eastAsia="宋体" w:cs="Times New Roman"/>
                      <w:smallCaps w:val="0"/>
                      <w:color w:val="auto"/>
                      <w:spacing w:val="0"/>
                      <w:sz w:val="21"/>
                      <w:szCs w:val="21"/>
                      <w:highlight w:val="none"/>
                      <w:lang w:eastAsia="zh-CN"/>
                    </w:rPr>
                  </w:pPr>
                  <w:r>
                    <w:rPr>
                      <w:rFonts w:hint="default" w:ascii="Times New Roman" w:hAnsi="Times New Roman" w:eastAsia="宋体" w:cs="Times New Roman"/>
                      <w:smallCaps w:val="0"/>
                      <w:color w:val="auto"/>
                      <w:spacing w:val="0"/>
                      <w:sz w:val="21"/>
                      <w:szCs w:val="21"/>
                      <w:highlight w:val="none"/>
                    </w:rPr>
                    <w:t>区规划的工业用地，对区域生态系统影响可接受</w:t>
                  </w:r>
                  <w:r>
                    <w:rPr>
                      <w:rFonts w:hint="eastAsia" w:ascii="Times New Roman" w:eastAsia="宋体" w:cs="Times New Roman"/>
                      <w:smallCaps w:val="0"/>
                      <w:color w:val="auto"/>
                      <w:spacing w:val="0"/>
                      <w:sz w:val="21"/>
                      <w:szCs w:val="21"/>
                      <w:highlight w:val="none"/>
                      <w:lang w:eastAsia="zh-CN"/>
                    </w:rPr>
                    <w:t>。</w:t>
                  </w:r>
                </w:p>
              </w:tc>
              <w:tc>
                <w:tcPr>
                  <w:tcW w:w="374" w:type="pct"/>
                  <w:noWrap w:val="0"/>
                  <w:vAlign w:val="center"/>
                </w:tcPr>
                <w:p w14:paraId="271B8096">
                  <w:pPr>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eastAsia" w:ascii="Times New Roman" w:eastAsia="宋体" w:cs="Times New Roman"/>
                      <w:smallCaps w:val="0"/>
                      <w:color w:val="auto"/>
                      <w:spacing w:val="0"/>
                      <w:sz w:val="21"/>
                      <w:szCs w:val="21"/>
                      <w:highlight w:val="none"/>
                      <w:lang w:val="en-US" w:eastAsia="zh-CN"/>
                    </w:rPr>
                    <w:t>符合</w:t>
                  </w:r>
                </w:p>
              </w:tc>
            </w:tr>
            <w:tr w14:paraId="4A755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0E6059F6">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8</w:t>
                  </w:r>
                </w:p>
              </w:tc>
              <w:tc>
                <w:tcPr>
                  <w:tcW w:w="2937" w:type="pct"/>
                  <w:noWrap w:val="0"/>
                  <w:vAlign w:val="center"/>
                </w:tcPr>
                <w:p w14:paraId="58D36B60">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环境风险评价结论：规划入区企业通过合理优化园区风险源布局、健全园区环境风险预警体系建设、加强危险化学品仓储运输管理、健全园区风险三级防控体系以及加强区域环境风险联防联控施等风险防范措施的情况下，环境风险可防控控制。同时，园区通过采取项目准入控制措施、工程措施、管理措施、监控措施、修复治理措施多项措施，可避免规划实施后对区域环境产生污染影响。</w:t>
                  </w:r>
                </w:p>
              </w:tc>
              <w:tc>
                <w:tcPr>
                  <w:tcW w:w="1279" w:type="pct"/>
                  <w:noWrap w:val="0"/>
                  <w:vAlign w:val="center"/>
                </w:tcPr>
                <w:p w14:paraId="4307EE32">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本项目优化风险源布</w:t>
                  </w:r>
                </w:p>
                <w:p w14:paraId="1624B613">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局、按照园区环境风险预警体系建设、加强危险化学品仓储运输管理、健全园区风险三级防控体系以及加强区域环境风险联防联控施等风险防范措施的情况下，环境风险可防控控制。不会对区域环境产生污染影响。</w:t>
                  </w:r>
                </w:p>
              </w:tc>
              <w:tc>
                <w:tcPr>
                  <w:tcW w:w="374" w:type="pct"/>
                  <w:noWrap w:val="0"/>
                  <w:vAlign w:val="center"/>
                </w:tcPr>
                <w:p w14:paraId="77C1EF7F">
                  <w:pPr>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eastAsia" w:ascii="Times New Roman" w:eastAsia="宋体" w:cs="Times New Roman"/>
                      <w:smallCaps w:val="0"/>
                      <w:color w:val="auto"/>
                      <w:spacing w:val="0"/>
                      <w:sz w:val="21"/>
                      <w:szCs w:val="21"/>
                      <w:highlight w:val="none"/>
                      <w:lang w:val="en-US" w:eastAsia="zh-CN"/>
                    </w:rPr>
                    <w:t>符合</w:t>
                  </w:r>
                </w:p>
              </w:tc>
            </w:tr>
            <w:tr w14:paraId="4374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409" w:type="pct"/>
                  <w:noWrap w:val="0"/>
                  <w:vAlign w:val="center"/>
                </w:tcPr>
                <w:p w14:paraId="33DF1BF9">
                  <w:pPr>
                    <w:pStyle w:val="60"/>
                    <w:keepNext w:val="0"/>
                    <w:keepLines w:val="0"/>
                    <w:suppressLineNumbers w:val="0"/>
                    <w:shd w:val="clear" w:color="auto" w:fill="auto"/>
                    <w:adjustRightInd/>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9</w:t>
                  </w:r>
                </w:p>
              </w:tc>
              <w:tc>
                <w:tcPr>
                  <w:tcW w:w="2937" w:type="pct"/>
                  <w:noWrap w:val="0"/>
                  <w:vAlign w:val="center"/>
                </w:tcPr>
                <w:p w14:paraId="7ED85BF8">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总体评价结论：在落实区域削减源以及本评价提出的预防和治理措施的情况下，规划的实施对周围环境影响可接受，不会改变区域环境功能，可满足环境质量底线要求</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在充分利用再生水以及加强环保管理的前提下</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区域资源环境可以承载规划的实施</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不突破水资源、土地资源利用上线</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规划范围内不涉及生态保护红线</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规划产业空间布局和能源结构相对合理，可以达到相应的环境目标。规划应加强环境保护预防和治理措施，根据本评价提出的分区管控要求、环境影响减缓措施与协同降碳建议，加强园区空间管控，严格控制污染物排放总量，并采纳评价提出的调整建议和相关要求对规划进行优化调整后，河北石家庄矿区工业园区总体发展规划</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2022-2030年</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的实施具有环境合理性和可行性。</w:t>
                  </w:r>
                </w:p>
              </w:tc>
              <w:tc>
                <w:tcPr>
                  <w:tcW w:w="1279" w:type="pct"/>
                  <w:noWrap w:val="0"/>
                  <w:vAlign w:val="center"/>
                </w:tcPr>
                <w:p w14:paraId="783E1ACF">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本项目在落实规划环</w:t>
                  </w:r>
                </w:p>
                <w:p w14:paraId="5DF674A5">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评和本评价提出的环境保护预防和治理措</w:t>
                  </w:r>
                </w:p>
                <w:p w14:paraId="4DA0CAC3">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施的前提下，符合规划环评总体结论要求。</w:t>
                  </w:r>
                </w:p>
              </w:tc>
              <w:tc>
                <w:tcPr>
                  <w:tcW w:w="374" w:type="pct"/>
                  <w:noWrap w:val="0"/>
                  <w:vAlign w:val="center"/>
                </w:tcPr>
                <w:p w14:paraId="776BC897">
                  <w:pPr>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eastAsia" w:ascii="Times New Roman" w:eastAsia="宋体" w:cs="Times New Roman"/>
                      <w:smallCaps w:val="0"/>
                      <w:color w:val="auto"/>
                      <w:spacing w:val="0"/>
                      <w:sz w:val="21"/>
                      <w:szCs w:val="21"/>
                      <w:highlight w:val="none"/>
                      <w:lang w:val="en-US" w:eastAsia="zh-CN"/>
                    </w:rPr>
                    <w:t>符合</w:t>
                  </w:r>
                </w:p>
              </w:tc>
            </w:tr>
          </w:tbl>
          <w:p w14:paraId="734EC73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440" w:lineRule="exact"/>
              <w:ind w:left="0" w:right="0"/>
              <w:textAlignment w:val="auto"/>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b/>
                <w:smallCaps w:val="0"/>
                <w:color w:val="auto"/>
                <w:spacing w:val="0"/>
                <w:kern w:val="0"/>
                <w:sz w:val="24"/>
                <w:szCs w:val="20"/>
                <w:highlight w:val="none"/>
                <w:lang w:val="en-US" w:eastAsia="zh-CN" w:bidi="ar"/>
              </w:rPr>
              <w:t>2</w:t>
            </w:r>
            <w:r>
              <w:rPr>
                <w:rFonts w:hint="default" w:ascii="Times New Roman" w:hAnsi="Times New Roman" w:cs="Times New Roman"/>
                <w:b/>
                <w:smallCaps w:val="0"/>
                <w:color w:val="auto"/>
                <w:spacing w:val="0"/>
                <w:kern w:val="0"/>
                <w:sz w:val="24"/>
                <w:szCs w:val="20"/>
                <w:highlight w:val="none"/>
                <w:lang w:bidi="ar"/>
              </w:rPr>
              <w:t>、规划环评审查意见符合性分析</w:t>
            </w:r>
          </w:p>
          <w:p w14:paraId="37432B10">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right="0" w:firstLine="480" w:firstLineChars="200"/>
              <w:textAlignment w:val="auto"/>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根据河北省</w:t>
            </w:r>
            <w:r>
              <w:rPr>
                <w:rFonts w:hint="eastAsia" w:cs="Times New Roman"/>
                <w:smallCaps w:val="0"/>
                <w:color w:val="auto"/>
                <w:spacing w:val="0"/>
                <w:sz w:val="24"/>
                <w:szCs w:val="20"/>
                <w:highlight w:val="none"/>
                <w:lang w:val="en-US" w:eastAsia="zh-CN"/>
              </w:rPr>
              <w:t>生态环境厅</w:t>
            </w:r>
            <w:r>
              <w:rPr>
                <w:rFonts w:hint="default" w:ascii="Times New Roman" w:hAnsi="Times New Roman" w:cs="Times New Roman"/>
                <w:smallCaps w:val="0"/>
                <w:color w:val="auto"/>
                <w:spacing w:val="0"/>
                <w:sz w:val="24"/>
                <w:szCs w:val="20"/>
                <w:highlight w:val="none"/>
              </w:rPr>
              <w:t>《关于河北石家庄矿区工业园区总体</w:t>
            </w:r>
            <w:r>
              <w:rPr>
                <w:rFonts w:hint="eastAsia" w:cs="Times New Roman"/>
                <w:smallCaps w:val="0"/>
                <w:color w:val="auto"/>
                <w:spacing w:val="0"/>
                <w:sz w:val="24"/>
                <w:szCs w:val="20"/>
                <w:highlight w:val="none"/>
                <w:lang w:val="en-US" w:eastAsia="zh-CN"/>
              </w:rPr>
              <w:t>发展</w:t>
            </w:r>
            <w:r>
              <w:rPr>
                <w:rFonts w:hint="default" w:ascii="Times New Roman" w:hAnsi="Times New Roman" w:cs="Times New Roman"/>
                <w:smallCaps w:val="0"/>
                <w:color w:val="auto"/>
                <w:spacing w:val="0"/>
                <w:sz w:val="24"/>
                <w:szCs w:val="20"/>
                <w:highlight w:val="none"/>
              </w:rPr>
              <w:t>规划</w:t>
            </w:r>
            <w:r>
              <w:rPr>
                <w:rFonts w:hint="eastAsia" w:cs="Times New Roman"/>
                <w:smallCaps w:val="0"/>
                <w:color w:val="auto"/>
                <w:spacing w:val="0"/>
                <w:sz w:val="24"/>
                <w:szCs w:val="20"/>
                <w:highlight w:val="none"/>
                <w:lang w:eastAsia="zh-CN"/>
              </w:rPr>
              <w:t>（</w:t>
            </w:r>
            <w:r>
              <w:rPr>
                <w:rFonts w:hint="eastAsia" w:cs="Times New Roman"/>
                <w:smallCaps w:val="0"/>
                <w:color w:val="auto"/>
                <w:spacing w:val="0"/>
                <w:sz w:val="24"/>
                <w:szCs w:val="20"/>
                <w:highlight w:val="none"/>
                <w:lang w:val="en-US" w:eastAsia="zh-CN"/>
              </w:rPr>
              <w:t>2022-2030年</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环境影响报告书</w:t>
            </w:r>
            <w:r>
              <w:rPr>
                <w:rFonts w:hint="eastAsia" w:cs="Times New Roman"/>
                <w:smallCaps w:val="0"/>
                <w:color w:val="auto"/>
                <w:spacing w:val="0"/>
                <w:sz w:val="24"/>
                <w:szCs w:val="20"/>
                <w:highlight w:val="none"/>
                <w:lang w:val="en-US" w:eastAsia="zh-CN"/>
              </w:rPr>
              <w:t>的</w:t>
            </w:r>
            <w:r>
              <w:rPr>
                <w:rFonts w:hint="default" w:ascii="Times New Roman" w:hAnsi="Times New Roman" w:cs="Times New Roman"/>
                <w:smallCaps w:val="0"/>
                <w:color w:val="auto"/>
                <w:spacing w:val="0"/>
                <w:sz w:val="24"/>
                <w:szCs w:val="20"/>
                <w:highlight w:val="none"/>
              </w:rPr>
              <w:t>审查意见》冀环</w:t>
            </w:r>
            <w:r>
              <w:rPr>
                <w:rFonts w:hint="eastAsia" w:cs="Times New Roman"/>
                <w:smallCaps w:val="0"/>
                <w:color w:val="auto"/>
                <w:spacing w:val="0"/>
                <w:sz w:val="24"/>
                <w:szCs w:val="20"/>
                <w:highlight w:val="none"/>
                <w:lang w:val="en-US" w:eastAsia="zh-CN"/>
              </w:rPr>
              <w:t>环</w:t>
            </w:r>
            <w:r>
              <w:rPr>
                <w:rFonts w:hint="default" w:ascii="Times New Roman" w:hAnsi="Times New Roman" w:cs="Times New Roman"/>
                <w:smallCaps w:val="0"/>
                <w:color w:val="auto"/>
                <w:spacing w:val="0"/>
                <w:sz w:val="24"/>
                <w:szCs w:val="20"/>
                <w:highlight w:val="none"/>
              </w:rPr>
              <w:t>评函〔20</w:t>
            </w:r>
            <w:r>
              <w:rPr>
                <w:rFonts w:hint="eastAsia" w:cs="Times New Roman"/>
                <w:smallCaps w:val="0"/>
                <w:color w:val="auto"/>
                <w:spacing w:val="0"/>
                <w:sz w:val="24"/>
                <w:szCs w:val="20"/>
                <w:highlight w:val="none"/>
                <w:lang w:val="en-US" w:eastAsia="zh-CN"/>
              </w:rPr>
              <w:t>25</w:t>
            </w:r>
            <w:r>
              <w:rPr>
                <w:rFonts w:hint="default" w:ascii="Times New Roman" w:hAnsi="Times New Roman" w:cs="Times New Roman"/>
                <w:smallCaps w:val="0"/>
                <w:color w:val="auto"/>
                <w:spacing w:val="0"/>
                <w:sz w:val="24"/>
                <w:szCs w:val="20"/>
                <w:highlight w:val="none"/>
              </w:rPr>
              <w:t>〕</w:t>
            </w:r>
            <w:r>
              <w:rPr>
                <w:rFonts w:hint="eastAsia" w:cs="Times New Roman"/>
                <w:smallCaps w:val="0"/>
                <w:color w:val="auto"/>
                <w:spacing w:val="0"/>
                <w:sz w:val="24"/>
                <w:szCs w:val="20"/>
                <w:highlight w:val="none"/>
                <w:lang w:val="en-US" w:eastAsia="zh-CN"/>
              </w:rPr>
              <w:t>1318</w:t>
            </w:r>
            <w:r>
              <w:rPr>
                <w:rFonts w:hint="default" w:ascii="Times New Roman" w:hAnsi="Times New Roman" w:cs="Times New Roman"/>
                <w:smallCaps w:val="0"/>
                <w:color w:val="auto"/>
                <w:spacing w:val="0"/>
                <w:sz w:val="24"/>
                <w:szCs w:val="20"/>
                <w:highlight w:val="none"/>
              </w:rPr>
              <w:t>号</w:t>
            </w:r>
            <w:r>
              <w:rPr>
                <w:rFonts w:hint="default" w:ascii="Times New Roman" w:hAnsi="Times New Roman"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本项目与园区规划环评审查意见的相符性见表1-</w:t>
            </w:r>
            <w:r>
              <w:rPr>
                <w:rFonts w:hint="eastAsia" w:cs="Times New Roman"/>
                <w:smallCaps w:val="0"/>
                <w:color w:val="auto"/>
                <w:spacing w:val="0"/>
                <w:sz w:val="24"/>
                <w:szCs w:val="20"/>
                <w:highlight w:val="none"/>
                <w:lang w:val="en-US" w:eastAsia="zh-CN"/>
              </w:rPr>
              <w:t>7</w:t>
            </w:r>
            <w:r>
              <w:rPr>
                <w:rFonts w:hint="default" w:ascii="Times New Roman" w:hAnsi="Times New Roman" w:cs="Times New Roman"/>
                <w:smallCaps w:val="0"/>
                <w:color w:val="auto"/>
                <w:spacing w:val="0"/>
                <w:sz w:val="24"/>
                <w:szCs w:val="20"/>
                <w:highlight w:val="none"/>
              </w:rPr>
              <w:t>。</w:t>
            </w:r>
          </w:p>
          <w:p w14:paraId="06DAE625">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right="0"/>
              <w:jc w:val="center"/>
              <w:textAlignment w:val="auto"/>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b/>
                <w:bCs/>
                <w:smallCaps w:val="0"/>
                <w:color w:val="auto"/>
                <w:spacing w:val="0"/>
                <w:sz w:val="24"/>
                <w:szCs w:val="20"/>
                <w:highlight w:val="none"/>
              </w:rPr>
              <w:t>表1</w:t>
            </w:r>
            <w:r>
              <w:rPr>
                <w:rFonts w:hint="default" w:ascii="Times New Roman" w:hAnsi="Times New Roman" w:cs="Times New Roman"/>
                <w:b/>
                <w:bCs/>
                <w:smallCaps w:val="0"/>
                <w:color w:val="auto"/>
                <w:spacing w:val="0"/>
                <w:sz w:val="24"/>
                <w:szCs w:val="20"/>
                <w:highlight w:val="none"/>
                <w:lang w:val="en-US" w:eastAsia="zh-CN"/>
              </w:rPr>
              <w:t>-</w:t>
            </w:r>
            <w:r>
              <w:rPr>
                <w:rFonts w:hint="eastAsia" w:cs="Times New Roman"/>
                <w:b/>
                <w:bCs/>
                <w:smallCaps w:val="0"/>
                <w:color w:val="auto"/>
                <w:spacing w:val="0"/>
                <w:sz w:val="24"/>
                <w:szCs w:val="20"/>
                <w:highlight w:val="none"/>
                <w:lang w:val="en-US" w:eastAsia="zh-CN"/>
              </w:rPr>
              <w:t>7</w:t>
            </w:r>
            <w:r>
              <w:rPr>
                <w:rFonts w:hint="default" w:ascii="Times New Roman" w:hAnsi="Times New Roman" w:cs="Times New Roman"/>
                <w:b/>
                <w:bCs/>
                <w:smallCaps w:val="0"/>
                <w:color w:val="auto"/>
                <w:spacing w:val="0"/>
                <w:sz w:val="24"/>
                <w:szCs w:val="20"/>
                <w:highlight w:val="none"/>
              </w:rPr>
              <w:t xml:space="preserve">  本项目与规划环评审查意见的相符性</w:t>
            </w:r>
          </w:p>
          <w:tbl>
            <w:tblPr>
              <w:tblStyle w:val="4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4334"/>
              <w:gridCol w:w="2720"/>
              <w:gridCol w:w="571"/>
            </w:tblGrid>
            <w:tr w14:paraId="40DF9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trPr>
              <w:tc>
                <w:tcPr>
                  <w:tcW w:w="2841" w:type="pct"/>
                  <w:noWrap w:val="0"/>
                  <w:vAlign w:val="center"/>
                </w:tcPr>
                <w:p w14:paraId="6FC22AF2">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园区环评批复要求</w:t>
                  </w:r>
                </w:p>
              </w:tc>
              <w:tc>
                <w:tcPr>
                  <w:tcW w:w="1783" w:type="pct"/>
                  <w:noWrap w:val="0"/>
                  <w:vAlign w:val="center"/>
                </w:tcPr>
                <w:p w14:paraId="18D32F6B">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本项目情况</w:t>
                  </w:r>
                </w:p>
              </w:tc>
              <w:tc>
                <w:tcPr>
                  <w:tcW w:w="374" w:type="pct"/>
                  <w:noWrap w:val="0"/>
                  <w:vAlign w:val="center"/>
                </w:tcPr>
                <w:p w14:paraId="00D4FCE0">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相符性</w:t>
                  </w:r>
                </w:p>
              </w:tc>
            </w:tr>
            <w:tr w14:paraId="103D7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841" w:type="pct"/>
                  <w:noWrap w:val="0"/>
                  <w:vAlign w:val="center"/>
                </w:tcPr>
                <w:p w14:paraId="208065FC">
                  <w:pPr>
                    <w:pStyle w:val="60"/>
                    <w:keepNext w:val="0"/>
                    <w:keepLines w:val="0"/>
                    <w:suppressLineNumbers w:val="0"/>
                    <w:shd w:val="clear" w:color="auto" w:fill="auto"/>
                    <w:adjustRightInd/>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一、河北石家庄矿区工业园区</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以下简称园区</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位于石家庄市井陉矿区，为省政府批准设立的省级开发区，批复面积16.25平方公里</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城镇开发边界内10.95平方公里、城镇开发边界外5.30平方公里</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。你单位编制了《河北石家庄矿区工业园区总体发展规划</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2022-2030年</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以下简称《规划》</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规划》总面积1775.19公顷，其中省政府批复面积16.25平方公里，并延城镇开发边界内的范围适当外延150.19公顷，设置石钢片区、天汇片区、丰达片区和融合片区4个产业片区以及远景发展区，以特钢上下游、高端装备制造、新材料为主导产业。规划近期至2025年、远期至2030年。《报告书》在梳理园区发展历程、开展环境现状调查和回顾性评价的基础上，分析《规划》与相关规划的协调性，识别《规划》实施的主要资源环境制约因素，预测评价《规划》实施对大气环境、水环境、声环境、土壤环境、生态环境等多方面的影响，开展了碳排放评价、环境风险评价、公众参与等工作，论证《规划》方案的环境合理性，提出《规划》优化调整建议和减缓不良环境影响的对策措施。《报告书》基础资料较翔实，采用的技术路线和方法适当，对主要环境影响的预测分析结果基本合理，提出的《规划》优化调整建议和减缓不良环境影响的对策措施基本可行，评价结论总体可信。</w:t>
                  </w:r>
                </w:p>
              </w:tc>
              <w:tc>
                <w:tcPr>
                  <w:tcW w:w="1783" w:type="pct"/>
                  <w:noWrap w:val="0"/>
                  <w:vAlign w:val="center"/>
                </w:tcPr>
                <w:p w14:paraId="153777B3">
                  <w:pPr>
                    <w:keepNext w:val="0"/>
                    <w:keepLines w:val="0"/>
                    <w:suppressLineNumbers w:val="0"/>
                    <w:shd w:val="clear" w:color="auto" w:fill="auto"/>
                    <w:autoSpaceDE w:val="0"/>
                    <w:autoSpaceDN w:val="0"/>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本项目为其他通用零部件制造、金属表面处理及热处理加工项目，项目年生产钻杆25万吨、车轴37万吨，属于围绕石钢生产的钻杆、车轴，位于园区石钢片区范围内</w:t>
                  </w:r>
                  <w:r>
                    <w:rPr>
                      <w:rFonts w:hint="eastAsia" w:cs="Times New Roman"/>
                      <w:smallCaps w:val="0"/>
                      <w:color w:val="auto"/>
                      <w:spacing w:val="0"/>
                      <w:sz w:val="21"/>
                      <w:szCs w:val="21"/>
                      <w:highlight w:val="none"/>
                      <w:lang w:eastAsia="zh-CN"/>
                    </w:rPr>
                    <w:t>，</w:t>
                  </w:r>
                  <w:r>
                    <w:rPr>
                      <w:rFonts w:hint="eastAsia" w:cs="Times New Roman"/>
                      <w:smallCaps w:val="0"/>
                      <w:color w:val="auto"/>
                      <w:spacing w:val="0"/>
                      <w:sz w:val="21"/>
                      <w:szCs w:val="21"/>
                      <w:highlight w:val="none"/>
                      <w:lang w:val="en-US" w:eastAsia="zh-CN"/>
                    </w:rPr>
                    <w:t>符合园区产业布局</w:t>
                  </w:r>
                  <w:r>
                    <w:rPr>
                      <w:rFonts w:hint="default" w:ascii="Times New Roman" w:hAnsi="Times New Roman" w:eastAsia="宋体" w:cs="Times New Roman"/>
                      <w:smallCaps w:val="0"/>
                      <w:color w:val="auto"/>
                      <w:spacing w:val="0"/>
                      <w:sz w:val="21"/>
                      <w:szCs w:val="21"/>
                      <w:highlight w:val="none"/>
                    </w:rPr>
                    <w:t>。</w:t>
                  </w:r>
                </w:p>
              </w:tc>
              <w:tc>
                <w:tcPr>
                  <w:tcW w:w="374" w:type="pct"/>
                  <w:noWrap w:val="0"/>
                  <w:vAlign w:val="center"/>
                </w:tcPr>
                <w:p w14:paraId="767E9BB2">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w:t>
                  </w:r>
                </w:p>
              </w:tc>
            </w:tr>
            <w:tr w14:paraId="1DAD3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841" w:type="pct"/>
                  <w:noWrap w:val="0"/>
                  <w:vAlign w:val="center"/>
                </w:tcPr>
                <w:p w14:paraId="52BE5EA1">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二、区域为环境空气质量不达标区。园区位于石家庄市岗南、黄壁庄水库集中式饮用水水源保护区准保护区内，规划范围内涉及石家庄市井陉矿区集中式饮用水水源地一级保护区，石家庄市岗南、黄壁庄水库集中式饮用水水源保护区二级保护区、文物保护单位、居住区、南寨水库</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I类</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、红旗水库</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I类</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、基本农田等环境保护目标，评价范围内涉及清凉山省级风景名胜区、清凉湾省级湿地公园、矿区主城区、长岗沟</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I类</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、冶河</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I类</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生态保护红线</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太行山土壤保持水源涵养功能区</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等环境保护目标。总体上，区域空间布局、水环境、大气环境、生态环境较敏感。因此，规划实施过程中应依据《报告书》及审查意见，进一步优化《规划》，强化各项环境保护对策和措施的落实，有效预防和减缓对生态环境可能带来的不良影响。</w:t>
                  </w:r>
                </w:p>
              </w:tc>
              <w:tc>
                <w:tcPr>
                  <w:tcW w:w="1783" w:type="pct"/>
                  <w:noWrap w:val="0"/>
                  <w:vAlign w:val="center"/>
                </w:tcPr>
                <w:p w14:paraId="263EDCA1">
                  <w:pPr>
                    <w:keepNext w:val="0"/>
                    <w:keepLines w:val="0"/>
                    <w:widowControl/>
                    <w:suppressLineNumbers w:val="0"/>
                    <w:shd w:val="clear" w:color="auto" w:fill="auto"/>
                    <w:tabs>
                      <w:tab w:val="center" w:pos="4201"/>
                      <w:tab w:val="right" w:leader="dot" w:pos="9298"/>
                    </w:tabs>
                    <w:autoSpaceDE w:val="0"/>
                    <w:autoSpaceDN w:val="0"/>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本项目为配套石钢的钻杆、车轴加工项目，位于园区石钢片区，符合园区产业布局。项目选址位于饮用水水源准保护区，不涉及饮用水水源一级、二级保护区、生态保护红线、风景名胜区及基本农田。项目将严格遵照规划环评报告书及审查意见要求，进一步优化厂区平面布局，针对金属表面处理等高风险工序落实生产废水闭路循环回用、分区防渗、初期雨水及事故废水收集应急措施，严防污染周边Ⅰ类地表水体与饮用水水源保护区；同步完善废气治理，落实大气污染物总量管控，做好噪声、固废及生态保护工作，有效预防和减缓项目建设运营对区域生态环境产生不利影响。在此基础上，项目建设符合规划环评审查意见相关要求。</w:t>
                  </w:r>
                </w:p>
              </w:tc>
              <w:tc>
                <w:tcPr>
                  <w:tcW w:w="374" w:type="pct"/>
                  <w:noWrap w:val="0"/>
                  <w:vAlign w:val="center"/>
                </w:tcPr>
                <w:p w14:paraId="24221D41">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w:t>
                  </w:r>
                </w:p>
              </w:tc>
            </w:tr>
            <w:tr w14:paraId="05877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841" w:type="pct"/>
                  <w:noWrap w:val="0"/>
                  <w:vAlign w:val="center"/>
                </w:tcPr>
                <w:p w14:paraId="660B8776">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default" w:ascii="Times New Roman" w:hAnsi="Times New Roman" w:eastAsia="宋体" w:cs="Times New Roman"/>
                      <w:smallCaps w:val="0"/>
                      <w:color w:val="auto"/>
                      <w:spacing w:val="0"/>
                      <w:kern w:val="0"/>
                      <w:sz w:val="21"/>
                      <w:szCs w:val="21"/>
                      <w:highlight w:val="none"/>
                      <w:lang w:eastAsia="zh-CN" w:bidi="ar"/>
                    </w:rPr>
                    <w:t>三、对《规划》优化调整和实施过程中的意见</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一</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落实国家及区域发展战略，坚持生态优先、提质增效，以生态环境质量改善为核心，做好与各级国土空间规划和生态环境分区管控体系的协调衔接，进一步优化《规划》布局、产业定位和发展规模。</w:t>
                  </w:r>
                </w:p>
                <w:p w14:paraId="19A684DD">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二</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推进园区绿色低碳转型发展，实现减污降碳协同增效目标。根据国家、地方碳减排和碳达峰行动方案及路径要求，进一步优化园区能源结构、交通运输方式等《规划》内容。</w:t>
                  </w:r>
                </w:p>
                <w:p w14:paraId="57FE4587">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三</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严格空间管控要求，进一步优化园区功能、空间布局。城镇开发边界外区域，在规划期内维持现状不变。教育文化科研区、绿地禁止开展其他无关建设活动，园区规划实施过程中应严格遵守《中华人民共和国文物保护法》相关要求。落实《报告书》提出的空间布局引导和管控要求，优化工业、居住等各类用地的空间分布和产业的梯级布局，严格涉风险源企业管理，确保人居环境安全。</w:t>
                  </w:r>
                </w:p>
                <w:p w14:paraId="76703526">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四</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严守环境质量底线，强化污染物排放总量管控。强化现有及入区企业污染治理设施及环境管理水平，严格落实《报告书》提出的污染物减排方案及总量管控要求，确保区域环境质量持续改善。强化涉重废水污染治理，电镀工序废水经车间处理达标后全部回用，不外排。严格落实《关于加强重点行业建设项目区域削减措施监督管理的通知》相关要求。</w:t>
                  </w:r>
                </w:p>
                <w:p w14:paraId="13D0B587">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五</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严格入区项目生态环境准入，推动绿色低碳高质量发展。严格落实《报告书》提出的园区生态环境准入要求及现有企业环境管理要求。园区严禁新增</w:t>
                  </w:r>
                  <w:r>
                    <w:rPr>
                      <w:rFonts w:hint="eastAsia"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两高</w:t>
                  </w:r>
                  <w:r>
                    <w:rPr>
                      <w:rFonts w:hint="eastAsia"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项目、危险废物集中贮存处置项目及电镀、酸洗、碱洗、磷化等专门从事表面处理的项目入驻，现有钢铁和水泥规模不得增加。不断提高现有及在建企业清洁生产水平，促进园区产业转型升级与生态环境保护、人居环境安全相协调。</w:t>
                  </w:r>
                </w:p>
                <w:p w14:paraId="6946D475">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六</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统筹基础设施建设，严格落实《报告书》提出的建设内容及时限。加快南寨地表水厂建设进度，逐步替代企业自备水井。根据开发利用情况逐步完善再生水管网布局，扩大再生水管网覆盖范围，充分利用再生水资源。园区企业根据行业特点充分利用生产余热为主力热源，天然气、电能等清洁能源为补充，禁止企业自建燃煤供热锅炉。</w:t>
                  </w:r>
                </w:p>
                <w:p w14:paraId="7D306541">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七</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优化运输方式，落实应急运输响应方案。园区应进一步提高铁路运输及清洁能源汽车比例，减轻运输产生的不利环境影响。结合秋冬行业错峰生产和重污染天气应急响应要求，在黄色及以上重污染天气预警期间，重点用车企业实施应急运输响应。</w:t>
                  </w:r>
                </w:p>
                <w:p w14:paraId="4E9CAABB">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八</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健全完善环境监测体系，强化环境风险防范。健全完善包括环境空气、地表水、地下水、土壤等环境要素的监控体系</w:t>
                  </w:r>
                  <w:r>
                    <w:rPr>
                      <w:rFonts w:hint="eastAsia" w:ascii="Times New Roman" w:hAnsi="Times New Roman" w:eastAsia="宋体" w:cs="Times New Roman"/>
                      <w:smallCaps w:val="0"/>
                      <w:color w:val="auto"/>
                      <w:spacing w:val="0"/>
                      <w:kern w:val="0"/>
                      <w:sz w:val="21"/>
                      <w:szCs w:val="21"/>
                      <w:highlight w:val="none"/>
                      <w:lang w:eastAsia="zh-CN" w:bidi="ar"/>
                    </w:rPr>
                    <w:t>；</w:t>
                  </w:r>
                  <w:r>
                    <w:rPr>
                      <w:rFonts w:hint="default" w:ascii="Times New Roman" w:hAnsi="Times New Roman" w:eastAsia="宋体" w:cs="Times New Roman"/>
                      <w:smallCaps w:val="0"/>
                      <w:color w:val="auto"/>
                      <w:spacing w:val="0"/>
                      <w:kern w:val="0"/>
                      <w:sz w:val="21"/>
                      <w:szCs w:val="21"/>
                      <w:highlight w:val="none"/>
                      <w:lang w:eastAsia="zh-CN" w:bidi="ar"/>
                    </w:rPr>
                    <w:t>强化园区风险防控体系的建立，健全应急响应联动机制。严格落实《报告书》提出的各项环境风险防控措施，加强园区与周边敏感区环境风险防范设施建设，提升环境风险防控和应急响应能力，保障区域环境安全。</w:t>
                  </w:r>
                </w:p>
              </w:tc>
              <w:tc>
                <w:tcPr>
                  <w:tcW w:w="1783" w:type="pct"/>
                  <w:noWrap w:val="0"/>
                  <w:vAlign w:val="center"/>
                </w:tcPr>
                <w:p w14:paraId="6BECC730">
                  <w:pPr>
                    <w:keepNext w:val="0"/>
                    <w:keepLines w:val="0"/>
                    <w:widowControl/>
                    <w:suppressLineNumbers w:val="0"/>
                    <w:shd w:val="clear" w:color="auto" w:fill="auto"/>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kern w:val="0"/>
                      <w:sz w:val="21"/>
                      <w:szCs w:val="21"/>
                      <w:highlight w:val="none"/>
                      <w:lang w:val="en-US" w:eastAsia="zh-CN" w:bidi="ar"/>
                    </w:rPr>
                  </w:pPr>
                  <w:r>
                    <w:rPr>
                      <w:rFonts w:hint="eastAsia" w:ascii="Times New Roman" w:hAnsi="Times New Roman" w:eastAsia="宋体" w:cs="Times New Roman"/>
                      <w:smallCaps w:val="0"/>
                      <w:color w:val="auto"/>
                      <w:spacing w:val="0"/>
                      <w:kern w:val="0"/>
                      <w:sz w:val="21"/>
                      <w:szCs w:val="21"/>
                      <w:highlight w:val="none"/>
                      <w:lang w:val="en-US" w:eastAsia="zh-CN" w:bidi="ar"/>
                    </w:rPr>
                    <w:t>1.项目为石钢配套钻杆、车轴零部件加工项目，选址位于园区石钢规划工业片区；2.项目生产使用电能，为清洁能源，配套节能设施降低能耗；物料运输优先采用新能源车辆；3.项目选址为规划工业用地，不占用科研教育用地、绿地，不涉及文物保护范围；厂区通过合理布局，与居住区保持合理防护距离，强化风险管控；4.本项目符合环境质量底线要求。采取合理可行的污染治理设施，提升环境管理水平。项目不涉及涉重废水，不涉及电镀。不属于需要区域削减的重</w:t>
                  </w:r>
                </w:p>
                <w:p w14:paraId="481ED162">
                  <w:pPr>
                    <w:keepNext w:val="0"/>
                    <w:keepLines w:val="0"/>
                    <w:widowControl/>
                    <w:suppressLineNumbers w:val="0"/>
                    <w:shd w:val="clear" w:color="auto" w:fill="auto"/>
                    <w:spacing w:before="0" w:beforeAutospacing="0" w:after="0" w:afterAutospacing="0" w:line="280" w:lineRule="exact"/>
                    <w:ind w:left="0" w:right="0"/>
                    <w:jc w:val="center"/>
                    <w:rPr>
                      <w:rFonts w:hint="eastAsia" w:ascii="Times New Roman" w:hAnsi="Times New Roman" w:eastAsia="宋体" w:cs="Times New Roman"/>
                      <w:smallCaps w:val="0"/>
                      <w:color w:val="auto"/>
                      <w:spacing w:val="0"/>
                      <w:kern w:val="0"/>
                      <w:sz w:val="21"/>
                      <w:szCs w:val="21"/>
                      <w:highlight w:val="none"/>
                      <w:lang w:val="en-US" w:eastAsia="zh-CN" w:bidi="ar"/>
                    </w:rPr>
                  </w:pPr>
                  <w:r>
                    <w:rPr>
                      <w:rFonts w:hint="eastAsia" w:ascii="Times New Roman" w:hAnsi="Times New Roman" w:eastAsia="宋体" w:cs="Times New Roman"/>
                      <w:smallCaps w:val="0"/>
                      <w:color w:val="auto"/>
                      <w:spacing w:val="0"/>
                      <w:kern w:val="0"/>
                      <w:sz w:val="21"/>
                      <w:szCs w:val="21"/>
                      <w:highlight w:val="none"/>
                      <w:lang w:val="en-US" w:eastAsia="zh-CN" w:bidi="ar"/>
                    </w:rPr>
                    <w:t xml:space="preserve">点行业；5.项目不属于新增 </w:t>
                  </w:r>
                  <w:r>
                    <w:rPr>
                      <w:rFonts w:hint="eastAsia" w:cs="Times New Roman"/>
                      <w:smallCaps w:val="0"/>
                      <w:color w:val="auto"/>
                      <w:spacing w:val="0"/>
                      <w:kern w:val="0"/>
                      <w:sz w:val="21"/>
                      <w:szCs w:val="21"/>
                      <w:highlight w:val="none"/>
                      <w:lang w:val="en-US" w:eastAsia="zh-CN" w:bidi="ar"/>
                    </w:rPr>
                    <w:t>“</w:t>
                  </w:r>
                  <w:r>
                    <w:rPr>
                      <w:rFonts w:hint="eastAsia" w:ascii="Times New Roman" w:hAnsi="Times New Roman" w:eastAsia="宋体" w:cs="Times New Roman"/>
                      <w:smallCaps w:val="0"/>
                      <w:color w:val="auto"/>
                      <w:spacing w:val="0"/>
                      <w:kern w:val="0"/>
                      <w:sz w:val="21"/>
                      <w:szCs w:val="21"/>
                      <w:highlight w:val="none"/>
                      <w:lang w:val="en-US" w:eastAsia="zh-CN" w:bidi="ar"/>
                    </w:rPr>
                    <w:t>两高</w:t>
                  </w:r>
                  <w:r>
                    <w:rPr>
                      <w:rFonts w:hint="eastAsia" w:cs="Times New Roman"/>
                      <w:smallCaps w:val="0"/>
                      <w:color w:val="auto"/>
                      <w:spacing w:val="0"/>
                      <w:kern w:val="0"/>
                      <w:sz w:val="21"/>
                      <w:szCs w:val="21"/>
                      <w:highlight w:val="none"/>
                      <w:lang w:val="en-US" w:eastAsia="zh-CN" w:bidi="ar"/>
                    </w:rPr>
                    <w:t>”</w:t>
                  </w:r>
                  <w:r>
                    <w:rPr>
                      <w:rFonts w:hint="eastAsia" w:ascii="Times New Roman" w:hAnsi="Times New Roman" w:eastAsia="宋体" w:cs="Times New Roman"/>
                      <w:smallCaps w:val="0"/>
                      <w:color w:val="auto"/>
                      <w:spacing w:val="0"/>
                      <w:kern w:val="0"/>
                      <w:sz w:val="21"/>
                      <w:szCs w:val="21"/>
                      <w:highlight w:val="none"/>
                      <w:lang w:val="en-US" w:eastAsia="zh-CN" w:bidi="ar"/>
                    </w:rPr>
                    <w:t xml:space="preserve"> 项目，不建设危废集中处置设施；表面处理为自产钻杆、车轴配套工序，不属于独立对外经营的专业表面处理项目，不新增钢铁产能，采用先进工艺提升清洁生产水平，满足园区准入要求，符合本条意见；6.项目用水由园区供水管网提供，厂区无自备水井；项目生产生活均采用电加热，不涉及自建燃煤供热锅炉；7.本项目运营期优化运输</w:t>
                  </w:r>
                </w:p>
                <w:p w14:paraId="274DAED0">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val="en-US" w:eastAsia="zh-CN" w:bidi="ar"/>
                    </w:rPr>
                  </w:pPr>
                  <w:r>
                    <w:rPr>
                      <w:rFonts w:hint="eastAsia" w:ascii="Times New Roman" w:hAnsi="Times New Roman" w:eastAsia="宋体" w:cs="Times New Roman"/>
                      <w:smallCaps w:val="0"/>
                      <w:color w:val="auto"/>
                      <w:spacing w:val="0"/>
                      <w:kern w:val="0"/>
                      <w:sz w:val="21"/>
                      <w:szCs w:val="21"/>
                      <w:highlight w:val="none"/>
                      <w:lang w:val="en-US" w:eastAsia="zh-CN" w:bidi="ar"/>
                    </w:rPr>
                    <w:t>方式，落实应急运输响应方案，落实秋冬行业错峰生产和重污染天气应急响应等相关要求；8.本项目建立自行监测计划并严格落实，落实园区环境风险防范相关要求。</w:t>
                  </w:r>
                </w:p>
              </w:tc>
              <w:tc>
                <w:tcPr>
                  <w:tcW w:w="374" w:type="pct"/>
                  <w:noWrap w:val="0"/>
                  <w:vAlign w:val="center"/>
                </w:tcPr>
                <w:p w14:paraId="3BB05C45">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符合</w:t>
                  </w:r>
                </w:p>
              </w:tc>
            </w:tr>
            <w:tr w14:paraId="5D333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c>
                <w:tcPr>
                  <w:tcW w:w="2841" w:type="pct"/>
                  <w:noWrap w:val="0"/>
                  <w:vAlign w:val="center"/>
                </w:tcPr>
                <w:p w14:paraId="3751DE24">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default" w:ascii="Times New Roman" w:hAnsi="Times New Roman" w:eastAsia="宋体" w:cs="Times New Roman"/>
                      <w:smallCaps w:val="0"/>
                      <w:color w:val="auto"/>
                      <w:spacing w:val="0"/>
                      <w:kern w:val="0"/>
                      <w:sz w:val="21"/>
                      <w:szCs w:val="21"/>
                      <w:highlight w:val="none"/>
                      <w:lang w:eastAsia="zh-CN" w:bidi="ar"/>
                    </w:rPr>
                    <w:t>四、拟入区建设项目应加强与规划环评联动，结合规划环评相关要求，做好建设项目环境影响评价工作。加强与规划环评的联动，严格项目生态环境准入条件，重点开展工程分析、污染物允许排放量测算和环保措施的可行性论证等工作，强化生态环境保护相关措施的落实。规划环评中协调性分析、环境现状、污染源调查等符合要求的资料可供建设项目环评共享，建设项目环评相应评价内容可结合实际情况予以适当简化。</w:t>
                  </w:r>
                </w:p>
              </w:tc>
              <w:tc>
                <w:tcPr>
                  <w:tcW w:w="1783" w:type="pct"/>
                  <w:noWrap w:val="0"/>
                  <w:vAlign w:val="center"/>
                </w:tcPr>
                <w:p w14:paraId="1F1F1677">
                  <w:pPr>
                    <w:keepNext w:val="0"/>
                    <w:keepLines w:val="0"/>
                    <w:widowControl/>
                    <w:suppressLineNumbers w:val="0"/>
                    <w:shd w:val="clear" w:color="auto" w:fill="auto"/>
                    <w:spacing w:before="0" w:beforeAutospacing="0" w:after="0" w:afterAutospacing="0" w:line="280" w:lineRule="exact"/>
                    <w:ind w:left="0" w:right="0"/>
                    <w:jc w:val="center"/>
                    <w:rPr>
                      <w:rFonts w:hint="default" w:ascii="Times New Roman" w:hAnsi="Times New Roman" w:eastAsia="宋体" w:cs="Times New Roman"/>
                      <w:smallCaps w:val="0"/>
                      <w:color w:val="auto"/>
                      <w:spacing w:val="0"/>
                      <w:kern w:val="0"/>
                      <w:sz w:val="21"/>
                      <w:szCs w:val="21"/>
                      <w:highlight w:val="none"/>
                      <w:lang w:eastAsia="zh-CN" w:bidi="ar"/>
                    </w:rPr>
                  </w:pPr>
                  <w:r>
                    <w:rPr>
                      <w:rFonts w:hint="eastAsia" w:ascii="Times New Roman" w:hAnsi="Times New Roman" w:eastAsia="宋体" w:cs="Times New Roman"/>
                      <w:smallCaps w:val="0"/>
                      <w:color w:val="auto"/>
                      <w:spacing w:val="0"/>
                      <w:kern w:val="0"/>
                      <w:sz w:val="21"/>
                      <w:szCs w:val="21"/>
                      <w:highlight w:val="none"/>
                      <w:lang w:val="en-US" w:eastAsia="zh-CN" w:bidi="ar"/>
                    </w:rPr>
                    <w:t>本项目环符合与规划环评联栋的相关规定。</w:t>
                  </w:r>
                </w:p>
              </w:tc>
              <w:tc>
                <w:tcPr>
                  <w:tcW w:w="374" w:type="pct"/>
                  <w:noWrap w:val="0"/>
                  <w:vAlign w:val="center"/>
                </w:tcPr>
                <w:p w14:paraId="1A180FAF">
                  <w:pPr>
                    <w:pStyle w:val="60"/>
                    <w:keepNext w:val="0"/>
                    <w:keepLines w:val="0"/>
                    <w:suppressLineNumbers w:val="0"/>
                    <w:shd w:val="clear" w:color="auto" w:fill="auto"/>
                    <w:adjustRightInd/>
                    <w:spacing w:before="0" w:beforeAutospacing="0" w:after="0" w:afterAutospacing="0"/>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w:t>
                  </w:r>
                </w:p>
              </w:tc>
            </w:tr>
          </w:tbl>
          <w:p w14:paraId="377364EE">
            <w:pPr>
              <w:keepNext w:val="0"/>
              <w:keepLines w:val="0"/>
              <w:pageBreakBefore w:val="0"/>
              <w:suppressLineNumbers w:val="0"/>
              <w:shd w:val="clear" w:color="auto" w:fill="auto"/>
              <w:kinsoku/>
              <w:wordWrap/>
              <w:overflowPunct/>
              <w:topLinePunct w:val="0"/>
              <w:bidi w:val="0"/>
              <w:adjustRightInd/>
              <w:snapToGrid/>
              <w:spacing w:before="0" w:beforeAutospacing="0" w:after="0" w:afterAutospacing="0" w:line="440" w:lineRule="exact"/>
              <w:ind w:left="0" w:leftChars="0" w:right="0" w:rightChars="0" w:firstLine="480" w:firstLineChars="200"/>
              <w:textAlignment w:val="auto"/>
              <w:rPr>
                <w:rFonts w:hint="default" w:ascii="Times New Roman" w:hAnsi="Times New Roman" w:eastAsia="宋体" w:cs="Times New Roman"/>
                <w:smallCaps w:val="0"/>
                <w:color w:val="auto"/>
                <w:spacing w:val="0"/>
                <w:kern w:val="2"/>
                <w:sz w:val="24"/>
                <w:szCs w:val="20"/>
                <w:highlight w:val="none"/>
                <w:lang w:val="en-US" w:eastAsia="zh-CN" w:bidi="ar-SA"/>
              </w:rPr>
            </w:pPr>
            <w:r>
              <w:rPr>
                <w:rFonts w:hint="default" w:ascii="Times New Roman" w:hAnsi="Times New Roman" w:cs="Times New Roman"/>
                <w:bCs/>
                <w:smallCaps w:val="0"/>
                <w:color w:val="auto"/>
                <w:spacing w:val="0"/>
                <w:sz w:val="24"/>
                <w:szCs w:val="24"/>
                <w:highlight w:val="none"/>
              </w:rPr>
              <w:t>综上所述</w:t>
            </w:r>
            <w:r>
              <w:rPr>
                <w:rFonts w:hint="default" w:ascii="Times New Roman" w:hAnsi="Times New Roman" w:cs="Times New Roman"/>
                <w:bCs/>
                <w:smallCaps w:val="0"/>
                <w:color w:val="auto"/>
                <w:spacing w:val="0"/>
                <w:sz w:val="24"/>
                <w:szCs w:val="24"/>
                <w:highlight w:val="none"/>
                <w:lang w:eastAsia="zh-CN"/>
              </w:rPr>
              <w:t>，</w:t>
            </w:r>
            <w:r>
              <w:rPr>
                <w:rFonts w:hint="default" w:ascii="Times New Roman" w:hAnsi="Times New Roman" w:cs="Times New Roman"/>
                <w:bCs/>
                <w:smallCaps w:val="0"/>
                <w:color w:val="auto"/>
                <w:spacing w:val="0"/>
                <w:sz w:val="24"/>
                <w:szCs w:val="24"/>
                <w:highlight w:val="none"/>
              </w:rPr>
              <w:t>本项目位于河北石家庄矿区工业园区总体</w:t>
            </w:r>
            <w:r>
              <w:rPr>
                <w:rFonts w:hint="eastAsia" w:cs="Times New Roman"/>
                <w:bCs/>
                <w:smallCaps w:val="0"/>
                <w:color w:val="auto"/>
                <w:spacing w:val="0"/>
                <w:sz w:val="24"/>
                <w:szCs w:val="24"/>
                <w:highlight w:val="none"/>
                <w:lang w:val="en-US" w:eastAsia="zh-CN"/>
              </w:rPr>
              <w:t>发展</w:t>
            </w:r>
            <w:r>
              <w:rPr>
                <w:rFonts w:hint="default" w:ascii="Times New Roman" w:hAnsi="Times New Roman" w:cs="Times New Roman"/>
                <w:bCs/>
                <w:smallCaps w:val="0"/>
                <w:color w:val="auto"/>
                <w:spacing w:val="0"/>
                <w:sz w:val="24"/>
                <w:szCs w:val="24"/>
                <w:highlight w:val="none"/>
              </w:rPr>
              <w:t>规划范围内；项目符合工业园区的产业定位和产业布局规划；项目占地符合园区土地利用规划；园区公共基础设施满足项目建设需求；项目符合园区规划、规划环评结论及审查意见要求。</w:t>
            </w:r>
          </w:p>
        </w:tc>
      </w:tr>
      <w:tr w14:paraId="12FC93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26" w:type="pct"/>
            <w:vAlign w:val="center"/>
          </w:tcPr>
          <w:p w14:paraId="7C100DC1">
            <w:pPr>
              <w:pStyle w:val="172"/>
              <w:keepNext w:val="0"/>
              <w:keepLines w:val="0"/>
              <w:suppressLineNumbers w:val="0"/>
              <w:spacing w:before="0" w:beforeAutospacing="0" w:after="0" w:afterAutospacing="0"/>
              <w:ind w:left="0" w:right="0" w:firstLine="0" w:firstLineChars="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其他符合性分析</w:t>
            </w:r>
          </w:p>
        </w:tc>
        <w:tc>
          <w:tcPr>
            <w:tcW w:w="4173" w:type="pct"/>
            <w:gridSpan w:val="3"/>
            <w:vAlign w:val="center"/>
          </w:tcPr>
          <w:p w14:paraId="46FAEED6">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1、产业政策符合性分析</w:t>
            </w:r>
          </w:p>
          <w:p w14:paraId="67C9D37B">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（1）对照《</w:t>
            </w:r>
            <w:r>
              <w:rPr>
                <w:rFonts w:hint="eastAsia" w:cs="Times New Roman"/>
                <w:smallCaps w:val="0"/>
                <w:color w:val="auto"/>
                <w:spacing w:val="0"/>
                <w:highlight w:val="none"/>
                <w:lang w:eastAsia="zh-CN"/>
              </w:rPr>
              <w:t>市场准入负面清单（2025年版）</w:t>
            </w:r>
            <w:r>
              <w:rPr>
                <w:rFonts w:hint="default" w:ascii="Times New Roman" w:hAnsi="Times New Roman" w:cs="Times New Roman"/>
                <w:smallCaps w:val="0"/>
                <w:color w:val="auto"/>
                <w:spacing w:val="0"/>
                <w:highlight w:val="none"/>
              </w:rPr>
              <w:t>》（</w:t>
            </w:r>
            <w:r>
              <w:rPr>
                <w:rFonts w:hint="eastAsia" w:cs="Times New Roman"/>
                <w:smallCaps w:val="0"/>
                <w:color w:val="auto"/>
                <w:spacing w:val="0"/>
                <w:highlight w:val="none"/>
                <w:lang w:eastAsia="zh-CN"/>
              </w:rPr>
              <w:t>发改体改规（2025）466号</w:t>
            </w:r>
            <w:r>
              <w:rPr>
                <w:rFonts w:hint="default" w:ascii="Times New Roman" w:hAnsi="Times New Roman" w:cs="Times New Roman"/>
                <w:smallCaps w:val="0"/>
                <w:color w:val="auto"/>
                <w:spacing w:val="0"/>
                <w:highlight w:val="none"/>
              </w:rPr>
              <w:t>）中相关规定</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项目不属于禁止</w:t>
            </w:r>
            <w:r>
              <w:rPr>
                <w:rFonts w:hint="eastAsia" w:cs="Times New Roman"/>
                <w:smallCaps w:val="0"/>
                <w:color w:val="auto"/>
                <w:spacing w:val="0"/>
                <w:highlight w:val="none"/>
                <w:lang w:val="en-US" w:eastAsia="zh-CN"/>
              </w:rPr>
              <w:t>准入</w:t>
            </w:r>
            <w:r>
              <w:rPr>
                <w:rFonts w:hint="default" w:ascii="Times New Roman" w:hAnsi="Times New Roman" w:cs="Times New Roman"/>
                <w:smallCaps w:val="0"/>
                <w:color w:val="auto"/>
                <w:spacing w:val="0"/>
                <w:highlight w:val="none"/>
              </w:rPr>
              <w:t>类项目</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符合要求；</w:t>
            </w:r>
          </w:p>
          <w:p w14:paraId="168401D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（2）对照</w:t>
            </w:r>
            <w:r>
              <w:rPr>
                <w:rFonts w:hint="eastAsia" w:cs="Times New Roman"/>
                <w:smallCaps w:val="0"/>
                <w:color w:val="auto"/>
                <w:spacing w:val="0"/>
                <w:highlight w:val="none"/>
                <w:lang w:eastAsia="zh-CN"/>
              </w:rPr>
              <w:t>《产业结构调整指导目录（2024年本）》</w:t>
            </w:r>
            <w:r>
              <w:rPr>
                <w:rFonts w:hint="default" w:ascii="Times New Roman" w:hAnsi="Times New Roman" w:cs="Times New Roman"/>
                <w:smallCaps w:val="0"/>
                <w:color w:val="auto"/>
                <w:spacing w:val="0"/>
                <w:highlight w:val="none"/>
              </w:rPr>
              <w:t>中相关规定</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项目不属于鼓励类、限制类、淘汰类项目</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lang w:val="en-US" w:eastAsia="zh-CN"/>
              </w:rPr>
              <w:t>为允许类建设项目</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符合要求；</w:t>
            </w:r>
          </w:p>
          <w:p w14:paraId="3B2A2E93">
            <w:pPr>
              <w:pStyle w:val="172"/>
              <w:keepNext w:val="0"/>
              <w:keepLines w:val="0"/>
              <w:suppressLineNumbers w:val="0"/>
              <w:spacing w:before="0" w:beforeAutospacing="0" w:after="0" w:afterAutospacing="0"/>
              <w:ind w:left="0" w:right="0" w:firstLine="480"/>
              <w:rPr>
                <w:rFonts w:hint="eastAsia" w:cs="Times New Roman"/>
                <w:smallCaps w:val="0"/>
                <w:color w:val="auto"/>
                <w:spacing w:val="0"/>
                <w:highlight w:val="none"/>
                <w:lang w:eastAsia="zh-CN"/>
              </w:rPr>
            </w:pPr>
            <w:r>
              <w:rPr>
                <w:rFonts w:hint="default" w:ascii="Times New Roman" w:hAnsi="Times New Roman" w:cs="Times New Roman"/>
                <w:smallCaps w:val="0"/>
                <w:color w:val="auto"/>
                <w:spacing w:val="0"/>
                <w:highlight w:val="none"/>
                <w:lang w:eastAsia="zh-CN"/>
              </w:rPr>
              <w:t>（</w:t>
            </w:r>
            <w:r>
              <w:rPr>
                <w:rFonts w:hint="eastAsia" w:cs="Times New Roman"/>
                <w:smallCaps w:val="0"/>
                <w:color w:val="auto"/>
                <w:spacing w:val="0"/>
                <w:highlight w:val="none"/>
                <w:lang w:val="en-US" w:eastAsia="zh-CN"/>
              </w:rPr>
              <w:t>3</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项目已于</w:t>
            </w:r>
            <w:r>
              <w:rPr>
                <w:rFonts w:hint="eastAsia" w:cs="Times New Roman"/>
                <w:smallCaps w:val="0"/>
                <w:color w:val="auto"/>
                <w:spacing w:val="0"/>
                <w:highlight w:val="none"/>
                <w:lang w:eastAsia="zh-CN"/>
              </w:rPr>
              <w:t>2026年7月10日</w:t>
            </w:r>
            <w:r>
              <w:rPr>
                <w:rFonts w:hint="default" w:ascii="Times New Roman" w:hAnsi="Times New Roman" w:cs="Times New Roman"/>
                <w:smallCaps w:val="0"/>
                <w:color w:val="auto"/>
                <w:spacing w:val="0"/>
                <w:highlight w:val="none"/>
              </w:rPr>
              <w:t>在</w:t>
            </w:r>
            <w:r>
              <w:rPr>
                <w:rFonts w:hint="eastAsia" w:cs="Times New Roman"/>
                <w:smallCaps w:val="0"/>
                <w:color w:val="auto"/>
                <w:spacing w:val="0"/>
                <w:highlight w:val="none"/>
                <w:lang w:eastAsia="zh-CN"/>
              </w:rPr>
              <w:t>石家庄市井陉矿区数据和政务服务局</w:t>
            </w:r>
            <w:r>
              <w:rPr>
                <w:rFonts w:hint="default" w:ascii="Times New Roman" w:hAnsi="Times New Roman" w:cs="Times New Roman"/>
                <w:smallCaps w:val="0"/>
                <w:color w:val="auto"/>
                <w:spacing w:val="0"/>
                <w:highlight w:val="none"/>
              </w:rPr>
              <w:t>进行备案</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备案文号为</w:t>
            </w:r>
            <w:r>
              <w:rPr>
                <w:rFonts w:hint="eastAsia" w:cs="Times New Roman"/>
                <w:smallCaps w:val="0"/>
                <w:color w:val="auto"/>
                <w:spacing w:val="0"/>
                <w:highlight w:val="none"/>
                <w:lang w:eastAsia="zh-CN"/>
              </w:rPr>
              <w:t>：</w:t>
            </w:r>
            <w:r>
              <w:rPr>
                <w:rFonts w:hint="eastAsia" w:cs="Times New Roman"/>
                <w:i w:val="0"/>
                <w:iCs w:val="0"/>
                <w:smallCaps w:val="0"/>
                <w:color w:val="auto"/>
                <w:spacing w:val="0"/>
                <w:highlight w:val="none"/>
                <w:lang w:eastAsia="zh-CN"/>
              </w:rPr>
              <w:t>矿数政投资备字〔2026〕58号</w:t>
            </w:r>
            <w:r>
              <w:rPr>
                <w:rFonts w:hint="eastAsia" w:cs="Times New Roman"/>
                <w:smallCaps w:val="0"/>
                <w:color w:val="auto"/>
                <w:spacing w:val="0"/>
                <w:highlight w:val="none"/>
                <w:lang w:eastAsia="zh-CN"/>
              </w:rPr>
              <w:t>。</w:t>
            </w:r>
          </w:p>
          <w:p w14:paraId="4D303D6D">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综上所述</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本项目建设符合国家及地方相关产业政策。</w:t>
            </w:r>
          </w:p>
          <w:p w14:paraId="62177DBA">
            <w:pPr>
              <w:pStyle w:val="172"/>
              <w:keepNext w:val="0"/>
              <w:keepLines w:val="0"/>
              <w:suppressLineNumbers w:val="0"/>
              <w:spacing w:before="0" w:beforeAutospacing="0" w:after="0" w:afterAutospacing="0"/>
              <w:ind w:left="0" w:right="0" w:firstLine="480"/>
              <w:rPr>
                <w:rFonts w:hint="default" w:ascii="Times New Roman" w:hAnsi="Times New Roman" w:cs="Times New Roman"/>
                <w:b/>
                <w:smallCaps w:val="0"/>
                <w:color w:val="auto"/>
                <w:spacing w:val="0"/>
                <w:szCs w:val="20"/>
                <w:highlight w:val="none"/>
              </w:rPr>
            </w:pPr>
            <w:r>
              <w:rPr>
                <w:rFonts w:hint="default" w:ascii="Times New Roman" w:hAnsi="Times New Roman" w:cs="Times New Roman"/>
                <w:b/>
                <w:smallCaps w:val="0"/>
                <w:color w:val="auto"/>
                <w:spacing w:val="0"/>
                <w:szCs w:val="20"/>
                <w:highlight w:val="none"/>
              </w:rPr>
              <w:t>2、选址合理性分析</w:t>
            </w:r>
          </w:p>
          <w:p w14:paraId="340CEE7A">
            <w:pPr>
              <w:pStyle w:val="172"/>
              <w:keepNext w:val="0"/>
              <w:keepLines w:val="0"/>
              <w:suppressLineNumbers w:val="0"/>
              <w:spacing w:before="0" w:beforeAutospacing="0" w:after="0" w:afterAutospacing="0"/>
              <w:ind w:left="0" w:right="0" w:firstLine="480"/>
              <w:rPr>
                <w:rFonts w:hint="default" w:ascii="Times New Roman" w:hAnsi="Times New Roman" w:cs="Times New Roman"/>
                <w:b w:val="0"/>
                <w:bCs/>
                <w:smallCaps w:val="0"/>
                <w:color w:val="auto"/>
                <w:spacing w:val="0"/>
                <w:szCs w:val="20"/>
                <w:highlight w:val="none"/>
              </w:rPr>
            </w:pPr>
            <w:r>
              <w:rPr>
                <w:rFonts w:hint="default" w:ascii="Times New Roman" w:hAnsi="Times New Roman" w:cs="Times New Roman"/>
                <w:b w:val="0"/>
                <w:bCs/>
                <w:smallCaps w:val="0"/>
                <w:color w:val="auto"/>
                <w:spacing w:val="0"/>
                <w:szCs w:val="20"/>
                <w:highlight w:val="none"/>
              </w:rPr>
              <w:t>（1）项目位于河北省石家庄市</w:t>
            </w:r>
            <w:r>
              <w:rPr>
                <w:rFonts w:hint="eastAsia" w:cs="Times New Roman"/>
                <w:b w:val="0"/>
                <w:bCs/>
                <w:smallCaps w:val="0"/>
                <w:color w:val="auto"/>
                <w:spacing w:val="0"/>
                <w:szCs w:val="20"/>
                <w:highlight w:val="none"/>
                <w:lang w:eastAsia="zh-CN"/>
              </w:rPr>
              <w:t>井陉矿区世纪大道以北，石钢路以西</w:t>
            </w:r>
            <w:r>
              <w:rPr>
                <w:rFonts w:hint="default" w:ascii="Times New Roman" w:hAnsi="Times New Roman" w:cs="Times New Roman"/>
                <w:b w:val="0"/>
                <w:bCs/>
                <w:smallCaps w:val="0"/>
                <w:color w:val="auto"/>
                <w:spacing w:val="0"/>
                <w:szCs w:val="20"/>
                <w:highlight w:val="none"/>
              </w:rPr>
              <w:t>。</w:t>
            </w:r>
            <w:r>
              <w:rPr>
                <w:rFonts w:hint="eastAsia" w:cs="Times New Roman"/>
                <w:b w:val="0"/>
                <w:bCs/>
                <w:smallCaps w:val="0"/>
                <w:color w:val="auto"/>
                <w:spacing w:val="0"/>
                <w:szCs w:val="20"/>
                <w:highlight w:val="none"/>
                <w:lang w:eastAsia="zh-CN"/>
              </w:rPr>
              <w:t>厂区东侧隔路为河北受成新材料科技有限公司，南侧为河北庆晟精密机械制造有限公司，西侧为空地和养殖场，北侧为防洪沟和空地</w:t>
            </w:r>
            <w:r>
              <w:rPr>
                <w:rFonts w:hint="default" w:ascii="Times New Roman" w:hAnsi="Times New Roman" w:cs="Times New Roman"/>
                <w:b w:val="0"/>
                <w:bCs/>
                <w:smallCaps w:val="0"/>
                <w:color w:val="auto"/>
                <w:spacing w:val="0"/>
                <w:szCs w:val="20"/>
                <w:highlight w:val="none"/>
              </w:rPr>
              <w:t>。</w:t>
            </w:r>
            <w:r>
              <w:rPr>
                <w:rFonts w:hint="eastAsia" w:cs="Times New Roman"/>
                <w:b w:val="0"/>
                <w:bCs/>
                <w:smallCaps w:val="0"/>
                <w:color w:val="auto"/>
                <w:spacing w:val="0"/>
                <w:szCs w:val="20"/>
                <w:highlight w:val="none"/>
                <w:lang w:eastAsia="zh-CN"/>
              </w:rPr>
              <w:t>项目最近敏感点为东南侧810m处的张家井村</w:t>
            </w:r>
            <w:r>
              <w:rPr>
                <w:rFonts w:hint="default" w:ascii="Times New Roman" w:hAnsi="Times New Roman" w:cs="Times New Roman"/>
                <w:b w:val="0"/>
                <w:bCs/>
                <w:smallCaps w:val="0"/>
                <w:color w:val="auto"/>
                <w:spacing w:val="0"/>
                <w:szCs w:val="20"/>
                <w:highlight w:val="none"/>
              </w:rPr>
              <w:t>。</w:t>
            </w:r>
          </w:p>
          <w:p w14:paraId="220D0517">
            <w:pPr>
              <w:pStyle w:val="172"/>
              <w:keepNext w:val="0"/>
              <w:keepLines w:val="0"/>
              <w:suppressLineNumbers w:val="0"/>
              <w:spacing w:before="0" w:beforeAutospacing="0" w:after="0" w:afterAutospacing="0"/>
              <w:ind w:left="0" w:right="0" w:firstLine="480"/>
              <w:rPr>
                <w:rFonts w:hint="eastAsia" w:cs="Times New Roman"/>
                <w:b w:val="0"/>
                <w:bCs/>
                <w:smallCaps w:val="0"/>
                <w:color w:val="auto"/>
                <w:spacing w:val="0"/>
                <w:szCs w:val="20"/>
                <w:highlight w:val="none"/>
                <w:lang w:eastAsia="zh-CN"/>
              </w:rPr>
            </w:pPr>
            <w:r>
              <w:rPr>
                <w:rFonts w:hint="default" w:ascii="Times New Roman" w:hAnsi="Times New Roman" w:cs="Times New Roman"/>
                <w:b w:val="0"/>
                <w:bCs/>
                <w:smallCaps w:val="0"/>
                <w:color w:val="auto"/>
                <w:spacing w:val="0"/>
                <w:szCs w:val="20"/>
                <w:highlight w:val="none"/>
              </w:rPr>
              <w:t>（2）项目厂址所在地交通较为便利，有利于项目原料、产品的运输。建设区内通讯等基础设施配套状况良好，为项目的建设提供了良好的环境。</w:t>
            </w:r>
            <w:r>
              <w:rPr>
                <w:rFonts w:hint="default" w:ascii="Times New Roman" w:hAnsi="Times New Roman" w:cs="Times New Roman"/>
                <w:color w:val="auto"/>
                <w:sz w:val="24"/>
                <w:szCs w:val="20"/>
                <w:highlight w:val="none"/>
              </w:rPr>
              <w:t>根据</w:t>
            </w:r>
            <w:r>
              <w:rPr>
                <w:rFonts w:hint="eastAsia" w:cs="Times New Roman"/>
                <w:color w:val="auto"/>
                <w:sz w:val="24"/>
                <w:szCs w:val="20"/>
                <w:highlight w:val="none"/>
                <w:lang w:eastAsia="zh-CN"/>
              </w:rPr>
              <w:t>不动产权证书</w:t>
            </w:r>
            <w:r>
              <w:rPr>
                <w:rFonts w:hint="default" w:ascii="Times New Roman" w:hAnsi="Times New Roman" w:cs="Times New Roman"/>
                <w:color w:val="auto"/>
                <w:sz w:val="24"/>
                <w:szCs w:val="20"/>
                <w:highlight w:val="none"/>
              </w:rPr>
              <w:t>，项目土地属于工业用地，符合</w:t>
            </w:r>
            <w:r>
              <w:rPr>
                <w:rFonts w:hint="eastAsia" w:cs="Times New Roman"/>
                <w:color w:val="auto"/>
                <w:sz w:val="24"/>
                <w:szCs w:val="20"/>
                <w:highlight w:val="none"/>
                <w:lang w:val="en-US" w:eastAsia="zh-CN"/>
              </w:rPr>
              <w:t>总体规划</w:t>
            </w:r>
            <w:r>
              <w:rPr>
                <w:rFonts w:hint="eastAsia" w:cs="Times New Roman"/>
                <w:color w:val="auto"/>
                <w:sz w:val="24"/>
                <w:szCs w:val="20"/>
                <w:highlight w:val="none"/>
                <w:lang w:eastAsia="zh-CN"/>
              </w:rPr>
              <w:t>要求</w:t>
            </w:r>
            <w:r>
              <w:rPr>
                <w:rFonts w:hint="eastAsia" w:cs="Times New Roman"/>
                <w:b w:val="0"/>
                <w:bCs/>
                <w:smallCaps w:val="0"/>
                <w:color w:val="auto"/>
                <w:spacing w:val="0"/>
                <w:szCs w:val="20"/>
                <w:highlight w:val="none"/>
                <w:lang w:eastAsia="zh-CN"/>
              </w:rPr>
              <w:t>。</w:t>
            </w:r>
          </w:p>
          <w:p w14:paraId="54BCCB09">
            <w:pPr>
              <w:pStyle w:val="172"/>
              <w:keepNext w:val="0"/>
              <w:keepLines w:val="0"/>
              <w:suppressLineNumbers w:val="0"/>
              <w:spacing w:before="0" w:beforeAutospacing="0" w:after="0" w:afterAutospacing="0"/>
              <w:ind w:left="0" w:right="0" w:firstLine="480"/>
              <w:rPr>
                <w:rFonts w:hint="default" w:ascii="Times New Roman" w:hAnsi="Times New Roman" w:cs="Times New Roman"/>
                <w:b w:val="0"/>
                <w:bCs/>
                <w:smallCaps w:val="0"/>
                <w:color w:val="auto"/>
                <w:spacing w:val="0"/>
                <w:szCs w:val="20"/>
                <w:highlight w:val="none"/>
              </w:rPr>
            </w:pPr>
            <w:r>
              <w:rPr>
                <w:rFonts w:hint="eastAsia" w:cs="Times New Roman"/>
                <w:b w:val="0"/>
                <w:bCs/>
                <w:smallCaps w:val="0"/>
                <w:color w:val="auto"/>
                <w:spacing w:val="0"/>
                <w:szCs w:val="20"/>
                <w:highlight w:val="none"/>
                <w:lang w:eastAsia="zh-CN"/>
              </w:rPr>
              <w:t>（</w:t>
            </w:r>
            <w:r>
              <w:rPr>
                <w:rFonts w:hint="eastAsia" w:cs="Times New Roman"/>
                <w:b w:val="0"/>
                <w:bCs/>
                <w:smallCaps w:val="0"/>
                <w:color w:val="auto"/>
                <w:spacing w:val="0"/>
                <w:szCs w:val="20"/>
                <w:highlight w:val="none"/>
                <w:lang w:val="en-US" w:eastAsia="zh-CN"/>
              </w:rPr>
              <w:t>3</w:t>
            </w:r>
            <w:r>
              <w:rPr>
                <w:rFonts w:hint="eastAsia" w:cs="Times New Roman"/>
                <w:b w:val="0"/>
                <w:bCs/>
                <w:smallCaps w:val="0"/>
                <w:color w:val="auto"/>
                <w:spacing w:val="0"/>
                <w:szCs w:val="20"/>
                <w:highlight w:val="none"/>
                <w:lang w:eastAsia="zh-CN"/>
              </w:rPr>
              <w:t>）</w:t>
            </w:r>
            <w:r>
              <w:rPr>
                <w:rFonts w:hint="eastAsia" w:cs="Times New Roman"/>
                <w:b w:val="0"/>
                <w:bCs/>
                <w:smallCaps w:val="0"/>
                <w:color w:val="auto"/>
                <w:spacing w:val="0"/>
                <w:szCs w:val="20"/>
                <w:highlight w:val="none"/>
                <w:lang w:val="en-US" w:eastAsia="zh-CN"/>
              </w:rPr>
              <w:t>项目用水由园区供水管网提供；项目用电由园区供电管网；项目厂区南侧为道路，直线距离世纪大道175m，交通便利</w:t>
            </w:r>
            <w:r>
              <w:rPr>
                <w:rFonts w:hint="default" w:ascii="Times New Roman" w:hAnsi="Times New Roman" w:cs="Times New Roman"/>
                <w:b w:val="0"/>
                <w:bCs/>
                <w:smallCaps w:val="0"/>
                <w:color w:val="auto"/>
                <w:spacing w:val="0"/>
                <w:szCs w:val="20"/>
                <w:highlight w:val="none"/>
              </w:rPr>
              <w:t>。</w:t>
            </w:r>
          </w:p>
          <w:p w14:paraId="2BC362CB">
            <w:pPr>
              <w:pStyle w:val="172"/>
              <w:keepNext w:val="0"/>
              <w:keepLines w:val="0"/>
              <w:suppressLineNumbers w:val="0"/>
              <w:spacing w:before="0" w:beforeAutospacing="0" w:after="0" w:afterAutospacing="0"/>
              <w:ind w:left="0" w:right="0" w:firstLine="480"/>
              <w:rPr>
                <w:rFonts w:hint="default" w:ascii="Times New Roman" w:hAnsi="Times New Roman" w:cs="Times New Roman"/>
                <w:b w:val="0"/>
                <w:bCs/>
                <w:smallCaps w:val="0"/>
                <w:color w:val="auto"/>
                <w:spacing w:val="0"/>
                <w:szCs w:val="20"/>
                <w:highlight w:val="none"/>
              </w:rPr>
            </w:pPr>
            <w:r>
              <w:rPr>
                <w:rFonts w:hint="eastAsia" w:cs="Times New Roman"/>
                <w:b w:val="0"/>
                <w:bCs/>
                <w:smallCaps w:val="0"/>
                <w:color w:val="auto"/>
                <w:spacing w:val="0"/>
                <w:szCs w:val="20"/>
                <w:highlight w:val="none"/>
                <w:lang w:eastAsia="zh-CN"/>
              </w:rPr>
              <w:t>（</w:t>
            </w:r>
            <w:r>
              <w:rPr>
                <w:rFonts w:hint="eastAsia" w:cs="Times New Roman"/>
                <w:b w:val="0"/>
                <w:bCs/>
                <w:smallCaps w:val="0"/>
                <w:color w:val="auto"/>
                <w:spacing w:val="0"/>
                <w:szCs w:val="20"/>
                <w:highlight w:val="none"/>
                <w:lang w:val="en-US" w:eastAsia="zh-CN"/>
              </w:rPr>
              <w:t>4</w:t>
            </w:r>
            <w:r>
              <w:rPr>
                <w:rFonts w:hint="eastAsia" w:cs="Times New Roman"/>
                <w:b w:val="0"/>
                <w:bCs/>
                <w:smallCaps w:val="0"/>
                <w:color w:val="auto"/>
                <w:spacing w:val="0"/>
                <w:szCs w:val="20"/>
                <w:highlight w:val="none"/>
                <w:lang w:eastAsia="zh-CN"/>
              </w:rPr>
              <w:t>）</w:t>
            </w:r>
            <w:r>
              <w:rPr>
                <w:rFonts w:hint="eastAsia" w:cs="Times New Roman"/>
                <w:b w:val="0"/>
                <w:bCs/>
                <w:smallCaps w:val="0"/>
                <w:color w:val="auto"/>
                <w:spacing w:val="0"/>
                <w:szCs w:val="20"/>
                <w:highlight w:val="none"/>
                <w:lang w:val="en-US" w:eastAsia="zh-CN"/>
              </w:rPr>
              <w:t>项目建成后，废气采取合理措施后均达标排放，固废均合理处置，对周围环境影响较小</w:t>
            </w:r>
            <w:r>
              <w:rPr>
                <w:rFonts w:hint="default" w:ascii="Times New Roman" w:hAnsi="Times New Roman" w:cs="Times New Roman"/>
                <w:b w:val="0"/>
                <w:bCs/>
                <w:smallCaps w:val="0"/>
                <w:color w:val="auto"/>
                <w:spacing w:val="0"/>
                <w:szCs w:val="20"/>
                <w:highlight w:val="none"/>
              </w:rPr>
              <w:t>。</w:t>
            </w:r>
          </w:p>
          <w:p w14:paraId="64EE3753">
            <w:pPr>
              <w:pStyle w:val="172"/>
              <w:keepNext w:val="0"/>
              <w:keepLines w:val="0"/>
              <w:suppressLineNumbers w:val="0"/>
              <w:spacing w:before="0" w:beforeAutospacing="0" w:after="0" w:afterAutospacing="0"/>
              <w:ind w:left="0" w:right="0" w:firstLine="480"/>
              <w:rPr>
                <w:rFonts w:hint="default" w:ascii="Times New Roman" w:hAnsi="Times New Roman" w:cs="Times New Roman"/>
                <w:b w:val="0"/>
                <w:bCs/>
                <w:smallCaps w:val="0"/>
                <w:color w:val="auto"/>
                <w:spacing w:val="0"/>
                <w:szCs w:val="20"/>
                <w:highlight w:val="none"/>
              </w:rPr>
            </w:pPr>
            <w:r>
              <w:rPr>
                <w:rFonts w:hint="default" w:ascii="Times New Roman" w:hAnsi="Times New Roman" w:cs="Times New Roman"/>
                <w:b w:val="0"/>
                <w:bCs/>
                <w:smallCaps w:val="0"/>
                <w:color w:val="auto"/>
                <w:spacing w:val="0"/>
                <w:szCs w:val="20"/>
                <w:highlight w:val="none"/>
              </w:rPr>
              <w:t>综上所述，项目选址合理。</w:t>
            </w:r>
          </w:p>
          <w:p w14:paraId="1B93C409">
            <w:pPr>
              <w:pStyle w:val="172"/>
              <w:keepNext w:val="0"/>
              <w:keepLines w:val="0"/>
              <w:suppressLineNumbers w:val="0"/>
              <w:spacing w:before="0" w:beforeAutospacing="0" w:after="0" w:afterAutospacing="0"/>
              <w:ind w:left="0" w:right="0" w:firstLine="480"/>
              <w:rPr>
                <w:rFonts w:hint="default" w:ascii="Times New Roman" w:hAnsi="Times New Roman" w:cs="Times New Roman"/>
                <w:b/>
                <w:smallCaps w:val="0"/>
                <w:color w:val="auto"/>
                <w:spacing w:val="0"/>
                <w:szCs w:val="20"/>
                <w:highlight w:val="none"/>
              </w:rPr>
            </w:pPr>
            <w:r>
              <w:rPr>
                <w:rFonts w:hint="eastAsia" w:cs="Times New Roman"/>
                <w:b/>
                <w:smallCaps w:val="0"/>
                <w:color w:val="auto"/>
                <w:spacing w:val="0"/>
                <w:szCs w:val="20"/>
                <w:highlight w:val="none"/>
                <w:lang w:val="en-US" w:eastAsia="zh-CN"/>
              </w:rPr>
              <w:t>3</w:t>
            </w:r>
            <w:r>
              <w:rPr>
                <w:rFonts w:hint="default" w:ascii="Times New Roman" w:hAnsi="Times New Roman" w:cs="Times New Roman"/>
                <w:b/>
                <w:smallCaps w:val="0"/>
                <w:color w:val="auto"/>
                <w:spacing w:val="0"/>
                <w:szCs w:val="20"/>
                <w:highlight w:val="none"/>
              </w:rPr>
              <w:t>、项目与水源保护区相关规定符合性分析</w:t>
            </w:r>
          </w:p>
          <w:p w14:paraId="5AACFA34">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根据《河北省城市集中式饮用水水源保护区划分》</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项目占地位于</w:t>
            </w:r>
            <w:r>
              <w:rPr>
                <w:rFonts w:hint="eastAsia" w:cs="Times New Roman"/>
                <w:smallCaps w:val="0"/>
                <w:color w:val="auto"/>
                <w:spacing w:val="0"/>
                <w:highlight w:val="none"/>
                <w:lang w:eastAsia="zh-CN"/>
              </w:rPr>
              <w:t>集中式饮用水水源地准保护区内</w:t>
            </w:r>
            <w:r>
              <w:rPr>
                <w:rFonts w:hint="default" w:ascii="Times New Roman" w:hAnsi="Times New Roman" w:cs="Times New Roman"/>
                <w:smallCaps w:val="0"/>
                <w:color w:val="auto"/>
                <w:spacing w:val="0"/>
                <w:highlight w:val="none"/>
              </w:rPr>
              <w:t>。</w:t>
            </w:r>
          </w:p>
          <w:p w14:paraId="4CFA85B1">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0000FF"/>
                <w:spacing w:val="0"/>
                <w:highlight w:val="none"/>
              </w:rPr>
            </w:pPr>
            <w:r>
              <w:rPr>
                <w:rFonts w:hint="default" w:ascii="Times New Roman" w:hAnsi="Times New Roman" w:cs="Times New Roman"/>
                <w:smallCaps w:val="0"/>
                <w:color w:val="0000FF"/>
                <w:spacing w:val="0"/>
                <w:highlight w:val="none"/>
              </w:rPr>
              <w:t>按照《中华人民共和国生态环境法典》（主席令第七十号，2026‑08‑15 施行）第三百一十七条规定：“国家建立健全饮用水水源保护区制度。饮用水水源保护区分为一级保护区和二级保护区；必要时，可以在饮用水水源保护区外围划定一定的区域作为准保护区”。</w:t>
            </w:r>
          </w:p>
          <w:p w14:paraId="48DAD7C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0000FF"/>
                <w:spacing w:val="0"/>
                <w:highlight w:val="none"/>
              </w:rPr>
            </w:pPr>
            <w:r>
              <w:rPr>
                <w:rFonts w:hint="default" w:ascii="Times New Roman" w:hAnsi="Times New Roman" w:cs="Times New Roman"/>
                <w:smallCaps w:val="0"/>
                <w:color w:val="0000FF"/>
                <w:spacing w:val="0"/>
                <w:highlight w:val="none"/>
              </w:rPr>
              <w:t>按照《中华人民共和国生态环境法典》（主席令第七十号，2026‑08‑15 施行）第三百二十一条规定：“禁止在饮用水水源准</w:t>
            </w:r>
            <w:bookmarkStart w:id="19" w:name="_GoBack"/>
            <w:bookmarkEnd w:id="19"/>
            <w:r>
              <w:rPr>
                <w:rFonts w:hint="default" w:ascii="Times New Roman" w:hAnsi="Times New Roman" w:cs="Times New Roman"/>
                <w:smallCaps w:val="0"/>
                <w:color w:val="0000FF"/>
                <w:spacing w:val="0"/>
                <w:highlight w:val="none"/>
              </w:rPr>
              <w:t>保护区内新建、扩建对水体污染严重的建设项目；改建建设项目，不得增加排污量”。</w:t>
            </w:r>
          </w:p>
          <w:p w14:paraId="594732B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《河北省水污染防治条例》（2018年5月31日修订）中第十七条规定：</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禁止在饮用水水源准保护区内新建、扩建对水体污染严重的建设项目；改建建设项目</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不得增加排污量</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第十八条规定：</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禁止在饮用水水源保护区内设置排污口</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w:t>
            </w:r>
          </w:p>
          <w:p w14:paraId="29005729">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《石家庄市岗南、黄壁庄水库水源污染防治条例》第十四条规定：</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在两库饮用水水源二级保护区和准保护区内建设其它项目</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建设单位应当向县级以上人民政府环境保护行政主管部门报送环境影响评价文件</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未经批准的</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不得兴建</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w:t>
            </w:r>
          </w:p>
          <w:p w14:paraId="5D5EDEFB">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eastAsia" w:cs="Times New Roman"/>
                <w:b/>
                <w:bCs/>
                <w:smallCaps w:val="0"/>
                <w:color w:val="auto"/>
                <w:spacing w:val="0"/>
                <w:highlight w:val="none"/>
                <w:lang w:val="en-US" w:eastAsia="zh-CN"/>
              </w:rPr>
              <w:t>项目为新建项目。</w:t>
            </w:r>
            <w:r>
              <w:rPr>
                <w:rFonts w:hint="default" w:ascii="Times New Roman" w:hAnsi="Times New Roman" w:cs="Times New Roman"/>
                <w:b/>
                <w:bCs/>
                <w:smallCaps w:val="0"/>
                <w:color w:val="auto"/>
                <w:spacing w:val="0"/>
                <w:highlight w:val="none"/>
              </w:rPr>
              <w:t>本项目</w:t>
            </w:r>
            <w:r>
              <w:rPr>
                <w:rFonts w:hint="eastAsia" w:cs="Times New Roman"/>
                <w:b/>
                <w:bCs/>
                <w:smallCaps w:val="0"/>
                <w:color w:val="auto"/>
                <w:spacing w:val="0"/>
                <w:highlight w:val="none"/>
                <w:lang w:eastAsia="zh-CN"/>
              </w:rPr>
              <w:t>淬火、回火冷却水循环使用不外排；</w:t>
            </w:r>
            <w:r>
              <w:rPr>
                <w:rFonts w:hint="eastAsia" w:cs="Times New Roman"/>
                <w:b/>
                <w:bCs/>
                <w:smallCaps w:val="0"/>
                <w:color w:val="auto"/>
                <w:spacing w:val="0"/>
                <w:highlight w:val="none"/>
                <w:lang w:val="en-US" w:eastAsia="zh-CN"/>
              </w:rPr>
              <w:t>生活污水经化粪池处理后定期由吸粪车抽走，无废水外排，不属于对水体污染严重的项目</w:t>
            </w:r>
            <w:r>
              <w:rPr>
                <w:rFonts w:hint="default" w:ascii="Times New Roman" w:hAnsi="Times New Roman" w:cs="Times New Roman"/>
                <w:b/>
                <w:bCs/>
                <w:smallCaps w:val="0"/>
                <w:color w:val="auto"/>
                <w:spacing w:val="0"/>
                <w:highlight w:val="none"/>
                <w:lang w:val="en-US" w:eastAsia="zh-CN"/>
              </w:rPr>
              <w:t>，对周边地表水体产生影响较小</w:t>
            </w:r>
            <w:r>
              <w:rPr>
                <w:rFonts w:hint="default" w:ascii="Times New Roman" w:hAnsi="Times New Roman" w:cs="Times New Roman"/>
                <w:b/>
                <w:bCs/>
                <w:smallCaps w:val="0"/>
                <w:color w:val="auto"/>
                <w:spacing w:val="0"/>
                <w:highlight w:val="none"/>
              </w:rPr>
              <w:t>。项目目前办理环境影响评价手续</w:t>
            </w:r>
            <w:r>
              <w:rPr>
                <w:rFonts w:hint="default" w:ascii="Times New Roman" w:hAnsi="Times New Roman" w:cs="Times New Roman"/>
                <w:b/>
                <w:bCs/>
                <w:smallCaps w:val="0"/>
                <w:color w:val="auto"/>
                <w:spacing w:val="0"/>
                <w:highlight w:val="none"/>
                <w:lang w:eastAsia="zh-CN"/>
              </w:rPr>
              <w:t>，</w:t>
            </w:r>
            <w:r>
              <w:rPr>
                <w:rFonts w:hint="default" w:ascii="Times New Roman" w:hAnsi="Times New Roman" w:cs="Times New Roman"/>
                <w:b/>
                <w:bCs/>
                <w:smallCaps w:val="0"/>
                <w:color w:val="auto"/>
                <w:spacing w:val="0"/>
                <w:highlight w:val="none"/>
              </w:rPr>
              <w:t>环境影响报告表批准后方可建设。</w:t>
            </w:r>
          </w:p>
          <w:p w14:paraId="63026823">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综上</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项目符合</w:t>
            </w:r>
            <w:r>
              <w:rPr>
                <w:rFonts w:hint="eastAsia" w:cs="Times New Roman"/>
                <w:smallCaps w:val="0"/>
                <w:color w:val="auto"/>
                <w:spacing w:val="0"/>
                <w:highlight w:val="none"/>
                <w:lang w:eastAsia="zh-CN"/>
              </w:rPr>
              <w:t>集中式饮用水水源地准保护区内</w:t>
            </w:r>
            <w:r>
              <w:rPr>
                <w:rFonts w:hint="default" w:ascii="Times New Roman" w:hAnsi="Times New Roman" w:cs="Times New Roman"/>
                <w:smallCaps w:val="0"/>
                <w:color w:val="auto"/>
                <w:spacing w:val="0"/>
                <w:highlight w:val="none"/>
              </w:rPr>
              <w:t>的相关要求。</w:t>
            </w:r>
          </w:p>
          <w:p w14:paraId="46EB540D">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eastAsia" w:cs="Times New Roman"/>
                <w:b/>
                <w:smallCaps w:val="0"/>
                <w:color w:val="auto"/>
                <w:spacing w:val="0"/>
                <w:highlight w:val="none"/>
                <w:lang w:val="en-US" w:eastAsia="zh-CN"/>
              </w:rPr>
              <w:t>4</w:t>
            </w:r>
            <w:r>
              <w:rPr>
                <w:rFonts w:hint="default" w:ascii="Times New Roman" w:hAnsi="Times New Roman" w:cs="Times New Roman"/>
                <w:b/>
                <w:smallCaps w:val="0"/>
                <w:color w:val="auto"/>
                <w:spacing w:val="0"/>
                <w:highlight w:val="none"/>
              </w:rPr>
              <w:t>、</w:t>
            </w:r>
            <w:r>
              <w:rPr>
                <w:rFonts w:hint="eastAsia" w:cs="Times New Roman"/>
                <w:b/>
                <w:smallCaps w:val="0"/>
                <w:color w:val="auto"/>
                <w:spacing w:val="0"/>
                <w:highlight w:val="none"/>
                <w:lang w:eastAsia="zh-CN"/>
              </w:rPr>
              <w:t>“</w:t>
            </w:r>
            <w:r>
              <w:rPr>
                <w:rFonts w:hint="default" w:ascii="Times New Roman" w:hAnsi="Times New Roman" w:cs="Times New Roman"/>
                <w:b/>
                <w:smallCaps w:val="0"/>
                <w:color w:val="auto"/>
                <w:spacing w:val="0"/>
                <w:highlight w:val="none"/>
              </w:rPr>
              <w:t>三线一单</w:t>
            </w:r>
            <w:r>
              <w:rPr>
                <w:rFonts w:hint="eastAsia" w:cs="Times New Roman"/>
                <w:b/>
                <w:smallCaps w:val="0"/>
                <w:color w:val="auto"/>
                <w:spacing w:val="0"/>
                <w:highlight w:val="none"/>
                <w:lang w:eastAsia="zh-CN"/>
              </w:rPr>
              <w:t>”</w:t>
            </w:r>
            <w:r>
              <w:rPr>
                <w:rFonts w:hint="default" w:ascii="Times New Roman" w:hAnsi="Times New Roman" w:cs="Times New Roman"/>
                <w:b/>
                <w:smallCaps w:val="0"/>
                <w:color w:val="auto"/>
                <w:spacing w:val="0"/>
                <w:highlight w:val="none"/>
              </w:rPr>
              <w:t>符合性分析</w:t>
            </w:r>
          </w:p>
          <w:p w14:paraId="339A696C">
            <w:pPr>
              <w:keepNext w:val="0"/>
              <w:keepLines w:val="0"/>
              <w:suppressLineNumbers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三线一单</w:t>
            </w:r>
            <w:r>
              <w:rPr>
                <w:rFonts w:hint="eastAsia" w:cs="Times New Roman"/>
                <w:smallCaps w:val="0"/>
                <w:color w:val="auto"/>
                <w:spacing w:val="0"/>
                <w:sz w:val="24"/>
                <w:szCs w:val="20"/>
                <w:highlight w:val="none"/>
                <w:lang w:eastAsia="zh-CN"/>
              </w:rPr>
              <w:t>”</w:t>
            </w:r>
            <w:r>
              <w:rPr>
                <w:rFonts w:hint="default" w:ascii="Times New Roman" w:hAnsi="Times New Roman" w:cs="Times New Roman"/>
                <w:smallCaps w:val="0"/>
                <w:color w:val="auto"/>
                <w:spacing w:val="0"/>
                <w:sz w:val="24"/>
                <w:szCs w:val="20"/>
                <w:highlight w:val="none"/>
              </w:rPr>
              <w:t>生态环境分区管控要求符合性分析见表1-</w:t>
            </w:r>
            <w:r>
              <w:rPr>
                <w:rFonts w:hint="eastAsia" w:cs="Times New Roman"/>
                <w:smallCaps w:val="0"/>
                <w:color w:val="auto"/>
                <w:spacing w:val="0"/>
                <w:sz w:val="24"/>
                <w:szCs w:val="20"/>
                <w:highlight w:val="none"/>
                <w:lang w:val="en-US" w:eastAsia="zh-CN"/>
              </w:rPr>
              <w:t>8</w:t>
            </w:r>
            <w:r>
              <w:rPr>
                <w:rFonts w:hint="default" w:ascii="Times New Roman" w:hAnsi="Times New Roman" w:cs="Times New Roman"/>
                <w:smallCaps w:val="0"/>
                <w:color w:val="auto"/>
                <w:spacing w:val="0"/>
                <w:sz w:val="24"/>
                <w:szCs w:val="20"/>
                <w:highlight w:val="none"/>
              </w:rPr>
              <w:t>。</w:t>
            </w:r>
          </w:p>
          <w:p w14:paraId="0E0CF697">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表1-</w:t>
            </w:r>
            <w:r>
              <w:rPr>
                <w:rFonts w:hint="eastAsia" w:cs="Times New Roman"/>
                <w:smallCaps w:val="0"/>
                <w:color w:val="auto"/>
                <w:spacing w:val="0"/>
                <w:highlight w:val="none"/>
                <w:lang w:val="en-US" w:eastAsia="zh-CN"/>
              </w:rPr>
              <w:t>8</w:t>
            </w:r>
            <w:r>
              <w:rPr>
                <w:rFonts w:hint="default" w:ascii="Times New Roman" w:hAnsi="Times New Roman" w:cs="Times New Roman"/>
                <w:smallCaps w:val="0"/>
                <w:color w:val="auto"/>
                <w:spacing w:val="0"/>
                <w:highlight w:val="none"/>
              </w:rPr>
              <w:t xml:space="preserve">    </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三线一单</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符合性分析表</w:t>
            </w:r>
          </w:p>
          <w:tbl>
            <w:tblPr>
              <w:tblStyle w:val="4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
              <w:gridCol w:w="3893"/>
              <w:gridCol w:w="2763"/>
              <w:gridCol w:w="564"/>
            </w:tblGrid>
            <w:tr w14:paraId="14600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820" w:type="pct"/>
                  <w:gridSpan w:val="2"/>
                  <w:tcMar>
                    <w:left w:w="28" w:type="dxa"/>
                    <w:right w:w="28" w:type="dxa"/>
                  </w:tcMar>
                  <w:vAlign w:val="center"/>
                </w:tcPr>
                <w:p w14:paraId="716DE99C">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内容</w:t>
                  </w:r>
                </w:p>
              </w:tc>
              <w:tc>
                <w:tcPr>
                  <w:tcW w:w="1810" w:type="pct"/>
                  <w:tcMar>
                    <w:left w:w="28" w:type="dxa"/>
                    <w:right w:w="28" w:type="dxa"/>
                  </w:tcMar>
                  <w:vAlign w:val="center"/>
                </w:tcPr>
                <w:p w14:paraId="31C0D440">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本项目</w:t>
                  </w:r>
                </w:p>
              </w:tc>
              <w:tc>
                <w:tcPr>
                  <w:tcW w:w="369" w:type="pct"/>
                  <w:tcMar>
                    <w:left w:w="28" w:type="dxa"/>
                    <w:right w:w="28" w:type="dxa"/>
                  </w:tcMar>
                  <w:vAlign w:val="center"/>
                </w:tcPr>
                <w:p w14:paraId="51DF08AC">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结论</w:t>
                  </w:r>
                </w:p>
              </w:tc>
            </w:tr>
            <w:tr w14:paraId="7B489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 w:type="pct"/>
                  <w:tcMar>
                    <w:left w:w="28" w:type="dxa"/>
                    <w:right w:w="28" w:type="dxa"/>
                  </w:tcMar>
                  <w:vAlign w:val="center"/>
                </w:tcPr>
                <w:p w14:paraId="62EA73FF">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生态保护红线</w:t>
                  </w:r>
                </w:p>
              </w:tc>
              <w:tc>
                <w:tcPr>
                  <w:tcW w:w="2551" w:type="pct"/>
                  <w:tcMar>
                    <w:left w:w="28" w:type="dxa"/>
                    <w:right w:w="28" w:type="dxa"/>
                  </w:tcMar>
                  <w:vAlign w:val="center"/>
                </w:tcPr>
                <w:p w14:paraId="7C871006">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生态保护红线是生态空间范围内具有特殊重要生态功能必须实行强制性严格保护的区域。相关规划环评应将生态空间管控作为重要内容</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规划区域涉及生态保护红线的</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在规划环评结论和审查意见中应落实生态保护红线的管理要求</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提出相应对策措施。除受自然条件限制、确实无法避让的铁路、公路、航道、防洪、管道、干渠、通讯、输变电等重要基础设施项目外</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在生态保护红线范围内</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严控各类开发建设活动</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依法不予审批新建工业项目和矿产开发项目的环评文件。</w:t>
                  </w:r>
                </w:p>
              </w:tc>
              <w:tc>
                <w:tcPr>
                  <w:tcW w:w="1810" w:type="pct"/>
                  <w:shd w:val="clear" w:color="auto" w:fill="auto"/>
                  <w:tcMar>
                    <w:left w:w="28" w:type="dxa"/>
                    <w:right w:w="28" w:type="dxa"/>
                  </w:tcMar>
                  <w:vAlign w:val="center"/>
                </w:tcPr>
                <w:p w14:paraId="50CF7FB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项目位于河北省石家庄市</w:t>
                  </w:r>
                  <w:r>
                    <w:rPr>
                      <w:rFonts w:hint="eastAsia"/>
                      <w:color w:val="auto"/>
                      <w:szCs w:val="21"/>
                      <w:highlight w:val="none"/>
                      <w:lang w:eastAsia="zh-CN"/>
                    </w:rPr>
                    <w:t>井陉矿区世纪大道以北，石钢路以西</w:t>
                  </w:r>
                  <w:r>
                    <w:rPr>
                      <w:rFonts w:hint="eastAsia"/>
                      <w:color w:val="auto"/>
                      <w:szCs w:val="21"/>
                      <w:highlight w:val="none"/>
                    </w:rPr>
                    <w:t>，不在生态保护红线范围内，满足生态保护红线要求。</w:t>
                  </w:r>
                </w:p>
              </w:tc>
              <w:tc>
                <w:tcPr>
                  <w:tcW w:w="369" w:type="pct"/>
                  <w:tcMar>
                    <w:left w:w="28" w:type="dxa"/>
                    <w:right w:w="28" w:type="dxa"/>
                  </w:tcMar>
                  <w:vAlign w:val="center"/>
                </w:tcPr>
                <w:p w14:paraId="22093F27">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符合</w:t>
                  </w:r>
                </w:p>
              </w:tc>
            </w:tr>
            <w:tr w14:paraId="454D0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 w:type="pct"/>
                  <w:tcMar>
                    <w:left w:w="28" w:type="dxa"/>
                    <w:right w:w="28" w:type="dxa"/>
                  </w:tcMar>
                  <w:vAlign w:val="center"/>
                </w:tcPr>
                <w:p w14:paraId="459A5C96">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环境质量底线</w:t>
                  </w:r>
                </w:p>
              </w:tc>
              <w:tc>
                <w:tcPr>
                  <w:tcW w:w="2551" w:type="pct"/>
                  <w:tcMar>
                    <w:left w:w="28" w:type="dxa"/>
                    <w:right w:w="28" w:type="dxa"/>
                  </w:tcMar>
                  <w:vAlign w:val="center"/>
                </w:tcPr>
                <w:p w14:paraId="20E7B379">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环境质量底线是国家和地方设置的大气、水和土壤环境质量目标</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也是改善环境质量的基准线。有关规划环评应落实区域环境质量目标管理要求</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提出区域或者行业污染物排放总量管控建议以及优化区域或行业发展布局、结构和规模的对策措施。项目环评应对照区域环境质量目标</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深入分析预测项目建设对环境质量的影响</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强化污染防治措施和污染物排放控制要求。</w:t>
                  </w:r>
                </w:p>
              </w:tc>
              <w:tc>
                <w:tcPr>
                  <w:tcW w:w="1810" w:type="pct"/>
                  <w:shd w:val="clear" w:color="auto" w:fill="auto"/>
                  <w:tcMar>
                    <w:left w:w="28" w:type="dxa"/>
                    <w:right w:w="28" w:type="dxa"/>
                  </w:tcMar>
                  <w:vAlign w:val="center"/>
                </w:tcPr>
                <w:p w14:paraId="0EE1A686">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①环境空气</w:t>
                  </w:r>
                  <w:r>
                    <w:rPr>
                      <w:rFonts w:hint="eastAsia"/>
                      <w:color w:val="auto"/>
                      <w:szCs w:val="21"/>
                      <w:highlight w:val="none"/>
                      <w:lang w:eastAsia="zh-CN"/>
                    </w:rPr>
                    <w:t>：</w:t>
                  </w:r>
                  <w:r>
                    <w:rPr>
                      <w:rFonts w:hint="default" w:ascii="Times New Roman" w:hAnsi="Times New Roman" w:eastAsia="宋体" w:cs="Times New Roman"/>
                      <w:color w:val="auto"/>
                      <w:szCs w:val="21"/>
                      <w:highlight w:val="none"/>
                    </w:rPr>
                    <w:t>项目所在区域环境空气为二类功能区，执行</w:t>
                  </w:r>
                  <w:r>
                    <w:rPr>
                      <w:rFonts w:hint="default" w:ascii="Times New Roman" w:hAnsi="Times New Roman" w:eastAsia="宋体" w:cs="Times New Roman"/>
                      <w:color w:val="auto"/>
                      <w:szCs w:val="21"/>
                      <w:highlight w:val="none"/>
                      <w:lang w:eastAsia="zh-CN"/>
                    </w:rPr>
                    <w:t>《环境空气质量标准》（GB3095-2026）二级标准</w:t>
                  </w:r>
                  <w:r>
                    <w:rPr>
                      <w:rFonts w:hint="default" w:ascii="Times New Roman" w:hAnsi="Times New Roman" w:eastAsia="宋体" w:cs="Times New Roman"/>
                      <w:color w:val="auto"/>
                      <w:szCs w:val="21"/>
                      <w:highlight w:val="none"/>
                    </w:rPr>
                    <w:t>；根据</w:t>
                  </w:r>
                  <w:r>
                    <w:rPr>
                      <w:rFonts w:hint="default" w:ascii="Times New Roman" w:hAnsi="Times New Roman" w:eastAsia="宋体" w:cs="Times New Roman"/>
                      <w:color w:val="auto"/>
                      <w:szCs w:val="21"/>
                      <w:highlight w:val="none"/>
                      <w:lang w:val="en-US" w:eastAsia="zh-CN"/>
                    </w:rPr>
                    <w:t>区域削减方案</w:t>
                  </w:r>
                  <w:r>
                    <w:rPr>
                      <w:rFonts w:hint="default" w:ascii="Times New Roman" w:hAnsi="Times New Roman" w:eastAsia="宋体" w:cs="Times New Roman"/>
                      <w:color w:val="auto"/>
                      <w:szCs w:val="21"/>
                      <w:highlight w:val="none"/>
                    </w:rPr>
                    <w:t>，空气质量将逐渐好转</w:t>
                  </w:r>
                  <w:r>
                    <w:rPr>
                      <w:rFonts w:hint="default"/>
                      <w:color w:val="auto"/>
                      <w:szCs w:val="21"/>
                      <w:highlight w:val="none"/>
                      <w:lang w:val="zh-CN"/>
                    </w:rPr>
                    <w:t>。</w:t>
                  </w:r>
                </w:p>
                <w:p w14:paraId="73E36FA1">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②水环境</w:t>
                  </w:r>
                  <w:r>
                    <w:rPr>
                      <w:rFonts w:hint="eastAsia"/>
                      <w:color w:val="auto"/>
                      <w:szCs w:val="21"/>
                      <w:highlight w:val="none"/>
                      <w:lang w:eastAsia="zh-CN"/>
                    </w:rPr>
                    <w:t>：项目无废水外排，</w:t>
                  </w:r>
                  <w:r>
                    <w:rPr>
                      <w:rFonts w:hint="eastAsia"/>
                      <w:color w:val="auto"/>
                      <w:szCs w:val="21"/>
                      <w:highlight w:val="none"/>
                      <w:lang w:val="en-US" w:eastAsia="zh-CN"/>
                    </w:rPr>
                    <w:t>不会对区域周围水环境产生明显影响</w:t>
                  </w:r>
                  <w:r>
                    <w:rPr>
                      <w:rFonts w:hint="eastAsia"/>
                      <w:color w:val="auto"/>
                      <w:szCs w:val="21"/>
                      <w:highlight w:val="none"/>
                    </w:rPr>
                    <w:t>。</w:t>
                  </w:r>
                </w:p>
                <w:p w14:paraId="4E779E4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③声环境</w:t>
                  </w:r>
                  <w:r>
                    <w:rPr>
                      <w:rFonts w:hint="eastAsia"/>
                      <w:color w:val="auto"/>
                      <w:szCs w:val="21"/>
                      <w:highlight w:val="none"/>
                      <w:lang w:eastAsia="zh-CN"/>
                    </w:rPr>
                    <w:t>：</w:t>
                  </w:r>
                  <w:r>
                    <w:rPr>
                      <w:rFonts w:hint="eastAsia"/>
                      <w:color w:val="auto"/>
                      <w:szCs w:val="21"/>
                      <w:highlight w:val="none"/>
                    </w:rPr>
                    <w:t>项目所在区域为</w:t>
                  </w:r>
                  <w:r>
                    <w:rPr>
                      <w:rFonts w:hint="eastAsia"/>
                      <w:color w:val="auto"/>
                      <w:szCs w:val="21"/>
                      <w:highlight w:val="none"/>
                      <w:lang w:val="en-US" w:eastAsia="zh-CN"/>
                    </w:rPr>
                    <w:t>3类声环境功能区</w:t>
                  </w:r>
                  <w:r>
                    <w:rPr>
                      <w:rFonts w:hint="eastAsia"/>
                      <w:color w:val="auto"/>
                      <w:szCs w:val="21"/>
                      <w:highlight w:val="none"/>
                    </w:rPr>
                    <w:t>。声环境质量现状执行《声环境质量标准》（GB3096-2008）中相关标准要求。根据预测，项目噪声采取措施后，达标排放。</w:t>
                  </w:r>
                </w:p>
                <w:p w14:paraId="6EA2CA70">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④土壤环境</w:t>
                  </w:r>
                  <w:r>
                    <w:rPr>
                      <w:rFonts w:hint="eastAsia"/>
                      <w:color w:val="auto"/>
                      <w:szCs w:val="21"/>
                      <w:highlight w:val="none"/>
                      <w:lang w:eastAsia="zh-CN"/>
                    </w:rPr>
                    <w:t>：</w:t>
                  </w:r>
                  <w:r>
                    <w:rPr>
                      <w:rFonts w:hint="eastAsia"/>
                      <w:color w:val="auto"/>
                      <w:szCs w:val="21"/>
                      <w:highlight w:val="none"/>
                    </w:rPr>
                    <w:t>项目物料全部在</w:t>
                  </w:r>
                  <w:r>
                    <w:rPr>
                      <w:rFonts w:hint="eastAsia"/>
                      <w:color w:val="auto"/>
                      <w:szCs w:val="21"/>
                      <w:highlight w:val="none"/>
                      <w:lang w:eastAsia="zh-CN"/>
                    </w:rPr>
                    <w:t>原料库内暂存</w:t>
                  </w:r>
                  <w:r>
                    <w:rPr>
                      <w:rFonts w:hint="eastAsia"/>
                      <w:color w:val="auto"/>
                      <w:szCs w:val="21"/>
                      <w:highlight w:val="none"/>
                    </w:rPr>
                    <w:t>，车间采取分区防渗措施，不存在地表漫流和垂直入渗的污染途径。项目固废均得到合理处置，不会突破土壤环境质量底线。</w:t>
                  </w:r>
                </w:p>
              </w:tc>
              <w:tc>
                <w:tcPr>
                  <w:tcW w:w="369" w:type="pct"/>
                  <w:tcMar>
                    <w:left w:w="28" w:type="dxa"/>
                    <w:right w:w="28" w:type="dxa"/>
                  </w:tcMar>
                  <w:vAlign w:val="center"/>
                </w:tcPr>
                <w:p w14:paraId="0CE8AFD3">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符合</w:t>
                  </w:r>
                </w:p>
              </w:tc>
            </w:tr>
            <w:tr w14:paraId="60C5C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 w:type="pct"/>
                  <w:tcMar>
                    <w:left w:w="28" w:type="dxa"/>
                    <w:right w:w="28" w:type="dxa"/>
                  </w:tcMar>
                  <w:vAlign w:val="center"/>
                </w:tcPr>
                <w:p w14:paraId="468235A9">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资源利用上线</w:t>
                  </w:r>
                </w:p>
              </w:tc>
              <w:tc>
                <w:tcPr>
                  <w:tcW w:w="2551" w:type="pct"/>
                  <w:tcMar>
                    <w:left w:w="28" w:type="dxa"/>
                    <w:right w:w="28" w:type="dxa"/>
                  </w:tcMar>
                  <w:vAlign w:val="center"/>
                </w:tcPr>
                <w:p w14:paraId="2B5151C0">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资源利用上线是各地区能源、水、土地等资源消耗不得突破的</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天花板</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。相关规划环评应依据有关资源利用上线</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对规划实施及规划内项目的资源开发利用</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区分不同行业</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从能源资源开发等量或减量替代、开采方式和规模控制、利用效率和保护措施等方面提出建议</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为规划编制和审批决策提供重要依据。</w:t>
                  </w:r>
                </w:p>
              </w:tc>
              <w:tc>
                <w:tcPr>
                  <w:tcW w:w="1810" w:type="pct"/>
                  <w:tcMar>
                    <w:left w:w="28" w:type="dxa"/>
                    <w:right w:w="28" w:type="dxa"/>
                  </w:tcMar>
                  <w:vAlign w:val="center"/>
                </w:tcPr>
                <w:p w14:paraId="58045EAA">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项目用水、用电均</w:t>
                  </w:r>
                  <w:r>
                    <w:rPr>
                      <w:rFonts w:hint="eastAsia" w:cs="Times New Roman"/>
                      <w:smallCaps w:val="0"/>
                      <w:color w:val="auto"/>
                      <w:spacing w:val="0"/>
                      <w:highlight w:val="none"/>
                      <w:lang w:eastAsia="zh-CN"/>
                    </w:rPr>
                    <w:t>由园区供水管网</w:t>
                  </w:r>
                  <w:r>
                    <w:rPr>
                      <w:rFonts w:hint="default" w:ascii="Times New Roman" w:hAnsi="Times New Roman" w:cs="Times New Roman"/>
                      <w:smallCaps w:val="0"/>
                      <w:color w:val="auto"/>
                      <w:spacing w:val="0"/>
                      <w:highlight w:val="none"/>
                    </w:rPr>
                    <w:t>及</w:t>
                  </w:r>
                  <w:r>
                    <w:rPr>
                      <w:rFonts w:hint="eastAsia" w:cs="Times New Roman"/>
                      <w:smallCaps w:val="0"/>
                      <w:color w:val="auto"/>
                      <w:spacing w:val="0"/>
                      <w:highlight w:val="none"/>
                      <w:lang w:val="en-US" w:eastAsia="zh-CN"/>
                    </w:rPr>
                    <w:t>园区供电管网</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不新增占地</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项目建设不会突破资源上限。</w:t>
                  </w:r>
                </w:p>
              </w:tc>
              <w:tc>
                <w:tcPr>
                  <w:tcW w:w="369" w:type="pct"/>
                  <w:tcMar>
                    <w:left w:w="28" w:type="dxa"/>
                    <w:right w:w="28" w:type="dxa"/>
                  </w:tcMar>
                  <w:vAlign w:val="center"/>
                </w:tcPr>
                <w:p w14:paraId="401E58BE">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符合</w:t>
                  </w:r>
                </w:p>
              </w:tc>
            </w:tr>
            <w:tr w14:paraId="3A4D3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 w:type="pct"/>
                  <w:tcMar>
                    <w:left w:w="28" w:type="dxa"/>
                    <w:right w:w="28" w:type="dxa"/>
                  </w:tcMar>
                  <w:vAlign w:val="center"/>
                </w:tcPr>
                <w:p w14:paraId="6029F21C">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环境准入负面清单</w:t>
                  </w:r>
                </w:p>
              </w:tc>
              <w:tc>
                <w:tcPr>
                  <w:tcW w:w="2551" w:type="pct"/>
                  <w:tcMar>
                    <w:left w:w="28" w:type="dxa"/>
                    <w:right w:w="28" w:type="dxa"/>
                  </w:tcMar>
                  <w:vAlign w:val="center"/>
                </w:tcPr>
                <w:p w14:paraId="4452A3E0">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环境准入负面清单是基于生态保护红线、环境质量底线和资源利用上线</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以清单方式列出的禁止、限制等差别化环境准入条件和要求。要在规划环评清单式管理试点的基础上</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从布局选址、资源利用效率、资源配置方式等方面入手</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制定环境准入负面清单</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充分发挥负面清单对产业发展和项目准入的指导和约束作用。</w:t>
                  </w:r>
                </w:p>
              </w:tc>
              <w:tc>
                <w:tcPr>
                  <w:tcW w:w="1810" w:type="pct"/>
                  <w:tcMar>
                    <w:left w:w="28" w:type="dxa"/>
                    <w:right w:w="28" w:type="dxa"/>
                  </w:tcMar>
                  <w:vAlign w:val="center"/>
                </w:tcPr>
                <w:p w14:paraId="27856E9C">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项目符合国家及地方相关产业政策要求</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不属于高污染项目</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未被列入国家环境准入负面清单</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不在有关环境政策规定的准入负面清单内。</w:t>
                  </w:r>
                </w:p>
              </w:tc>
              <w:tc>
                <w:tcPr>
                  <w:tcW w:w="369" w:type="pct"/>
                  <w:tcMar>
                    <w:left w:w="28" w:type="dxa"/>
                    <w:right w:w="28" w:type="dxa"/>
                  </w:tcMar>
                  <w:vAlign w:val="center"/>
                </w:tcPr>
                <w:p w14:paraId="7CF509A9">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符合</w:t>
                  </w:r>
                </w:p>
              </w:tc>
            </w:tr>
          </w:tbl>
          <w:p w14:paraId="27540894">
            <w:pPr>
              <w:pStyle w:val="5"/>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420" w:lineRule="exact"/>
              <w:ind w:left="0" w:right="0" w:firstLine="480" w:firstLineChars="200"/>
              <w:textAlignment w:val="auto"/>
              <w:rPr>
                <w:rFonts w:hint="default" w:ascii="Times New Roman" w:hAnsi="Times New Roman" w:cs="Times New Roman"/>
                <w:smallCaps w:val="0"/>
                <w:color w:val="auto"/>
                <w:spacing w:val="0"/>
                <w:sz w:val="24"/>
                <w:szCs w:val="24"/>
                <w:highlight w:val="none"/>
                <w:lang w:val="en-US" w:eastAsia="zh-CN"/>
              </w:rPr>
            </w:pPr>
            <w:r>
              <w:rPr>
                <w:rFonts w:hint="default" w:ascii="Times New Roman" w:hAnsi="Times New Roman" w:cs="Times New Roman"/>
                <w:smallCaps w:val="0"/>
                <w:color w:val="auto"/>
                <w:spacing w:val="0"/>
                <w:sz w:val="24"/>
                <w:szCs w:val="24"/>
                <w:highlight w:val="none"/>
                <w:lang w:val="en-US" w:eastAsia="zh-CN"/>
              </w:rPr>
              <w:t>《河北石家庄矿区工业园区总体</w:t>
            </w:r>
            <w:r>
              <w:rPr>
                <w:rFonts w:hint="eastAsia" w:cs="Times New Roman"/>
                <w:smallCaps w:val="0"/>
                <w:color w:val="auto"/>
                <w:spacing w:val="0"/>
                <w:sz w:val="24"/>
                <w:szCs w:val="24"/>
                <w:highlight w:val="none"/>
                <w:lang w:val="en-US" w:eastAsia="zh-CN"/>
              </w:rPr>
              <w:t>发展</w:t>
            </w:r>
            <w:r>
              <w:rPr>
                <w:rFonts w:hint="default" w:ascii="Times New Roman" w:hAnsi="Times New Roman" w:cs="Times New Roman"/>
                <w:smallCaps w:val="0"/>
                <w:color w:val="auto"/>
                <w:spacing w:val="0"/>
                <w:sz w:val="24"/>
                <w:szCs w:val="24"/>
                <w:highlight w:val="none"/>
                <w:lang w:val="en-US" w:eastAsia="zh-CN"/>
              </w:rPr>
              <w:t>规划（</w:t>
            </w:r>
            <w:r>
              <w:rPr>
                <w:rFonts w:hint="eastAsia" w:cs="Times New Roman"/>
                <w:smallCaps w:val="0"/>
                <w:color w:val="auto"/>
                <w:spacing w:val="0"/>
                <w:sz w:val="24"/>
                <w:szCs w:val="24"/>
                <w:highlight w:val="none"/>
                <w:lang w:val="en-US" w:eastAsia="zh-CN"/>
              </w:rPr>
              <w:t>2022-2030</w:t>
            </w:r>
            <w:r>
              <w:rPr>
                <w:rFonts w:hint="default" w:ascii="Times New Roman" w:hAnsi="Times New Roman" w:cs="Times New Roman"/>
                <w:smallCaps w:val="0"/>
                <w:color w:val="auto"/>
                <w:spacing w:val="0"/>
                <w:sz w:val="24"/>
                <w:szCs w:val="24"/>
                <w:highlight w:val="none"/>
                <w:lang w:val="en-US" w:eastAsia="zh-CN"/>
              </w:rPr>
              <w:t>）环境影响报告书》中提出的园区环境准入及负面清单见下表。</w:t>
            </w:r>
          </w:p>
          <w:p w14:paraId="65C9A354">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eastAsia="宋体" w:cs="Times New Roman"/>
                <w:smallCaps w:val="0"/>
                <w:color w:val="auto"/>
                <w:spacing w:val="0"/>
                <w:highlight w:val="none"/>
                <w:lang w:val="en-US" w:eastAsia="zh-CN"/>
              </w:rPr>
              <w:t>表1-</w:t>
            </w:r>
            <w:r>
              <w:rPr>
                <w:rFonts w:hint="eastAsia" w:cs="Times New Roman"/>
                <w:smallCaps w:val="0"/>
                <w:color w:val="auto"/>
                <w:spacing w:val="0"/>
                <w:highlight w:val="none"/>
                <w:lang w:val="en-US" w:eastAsia="zh-CN"/>
              </w:rPr>
              <w:t>9</w:t>
            </w:r>
            <w:r>
              <w:rPr>
                <w:rFonts w:hint="default" w:ascii="Times New Roman" w:hAnsi="Times New Roman" w:eastAsia="宋体" w:cs="Times New Roman"/>
                <w:smallCaps w:val="0"/>
                <w:color w:val="auto"/>
                <w:spacing w:val="0"/>
                <w:highlight w:val="none"/>
                <w:lang w:val="en-US" w:eastAsia="zh-CN"/>
              </w:rPr>
              <w:t xml:space="preserve"> </w:t>
            </w:r>
            <w:bookmarkStart w:id="6" w:name="_Hlk520472464"/>
            <w:r>
              <w:rPr>
                <w:rFonts w:hint="default" w:ascii="Times New Roman" w:hAnsi="Times New Roman" w:eastAsia="宋体" w:cs="Times New Roman"/>
                <w:smallCaps w:val="0"/>
                <w:color w:val="auto"/>
                <w:spacing w:val="0"/>
                <w:highlight w:val="none"/>
                <w:lang w:val="en-US" w:eastAsia="zh-CN"/>
              </w:rPr>
              <w:t xml:space="preserve">  本项目与园区环境准入及负面清单符合性分析表</w:t>
            </w:r>
            <w:bookmarkEnd w:id="6"/>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1"/>
              <w:gridCol w:w="586"/>
              <w:gridCol w:w="3915"/>
              <w:gridCol w:w="2102"/>
              <w:gridCol w:w="424"/>
            </w:tblGrid>
            <w:tr w14:paraId="18D3B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tblHeader/>
                <w:jc w:val="center"/>
              </w:trPr>
              <w:tc>
                <w:tcPr>
                  <w:tcW w:w="3344" w:type="pct"/>
                  <w:gridSpan w:val="3"/>
                  <w:noWrap w:val="0"/>
                  <w:tcMar>
                    <w:top w:w="0" w:type="dxa"/>
                    <w:left w:w="28" w:type="dxa"/>
                    <w:bottom w:w="0" w:type="dxa"/>
                    <w:right w:w="28" w:type="dxa"/>
                  </w:tcMar>
                  <w:vAlign w:val="center"/>
                </w:tcPr>
                <w:p w14:paraId="295BE28B">
                  <w:pPr>
                    <w:pStyle w:val="60"/>
                    <w:keepNext w:val="0"/>
                    <w:keepLines w:val="0"/>
                    <w:suppressLineNumbers w:val="0"/>
                    <w:spacing w:before="0" w:beforeAutospacing="0" w:after="0" w:afterAutospacing="0" w:line="240" w:lineRule="exact"/>
                    <w:ind w:left="-21" w:leftChars="-10" w:right="-21" w:rightChars="-10"/>
                    <w:jc w:val="center"/>
                    <w:rPr>
                      <w:rFonts w:hint="default" w:ascii="Times New Roman" w:hAnsi="Times New Roman" w:eastAsia="宋体" w:cs="Times New Roman"/>
                      <w:bCs/>
                      <w:smallCaps w:val="0"/>
                      <w:color w:val="auto"/>
                      <w:spacing w:val="0"/>
                      <w:sz w:val="21"/>
                      <w:szCs w:val="21"/>
                      <w:highlight w:val="none"/>
                    </w:rPr>
                  </w:pPr>
                  <w:r>
                    <w:rPr>
                      <w:rFonts w:hint="default" w:ascii="Times New Roman" w:hAnsi="Times New Roman" w:eastAsia="宋体" w:cs="Times New Roman"/>
                      <w:bCs/>
                      <w:smallCaps w:val="0"/>
                      <w:color w:val="auto"/>
                      <w:spacing w:val="0"/>
                      <w:sz w:val="21"/>
                      <w:szCs w:val="21"/>
                      <w:highlight w:val="none"/>
                    </w:rPr>
                    <w:t>园区环境准入负面清单内容</w:t>
                  </w:r>
                </w:p>
              </w:tc>
              <w:tc>
                <w:tcPr>
                  <w:tcW w:w="1377" w:type="pct"/>
                  <w:noWrap w:val="0"/>
                  <w:tcMar>
                    <w:top w:w="0" w:type="dxa"/>
                    <w:bottom w:w="0" w:type="dxa"/>
                  </w:tcMar>
                  <w:vAlign w:val="center"/>
                </w:tcPr>
                <w:p w14:paraId="60CBDFF0">
                  <w:pPr>
                    <w:pStyle w:val="60"/>
                    <w:keepNext w:val="0"/>
                    <w:keepLines w:val="0"/>
                    <w:suppressLineNumbers w:val="0"/>
                    <w:spacing w:before="0" w:beforeAutospacing="0" w:after="0" w:afterAutospacing="0" w:line="240" w:lineRule="exact"/>
                    <w:ind w:left="-21" w:leftChars="-10" w:right="-21" w:rightChars="-10"/>
                    <w:jc w:val="center"/>
                    <w:rPr>
                      <w:rFonts w:hint="default" w:ascii="Times New Roman" w:hAnsi="Times New Roman" w:eastAsia="宋体" w:cs="Times New Roman"/>
                      <w:bCs/>
                      <w:smallCaps w:val="0"/>
                      <w:color w:val="auto"/>
                      <w:spacing w:val="0"/>
                      <w:sz w:val="21"/>
                      <w:szCs w:val="21"/>
                      <w:highlight w:val="none"/>
                    </w:rPr>
                  </w:pPr>
                  <w:r>
                    <w:rPr>
                      <w:rFonts w:hint="default" w:ascii="Times New Roman" w:hAnsi="Times New Roman" w:eastAsia="宋体" w:cs="Times New Roman"/>
                      <w:bCs/>
                      <w:smallCaps w:val="0"/>
                      <w:color w:val="auto"/>
                      <w:spacing w:val="0"/>
                      <w:sz w:val="21"/>
                      <w:szCs w:val="21"/>
                      <w:highlight w:val="none"/>
                    </w:rPr>
                    <w:t>本项目情况</w:t>
                  </w:r>
                </w:p>
              </w:tc>
              <w:tc>
                <w:tcPr>
                  <w:tcW w:w="277" w:type="pct"/>
                  <w:noWrap w:val="0"/>
                  <w:tcMar>
                    <w:top w:w="0" w:type="dxa"/>
                    <w:bottom w:w="0" w:type="dxa"/>
                  </w:tcMar>
                  <w:vAlign w:val="center"/>
                </w:tcPr>
                <w:p w14:paraId="7379E71B">
                  <w:pPr>
                    <w:pStyle w:val="60"/>
                    <w:keepNext w:val="0"/>
                    <w:keepLines w:val="0"/>
                    <w:suppressLineNumbers w:val="0"/>
                    <w:spacing w:before="0" w:beforeAutospacing="0" w:after="0" w:afterAutospacing="0" w:line="240" w:lineRule="exact"/>
                    <w:ind w:left="-21" w:leftChars="-10" w:right="-21" w:rightChars="-10"/>
                    <w:jc w:val="center"/>
                    <w:rPr>
                      <w:rFonts w:hint="default" w:ascii="Times New Roman" w:hAnsi="Times New Roman" w:eastAsia="宋体" w:cs="Times New Roman"/>
                      <w:bCs/>
                      <w:smallCaps w:val="0"/>
                      <w:color w:val="auto"/>
                      <w:spacing w:val="0"/>
                      <w:sz w:val="21"/>
                      <w:szCs w:val="21"/>
                      <w:highlight w:val="none"/>
                    </w:rPr>
                  </w:pPr>
                  <w:r>
                    <w:rPr>
                      <w:rFonts w:hint="default" w:ascii="Times New Roman" w:hAnsi="Times New Roman" w:eastAsia="宋体" w:cs="Times New Roman"/>
                      <w:bCs/>
                      <w:smallCaps w:val="0"/>
                      <w:color w:val="auto"/>
                      <w:spacing w:val="0"/>
                      <w:sz w:val="21"/>
                      <w:szCs w:val="21"/>
                      <w:highlight w:val="none"/>
                    </w:rPr>
                    <w:t>符合性</w:t>
                  </w:r>
                </w:p>
              </w:tc>
            </w:tr>
            <w:tr w14:paraId="517E1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777" w:type="pct"/>
                  <w:gridSpan w:val="2"/>
                  <w:noWrap w:val="0"/>
                  <w:tcMar>
                    <w:top w:w="0" w:type="dxa"/>
                    <w:left w:w="28" w:type="dxa"/>
                    <w:bottom w:w="0" w:type="dxa"/>
                    <w:right w:w="28" w:type="dxa"/>
                  </w:tcMar>
                  <w:vAlign w:val="center"/>
                </w:tcPr>
                <w:p w14:paraId="0C26ED14">
                  <w:pPr>
                    <w:pStyle w:val="60"/>
                    <w:keepNext w:val="0"/>
                    <w:keepLines w:val="0"/>
                    <w:suppressLineNumbers w:val="0"/>
                    <w:spacing w:before="0" w:beforeAutospacing="0" w:after="0" w:afterAutospacing="0" w:line="260" w:lineRule="exact"/>
                    <w:ind w:left="0" w:right="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产业及政策准入管理要求</w:t>
                  </w:r>
                </w:p>
              </w:tc>
              <w:tc>
                <w:tcPr>
                  <w:tcW w:w="2566" w:type="pct"/>
                  <w:noWrap w:val="0"/>
                  <w:tcMar>
                    <w:top w:w="0" w:type="dxa"/>
                    <w:bottom w:w="0" w:type="dxa"/>
                  </w:tcMar>
                  <w:vAlign w:val="center"/>
                </w:tcPr>
                <w:p w14:paraId="6D1B396B">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1.禁止</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两高</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项目入驻，园区钢铁行业不得突破现状产能规模</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年产钢坯200万吨、年产钢材192万吨</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；水泥行业不得突破现状产能规模</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年产水泥熟料240万吨，年产水泥151万吨</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w:t>
                  </w:r>
                </w:p>
                <w:p w14:paraId="4C9F7D0F">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2.禁止建设电镀、酸洗、碱洗、磷化等专门从事表面处理的建设项目；</w:t>
                  </w:r>
                </w:p>
                <w:p w14:paraId="55F6276B">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3.禁止建设镍氢电池、铅蓄电池、锌锰电池制造项目；</w:t>
                  </w:r>
                </w:p>
                <w:p w14:paraId="671D0B6E">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4.严格落实《工业和信息化部 国家发展和改革委员会 生态环境部关于推动铸造和锻压行业高质量发展的指导意见》</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工信部联通装〔2023〕40号</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相关要求，严格落实主要污染物排放总量控制、能源消耗总量和强度调控制度，坚决遏制不符合要求的项目盲目发展和低水平重复建设，防止产能盲目扩张，合理选择低污染、低能耗、经济高效的先进工艺技术，严禁以铸造和锻压名义违规新增钢铁产能、违规生产钢坯钢锭；</w:t>
                  </w:r>
                </w:p>
                <w:p w14:paraId="6D444953">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5.禁止建设与园区产业无关联的废弃资源综合利用项目，与园区特种钢、高端装备制造、新材料等产业相关联的、利于形成园区循环经济产业链的项目方可入园；</w:t>
                  </w:r>
                </w:p>
                <w:p w14:paraId="02F00151">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6.禁止建设集中收集、贮存、利用、处置危险废物项目。</w:t>
                  </w:r>
                </w:p>
              </w:tc>
              <w:tc>
                <w:tcPr>
                  <w:tcW w:w="1377" w:type="pct"/>
                  <w:noWrap w:val="0"/>
                  <w:tcMar>
                    <w:top w:w="0" w:type="dxa"/>
                    <w:bottom w:w="0" w:type="dxa"/>
                  </w:tcMar>
                  <w:vAlign w:val="center"/>
                </w:tcPr>
                <w:p w14:paraId="6CF73C58">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1、本项目属于通用设备制造业和</w:t>
                  </w:r>
                  <w:r>
                    <w:rPr>
                      <w:rFonts w:hint="eastAsia" w:ascii="Times New Roman" w:eastAsia="宋体" w:cs="Times New Roman"/>
                      <w:smallCaps w:val="0"/>
                      <w:color w:val="auto"/>
                      <w:spacing w:val="0"/>
                      <w:sz w:val="21"/>
                      <w:szCs w:val="21"/>
                      <w:highlight w:val="none"/>
                      <w:lang w:val="en-US" w:eastAsia="zh-CN"/>
                    </w:rPr>
                    <w:t>金属表面处理及热处理加工</w:t>
                  </w:r>
                  <w:r>
                    <w:rPr>
                      <w:rFonts w:hint="default" w:ascii="Times New Roman" w:hAnsi="Times New Roman" w:eastAsia="宋体" w:cs="Times New Roman"/>
                      <w:smallCaps w:val="0"/>
                      <w:color w:val="auto"/>
                      <w:spacing w:val="0"/>
                      <w:sz w:val="21"/>
                      <w:szCs w:val="21"/>
                      <w:highlight w:val="none"/>
                    </w:rPr>
                    <w:t>，不属于水泥行业，项目不涉及钢铁产能</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项目不属于</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两高</w:t>
                  </w:r>
                  <w:r>
                    <w:rPr>
                      <w:rFonts w:hint="eastAsia" w:ascii="Times New Roman" w:eastAsia="宋体"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项目</w:t>
                  </w:r>
                  <w:r>
                    <w:rPr>
                      <w:rFonts w:hint="eastAsia" w:ascii="Times New Roman" w:eastAsia="宋体" w:cs="Times New Roman"/>
                      <w:smallCaps w:val="0"/>
                      <w:color w:val="auto"/>
                      <w:spacing w:val="0"/>
                      <w:sz w:val="21"/>
                      <w:szCs w:val="21"/>
                      <w:highlight w:val="none"/>
                      <w:lang w:eastAsia="zh-CN"/>
                    </w:rPr>
                    <w:t>；</w:t>
                  </w:r>
                </w:p>
                <w:p w14:paraId="5FC789A8">
                  <w:pPr>
                    <w:pStyle w:val="60"/>
                    <w:keepNext w:val="0"/>
                    <w:keepLines w:val="0"/>
                    <w:suppressLineNumbers w:val="0"/>
                    <w:spacing w:before="0" w:beforeAutospacing="0" w:after="0" w:afterAutospacing="0" w:line="260" w:lineRule="exact"/>
                    <w:ind w:left="-21" w:leftChars="-10" w:right="-21" w:rightChars="-10"/>
                    <w:jc w:val="center"/>
                    <w:rPr>
                      <w:rFonts w:hint="eastAsia" w:ascii="Times New Roman" w:hAnsi="Times New Roman" w:eastAsia="宋体" w:cs="Times New Roman"/>
                      <w:smallCaps w:val="0"/>
                      <w:color w:val="auto"/>
                      <w:spacing w:val="0"/>
                      <w:sz w:val="21"/>
                      <w:szCs w:val="21"/>
                      <w:highlight w:val="none"/>
                      <w:lang w:eastAsia="zh-CN"/>
                    </w:rPr>
                  </w:pPr>
                  <w:r>
                    <w:rPr>
                      <w:rFonts w:hint="default" w:ascii="Times New Roman" w:hAnsi="Times New Roman" w:eastAsia="宋体" w:cs="Times New Roman"/>
                      <w:smallCaps w:val="0"/>
                      <w:color w:val="auto"/>
                      <w:spacing w:val="0"/>
                      <w:sz w:val="21"/>
                      <w:szCs w:val="21"/>
                      <w:highlight w:val="none"/>
                    </w:rPr>
                    <w:t>2、本项目工艺涉及</w:t>
                  </w:r>
                  <w:r>
                    <w:rPr>
                      <w:rFonts w:hint="eastAsia" w:ascii="Times New Roman" w:eastAsia="宋体" w:cs="Times New Roman"/>
                      <w:smallCaps w:val="0"/>
                      <w:color w:val="auto"/>
                      <w:spacing w:val="0"/>
                      <w:sz w:val="21"/>
                      <w:szCs w:val="21"/>
                      <w:highlight w:val="none"/>
                      <w:lang w:val="en-US" w:eastAsia="zh-CN"/>
                    </w:rPr>
                    <w:t>修磨</w:t>
                  </w:r>
                  <w:r>
                    <w:rPr>
                      <w:rFonts w:hint="default" w:ascii="Times New Roman" w:hAnsi="Times New Roman" w:eastAsia="宋体" w:cs="Times New Roman"/>
                      <w:smallCaps w:val="0"/>
                      <w:color w:val="auto"/>
                      <w:spacing w:val="0"/>
                      <w:sz w:val="21"/>
                      <w:szCs w:val="21"/>
                      <w:highlight w:val="none"/>
                    </w:rPr>
                    <w:t>，但不属于专门从事表面处理的建设项目</w:t>
                  </w:r>
                  <w:r>
                    <w:rPr>
                      <w:rFonts w:hint="eastAsia" w:ascii="Times New Roman" w:eastAsia="宋体" w:cs="Times New Roman"/>
                      <w:smallCaps w:val="0"/>
                      <w:color w:val="auto"/>
                      <w:spacing w:val="0"/>
                      <w:sz w:val="21"/>
                      <w:szCs w:val="21"/>
                      <w:highlight w:val="none"/>
                      <w:lang w:eastAsia="zh-CN"/>
                    </w:rPr>
                    <w:t>；</w:t>
                  </w:r>
                </w:p>
                <w:p w14:paraId="56C8968F">
                  <w:pPr>
                    <w:pStyle w:val="60"/>
                    <w:keepNext w:val="0"/>
                    <w:keepLines w:val="0"/>
                    <w:suppressLineNumbers w:val="0"/>
                    <w:spacing w:before="0" w:beforeAutospacing="0" w:after="0" w:afterAutospacing="0" w:line="260" w:lineRule="exact"/>
                    <w:ind w:left="-21" w:leftChars="-10" w:right="-21" w:rightChars="-10"/>
                    <w:jc w:val="center"/>
                    <w:rPr>
                      <w:rFonts w:hint="eastAsia" w:ascii="Times New Roman" w:eastAsia="宋体" w:cs="Times New Roman"/>
                      <w:smallCaps w:val="0"/>
                      <w:color w:val="auto"/>
                      <w:spacing w:val="0"/>
                      <w:sz w:val="21"/>
                      <w:szCs w:val="21"/>
                      <w:highlight w:val="none"/>
                      <w:lang w:eastAsia="zh-CN"/>
                    </w:rPr>
                  </w:pPr>
                  <w:r>
                    <w:rPr>
                      <w:rFonts w:hint="default" w:ascii="Times New Roman" w:hAnsi="Times New Roman" w:eastAsia="宋体" w:cs="Times New Roman"/>
                      <w:smallCaps w:val="0"/>
                      <w:color w:val="auto"/>
                      <w:spacing w:val="0"/>
                      <w:sz w:val="21"/>
                      <w:szCs w:val="21"/>
                      <w:highlight w:val="none"/>
                    </w:rPr>
                    <w:t>3、项目不属于电池制造项目</w:t>
                  </w:r>
                  <w:r>
                    <w:rPr>
                      <w:rFonts w:hint="eastAsia" w:ascii="Times New Roman" w:eastAsia="宋体" w:cs="Times New Roman"/>
                      <w:smallCaps w:val="0"/>
                      <w:color w:val="auto"/>
                      <w:spacing w:val="0"/>
                      <w:sz w:val="21"/>
                      <w:szCs w:val="21"/>
                      <w:highlight w:val="none"/>
                      <w:lang w:eastAsia="zh-CN"/>
                    </w:rPr>
                    <w:t>；</w:t>
                  </w:r>
                </w:p>
                <w:p w14:paraId="1069E85C">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4、项目属于</w:t>
                  </w:r>
                  <w:r>
                    <w:rPr>
                      <w:rFonts w:hint="eastAsia" w:ascii="Times New Roman" w:eastAsia="宋体" w:cs="Times New Roman"/>
                      <w:smallCaps w:val="0"/>
                      <w:color w:val="auto"/>
                      <w:spacing w:val="0"/>
                      <w:sz w:val="21"/>
                      <w:szCs w:val="21"/>
                      <w:highlight w:val="none"/>
                      <w:lang w:eastAsia="zh-CN"/>
                    </w:rPr>
                    <w:t>通用设备制造业和金属表面处理及热处理加工</w:t>
                  </w:r>
                  <w:r>
                    <w:rPr>
                      <w:rFonts w:hint="default" w:ascii="Times New Roman" w:hAnsi="Times New Roman" w:eastAsia="宋体" w:cs="Times New Roman"/>
                      <w:smallCaps w:val="0"/>
                      <w:color w:val="auto"/>
                      <w:spacing w:val="0"/>
                      <w:sz w:val="21"/>
                      <w:szCs w:val="21"/>
                      <w:highlight w:val="none"/>
                    </w:rPr>
                    <w:t>，不涉及钢铁产能，不涉及钢坯钢锭生产，不属于铸造和锻压行业；</w:t>
                  </w:r>
                </w:p>
                <w:p w14:paraId="2DC6C00D">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5、项目年生产钻杆25万吨、车轴37万吨，属于围绕石钢生产的钻杆、车轴</w:t>
                  </w:r>
                  <w:r>
                    <w:rPr>
                      <w:rFonts w:hint="eastAsia" w:ascii="Times New Roman" w:eastAsia="宋体" w:cs="Times New Roman"/>
                      <w:smallCaps w:val="0"/>
                      <w:color w:val="auto"/>
                      <w:spacing w:val="0"/>
                      <w:sz w:val="21"/>
                      <w:szCs w:val="21"/>
                      <w:highlight w:val="none"/>
                      <w:lang w:eastAsia="zh-CN"/>
                    </w:rPr>
                    <w:t>，</w:t>
                  </w:r>
                  <w:r>
                    <w:rPr>
                      <w:rFonts w:hint="eastAsia" w:ascii="Times New Roman" w:eastAsia="宋体" w:cs="Times New Roman"/>
                      <w:smallCaps w:val="0"/>
                      <w:color w:val="auto"/>
                      <w:spacing w:val="0"/>
                      <w:sz w:val="21"/>
                      <w:szCs w:val="21"/>
                      <w:highlight w:val="none"/>
                      <w:lang w:val="en-US" w:eastAsia="zh-CN"/>
                    </w:rPr>
                    <w:t>符合园区规划</w:t>
                  </w:r>
                  <w:r>
                    <w:rPr>
                      <w:rFonts w:hint="default" w:ascii="Times New Roman" w:hAnsi="Times New Roman" w:eastAsia="宋体" w:cs="Times New Roman"/>
                      <w:smallCaps w:val="0"/>
                      <w:color w:val="auto"/>
                      <w:spacing w:val="0"/>
                      <w:sz w:val="21"/>
                      <w:szCs w:val="21"/>
                      <w:highlight w:val="none"/>
                    </w:rPr>
                    <w:t>；</w:t>
                  </w:r>
                </w:p>
                <w:p w14:paraId="1718B313">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6、项目不属于危险废物集中收集、贮存、利用、处置项目。</w:t>
                  </w:r>
                </w:p>
              </w:tc>
              <w:tc>
                <w:tcPr>
                  <w:tcW w:w="277" w:type="pct"/>
                  <w:noWrap w:val="0"/>
                  <w:tcMar>
                    <w:top w:w="0" w:type="dxa"/>
                    <w:bottom w:w="0" w:type="dxa"/>
                  </w:tcMar>
                  <w:vAlign w:val="center"/>
                </w:tcPr>
                <w:p w14:paraId="44B047A5">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符合要求</w:t>
                  </w:r>
                </w:p>
              </w:tc>
            </w:tr>
            <w:tr w14:paraId="352E5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777" w:type="pct"/>
                  <w:gridSpan w:val="2"/>
                  <w:noWrap w:val="0"/>
                  <w:tcMar>
                    <w:top w:w="0" w:type="dxa"/>
                    <w:left w:w="28" w:type="dxa"/>
                    <w:bottom w:w="0" w:type="dxa"/>
                    <w:right w:w="28" w:type="dxa"/>
                  </w:tcMar>
                  <w:vAlign w:val="center"/>
                </w:tcPr>
                <w:p w14:paraId="4FAC36A5">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空间布局约束</w:t>
                  </w:r>
                </w:p>
              </w:tc>
              <w:tc>
                <w:tcPr>
                  <w:tcW w:w="2566" w:type="pct"/>
                  <w:noWrap w:val="0"/>
                  <w:tcMar>
                    <w:top w:w="0" w:type="dxa"/>
                    <w:bottom w:w="0" w:type="dxa"/>
                  </w:tcMar>
                  <w:vAlign w:val="center"/>
                </w:tcPr>
                <w:p w14:paraId="0688CB3E">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1.规划范围内城镇开发边界外的区域维持现状不变；基本农田范围未经依法调整，需按照《基本农田保护条例》对上述区域进行严格保护，园区规划建设一律不得占用；</w:t>
                  </w:r>
                </w:p>
                <w:p w14:paraId="103D64BF">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2.禁止在公园绿地、广场绿地等规划绿地范围内开展与绿地无关的建设活动，禁止占用公路用地红线；</w:t>
                  </w:r>
                </w:p>
                <w:p w14:paraId="3B121319">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3.将现状村庄和规划居住区作为环境敏感点予以保护，合理控制周边建设项目布局，根据不同的区位特点进行差别化管控；</w:t>
                  </w:r>
                </w:p>
                <w:p w14:paraId="6D1ED37E">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4.清凉湾湿地公园周边禁止倾倒有毒有害物质、废弃物、垃圾和其他破坏湿地及其生态功能的活动；</w:t>
                  </w:r>
                </w:p>
                <w:p w14:paraId="73516472">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5.禁止建设集中收集、利用、处置易溶性、有毒有害废弃物的暂存和转运设施；</w:t>
                  </w:r>
                </w:p>
                <w:p w14:paraId="187D9661">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6.入区项目应做好选址可行性分析，地下岩溶区不宜布设水污染较重构建筑物及设备设施。如若工程无法避让，应在基础施工阶段对地基进行防渗处理。同时该区域涉水设备设施应采取</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可视化</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措施，并严格防渗，加强跟踪监测频次，最大可能的减少对区域地下水的污染影响；</w:t>
                  </w:r>
                </w:p>
                <w:p w14:paraId="79706275">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7.污染企业退出的遗留污染宗地：园区内退出的遗留宗地应当按照《污染地块土壤环境管理办法》、《工矿用地土壤环境管理办法（试行）》、《关于加强工业企业关停、搬迁及原址场地再开发利用过程中污染防治工作的通知》开展土壤和地下水环境初步调查，编制调查报告。土壤和地下水环境初步调查发现该重点单位用地污染物含量超过国家或者地方有关建设用地土壤污染风险管控标准的，应当开展详细调查、风险评估、风险管控、治理与修复等活动。</w:t>
                  </w:r>
                </w:p>
              </w:tc>
              <w:tc>
                <w:tcPr>
                  <w:tcW w:w="1377" w:type="pct"/>
                  <w:noWrap w:val="0"/>
                  <w:tcMar>
                    <w:top w:w="0" w:type="dxa"/>
                    <w:bottom w:w="0" w:type="dxa"/>
                  </w:tcMar>
                  <w:vAlign w:val="center"/>
                </w:tcPr>
                <w:p w14:paraId="553E3DD7">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1、项目占地为工业用地，位于规划的城镇开发边界内，不占用基本农田；</w:t>
                  </w:r>
                </w:p>
                <w:p w14:paraId="427D808D">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2、项目用地不属于绿地、公路用地；</w:t>
                  </w:r>
                </w:p>
                <w:p w14:paraId="2252B123">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3、项目周边调查范围内不涉及村庄和规划居住区；</w:t>
                  </w:r>
                </w:p>
                <w:p w14:paraId="2236C174">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4、本项目距离清凉湾 湿 地 公 园 约</w:t>
                  </w:r>
                  <w:r>
                    <w:rPr>
                      <w:rFonts w:hint="eastAsia" w:ascii="Times New Roman" w:eastAsia="宋体" w:cs="Times New Roman"/>
                      <w:smallCaps w:val="0"/>
                      <w:color w:val="auto"/>
                      <w:spacing w:val="0"/>
                      <w:sz w:val="21"/>
                      <w:szCs w:val="21"/>
                      <w:highlight w:val="none"/>
                      <w:lang w:val="en-US" w:eastAsia="zh-CN"/>
                    </w:rPr>
                    <w:t>2835m</w:t>
                  </w:r>
                  <w:r>
                    <w:rPr>
                      <w:rFonts w:hint="default" w:ascii="Times New Roman" w:hAnsi="Times New Roman" w:eastAsia="宋体" w:cs="Times New Roman"/>
                      <w:smallCaps w:val="0"/>
                      <w:color w:val="auto"/>
                      <w:spacing w:val="0"/>
                      <w:sz w:val="21"/>
                      <w:szCs w:val="21"/>
                      <w:highlight w:val="none"/>
                      <w:lang w:val="en-US" w:eastAsia="zh-CN"/>
                    </w:rPr>
                    <w:t>，不会破坏湿地及其生态功能；</w:t>
                  </w:r>
                </w:p>
                <w:p w14:paraId="28A2AB3C">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5、项目不涉及建设收集、利用、处置易溶性、有毒有害废弃物的暂存和转运设施；</w:t>
                  </w:r>
                </w:p>
                <w:p w14:paraId="4362D337">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6、本项目不在地下岩溶区内；</w:t>
                  </w:r>
                </w:p>
                <w:p w14:paraId="55CCE6B5">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7、项目占地不涉及污染企业退出的遗留污染宗地。</w:t>
                  </w:r>
                </w:p>
              </w:tc>
              <w:tc>
                <w:tcPr>
                  <w:tcW w:w="277" w:type="pct"/>
                  <w:noWrap w:val="0"/>
                  <w:tcMar>
                    <w:top w:w="0" w:type="dxa"/>
                    <w:bottom w:w="0" w:type="dxa"/>
                  </w:tcMar>
                  <w:vAlign w:val="center"/>
                </w:tcPr>
                <w:p w14:paraId="0BFB9878">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符合要求</w:t>
                  </w:r>
                </w:p>
              </w:tc>
            </w:tr>
            <w:tr w14:paraId="73BA2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77" w:type="pct"/>
                  <w:gridSpan w:val="2"/>
                  <w:noWrap w:val="0"/>
                  <w:tcMar>
                    <w:top w:w="0" w:type="dxa"/>
                    <w:left w:w="28" w:type="dxa"/>
                    <w:bottom w:w="0" w:type="dxa"/>
                    <w:right w:w="28" w:type="dxa"/>
                  </w:tcMar>
                  <w:vAlign w:val="center"/>
                </w:tcPr>
                <w:p w14:paraId="455AC060">
                  <w:pPr>
                    <w:pStyle w:val="60"/>
                    <w:keepNext w:val="0"/>
                    <w:keepLines w:val="0"/>
                    <w:suppressLineNumbers w:val="0"/>
                    <w:spacing w:before="0" w:beforeAutospacing="0" w:after="0" w:afterAutospacing="0" w:line="260" w:lineRule="exact"/>
                    <w:ind w:left="-21" w:leftChars="-10" w:right="-21" w:rightChars="-1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污染物排放管控</w:t>
                  </w:r>
                </w:p>
              </w:tc>
              <w:tc>
                <w:tcPr>
                  <w:tcW w:w="2566" w:type="pct"/>
                  <w:noWrap w:val="0"/>
                  <w:tcMar>
                    <w:top w:w="0" w:type="dxa"/>
                    <w:bottom w:w="0" w:type="dxa"/>
                  </w:tcMar>
                  <w:vAlign w:val="center"/>
                </w:tcPr>
                <w:p w14:paraId="71A78380">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1、入区项目需满足建设项目污染物排放总量控制要求，重点行业建设项目按照《关于加强重点行业建设项目区域削减措施监督管理的通知</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环办环评〔2020〕36号</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》要求，严格落实区域主要污染物削减方案；</w:t>
                  </w:r>
                </w:p>
                <w:p w14:paraId="79F867B0">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2.入区项目污染物排放必须满足国家、河北省、石家庄市等规定的标准要求，排放指标必须满足清洁生产指标要求</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如有</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w:t>
                  </w:r>
                </w:p>
                <w:p w14:paraId="1D03B091">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3.固体废物零排放，其中危险废物收集、贮存、运输、处置、利用等须满足《中华人民共和国固体废物污染防治法》、《危险废物收集 贮存 运输技术规范》、《危险废物贮存污染控制标准》等国家、地方相关法律法规、技术规范、标准要求；</w:t>
                  </w:r>
                </w:p>
                <w:p w14:paraId="206A6442">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4.入区企业生产废水经处理后全部回用，不外排；</w:t>
                  </w:r>
                </w:p>
                <w:p w14:paraId="46D2C6C1">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5.新建具有绩效评级要求的涉气入区建设项目，应达到B级及以上水平；</w:t>
                  </w:r>
                </w:p>
                <w:p w14:paraId="387828EA">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6.严格落实区域减排方案，开发区污染物排放量不得突破允许排放量：颗粒物459.538t/a、二氧化硫120.165t/a、氮氧化物617.954t/a、VOCs17.332t/a；存量源削减量：颗粒物72.348t/a、二氧化硫3.721t/a、氮氧化物166.783t/a、VOCs2.017t/a；新增源控制量：颗粒物34.307t/a、二氧化硫1.804t/a、氮氧化物29.005t/a、VOCs3.349t/a；</w:t>
                  </w:r>
                </w:p>
                <w:p w14:paraId="4D2979AF">
                  <w:pPr>
                    <w:keepNext w:val="0"/>
                    <w:keepLines w:val="0"/>
                    <w:numPr>
                      <w:ilvl w:val="0"/>
                      <w:numId w:val="0"/>
                    </w:numPr>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eastAsia="宋体" w:cs="Times New Roman"/>
                      <w:smallCaps w:val="0"/>
                      <w:color w:val="auto"/>
                      <w:spacing w:val="0"/>
                      <w:kern w:val="2"/>
                      <w:sz w:val="21"/>
                      <w:szCs w:val="21"/>
                      <w:highlight w:val="none"/>
                      <w:lang w:val="en-US" w:eastAsia="zh-CN" w:bidi="ar-SA"/>
                    </w:rPr>
                    <w:t>7.</w:t>
                  </w:r>
                  <w:r>
                    <w:rPr>
                      <w:rFonts w:hint="default" w:ascii="Times New Roman" w:hAnsi="Times New Roman" w:cs="Times New Roman"/>
                      <w:smallCaps w:val="0"/>
                      <w:color w:val="auto"/>
                      <w:spacing w:val="0"/>
                      <w:szCs w:val="21"/>
                      <w:highlight w:val="none"/>
                    </w:rPr>
                    <w:t>园区废水污染物允许排放量</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排入集中污水处理厂</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：COD9.928t/a、氨氮0.496t/a。</w:t>
                  </w:r>
                </w:p>
                <w:p w14:paraId="26B303B1">
                  <w:pPr>
                    <w:keepNext w:val="0"/>
                    <w:keepLines w:val="0"/>
                    <w:numPr>
                      <w:ilvl w:val="0"/>
                      <w:numId w:val="0"/>
                    </w:numPr>
                    <w:suppressLineNumbers w:val="0"/>
                    <w:adjustRightInd w:val="0"/>
                    <w:spacing w:before="0" w:beforeAutospacing="0" w:after="0" w:afterAutospacing="0" w:line="260" w:lineRule="exact"/>
                    <w:ind w:left="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8.碳排放及强度：碳排放量401.29万t/a、碳排放强度1.38t/万元产值。</w:t>
                  </w:r>
                </w:p>
              </w:tc>
              <w:tc>
                <w:tcPr>
                  <w:tcW w:w="1377" w:type="pct"/>
                  <w:noWrap w:val="0"/>
                  <w:tcMar>
                    <w:top w:w="0" w:type="dxa"/>
                    <w:bottom w:w="0" w:type="dxa"/>
                  </w:tcMar>
                  <w:vAlign w:val="center"/>
                </w:tcPr>
                <w:p w14:paraId="21C84D29">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1.项目满足建设项目污染物排放总量控制要求，项目不属于环办环评〔2020〕36号文中</w:t>
                  </w:r>
                  <w:r>
                    <w:rPr>
                      <w:rFonts w:hint="eastAsia" w:ascii="Times New Roman" w:eastAsia="宋体" w:cs="Times New Roman"/>
                      <w:smallCaps w:val="0"/>
                      <w:color w:val="auto"/>
                      <w:spacing w:val="0"/>
                      <w:sz w:val="21"/>
                      <w:szCs w:val="21"/>
                      <w:highlight w:val="none"/>
                      <w:lang w:val="en-US" w:eastAsia="zh-CN"/>
                    </w:rPr>
                    <w:t>“</w:t>
                  </w:r>
                  <w:r>
                    <w:rPr>
                      <w:rFonts w:hint="default" w:ascii="Times New Roman" w:hAnsi="Times New Roman" w:eastAsia="宋体" w:cs="Times New Roman"/>
                      <w:smallCaps w:val="0"/>
                      <w:color w:val="auto"/>
                      <w:spacing w:val="0"/>
                      <w:sz w:val="21"/>
                      <w:szCs w:val="21"/>
                      <w:highlight w:val="none"/>
                      <w:lang w:val="en-US" w:eastAsia="zh-CN"/>
                    </w:rPr>
                    <w:t>生态环境部和省级生态环境主管部门、市级生态环境主管部门审批的编制环境影响报告书的石化、煤化工、燃煤发电（含热电）、钢铁、有色金属冶炼、制浆造纸行业新增主要污染物排放量的建设项目</w:t>
                  </w:r>
                  <w:r>
                    <w:rPr>
                      <w:rFonts w:hint="eastAsia" w:ascii="Times New Roman" w:eastAsia="宋体" w:cs="Times New Roman"/>
                      <w:smallCaps w:val="0"/>
                      <w:color w:val="auto"/>
                      <w:spacing w:val="0"/>
                      <w:sz w:val="21"/>
                      <w:szCs w:val="21"/>
                      <w:highlight w:val="none"/>
                      <w:lang w:val="en-US" w:eastAsia="zh-CN"/>
                    </w:rPr>
                    <w:t>”</w:t>
                  </w:r>
                  <w:r>
                    <w:rPr>
                      <w:rFonts w:hint="default" w:ascii="Times New Roman" w:hAnsi="Times New Roman" w:eastAsia="宋体" w:cs="Times New Roman"/>
                      <w:smallCaps w:val="0"/>
                      <w:color w:val="auto"/>
                      <w:spacing w:val="0"/>
                      <w:sz w:val="21"/>
                      <w:szCs w:val="21"/>
                      <w:highlight w:val="none"/>
                      <w:lang w:val="en-US" w:eastAsia="zh-CN"/>
                    </w:rPr>
                    <w:t>。项目区域颗粒物、臭氧超标，二氧化硫、氮氧化物、颗粒物、挥发性有机物均按倍量削减。</w:t>
                  </w:r>
                </w:p>
                <w:p w14:paraId="1D746768">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2.本项目污染物排放满足国家及地方标准要求。</w:t>
                  </w:r>
                </w:p>
                <w:p w14:paraId="1F46ADC7">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3.本项目固体废物零排放。</w:t>
                  </w:r>
                </w:p>
                <w:p w14:paraId="498741F8">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4.本项目生产废水全部回用，不外排。</w:t>
                  </w:r>
                </w:p>
                <w:p w14:paraId="17B53917">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5.项目涉及</w:t>
                  </w:r>
                  <w:r>
                    <w:rPr>
                      <w:rFonts w:hint="eastAsia" w:ascii="Times New Roman" w:eastAsia="宋体" w:cs="Times New Roman"/>
                      <w:smallCaps w:val="0"/>
                      <w:color w:val="auto"/>
                      <w:spacing w:val="0"/>
                      <w:sz w:val="21"/>
                      <w:szCs w:val="21"/>
                      <w:highlight w:val="none"/>
                      <w:lang w:val="en-US" w:eastAsia="zh-CN"/>
                    </w:rPr>
                    <w:t>通用设备制造业和金属表面处理及热处理加工</w:t>
                  </w:r>
                  <w:r>
                    <w:rPr>
                      <w:rFonts w:hint="default" w:ascii="Times New Roman" w:hAnsi="Times New Roman" w:eastAsia="宋体" w:cs="Times New Roman"/>
                      <w:smallCaps w:val="0"/>
                      <w:color w:val="auto"/>
                      <w:spacing w:val="0"/>
                      <w:sz w:val="21"/>
                      <w:szCs w:val="21"/>
                      <w:highlight w:val="none"/>
                      <w:lang w:val="en-US" w:eastAsia="zh-CN"/>
                    </w:rPr>
                    <w:t>，符合项目满足《河北省十一个行业重污染天气应急减排措施制定技术指南（试行）》（冀气领办〔2019〕92号文）中金属表面处理及热加工B级要求；详见表1-</w:t>
                  </w:r>
                  <w:r>
                    <w:rPr>
                      <w:rFonts w:hint="eastAsia" w:ascii="Times New Roman" w:eastAsia="宋体" w:cs="Times New Roman"/>
                      <w:smallCaps w:val="0"/>
                      <w:color w:val="auto"/>
                      <w:spacing w:val="0"/>
                      <w:sz w:val="21"/>
                      <w:szCs w:val="21"/>
                      <w:highlight w:val="none"/>
                      <w:lang w:val="en-US" w:eastAsia="zh-CN"/>
                    </w:rPr>
                    <w:t>15</w:t>
                  </w:r>
                  <w:r>
                    <w:rPr>
                      <w:rFonts w:hint="default" w:ascii="Times New Roman" w:hAnsi="Times New Roman" w:eastAsia="宋体" w:cs="Times New Roman"/>
                      <w:smallCaps w:val="0"/>
                      <w:color w:val="auto"/>
                      <w:spacing w:val="0"/>
                      <w:sz w:val="21"/>
                      <w:szCs w:val="21"/>
                      <w:highlight w:val="none"/>
                      <w:lang w:val="en-US" w:eastAsia="zh-CN"/>
                    </w:rPr>
                    <w:t>项目与《河北省十一个行业重污染天气应急减排措施制定技术指南（试行）》（冀气领办〔2019〕92号文）中金属表面处理及热加工符合性分析一览表；</w:t>
                  </w:r>
                </w:p>
                <w:p w14:paraId="2BC52991">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 xml:space="preserve">6.项目颗粒物预测排放量为 </w:t>
                  </w:r>
                  <w:r>
                    <w:rPr>
                      <w:rFonts w:hint="eastAsia" w:ascii="Times New Roman" w:eastAsia="宋体" w:cs="Times New Roman"/>
                      <w:smallCaps w:val="0"/>
                      <w:color w:val="auto"/>
                      <w:spacing w:val="0"/>
                      <w:sz w:val="21"/>
                      <w:szCs w:val="21"/>
                      <w:highlight w:val="none"/>
                      <w:lang w:val="en-US" w:eastAsia="zh-CN"/>
                    </w:rPr>
                    <w:t>2.619</w:t>
                  </w:r>
                  <w:r>
                    <w:rPr>
                      <w:rFonts w:hint="default" w:ascii="Times New Roman" w:hAnsi="Times New Roman" w:eastAsia="宋体" w:cs="Times New Roman"/>
                      <w:smallCaps w:val="0"/>
                      <w:color w:val="auto"/>
                      <w:spacing w:val="0"/>
                      <w:sz w:val="21"/>
                      <w:szCs w:val="21"/>
                      <w:highlight w:val="none"/>
                      <w:lang w:val="en-US" w:eastAsia="zh-CN"/>
                    </w:rPr>
                    <w:t>t/a；排放总量控制指标建议值为颗粒物：</w:t>
                  </w:r>
                  <w:r>
                    <w:rPr>
                      <w:rFonts w:hint="eastAsia" w:ascii="Times New Roman" w:eastAsia="宋体" w:cs="Times New Roman"/>
                      <w:smallCaps w:val="0"/>
                      <w:color w:val="auto"/>
                      <w:spacing w:val="0"/>
                      <w:sz w:val="21"/>
                      <w:szCs w:val="21"/>
                      <w:highlight w:val="none"/>
                      <w:lang w:val="en-US" w:eastAsia="zh-CN"/>
                    </w:rPr>
                    <w:t>86.4</w:t>
                  </w:r>
                  <w:r>
                    <w:rPr>
                      <w:rFonts w:hint="default" w:ascii="Times New Roman" w:hAnsi="Times New Roman" w:eastAsia="宋体" w:cs="Times New Roman"/>
                      <w:smallCaps w:val="0"/>
                      <w:color w:val="auto"/>
                      <w:spacing w:val="0"/>
                      <w:sz w:val="21"/>
                      <w:szCs w:val="21"/>
                      <w:highlight w:val="none"/>
                      <w:lang w:val="en-US" w:eastAsia="zh-CN"/>
                    </w:rPr>
                    <w:t>t/a，排放量均在控制范围内。</w:t>
                  </w:r>
                </w:p>
                <w:p w14:paraId="36AB2471">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7.本项目</w:t>
                  </w:r>
                  <w:r>
                    <w:rPr>
                      <w:rFonts w:hint="eastAsia" w:ascii="Times New Roman" w:eastAsia="宋体" w:cs="Times New Roman"/>
                      <w:smallCaps w:val="0"/>
                      <w:color w:val="auto"/>
                      <w:spacing w:val="0"/>
                      <w:sz w:val="21"/>
                      <w:szCs w:val="21"/>
                      <w:highlight w:val="none"/>
                      <w:lang w:val="en-US" w:eastAsia="zh-CN"/>
                    </w:rPr>
                    <w:t>无废水外排</w:t>
                  </w:r>
                  <w:r>
                    <w:rPr>
                      <w:rFonts w:hint="default" w:ascii="Times New Roman" w:hAnsi="Times New Roman" w:eastAsia="宋体" w:cs="Times New Roman"/>
                      <w:smallCaps w:val="0"/>
                      <w:color w:val="auto"/>
                      <w:spacing w:val="0"/>
                      <w:sz w:val="21"/>
                      <w:szCs w:val="21"/>
                      <w:highlight w:val="none"/>
                      <w:lang w:val="en-US" w:eastAsia="zh-CN"/>
                    </w:rPr>
                    <w:t>。</w:t>
                  </w:r>
                </w:p>
                <w:p w14:paraId="64F47C4E">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8. 项 目 碳 排 放 量</w:t>
                  </w:r>
                  <w:r>
                    <w:rPr>
                      <w:rFonts w:hint="eastAsia" w:ascii="Times New Roman" w:eastAsia="宋体" w:cs="Times New Roman"/>
                      <w:smallCaps w:val="0"/>
                      <w:color w:val="auto"/>
                      <w:spacing w:val="0"/>
                      <w:sz w:val="21"/>
                      <w:szCs w:val="21"/>
                      <w:highlight w:val="none"/>
                      <w:lang w:val="en-US" w:eastAsia="zh-CN"/>
                    </w:rPr>
                    <w:t>2175.6</w:t>
                  </w:r>
                  <w:r>
                    <w:rPr>
                      <w:rFonts w:hint="default" w:ascii="Times New Roman" w:hAnsi="Times New Roman" w:eastAsia="宋体" w:cs="Times New Roman"/>
                      <w:smallCaps w:val="0"/>
                      <w:color w:val="auto"/>
                      <w:spacing w:val="0"/>
                      <w:sz w:val="21"/>
                      <w:szCs w:val="21"/>
                      <w:highlight w:val="none"/>
                      <w:lang w:val="en-US" w:eastAsia="zh-CN"/>
                    </w:rPr>
                    <w:t>t/a、碳排放强度</w:t>
                  </w:r>
                  <w:r>
                    <w:rPr>
                      <w:rFonts w:hint="eastAsia" w:ascii="Times New Roman" w:eastAsia="宋体" w:cs="Times New Roman"/>
                      <w:smallCaps w:val="0"/>
                      <w:color w:val="auto"/>
                      <w:spacing w:val="0"/>
                      <w:sz w:val="21"/>
                      <w:szCs w:val="21"/>
                      <w:highlight w:val="none"/>
                      <w:lang w:val="en-US" w:eastAsia="zh-CN"/>
                    </w:rPr>
                    <w:t>0.004</w:t>
                  </w:r>
                  <w:r>
                    <w:rPr>
                      <w:rFonts w:hint="default" w:ascii="Times New Roman" w:hAnsi="Times New Roman" w:eastAsia="宋体" w:cs="Times New Roman"/>
                      <w:smallCaps w:val="0"/>
                      <w:color w:val="auto"/>
                      <w:spacing w:val="0"/>
                      <w:sz w:val="21"/>
                      <w:szCs w:val="21"/>
                      <w:highlight w:val="none"/>
                      <w:lang w:val="en-US" w:eastAsia="zh-CN"/>
                    </w:rPr>
                    <w:t>t/万元产值。</w:t>
                  </w:r>
                </w:p>
              </w:tc>
              <w:tc>
                <w:tcPr>
                  <w:tcW w:w="277" w:type="pct"/>
                  <w:noWrap w:val="0"/>
                  <w:tcMar>
                    <w:top w:w="0" w:type="dxa"/>
                    <w:bottom w:w="0" w:type="dxa"/>
                  </w:tcMar>
                  <w:vAlign w:val="center"/>
                </w:tcPr>
                <w:p w14:paraId="4214B19D">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符合要求</w:t>
                  </w:r>
                </w:p>
              </w:tc>
            </w:tr>
            <w:tr w14:paraId="09195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777" w:type="pct"/>
                  <w:gridSpan w:val="2"/>
                  <w:noWrap w:val="0"/>
                  <w:tcMar>
                    <w:top w:w="0" w:type="dxa"/>
                    <w:left w:w="28" w:type="dxa"/>
                    <w:bottom w:w="0" w:type="dxa"/>
                    <w:right w:w="28" w:type="dxa"/>
                  </w:tcMar>
                  <w:vAlign w:val="center"/>
                </w:tcPr>
                <w:p w14:paraId="3326D63C">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环境风险防控</w:t>
                  </w:r>
                </w:p>
              </w:tc>
              <w:tc>
                <w:tcPr>
                  <w:tcW w:w="2566" w:type="pct"/>
                  <w:noWrap w:val="0"/>
                  <w:tcMar>
                    <w:top w:w="0" w:type="dxa"/>
                    <w:bottom w:w="0" w:type="dxa"/>
                  </w:tcMar>
                  <w:vAlign w:val="center"/>
                </w:tcPr>
                <w:p w14:paraId="718EA1D8">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1.重点监管企业和园区周边土壤和地下水环境污染风险防控：定期开展监督性监测，重点监测重金属和持久性有机污染物；</w:t>
                  </w:r>
                </w:p>
                <w:p w14:paraId="123FB56D">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2.加强园区与周边敏感区环境风险防范设施建设；</w:t>
                  </w:r>
                </w:p>
                <w:p w14:paraId="532E27CC">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3.对于易导致环境风险的有毒有害和易燃易爆物质的生产、使用、排放、贮运等新建、改扩建项目，风险防控措施应满足本评价提出的环境风险管理要求。</w:t>
                  </w:r>
                </w:p>
                <w:p w14:paraId="4EF2B1BC">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5.实施</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三级防控</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措施，将事故废水严格控制在一定区域范围内。各入区涉水企业设置废水事故池，事故状态下废水送事故池存放，待废水处理站事故消除后，将事故池废水送废水站处理，不得排入外环境。</w:t>
                  </w:r>
                </w:p>
                <w:p w14:paraId="299CF4B8">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6.危险废物全过程监管：产生危险废物的单位，按照国家有关规定制定危险废物管理计划，建立危险废物管理台账，如实记录有关信息，并通过国家危险废物信息管理系统向所在地生态环境主管部门申报危险废物的种类、产生量、流向、贮存、处置等有关资料，并执行排污许可管理制度的规定，危废贮存严格按照《危险废物贮存污染控制标准》的要求规范建设。</w:t>
                  </w:r>
                </w:p>
                <w:p w14:paraId="32B55662">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7.建设用地风险管控和修复：用途变更为</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一住两公</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地块、腾退工矿企业用地、土壤污染重点监管单位在终止生产经营活动前应依法开展开展土壤和地下水环境初步调查，编制调查报告。土壤和地下水环境初步调查发现该重点单位用地污染物含量超过国家或者地方有关建设用地土壤污染风险管控标准的，应当开展详细调查、风险评估、风险管控、治理与修复等活动。对于拟开发利用的关停搬迁企业场地，未按有关规定开展场地环境调查及风险评估的、未明确治理修复责任主体的，禁止进行土地流转；污染场地未经治理修复的，禁止开工建设与治理修复无关的任何项目。对暂不开发利用的关停搬迁企业场地，要督促责任人采取隔离等措施，防止污染扩散。</w:t>
                  </w:r>
                </w:p>
              </w:tc>
              <w:tc>
                <w:tcPr>
                  <w:tcW w:w="1377" w:type="pct"/>
                  <w:noWrap w:val="0"/>
                  <w:tcMar>
                    <w:top w:w="0" w:type="dxa"/>
                    <w:bottom w:w="0" w:type="dxa"/>
                  </w:tcMar>
                  <w:vAlign w:val="center"/>
                </w:tcPr>
                <w:p w14:paraId="3BFBC3E3">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1.本项目不涉及重金属和持久性有机污染物。</w:t>
                  </w:r>
                </w:p>
                <w:p w14:paraId="3CDBEDBE">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2.本项目距离周边敏感区较远，环境风险影响很小。</w:t>
                  </w:r>
                </w:p>
                <w:p w14:paraId="24EF7D90">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3.项目风险防控措施满足园区规划提出的环境风险管理要求。</w:t>
                  </w:r>
                </w:p>
                <w:p w14:paraId="730632CC">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4.本项目废水全部回用于生产，不外排，设废水收集池，事故状态下废水不外排。</w:t>
                  </w:r>
                </w:p>
                <w:p w14:paraId="6A60915C">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5.项目危险废物不暂存，即产即清，委托有资质的单位处理，承诺按照国家有关规定制定危险废物管理计划。</w:t>
                  </w:r>
                </w:p>
                <w:p w14:paraId="47A3938A">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6.不涉及。</w:t>
                  </w:r>
                </w:p>
              </w:tc>
              <w:tc>
                <w:tcPr>
                  <w:tcW w:w="277" w:type="pct"/>
                  <w:noWrap w:val="0"/>
                  <w:tcMar>
                    <w:top w:w="0" w:type="dxa"/>
                    <w:bottom w:w="0" w:type="dxa"/>
                  </w:tcMar>
                  <w:vAlign w:val="center"/>
                </w:tcPr>
                <w:p w14:paraId="6E0705BE">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符合要求</w:t>
                  </w:r>
                </w:p>
              </w:tc>
            </w:tr>
            <w:tr w14:paraId="1046D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777" w:type="pct"/>
                  <w:gridSpan w:val="2"/>
                  <w:noWrap w:val="0"/>
                  <w:tcMar>
                    <w:top w:w="0" w:type="dxa"/>
                    <w:left w:w="28" w:type="dxa"/>
                    <w:bottom w:w="0" w:type="dxa"/>
                    <w:right w:w="28" w:type="dxa"/>
                  </w:tcMar>
                  <w:vAlign w:val="center"/>
                </w:tcPr>
                <w:p w14:paraId="7BAFE977">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资源开发利用要求</w:t>
                  </w:r>
                </w:p>
              </w:tc>
              <w:tc>
                <w:tcPr>
                  <w:tcW w:w="2566" w:type="pct"/>
                  <w:noWrap w:val="0"/>
                  <w:tcMar>
                    <w:top w:w="0" w:type="dxa"/>
                    <w:bottom w:w="0" w:type="dxa"/>
                  </w:tcMar>
                  <w:vAlign w:val="center"/>
                </w:tcPr>
                <w:p w14:paraId="0F8B9542">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1.入区项目资源和能源消耗量应满足开发区划定的土地、水、能源等主要资源能源可开发利用总量上线：能源利用上线：煤炭用量39.67万t/a：天然气用量为4102.91万m</w:t>
                  </w:r>
                  <w:r>
                    <w:rPr>
                      <w:rFonts w:hint="default" w:ascii="Times New Roman" w:hAnsi="Times New Roman" w:cs="Times New Roman"/>
                      <w:smallCaps w:val="0"/>
                      <w:color w:val="auto"/>
                      <w:spacing w:val="0"/>
                      <w:szCs w:val="21"/>
                      <w:highlight w:val="none"/>
                      <w:vertAlign w:val="superscript"/>
                    </w:rPr>
                    <w:t>3</w:t>
                  </w:r>
                  <w:r>
                    <w:rPr>
                      <w:rFonts w:hint="default" w:ascii="Times New Roman" w:hAnsi="Times New Roman" w:cs="Times New Roman"/>
                      <w:smallCaps w:val="0"/>
                      <w:color w:val="auto"/>
                      <w:spacing w:val="0"/>
                      <w:szCs w:val="21"/>
                      <w:highlight w:val="none"/>
                    </w:rPr>
                    <w:t>/a；水资源利用上线：新水量为432.945万m</w:t>
                  </w:r>
                  <w:r>
                    <w:rPr>
                      <w:rFonts w:hint="default" w:ascii="Times New Roman" w:hAnsi="Times New Roman" w:cs="Times New Roman"/>
                      <w:smallCaps w:val="0"/>
                      <w:color w:val="auto"/>
                      <w:spacing w:val="0"/>
                      <w:szCs w:val="21"/>
                      <w:highlight w:val="none"/>
                      <w:vertAlign w:val="superscript"/>
                    </w:rPr>
                    <w:t>3</w:t>
                  </w:r>
                  <w:r>
                    <w:rPr>
                      <w:rFonts w:hint="default" w:ascii="Times New Roman" w:hAnsi="Times New Roman" w:cs="Times New Roman"/>
                      <w:smallCaps w:val="0"/>
                      <w:color w:val="auto"/>
                      <w:spacing w:val="0"/>
                      <w:szCs w:val="21"/>
                      <w:highlight w:val="none"/>
                    </w:rPr>
                    <w:t>/a；土地利用上线：工业用地面积864.20hm</w:t>
                  </w:r>
                  <w:r>
                    <w:rPr>
                      <w:rFonts w:hint="default" w:ascii="Times New Roman" w:hAnsi="Times New Roman" w:cs="Times New Roman"/>
                      <w:smallCaps w:val="0"/>
                      <w:color w:val="auto"/>
                      <w:spacing w:val="0"/>
                      <w:szCs w:val="21"/>
                      <w:highlight w:val="none"/>
                      <w:vertAlign w:val="superscript"/>
                    </w:rPr>
                    <w:t>2</w:t>
                  </w:r>
                  <w:r>
                    <w:rPr>
                      <w:rFonts w:hint="default" w:ascii="Times New Roman" w:hAnsi="Times New Roman" w:cs="Times New Roman"/>
                      <w:smallCaps w:val="0"/>
                      <w:color w:val="auto"/>
                      <w:spacing w:val="0"/>
                      <w:szCs w:val="21"/>
                      <w:highlight w:val="none"/>
                    </w:rPr>
                    <w:t>。</w:t>
                  </w:r>
                </w:p>
                <w:p w14:paraId="28CFD0B9">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2.不断优化能源消费结构，优先利用区域集中供热和工业余热资源，禁止建设分散燃煤供热设施。</w:t>
                  </w:r>
                </w:p>
                <w:p w14:paraId="7FC4D5DE">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3.加快推进水源切换，现有拥有合法手续的自备水井给予保留备用，南寨地表水厂建成后，园区内自备水井进行封井；封井前，开发区现有企业应严格落实取水许可制度，不得突破地下水取水许可量。</w:t>
                  </w:r>
                </w:p>
              </w:tc>
              <w:tc>
                <w:tcPr>
                  <w:tcW w:w="1377" w:type="pct"/>
                  <w:noWrap w:val="0"/>
                  <w:tcMar>
                    <w:top w:w="0" w:type="dxa"/>
                    <w:bottom w:w="0" w:type="dxa"/>
                  </w:tcMar>
                  <w:vAlign w:val="center"/>
                </w:tcPr>
                <w:p w14:paraId="607471C6">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1.项目资源和能源消耗量满足开发区划定的主要资源能源可开发利用总量上线。</w:t>
                  </w:r>
                </w:p>
                <w:p w14:paraId="2F8DEFBD">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2.本项目</w:t>
                  </w:r>
                  <w:r>
                    <w:rPr>
                      <w:rFonts w:hint="eastAsia" w:ascii="Times New Roman" w:eastAsia="宋体" w:cs="Times New Roman"/>
                      <w:smallCaps w:val="0"/>
                      <w:color w:val="auto"/>
                      <w:spacing w:val="0"/>
                      <w:sz w:val="21"/>
                      <w:szCs w:val="21"/>
                      <w:highlight w:val="none"/>
                      <w:lang w:val="en-US" w:eastAsia="zh-CN"/>
                    </w:rPr>
                    <w:t>生产采用电加热</w:t>
                  </w:r>
                  <w:r>
                    <w:rPr>
                      <w:rFonts w:hint="default" w:ascii="Times New Roman" w:hAnsi="Times New Roman" w:eastAsia="宋体" w:cs="Times New Roman"/>
                      <w:smallCaps w:val="0"/>
                      <w:color w:val="auto"/>
                      <w:spacing w:val="0"/>
                      <w:sz w:val="21"/>
                      <w:szCs w:val="21"/>
                      <w:highlight w:val="none"/>
                      <w:lang w:val="en-US" w:eastAsia="zh-CN"/>
                    </w:rPr>
                    <w:t>，</w:t>
                  </w:r>
                  <w:r>
                    <w:rPr>
                      <w:rFonts w:hint="eastAsia" w:ascii="Times New Roman" w:eastAsia="宋体" w:cs="Times New Roman"/>
                      <w:smallCaps w:val="0"/>
                      <w:color w:val="auto"/>
                      <w:spacing w:val="0"/>
                      <w:sz w:val="21"/>
                      <w:szCs w:val="21"/>
                      <w:highlight w:val="none"/>
                      <w:lang w:val="en-US" w:eastAsia="zh-CN"/>
                    </w:rPr>
                    <w:t>采暖季制冷均采用电能，</w:t>
                  </w:r>
                  <w:r>
                    <w:rPr>
                      <w:rFonts w:hint="default" w:ascii="Times New Roman" w:hAnsi="Times New Roman" w:eastAsia="宋体" w:cs="Times New Roman"/>
                      <w:smallCaps w:val="0"/>
                      <w:color w:val="auto"/>
                      <w:spacing w:val="0"/>
                      <w:sz w:val="21"/>
                      <w:szCs w:val="21"/>
                      <w:highlight w:val="none"/>
                      <w:lang w:val="en-US" w:eastAsia="zh-CN"/>
                    </w:rPr>
                    <w:t>不涉及燃煤供热设施。</w:t>
                  </w:r>
                </w:p>
                <w:p w14:paraId="6FDB6403">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3.本项目用水</w:t>
                  </w:r>
                  <w:r>
                    <w:rPr>
                      <w:rFonts w:hint="eastAsia" w:ascii="Times New Roman" w:eastAsia="宋体" w:cs="Times New Roman"/>
                      <w:smallCaps w:val="0"/>
                      <w:color w:val="auto"/>
                      <w:spacing w:val="0"/>
                      <w:sz w:val="21"/>
                      <w:szCs w:val="21"/>
                      <w:highlight w:val="none"/>
                      <w:lang w:val="en-US" w:eastAsia="zh-CN"/>
                    </w:rPr>
                    <w:t>由园区</w:t>
                  </w:r>
                  <w:r>
                    <w:rPr>
                      <w:rFonts w:hint="default" w:ascii="Times New Roman" w:hAnsi="Times New Roman" w:eastAsia="宋体" w:cs="Times New Roman"/>
                      <w:smallCaps w:val="0"/>
                      <w:color w:val="auto"/>
                      <w:spacing w:val="0"/>
                      <w:sz w:val="21"/>
                      <w:szCs w:val="21"/>
                      <w:highlight w:val="none"/>
                      <w:lang w:val="en-US" w:eastAsia="zh-CN"/>
                    </w:rPr>
                    <w:t>供水管网，不涉及地下水取水。</w:t>
                  </w:r>
                </w:p>
              </w:tc>
              <w:tc>
                <w:tcPr>
                  <w:tcW w:w="277" w:type="pct"/>
                  <w:noWrap w:val="0"/>
                  <w:tcMar>
                    <w:top w:w="0" w:type="dxa"/>
                    <w:bottom w:w="0" w:type="dxa"/>
                  </w:tcMar>
                  <w:vAlign w:val="center"/>
                </w:tcPr>
                <w:p w14:paraId="6C6DDC82">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符合要求</w:t>
                  </w:r>
                </w:p>
              </w:tc>
            </w:tr>
            <w:tr w14:paraId="0EA7B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393" w:type="pct"/>
                  <w:vMerge w:val="restart"/>
                  <w:noWrap w:val="0"/>
                  <w:tcMar>
                    <w:top w:w="0" w:type="dxa"/>
                    <w:left w:w="28" w:type="dxa"/>
                    <w:bottom w:w="0" w:type="dxa"/>
                    <w:right w:w="28" w:type="dxa"/>
                  </w:tcMar>
                  <w:vAlign w:val="center"/>
                </w:tcPr>
                <w:p w14:paraId="56CC2F71">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园区石钢片区生态环境准入清单</w:t>
                  </w:r>
                </w:p>
              </w:tc>
              <w:tc>
                <w:tcPr>
                  <w:tcW w:w="384" w:type="pct"/>
                  <w:noWrap w:val="0"/>
                  <w:tcMar>
                    <w:top w:w="0" w:type="dxa"/>
                    <w:left w:w="28" w:type="dxa"/>
                    <w:bottom w:w="0" w:type="dxa"/>
                    <w:right w:w="28" w:type="dxa"/>
                  </w:tcMar>
                  <w:vAlign w:val="center"/>
                </w:tcPr>
                <w:p w14:paraId="4D5A9979">
                  <w:pPr>
                    <w:pStyle w:val="60"/>
                    <w:keepNext w:val="0"/>
                    <w:keepLines w:val="0"/>
                    <w:suppressLineNumbers w:val="0"/>
                    <w:spacing w:before="0" w:beforeAutospacing="0" w:after="0" w:afterAutospacing="0" w:line="260" w:lineRule="exact"/>
                    <w:ind w:left="-21" w:leftChars="-10" w:right="-21" w:rightChars="-10"/>
                    <w:jc w:val="center"/>
                    <w:rPr>
                      <w:rFonts w:hint="eastAsia"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空间布局约束</w:t>
                  </w:r>
                </w:p>
              </w:tc>
              <w:tc>
                <w:tcPr>
                  <w:tcW w:w="2566" w:type="pct"/>
                  <w:noWrap w:val="0"/>
                  <w:tcMar>
                    <w:top w:w="0" w:type="dxa"/>
                    <w:bottom w:w="0" w:type="dxa"/>
                  </w:tcMar>
                  <w:vAlign w:val="center"/>
                </w:tcPr>
                <w:p w14:paraId="5FF37B48">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1.将位于水土保持和水源涵养一般生态空间部分划为优先保护区域，严格按照水土保持和水源涵养的管控要求进行开发建设。</w:t>
                  </w:r>
                </w:p>
                <w:p w14:paraId="6500ACBE">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2.入区项目选址还应尽量避开采空区、塌陷影响区，若确需在采空区、塌陷影响区内进行工程建设，建设前要做好采空区的勘察和评估工作，优化建设场地平面布置，结合采空区分布情况，重点优化废水污染源的布置。</w:t>
                  </w:r>
                </w:p>
                <w:p w14:paraId="48B77079">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3.居住用地、教育用地50米范围内布局办公区、仓储区或机械加工区，50~100m范围内禁止新上涉及表面处理工序的重污染项目；新增涉及喷涂工序的生产企业通过使用水性、粉末、高固体分、无溶剂、辐射固化等低VOCs含量的涂料降低有机废气排放，使用涂料应满足《低挥发性有机化合物含量涂料产品技术要求》；采用《排污许可证申请与核发技术规范铁路、船舶、航空航天和其他运输设备制造业》附录A 表面处理（涂装）排污单位中可行技术，禁止使用单一低温等离子、光氧化、光催化、非水溶性VOCs废气处理技术。</w:t>
                  </w:r>
                </w:p>
                <w:p w14:paraId="4815E18A">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4.临近居住区和教育区一侧（道路除外）布设20m绿化带减缓对其的影响。</w:t>
                  </w:r>
                </w:p>
                <w:p w14:paraId="008DC15B">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5.清凉湾湿地公园周边禁止倾倒有毒有害物质、废弃物、垃圾和其他破坏湿地及其生态功能的活动。</w:t>
                  </w:r>
                </w:p>
                <w:p w14:paraId="15EFA9BE">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6.本评价要求工业园区入区企业进行工程建设前必须进行地质灾害评估和采取防治措施，入区企业根据地质情况，优化用地布局，存在环境风险的生产单元避让采空区。规划期间加强对地面沉降的监测，发现问题及时处理。</w:t>
                  </w:r>
                </w:p>
              </w:tc>
              <w:tc>
                <w:tcPr>
                  <w:tcW w:w="1377" w:type="pct"/>
                  <w:noWrap w:val="0"/>
                  <w:tcMar>
                    <w:top w:w="0" w:type="dxa"/>
                    <w:bottom w:w="0" w:type="dxa"/>
                  </w:tcMar>
                  <w:vAlign w:val="center"/>
                </w:tcPr>
                <w:p w14:paraId="15544C9B">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1.项目不涉及该优先保护区域，落实水土保持、防渗防污染措施，符合要求；2.项目尽量避开采空塌陷区，建设前开展地质勘察评估，风险源单元避开高风险地段，符合要求</w:t>
                  </w:r>
                  <w:r>
                    <w:rPr>
                      <w:rFonts w:hint="eastAsia" w:cs="Times New Roman"/>
                      <w:smallCaps w:val="0"/>
                      <w:color w:val="auto"/>
                      <w:spacing w:val="0"/>
                      <w:szCs w:val="21"/>
                      <w:highlight w:val="none"/>
                      <w:lang w:eastAsia="zh-CN"/>
                    </w:rPr>
                    <w:t>；</w:t>
                  </w:r>
                  <w:r>
                    <w:rPr>
                      <w:rFonts w:hint="eastAsia" w:cs="Times New Roman"/>
                      <w:smallCaps w:val="0"/>
                      <w:color w:val="auto"/>
                      <w:spacing w:val="0"/>
                      <w:szCs w:val="21"/>
                      <w:highlight w:val="none"/>
                      <w:lang w:val="en-US" w:eastAsia="zh-CN"/>
                    </w:rPr>
                    <w:t>3.项目附近无居住用地及教育用地，不涉及表面处理（涂装）；4.不涉及；5.项目不在湿地公园周边倾倒废弃物，固废危废全部合规处置，符合要求；6.项目建设前开展地质灾害评估，风险单元避让采空区，配合园区沉降监测，符合要求。</w:t>
                  </w:r>
                </w:p>
              </w:tc>
              <w:tc>
                <w:tcPr>
                  <w:tcW w:w="424" w:type="dxa"/>
                  <w:noWrap w:val="0"/>
                  <w:tcMar>
                    <w:top w:w="0" w:type="dxa"/>
                    <w:bottom w:w="0" w:type="dxa"/>
                  </w:tcMar>
                  <w:vAlign w:val="center"/>
                </w:tcPr>
                <w:p w14:paraId="5DEA4811">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符合要求</w:t>
                  </w:r>
                </w:p>
              </w:tc>
            </w:tr>
            <w:tr w14:paraId="401A0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393" w:type="pct"/>
                  <w:vMerge w:val="continue"/>
                  <w:noWrap w:val="0"/>
                  <w:tcMar>
                    <w:top w:w="0" w:type="dxa"/>
                    <w:left w:w="28" w:type="dxa"/>
                    <w:bottom w:w="0" w:type="dxa"/>
                    <w:right w:w="28" w:type="dxa"/>
                  </w:tcMar>
                  <w:vAlign w:val="center"/>
                </w:tcPr>
                <w:p w14:paraId="48596A12">
                  <w:pPr>
                    <w:pStyle w:val="60"/>
                    <w:keepNext w:val="0"/>
                    <w:keepLines w:val="0"/>
                    <w:suppressLineNumbers w:val="0"/>
                    <w:spacing w:before="0" w:beforeAutospacing="0" w:after="0" w:afterAutospacing="0" w:line="260" w:lineRule="exact"/>
                    <w:ind w:left="-21" w:leftChars="-10" w:right="-21" w:rightChars="-10"/>
                    <w:jc w:val="center"/>
                    <w:rPr>
                      <w:rFonts w:hint="eastAsia" w:ascii="Times New Roman" w:eastAsia="宋体" w:cs="Times New Roman"/>
                      <w:smallCaps w:val="0"/>
                      <w:color w:val="auto"/>
                      <w:spacing w:val="0"/>
                      <w:sz w:val="21"/>
                      <w:szCs w:val="21"/>
                      <w:highlight w:val="none"/>
                      <w:lang w:val="en-US" w:eastAsia="zh-CN"/>
                    </w:rPr>
                  </w:pPr>
                </w:p>
              </w:tc>
              <w:tc>
                <w:tcPr>
                  <w:tcW w:w="384" w:type="pct"/>
                  <w:noWrap w:val="0"/>
                  <w:tcMar>
                    <w:top w:w="0" w:type="dxa"/>
                    <w:left w:w="28" w:type="dxa"/>
                    <w:bottom w:w="0" w:type="dxa"/>
                    <w:right w:w="28" w:type="dxa"/>
                  </w:tcMar>
                  <w:vAlign w:val="center"/>
                </w:tcPr>
                <w:p w14:paraId="4D03D290">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污染物排放管控</w:t>
                  </w:r>
                </w:p>
              </w:tc>
              <w:tc>
                <w:tcPr>
                  <w:tcW w:w="2566" w:type="pct"/>
                  <w:noWrap w:val="0"/>
                  <w:tcMar>
                    <w:top w:w="0" w:type="dxa"/>
                    <w:bottom w:w="0" w:type="dxa"/>
                  </w:tcMar>
                  <w:vAlign w:val="center"/>
                </w:tcPr>
                <w:p w14:paraId="438E4D10">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1.重点关注挥发性有机物排放管控，禁止使用高VOCs含量涂料或胶粘剂。挥发性有机物治理工艺禁止采用低温等离子、光氧化/催化、劣质活性炭吸附、喷淋吸收等单一低效治理技术；采用活性炭吸附工艺的应满足《石家庄市涉VOCs企业活性炭吸附脱附技术指南》的要求；</w:t>
                  </w:r>
                </w:p>
                <w:p w14:paraId="12E39D4F">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2.入区企业生产废水经处理后全部回用，不外排。生活污水经收集后排入贾庄污水处理厂或矿区绿洁污水处理厂处理，不得向向环境水体直接排放污水。</w:t>
                  </w:r>
                </w:p>
                <w:p w14:paraId="03A87C53">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3.入区企业要达到清洁生产二级水平，使用天然气等清洁能源，加大大气污染物的治理力度，减少大气污染物的排放，最大限度减轻对清凉山风景名胜区的影响。</w:t>
                  </w:r>
                </w:p>
              </w:tc>
              <w:tc>
                <w:tcPr>
                  <w:tcW w:w="1377" w:type="pct"/>
                  <w:noWrap w:val="0"/>
                  <w:tcMar>
                    <w:top w:w="0" w:type="dxa"/>
                    <w:bottom w:w="0" w:type="dxa"/>
                  </w:tcMar>
                  <w:vAlign w:val="center"/>
                </w:tcPr>
                <w:p w14:paraId="0B1D3714">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1.项目不涉及挥发性有机物产生；2.项目无废水外排；3.项目为钻杆、车轴零部件加工项目，工序包括修磨、剥皮、调质、切削，无电镀、无喷涂。目前国家尚未发布清洁生产评价指标体系，项目调质采用电能，属于清洁能源；修磨废气配套布袋除尘器，对环境影响较小。</w:t>
                  </w:r>
                </w:p>
              </w:tc>
              <w:tc>
                <w:tcPr>
                  <w:tcW w:w="424" w:type="dxa"/>
                  <w:noWrap w:val="0"/>
                  <w:tcMar>
                    <w:top w:w="0" w:type="dxa"/>
                    <w:bottom w:w="0" w:type="dxa"/>
                  </w:tcMar>
                  <w:vAlign w:val="center"/>
                </w:tcPr>
                <w:p w14:paraId="261C5B2D">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符合要求</w:t>
                  </w:r>
                </w:p>
              </w:tc>
            </w:tr>
            <w:tr w14:paraId="05509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393" w:type="pct"/>
                  <w:vMerge w:val="continue"/>
                  <w:noWrap w:val="0"/>
                  <w:tcMar>
                    <w:top w:w="0" w:type="dxa"/>
                    <w:left w:w="28" w:type="dxa"/>
                    <w:bottom w:w="0" w:type="dxa"/>
                    <w:right w:w="28" w:type="dxa"/>
                  </w:tcMar>
                  <w:vAlign w:val="center"/>
                </w:tcPr>
                <w:p w14:paraId="342C510A">
                  <w:pPr>
                    <w:pStyle w:val="60"/>
                    <w:keepNext w:val="0"/>
                    <w:keepLines w:val="0"/>
                    <w:suppressLineNumbers w:val="0"/>
                    <w:spacing w:before="0" w:beforeAutospacing="0" w:after="0" w:afterAutospacing="0" w:line="260" w:lineRule="exact"/>
                    <w:ind w:left="-21" w:leftChars="-10" w:right="-21" w:rightChars="-10"/>
                    <w:jc w:val="center"/>
                    <w:rPr>
                      <w:rFonts w:hint="eastAsia" w:ascii="Times New Roman" w:eastAsia="宋体" w:cs="Times New Roman"/>
                      <w:smallCaps w:val="0"/>
                      <w:color w:val="auto"/>
                      <w:spacing w:val="0"/>
                      <w:sz w:val="21"/>
                      <w:szCs w:val="21"/>
                      <w:highlight w:val="none"/>
                      <w:lang w:val="en-US" w:eastAsia="zh-CN"/>
                    </w:rPr>
                  </w:pPr>
                </w:p>
              </w:tc>
              <w:tc>
                <w:tcPr>
                  <w:tcW w:w="384" w:type="pct"/>
                  <w:noWrap w:val="0"/>
                  <w:tcMar>
                    <w:top w:w="0" w:type="dxa"/>
                    <w:left w:w="28" w:type="dxa"/>
                    <w:bottom w:w="0" w:type="dxa"/>
                    <w:right w:w="28" w:type="dxa"/>
                  </w:tcMar>
                  <w:vAlign w:val="center"/>
                </w:tcPr>
                <w:p w14:paraId="319B541B">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环境风险防控</w:t>
                  </w:r>
                </w:p>
              </w:tc>
              <w:tc>
                <w:tcPr>
                  <w:tcW w:w="2566" w:type="pct"/>
                  <w:noWrap w:val="0"/>
                  <w:tcMar>
                    <w:top w:w="0" w:type="dxa"/>
                    <w:bottom w:w="0" w:type="dxa"/>
                  </w:tcMar>
                  <w:vAlign w:val="center"/>
                </w:tcPr>
                <w:p w14:paraId="1BF7BF98">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1.结合道路绿化、居住区绿地布置，合理布置涉及风险物质的生产单元，涉重大危险源生产装置和储罐区的项目不得紧邻居住区布局。加强重大危险源企业环境风险管理。</w:t>
                  </w:r>
                </w:p>
              </w:tc>
              <w:tc>
                <w:tcPr>
                  <w:tcW w:w="1377" w:type="pct"/>
                  <w:noWrap w:val="0"/>
                  <w:tcMar>
                    <w:top w:w="0" w:type="dxa"/>
                    <w:bottom w:w="0" w:type="dxa"/>
                  </w:tcMar>
                  <w:vAlign w:val="center"/>
                </w:tcPr>
                <w:p w14:paraId="2EB53B06">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本项目涉及风险物质的单元主要为润滑油、切削液使用工位；项目不设置危险废物贮存间，</w:t>
                  </w:r>
                  <w:r>
                    <w:rPr>
                      <w:rFonts w:hint="eastAsia" w:cs="Times New Roman"/>
                      <w:smallCaps w:val="0"/>
                      <w:color w:val="auto"/>
                      <w:spacing w:val="0"/>
                      <w:sz w:val="21"/>
                      <w:szCs w:val="21"/>
                      <w:highlight w:val="none"/>
                      <w:lang w:val="en-US" w:eastAsia="zh-CN"/>
                    </w:rPr>
                    <w:t>产生的</w:t>
                  </w:r>
                  <w:r>
                    <w:rPr>
                      <w:rFonts w:hint="default" w:ascii="Times New Roman" w:hAnsi="Times New Roman" w:eastAsia="宋体" w:cs="Times New Roman"/>
                      <w:smallCaps w:val="0"/>
                      <w:color w:val="auto"/>
                      <w:spacing w:val="0"/>
                      <w:sz w:val="21"/>
                      <w:szCs w:val="21"/>
                      <w:highlight w:val="none"/>
                      <w:lang w:val="en-US" w:eastAsia="zh-CN"/>
                    </w:rPr>
                    <w:t>危险废物即产即清。本项目不存在重大危险源生产装置、储罐区，不涉及重大危险源。</w:t>
                  </w:r>
                </w:p>
                <w:p w14:paraId="4EC6541A">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项目在总图布置时，结合厂区道路绿化、绿地隔离，将润滑油、切削液使用等涉风险物质生产单元布置于厂区远离居住区一侧，与居住区之间利用道路、厂区绿化形成隔离缓冲，未紧邻居住区布局。生产过程产生的含油废切削液、废润滑油等危险废物产生后及时委托有资质单位转运处置，即产即清，厂内不设置危废暂存场所，从源头消除危险废物贮存环境风险；同时对润滑油、切削液使用区域设置防渗、防泄漏收集设施，防范物料跑冒滴漏造成土壤及地下水污染。落实上述布局及风险管控措施后，项目符合本条管控要求。</w:t>
                  </w:r>
                </w:p>
              </w:tc>
              <w:tc>
                <w:tcPr>
                  <w:tcW w:w="424" w:type="dxa"/>
                  <w:noWrap w:val="0"/>
                  <w:tcMar>
                    <w:top w:w="0" w:type="dxa"/>
                    <w:bottom w:w="0" w:type="dxa"/>
                  </w:tcMar>
                  <w:vAlign w:val="center"/>
                </w:tcPr>
                <w:p w14:paraId="29BF5718">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符合要求</w:t>
                  </w:r>
                </w:p>
              </w:tc>
            </w:tr>
            <w:tr w14:paraId="429D2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 w:hRule="atLeast"/>
                <w:jc w:val="center"/>
              </w:trPr>
              <w:tc>
                <w:tcPr>
                  <w:tcW w:w="393" w:type="pct"/>
                  <w:vMerge w:val="continue"/>
                  <w:noWrap w:val="0"/>
                  <w:tcMar>
                    <w:top w:w="0" w:type="dxa"/>
                    <w:left w:w="28" w:type="dxa"/>
                    <w:bottom w:w="0" w:type="dxa"/>
                    <w:right w:w="28" w:type="dxa"/>
                  </w:tcMar>
                  <w:vAlign w:val="center"/>
                </w:tcPr>
                <w:p w14:paraId="0441B763">
                  <w:pPr>
                    <w:pStyle w:val="60"/>
                    <w:keepNext w:val="0"/>
                    <w:keepLines w:val="0"/>
                    <w:suppressLineNumbers w:val="0"/>
                    <w:spacing w:before="0" w:beforeAutospacing="0" w:after="0" w:afterAutospacing="0" w:line="260" w:lineRule="exact"/>
                    <w:ind w:left="-21" w:leftChars="-10" w:right="-21" w:rightChars="-10"/>
                    <w:jc w:val="center"/>
                    <w:rPr>
                      <w:rFonts w:hint="eastAsia" w:ascii="Times New Roman" w:eastAsia="宋体" w:cs="Times New Roman"/>
                      <w:smallCaps w:val="0"/>
                      <w:color w:val="auto"/>
                      <w:spacing w:val="0"/>
                      <w:sz w:val="21"/>
                      <w:szCs w:val="21"/>
                      <w:highlight w:val="none"/>
                      <w:lang w:val="en-US" w:eastAsia="zh-CN"/>
                    </w:rPr>
                  </w:pPr>
                </w:p>
              </w:tc>
              <w:tc>
                <w:tcPr>
                  <w:tcW w:w="384" w:type="pct"/>
                  <w:noWrap w:val="0"/>
                  <w:tcMar>
                    <w:top w:w="0" w:type="dxa"/>
                    <w:left w:w="28" w:type="dxa"/>
                    <w:bottom w:w="0" w:type="dxa"/>
                    <w:right w:w="28" w:type="dxa"/>
                  </w:tcMar>
                  <w:vAlign w:val="center"/>
                </w:tcPr>
                <w:p w14:paraId="6F430855">
                  <w:pPr>
                    <w:pStyle w:val="60"/>
                    <w:keepNext w:val="0"/>
                    <w:keepLines w:val="0"/>
                    <w:suppressLineNumbers w:val="0"/>
                    <w:spacing w:before="0" w:beforeAutospacing="0" w:after="0" w:afterAutospacing="0" w:line="260" w:lineRule="exact"/>
                    <w:ind w:left="-21" w:leftChars="-10" w:right="-21" w:rightChars="-10"/>
                    <w:jc w:val="center"/>
                    <w:rPr>
                      <w:rFonts w:hint="default" w:ascii="Times New Roman" w:eastAsia="宋体" w:cs="Times New Roman"/>
                      <w:smallCaps w:val="0"/>
                      <w:color w:val="auto"/>
                      <w:spacing w:val="0"/>
                      <w:sz w:val="21"/>
                      <w:szCs w:val="21"/>
                      <w:highlight w:val="none"/>
                      <w:lang w:val="en-US" w:eastAsia="zh-CN"/>
                    </w:rPr>
                  </w:pPr>
                  <w:r>
                    <w:rPr>
                      <w:rFonts w:hint="eastAsia" w:ascii="Times New Roman" w:eastAsia="宋体" w:cs="Times New Roman"/>
                      <w:smallCaps w:val="0"/>
                      <w:color w:val="auto"/>
                      <w:spacing w:val="0"/>
                      <w:sz w:val="21"/>
                      <w:szCs w:val="21"/>
                      <w:highlight w:val="none"/>
                      <w:lang w:val="en-US" w:eastAsia="zh-CN"/>
                    </w:rPr>
                    <w:t>资源利用效率</w:t>
                  </w:r>
                </w:p>
              </w:tc>
              <w:tc>
                <w:tcPr>
                  <w:tcW w:w="2566" w:type="pct"/>
                  <w:noWrap w:val="0"/>
                  <w:tcMar>
                    <w:top w:w="0" w:type="dxa"/>
                    <w:bottom w:w="0" w:type="dxa"/>
                  </w:tcMar>
                  <w:vAlign w:val="center"/>
                </w:tcPr>
                <w:p w14:paraId="2168A1AC">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1.加快生活污水及再生水管网建设，提高污水收集率和再生水的回用率，减轻对地表水利用的压力；</w:t>
                  </w:r>
                </w:p>
                <w:p w14:paraId="61EF2804">
                  <w:pPr>
                    <w:keepNext w:val="0"/>
                    <w:keepLines w:val="0"/>
                    <w:suppressLineNumbers w:val="0"/>
                    <w:adjustRightInd w:val="0"/>
                    <w:spacing w:before="0" w:beforeAutospacing="0" w:after="0" w:afterAutospacing="0" w:line="260" w:lineRule="exact"/>
                    <w:ind w:left="-21" w:leftChars="-10" w:right="-21" w:rightChars="-1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2.根据行业特点充分利用生产余热为主力热源，电能等清洁能源为补充。</w:t>
                  </w:r>
                </w:p>
              </w:tc>
              <w:tc>
                <w:tcPr>
                  <w:tcW w:w="1377" w:type="pct"/>
                  <w:noWrap w:val="0"/>
                  <w:tcMar>
                    <w:top w:w="0" w:type="dxa"/>
                    <w:bottom w:w="0" w:type="dxa"/>
                  </w:tcMar>
                  <w:vAlign w:val="center"/>
                </w:tcPr>
                <w:p w14:paraId="5BCD6778">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1.项目无废水外排；2.项目生产采用电加热，不涉及生产余热。</w:t>
                  </w:r>
                </w:p>
              </w:tc>
              <w:tc>
                <w:tcPr>
                  <w:tcW w:w="424" w:type="dxa"/>
                  <w:noWrap w:val="0"/>
                  <w:tcMar>
                    <w:top w:w="0" w:type="dxa"/>
                    <w:bottom w:w="0" w:type="dxa"/>
                  </w:tcMar>
                  <w:vAlign w:val="center"/>
                </w:tcPr>
                <w:p w14:paraId="16B2214F">
                  <w:pPr>
                    <w:keepNext w:val="0"/>
                    <w:keepLines w:val="0"/>
                    <w:suppressLineNumbers w:val="0"/>
                    <w:spacing w:before="0" w:beforeAutospacing="0" w:after="0" w:afterAutospacing="0" w:line="260" w:lineRule="exact"/>
                    <w:ind w:left="-21" w:leftChars="-10" w:right="-21" w:rightChars="-10"/>
                    <w:jc w:val="center"/>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符合要求</w:t>
                  </w:r>
                </w:p>
              </w:tc>
            </w:tr>
          </w:tbl>
          <w:p w14:paraId="209B70AD">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由上表可知</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本项目符合《</w:t>
            </w:r>
            <w:r>
              <w:rPr>
                <w:rFonts w:hint="eastAsia" w:cs="Times New Roman"/>
                <w:smallCaps w:val="0"/>
                <w:color w:val="auto"/>
                <w:spacing w:val="0"/>
                <w:highlight w:val="none"/>
                <w:lang w:eastAsia="zh-CN"/>
              </w:rPr>
              <w:t>河北石家庄矿区工业园区总体发展规划（2022-2030）环境影响报告书</w:t>
            </w:r>
            <w:r>
              <w:rPr>
                <w:rFonts w:hint="default" w:ascii="Times New Roman" w:hAnsi="Times New Roman" w:cs="Times New Roman"/>
                <w:smallCaps w:val="0"/>
                <w:color w:val="auto"/>
                <w:spacing w:val="0"/>
                <w:highlight w:val="none"/>
              </w:rPr>
              <w:t>》中提出的</w:t>
            </w:r>
            <w:r>
              <w:rPr>
                <w:rFonts w:hint="default" w:ascii="Times New Roman" w:hAnsi="Times New Roman" w:cs="Times New Roman"/>
                <w:smallCaps w:val="0"/>
                <w:color w:val="auto"/>
                <w:spacing w:val="0"/>
                <w:highlight w:val="none"/>
                <w:lang w:val="en-US" w:eastAsia="zh-CN"/>
              </w:rPr>
              <w:t>园区</w:t>
            </w:r>
            <w:r>
              <w:rPr>
                <w:rFonts w:hint="default" w:ascii="Times New Roman" w:hAnsi="Times New Roman" w:cs="Times New Roman"/>
                <w:smallCaps w:val="0"/>
                <w:color w:val="auto"/>
                <w:spacing w:val="0"/>
                <w:highlight w:val="none"/>
              </w:rPr>
              <w:t>环境准入</w:t>
            </w:r>
            <w:r>
              <w:rPr>
                <w:rFonts w:hint="default" w:ascii="Times New Roman" w:hAnsi="Times New Roman" w:cs="Times New Roman"/>
                <w:smallCaps w:val="0"/>
                <w:color w:val="auto"/>
                <w:spacing w:val="0"/>
                <w:highlight w:val="none"/>
                <w:lang w:val="en-US" w:eastAsia="zh-CN"/>
              </w:rPr>
              <w:t>及</w:t>
            </w:r>
            <w:r>
              <w:rPr>
                <w:rFonts w:hint="default" w:ascii="Times New Roman" w:hAnsi="Times New Roman" w:cs="Times New Roman"/>
                <w:smallCaps w:val="0"/>
                <w:color w:val="auto"/>
                <w:spacing w:val="0"/>
                <w:highlight w:val="none"/>
              </w:rPr>
              <w:t>负面清单</w:t>
            </w:r>
            <w:r>
              <w:rPr>
                <w:rFonts w:hint="default" w:ascii="Times New Roman" w:hAnsi="Times New Roman" w:cs="Times New Roman"/>
                <w:smallCaps w:val="0"/>
                <w:color w:val="auto"/>
                <w:spacing w:val="0"/>
                <w:highlight w:val="none"/>
                <w:lang w:val="en-US" w:eastAsia="zh-CN"/>
              </w:rPr>
              <w:t>要求</w:t>
            </w:r>
            <w:r>
              <w:rPr>
                <w:rFonts w:hint="default" w:ascii="Times New Roman" w:hAnsi="Times New Roman" w:cs="Times New Roman"/>
                <w:smallCaps w:val="0"/>
                <w:color w:val="auto"/>
                <w:spacing w:val="0"/>
                <w:highlight w:val="none"/>
              </w:rPr>
              <w:t>。</w:t>
            </w:r>
          </w:p>
          <w:p w14:paraId="6E51E5F7">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45C3B82C">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0DED33A4">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6FDDBE99">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0F5757CA">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54B0C20E">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76EADAAD">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1F0B4D2E">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30748BE8">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0160C0DF">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745F40BA">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0AB90B3E">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r>
              <w:rPr>
                <w:rFonts w:hint="default" w:ascii="Times New Roman" w:hAnsi="Times New Roman" w:cs="Times New Roman"/>
                <w:smallCaps w:val="0"/>
                <w:color w:val="auto"/>
                <w:spacing w:val="0"/>
                <w:sz w:val="24"/>
                <w:szCs w:val="20"/>
                <w:highlight w:val="none"/>
                <w:lang w:val="en-US" w:eastAsia="zh-CN"/>
              </w:rPr>
              <w:t>项目与石家庄市环境管控单元分布图位置见下：</w:t>
            </w:r>
          </w:p>
          <w:p w14:paraId="76B917E0">
            <w:pPr>
              <w:keepNext w:val="0"/>
              <w:keepLines w:val="0"/>
              <w:suppressLineNumbers w:val="0"/>
              <w:autoSpaceDE w:val="0"/>
              <w:autoSpaceDN w:val="0"/>
              <w:adjustRightInd w:val="0"/>
              <w:snapToGrid w:val="0"/>
              <w:spacing w:before="0" w:beforeAutospacing="0" w:after="0" w:afterAutospacing="0" w:line="440" w:lineRule="exact"/>
              <w:ind w:left="0" w:right="0" w:firstLine="420" w:firstLineChars="200"/>
              <w:rPr>
                <w:rFonts w:hint="default" w:ascii="Times New Roman" w:hAnsi="Times New Roman" w:cs="Times New Roman"/>
                <w:smallCaps w:val="0"/>
                <w:color w:val="auto"/>
                <w:spacing w:val="0"/>
                <w:sz w:val="24"/>
                <w:szCs w:val="20"/>
                <w:highlight w:val="none"/>
                <w:lang w:val="en-US" w:eastAsia="zh-CN"/>
              </w:rPr>
            </w:pPr>
            <w:r>
              <w:rPr>
                <w:rFonts w:hint="default"/>
                <w:color w:val="auto"/>
                <w:szCs w:val="20"/>
                <w:highlight w:val="none"/>
              </w:rPr>
              <w:drawing>
                <wp:anchor distT="0" distB="0" distL="114300" distR="114300" simplePos="0" relativeHeight="251664384" behindDoc="1" locked="0" layoutInCell="1" allowOverlap="1">
                  <wp:simplePos x="0" y="0"/>
                  <wp:positionH relativeFrom="column">
                    <wp:posOffset>8255</wp:posOffset>
                  </wp:positionH>
                  <wp:positionV relativeFrom="paragraph">
                    <wp:posOffset>5715</wp:posOffset>
                  </wp:positionV>
                  <wp:extent cx="4848860" cy="5981065"/>
                  <wp:effectExtent l="0" t="0" r="8890" b="635"/>
                  <wp:wrapNone/>
                  <wp:docPr id="8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2"/>
                          <pic:cNvPicPr>
                            <a:picLocks noChangeAspect="1"/>
                          </pic:cNvPicPr>
                        </pic:nvPicPr>
                        <pic:blipFill>
                          <a:blip r:embed="rId8"/>
                          <a:stretch>
                            <a:fillRect/>
                          </a:stretch>
                        </pic:blipFill>
                        <pic:spPr>
                          <a:xfrm>
                            <a:off x="0" y="0"/>
                            <a:ext cx="4848860" cy="5981065"/>
                          </a:xfrm>
                          <a:prstGeom prst="rect">
                            <a:avLst/>
                          </a:prstGeom>
                          <a:noFill/>
                          <a:ln>
                            <a:noFill/>
                          </a:ln>
                        </pic:spPr>
                      </pic:pic>
                    </a:graphicData>
                  </a:graphic>
                </wp:anchor>
              </w:drawing>
            </w:r>
          </w:p>
          <w:p w14:paraId="37D45C49">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7A490EDC">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43B8A865">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1AD7A608">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69188825">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2BDC6B7A">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7E5A4766">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530448AA">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0C299169">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2EBCA707">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5D763768">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74E84681">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56ACA0B4">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r>
              <w:rPr>
                <w:rFonts w:hint="default"/>
                <w:color w:val="auto"/>
                <w:sz w:val="24"/>
                <w:szCs w:val="20"/>
                <w:highlight w:val="none"/>
              </w:rPr>
              <mc:AlternateContent>
                <mc:Choice Requires="wpg">
                  <w:drawing>
                    <wp:anchor distT="0" distB="0" distL="114300" distR="114300" simplePos="0" relativeHeight="251663360" behindDoc="0" locked="0" layoutInCell="1" allowOverlap="1">
                      <wp:simplePos x="0" y="0"/>
                      <wp:positionH relativeFrom="column">
                        <wp:posOffset>1534160</wp:posOffset>
                      </wp:positionH>
                      <wp:positionV relativeFrom="paragraph">
                        <wp:posOffset>219075</wp:posOffset>
                      </wp:positionV>
                      <wp:extent cx="1097915" cy="558165"/>
                      <wp:effectExtent l="19050" t="0" r="6985" b="32385"/>
                      <wp:wrapNone/>
                      <wp:docPr id="14" name="组合 14"/>
                      <wp:cNvGraphicFramePr/>
                      <a:graphic xmlns:a="http://schemas.openxmlformats.org/drawingml/2006/main">
                        <a:graphicData uri="http://schemas.microsoft.com/office/word/2010/wordprocessingGroup">
                          <wpg:wgp>
                            <wpg:cNvGrpSpPr/>
                            <wpg:grpSpPr>
                              <a:xfrm>
                                <a:off x="0" y="0"/>
                                <a:ext cx="1097915" cy="558165"/>
                                <a:chOff x="5645" y="321068"/>
                                <a:chExt cx="1729" cy="879"/>
                              </a:xfrm>
                            </wpg:grpSpPr>
                            <wps:wsp>
                              <wps:cNvPr id="28" name="矩形标注 3"/>
                              <wps:cNvSpPr/>
                              <wps:spPr>
                                <a:xfrm>
                                  <a:off x="5972" y="321068"/>
                                  <a:ext cx="1403" cy="462"/>
                                </a:xfrm>
                                <a:prstGeom prst="wedgeRectCallout">
                                  <a:avLst>
                                    <a:gd name="adj1" fmla="val -68175"/>
                                    <a:gd name="adj2" fmla="val 135057"/>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D715F0">
                                    <w:pPr>
                                      <w:jc w:val="center"/>
                                      <w:rPr>
                                        <w:rFonts w:hint="default" w:eastAsia="宋体"/>
                                        <w:lang w:val="en-US" w:eastAsia="zh-CN"/>
                                      </w:rPr>
                                    </w:pPr>
                                    <w:r>
                                      <w:rPr>
                                        <w:rFonts w:hint="eastAsia"/>
                                        <w:lang w:val="en-US" w:eastAsia="zh-CN"/>
                                      </w:rPr>
                                      <w:t>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3" name="五角星 4"/>
                              <wps:cNvSpPr/>
                              <wps:spPr>
                                <a:xfrm>
                                  <a:off x="5645" y="321829"/>
                                  <a:ext cx="119" cy="119"/>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120.8pt;margin-top:17.25pt;height:43.95pt;width:86.45pt;z-index:251663360;mso-width-relative:page;mso-height-relative:page;" coordorigin="5645,321068" coordsize="1729,879" o:gfxdata="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">
                      <o:lock v:ext="edit" aspectratio="f"/>
                      <v:shape id="矩形标注 3" o:spid="_x0000_s1026" o:spt="61" type="#_x0000_t61" style="position:absolute;left:5972;top:321068;height:462;width:1403;v-text-anchor:middle;" fillcolor="#00B0F0" filled="t" stroked="f" coordsize="21600,21600" o:gfxdata="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FsfE7bgAAADbAAAA&#10;DwAAAAAAAAABACAAAAAiAAAAZHJzL2Rvd25yZXYueG1sUEsBAhQAFAAAAAgAh07iQDMvBZ47AAAA&#10;OQAAABAAAAAAAAAAAQAgAAAABwEAAGRycy9zaGFwZXhtbC54bWxQSwUGAAAAAAYABgBbAQAAsQMA&#10;AAAA&#10;" adj="-3926,39972">
                        <v:fill on="t" focussize="0,0"/>
                        <v:stroke on="f" weight="1pt" miterlimit="8" joinstyle="miter"/>
                        <v:imagedata o:title=""/>
                        <o:lock v:ext="edit" aspectratio="f"/>
                        <v:textbox>
                          <w:txbxContent>
                            <w:p w14:paraId="25D715F0">
                              <w:pPr>
                                <w:jc w:val="center"/>
                                <w:rPr>
                                  <w:rFonts w:hint="default" w:eastAsia="宋体"/>
                                  <w:lang w:val="en-US" w:eastAsia="zh-CN"/>
                                </w:rPr>
                              </w:pPr>
                              <w:r>
                                <w:rPr>
                                  <w:rFonts w:hint="eastAsia"/>
                                  <w:lang w:val="en-US" w:eastAsia="zh-CN"/>
                                </w:rPr>
                                <w:t>项目位置</w:t>
                              </w:r>
                            </w:p>
                          </w:txbxContent>
                        </v:textbox>
                      </v:shape>
                      <v:shape id="五角星 4" o:spid="_x0000_s1026" style="position:absolute;left:5645;top:321829;height:119;width:119;v-text-anchor:middle;" fillcolor="#4472C4 [3204]" filled="t" stroked="t" coordsize="119,119" o:gfxdata="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txz9wvQAA&#10;ANsAAAAPAAAAAAAAAAEAIAAAACIAAABkcnMvZG93bnJldi54bWxQSwECFAAUAAAACACHTuJAMy8F&#10;njsAAAA5AAAAEAAAAAAAAAABACAAAAAMAQAAZHJzL3NoYXBleG1sLnhtbFBLBQYAAAAABgAGAFsB&#10;AAC2AwAAAAA=&#10;" path="m0,45l45,45,59,0,73,45,118,45,82,73,96,118,59,90,22,118,36,73xe">
                        <v:path o:connectlocs="59,0;0,45;22,118;96,118;118,45" o:connectangles="247,164,82,82,0"/>
                        <v:fill on="t" focussize="0,0"/>
                        <v:stroke weight="1pt" color="#2F528F [3204]" miterlimit="8" joinstyle="miter"/>
                        <v:imagedata o:title=""/>
                        <o:lock v:ext="edit" aspectratio="f"/>
                      </v:shape>
                    </v:group>
                  </w:pict>
                </mc:Fallback>
              </mc:AlternateContent>
            </w:r>
          </w:p>
          <w:p w14:paraId="1A673EB7">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5CB2FF92">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0428B2E4">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262C8E6D">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367B5A84">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0EF066ED">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35707CBA">
            <w:pPr>
              <w:keepNext w:val="0"/>
              <w:keepLines w:val="0"/>
              <w:suppressLineNumbers w:val="0"/>
              <w:autoSpaceDE w:val="0"/>
              <w:autoSpaceDN w:val="0"/>
              <w:adjustRightInd w:val="0"/>
              <w:snapToGrid w:val="0"/>
              <w:spacing w:before="0" w:beforeAutospacing="0" w:after="0" w:afterAutospacing="0" w:line="440" w:lineRule="exact"/>
              <w:ind w:left="0" w:right="0" w:firstLine="480" w:firstLineChars="200"/>
              <w:rPr>
                <w:rFonts w:hint="default" w:ascii="Times New Roman" w:hAnsi="Times New Roman" w:cs="Times New Roman"/>
                <w:smallCaps w:val="0"/>
                <w:color w:val="auto"/>
                <w:spacing w:val="0"/>
                <w:sz w:val="24"/>
                <w:szCs w:val="20"/>
                <w:highlight w:val="none"/>
                <w:lang w:val="en-US" w:eastAsia="zh-CN"/>
              </w:rPr>
            </w:pPr>
          </w:p>
          <w:p w14:paraId="245C073A">
            <w:pPr>
              <w:pStyle w:val="187"/>
              <w:keepNext w:val="0"/>
              <w:keepLines w:val="0"/>
              <w:suppressLineNumbers w:val="0"/>
              <w:spacing w:before="0" w:beforeAutospacing="0" w:after="0" w:afterAutospacing="0"/>
              <w:ind w:left="0" w:right="0"/>
              <w:rPr>
                <w:rFonts w:hint="eastAsia"/>
                <w:b/>
                <w:bCs/>
                <w:color w:val="auto"/>
                <w:sz w:val="24"/>
                <w:szCs w:val="20"/>
                <w:highlight w:val="none"/>
                <w:lang w:val="en-US" w:eastAsia="zh-CN"/>
              </w:rPr>
            </w:pPr>
            <w:r>
              <w:rPr>
                <w:rFonts w:hint="default" w:ascii="Times New Roman" w:hAnsi="Times New Roman" w:cs="Times New Roman"/>
                <w:smallCaps w:val="0"/>
                <w:color w:val="auto"/>
                <w:spacing w:val="0"/>
                <w:highlight w:val="none"/>
              </w:rPr>
              <w:t>图1-</w:t>
            </w:r>
            <w:r>
              <w:rPr>
                <w:rFonts w:hint="eastAsia" w:cs="Times New Roman"/>
                <w:smallCaps w:val="0"/>
                <w:color w:val="auto"/>
                <w:spacing w:val="0"/>
                <w:highlight w:val="none"/>
                <w:lang w:val="en-US" w:eastAsia="zh-CN"/>
              </w:rPr>
              <w:t>1</w:t>
            </w:r>
            <w:r>
              <w:rPr>
                <w:rFonts w:hint="default" w:ascii="Times New Roman" w:hAnsi="Times New Roman" w:cs="Times New Roman"/>
                <w:smallCaps w:val="0"/>
                <w:color w:val="auto"/>
                <w:spacing w:val="0"/>
                <w:highlight w:val="none"/>
              </w:rPr>
              <w:t xml:space="preserve">   </w:t>
            </w:r>
            <w:r>
              <w:rPr>
                <w:rFonts w:hint="eastAsia" w:cs="Times New Roman"/>
                <w:smallCaps w:val="0"/>
                <w:color w:val="auto"/>
                <w:spacing w:val="0"/>
                <w:highlight w:val="none"/>
                <w:lang w:val="en-US" w:eastAsia="zh-CN"/>
              </w:rPr>
              <w:t>园区（石钢片区）分区管控</w:t>
            </w:r>
            <w:r>
              <w:rPr>
                <w:rFonts w:hint="default" w:ascii="Times New Roman" w:hAnsi="Times New Roman" w:cs="Times New Roman"/>
                <w:smallCaps w:val="0"/>
                <w:color w:val="auto"/>
                <w:spacing w:val="0"/>
                <w:highlight w:val="none"/>
              </w:rPr>
              <w:t>图</w:t>
            </w:r>
          </w:p>
          <w:p w14:paraId="33ABFEB9">
            <w:pPr>
              <w:keepNext w:val="0"/>
              <w:keepLines w:val="0"/>
              <w:suppressLineNumbers w:val="0"/>
              <w:adjustRightInd w:val="0"/>
              <w:snapToGrid w:val="0"/>
              <w:spacing w:before="0" w:beforeAutospacing="0" w:after="0" w:afterAutospacing="0" w:line="500" w:lineRule="exact"/>
              <w:ind w:left="0" w:right="0" w:firstLine="482" w:firstLineChars="200"/>
              <w:rPr>
                <w:rFonts w:hint="eastAsia"/>
                <w:b/>
                <w:bCs/>
                <w:color w:val="auto"/>
                <w:sz w:val="24"/>
                <w:szCs w:val="20"/>
                <w:highlight w:val="none"/>
              </w:rPr>
            </w:pPr>
            <w:r>
              <w:rPr>
                <w:rFonts w:hint="eastAsia"/>
                <w:b/>
                <w:bCs/>
                <w:color w:val="auto"/>
                <w:sz w:val="24"/>
                <w:szCs w:val="20"/>
                <w:highlight w:val="none"/>
                <w:lang w:val="en-US" w:eastAsia="zh-CN"/>
              </w:rPr>
              <w:t>4</w:t>
            </w:r>
            <w:r>
              <w:rPr>
                <w:rFonts w:hint="eastAsia"/>
                <w:b/>
                <w:bCs/>
                <w:color w:val="auto"/>
                <w:sz w:val="24"/>
                <w:szCs w:val="20"/>
                <w:highlight w:val="none"/>
              </w:rPr>
              <w:t>、项</w:t>
            </w:r>
            <w:r>
              <w:rPr>
                <w:rFonts w:hint="eastAsia"/>
                <w:b/>
                <w:bCs/>
                <w:color w:val="auto"/>
                <w:sz w:val="24"/>
                <w:szCs w:val="20"/>
                <w:highlight w:val="none"/>
                <w:lang w:val="en-US" w:eastAsia="zh-CN"/>
              </w:rPr>
              <w:t>目</w:t>
            </w:r>
            <w:r>
              <w:rPr>
                <w:rFonts w:hint="eastAsia"/>
                <w:b/>
                <w:bCs/>
                <w:color w:val="auto"/>
                <w:sz w:val="24"/>
                <w:szCs w:val="20"/>
                <w:highlight w:val="none"/>
              </w:rPr>
              <w:t>与《石家庄市生态环境准入清单（2023年版）》符合性分析</w:t>
            </w:r>
          </w:p>
          <w:p w14:paraId="38492831">
            <w:pPr>
              <w:keepNext w:val="0"/>
              <w:keepLines w:val="0"/>
              <w:suppressLineNumbers w:val="0"/>
              <w:adjustRightInd w:val="0"/>
              <w:snapToGrid w:val="0"/>
              <w:spacing w:before="0" w:beforeAutospacing="0" w:after="0" w:afterAutospacing="0" w:line="500" w:lineRule="exact"/>
              <w:ind w:left="0" w:right="0" w:firstLine="480" w:firstLineChars="200"/>
              <w:rPr>
                <w:rFonts w:hint="eastAsia" w:eastAsia="宋体"/>
                <w:color w:val="auto"/>
                <w:sz w:val="24"/>
                <w:szCs w:val="20"/>
                <w:highlight w:val="none"/>
                <w:lang w:eastAsia="zh-CN"/>
              </w:rPr>
            </w:pPr>
            <w:r>
              <w:rPr>
                <w:rFonts w:hint="eastAsia"/>
                <w:color w:val="auto"/>
                <w:sz w:val="24"/>
                <w:szCs w:val="20"/>
                <w:highlight w:val="none"/>
              </w:rPr>
              <w:t>项目位于河北省石家庄市</w:t>
            </w:r>
            <w:r>
              <w:rPr>
                <w:rFonts w:hint="eastAsia"/>
                <w:color w:val="auto"/>
                <w:sz w:val="24"/>
                <w:szCs w:val="20"/>
                <w:highlight w:val="none"/>
                <w:lang w:eastAsia="zh-CN"/>
              </w:rPr>
              <w:t>井陉矿区世纪大道以北，石钢路以西</w:t>
            </w:r>
            <w:r>
              <w:rPr>
                <w:rFonts w:hint="eastAsia"/>
                <w:color w:val="auto"/>
                <w:sz w:val="24"/>
                <w:szCs w:val="20"/>
                <w:highlight w:val="none"/>
              </w:rPr>
              <w:t>，根据</w:t>
            </w:r>
            <w:r>
              <w:rPr>
                <w:rFonts w:hint="eastAsia"/>
                <w:color w:val="auto"/>
                <w:sz w:val="24"/>
                <w:szCs w:val="20"/>
                <w:highlight w:val="none"/>
                <w:lang w:val="en-US" w:eastAsia="zh-CN"/>
              </w:rPr>
              <w:t>2024年4月28日更新的</w:t>
            </w:r>
            <w:r>
              <w:rPr>
                <w:rFonts w:hint="eastAsia"/>
                <w:color w:val="auto"/>
                <w:sz w:val="24"/>
                <w:szCs w:val="20"/>
                <w:highlight w:val="none"/>
              </w:rPr>
              <w:t>《石家庄市生态环境准入清单（2023年版）》及河北省环评预约挂号服务平台-</w:t>
            </w:r>
            <w:r>
              <w:rPr>
                <w:rFonts w:hint="default"/>
                <w:color w:val="auto"/>
                <w:sz w:val="24"/>
                <w:szCs w:val="20"/>
                <w:highlight w:val="none"/>
              </w:rPr>
              <w:t>三线一单</w:t>
            </w:r>
            <w:r>
              <w:rPr>
                <w:rFonts w:hint="eastAsia"/>
                <w:color w:val="auto"/>
                <w:sz w:val="24"/>
                <w:szCs w:val="20"/>
                <w:highlight w:val="none"/>
              </w:rPr>
              <w:t>查询，石家庄市、</w:t>
            </w:r>
            <w:r>
              <w:rPr>
                <w:rFonts w:hint="eastAsia"/>
                <w:color w:val="auto"/>
                <w:sz w:val="24"/>
                <w:szCs w:val="20"/>
                <w:highlight w:val="none"/>
                <w:lang w:eastAsia="zh-CN"/>
              </w:rPr>
              <w:t>井陉矿区</w:t>
            </w:r>
            <w:r>
              <w:rPr>
                <w:rFonts w:hint="eastAsia"/>
                <w:color w:val="auto"/>
                <w:sz w:val="24"/>
                <w:szCs w:val="20"/>
                <w:highlight w:val="none"/>
              </w:rPr>
              <w:t>重点管控单元生态环境准入清单如下</w:t>
            </w:r>
            <w:r>
              <w:rPr>
                <w:rFonts w:hint="eastAsia"/>
                <w:color w:val="auto"/>
                <w:sz w:val="24"/>
                <w:szCs w:val="20"/>
                <w:highlight w:val="none"/>
                <w:lang w:eastAsia="zh-CN"/>
              </w:rPr>
              <w:t>：</w:t>
            </w:r>
          </w:p>
          <w:p w14:paraId="511EBB1B">
            <w:pPr>
              <w:keepNext w:val="0"/>
              <w:keepLines w:val="0"/>
              <w:suppressLineNumbers w:val="0"/>
              <w:spacing w:before="0" w:beforeAutospacing="0" w:after="0" w:afterAutospacing="0"/>
              <w:ind w:left="0" w:right="0" w:firstLine="482" w:firstLineChars="200"/>
              <w:jc w:val="center"/>
              <w:rPr>
                <w:rFonts w:hint="eastAsia"/>
                <w:b/>
                <w:bCs/>
                <w:color w:val="auto"/>
                <w:sz w:val="24"/>
                <w:szCs w:val="20"/>
                <w:highlight w:val="none"/>
              </w:rPr>
            </w:pPr>
            <w:r>
              <w:rPr>
                <w:rFonts w:hint="eastAsia"/>
                <w:b/>
                <w:bCs/>
                <w:color w:val="auto"/>
                <w:sz w:val="24"/>
                <w:szCs w:val="20"/>
                <w:highlight w:val="none"/>
              </w:rPr>
              <w:t>表1-</w:t>
            </w:r>
            <w:r>
              <w:rPr>
                <w:rFonts w:hint="eastAsia"/>
                <w:b/>
                <w:bCs/>
                <w:color w:val="auto"/>
                <w:sz w:val="24"/>
                <w:szCs w:val="20"/>
                <w:highlight w:val="none"/>
                <w:lang w:val="en-US" w:eastAsia="zh-CN"/>
              </w:rPr>
              <w:t>10</w:t>
            </w:r>
            <w:r>
              <w:rPr>
                <w:rFonts w:hint="eastAsia"/>
                <w:b/>
                <w:bCs/>
                <w:color w:val="auto"/>
                <w:sz w:val="24"/>
                <w:szCs w:val="20"/>
                <w:highlight w:val="none"/>
              </w:rPr>
              <w:t xml:space="preserve">  石家庄市生态环境准入清单（2023年版）（节选）</w:t>
            </w:r>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
              <w:gridCol w:w="287"/>
              <w:gridCol w:w="160"/>
              <w:gridCol w:w="711"/>
              <w:gridCol w:w="2859"/>
              <w:gridCol w:w="2202"/>
              <w:gridCol w:w="987"/>
            </w:tblGrid>
            <w:tr w14:paraId="1AD4E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5000" w:type="pct"/>
                  <w:gridSpan w:val="7"/>
                  <w:noWrap w:val="0"/>
                  <w:vAlign w:val="center"/>
                </w:tcPr>
                <w:p w14:paraId="4161C92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b/>
                      <w:bCs/>
                      <w:color w:val="auto"/>
                      <w:szCs w:val="21"/>
                      <w:highlight w:val="none"/>
                    </w:rPr>
                    <w:t>全市生态环境准入综合管控要求</w:t>
                  </w:r>
                </w:p>
              </w:tc>
            </w:tr>
            <w:tr w14:paraId="2B5AC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6906779D">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重点区域</w:t>
                  </w:r>
                </w:p>
              </w:tc>
              <w:tc>
                <w:tcPr>
                  <w:tcW w:w="2339" w:type="pct"/>
                  <w:gridSpan w:val="2"/>
                  <w:noWrap w:val="0"/>
                  <w:vAlign w:val="center"/>
                </w:tcPr>
                <w:p w14:paraId="2414E17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管控策略</w:t>
                  </w:r>
                </w:p>
              </w:tc>
              <w:tc>
                <w:tcPr>
                  <w:tcW w:w="1442" w:type="pct"/>
                  <w:noWrap w:val="0"/>
                  <w:vAlign w:val="center"/>
                </w:tcPr>
                <w:p w14:paraId="352C886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项目情况</w:t>
                  </w:r>
                </w:p>
              </w:tc>
              <w:tc>
                <w:tcPr>
                  <w:tcW w:w="646" w:type="pct"/>
                  <w:noWrap w:val="0"/>
                  <w:vAlign w:val="center"/>
                </w:tcPr>
                <w:p w14:paraId="0942CA5C">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是否符合相关要求</w:t>
                  </w:r>
                </w:p>
              </w:tc>
            </w:tr>
            <w:tr w14:paraId="27450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71" w:type="pct"/>
                  <w:gridSpan w:val="3"/>
                  <w:noWrap w:val="0"/>
                  <w:vAlign w:val="center"/>
                </w:tcPr>
                <w:p w14:paraId="779509C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全市域</w:t>
                  </w:r>
                </w:p>
              </w:tc>
              <w:tc>
                <w:tcPr>
                  <w:tcW w:w="2339" w:type="pct"/>
                  <w:gridSpan w:val="2"/>
                  <w:noWrap w:val="0"/>
                  <w:vAlign w:val="center"/>
                </w:tcPr>
                <w:p w14:paraId="417F4CA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1、优化产业结构。落实国家、省、市产业政策，严格</w:t>
                  </w:r>
                  <w:r>
                    <w:rPr>
                      <w:rFonts w:hint="eastAsia"/>
                      <w:color w:val="auto"/>
                      <w:szCs w:val="21"/>
                      <w:highlight w:val="none"/>
                      <w:lang w:eastAsia="zh-CN"/>
                    </w:rPr>
                    <w:t>“</w:t>
                  </w:r>
                  <w:r>
                    <w:rPr>
                      <w:rFonts w:hint="eastAsia"/>
                      <w:color w:val="auto"/>
                      <w:szCs w:val="21"/>
                      <w:highlight w:val="none"/>
                    </w:rPr>
                    <w:t>两高</w:t>
                  </w:r>
                  <w:r>
                    <w:rPr>
                      <w:rFonts w:hint="eastAsia"/>
                      <w:color w:val="auto"/>
                      <w:szCs w:val="21"/>
                      <w:highlight w:val="none"/>
                      <w:lang w:eastAsia="zh-CN"/>
                    </w:rPr>
                    <w:t>”</w:t>
                  </w:r>
                  <w:r>
                    <w:rPr>
                      <w:rFonts w:hint="eastAsia"/>
                      <w:color w:val="auto"/>
                      <w:szCs w:val="21"/>
                      <w:highlight w:val="none"/>
                    </w:rPr>
                    <w:t>项目环评审批，落实区域削减要求，推进减污降碳协同控制。</w:t>
                  </w:r>
                </w:p>
                <w:p w14:paraId="5E64516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2、强化产业入园。优化园区布局，提升园区规划、环评实效性，提升园区资源利用效率和绿色低碳水平，加强新建项目入园，严格现有分散企业污染管控。</w:t>
                  </w:r>
                </w:p>
              </w:tc>
              <w:tc>
                <w:tcPr>
                  <w:tcW w:w="1442" w:type="pct"/>
                  <w:noWrap w:val="0"/>
                  <w:vAlign w:val="center"/>
                </w:tcPr>
                <w:p w14:paraId="694B9C4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default"/>
                      <w:color w:val="auto"/>
                      <w:szCs w:val="21"/>
                      <w:highlight w:val="none"/>
                    </w:rPr>
                    <w:t>1</w:t>
                  </w:r>
                  <w:r>
                    <w:rPr>
                      <w:rFonts w:hint="eastAsia"/>
                      <w:color w:val="auto"/>
                      <w:szCs w:val="21"/>
                      <w:highlight w:val="none"/>
                    </w:rPr>
                    <w:t>、项目不属于</w:t>
                  </w:r>
                  <w:r>
                    <w:rPr>
                      <w:rFonts w:hint="eastAsia"/>
                      <w:color w:val="auto"/>
                      <w:szCs w:val="21"/>
                      <w:highlight w:val="none"/>
                      <w:lang w:eastAsia="zh-CN"/>
                    </w:rPr>
                    <w:t>“</w:t>
                  </w:r>
                  <w:r>
                    <w:rPr>
                      <w:rFonts w:hint="eastAsia"/>
                      <w:color w:val="auto"/>
                      <w:szCs w:val="21"/>
                      <w:highlight w:val="none"/>
                    </w:rPr>
                    <w:t>两高</w:t>
                  </w:r>
                  <w:r>
                    <w:rPr>
                      <w:rFonts w:hint="eastAsia"/>
                      <w:color w:val="auto"/>
                      <w:szCs w:val="21"/>
                      <w:highlight w:val="none"/>
                      <w:lang w:eastAsia="zh-CN"/>
                    </w:rPr>
                    <w:t>”</w:t>
                  </w:r>
                  <w:r>
                    <w:rPr>
                      <w:rFonts w:hint="eastAsia"/>
                      <w:color w:val="auto"/>
                      <w:szCs w:val="21"/>
                      <w:highlight w:val="none"/>
                    </w:rPr>
                    <w:t>项目，属于《产业结构调整指导目录（</w:t>
                  </w:r>
                  <w:r>
                    <w:rPr>
                      <w:rFonts w:hint="default"/>
                      <w:color w:val="auto"/>
                      <w:szCs w:val="21"/>
                      <w:highlight w:val="none"/>
                    </w:rPr>
                    <w:t>2024</w:t>
                  </w:r>
                  <w:r>
                    <w:rPr>
                      <w:rFonts w:hint="eastAsia"/>
                      <w:color w:val="auto"/>
                      <w:szCs w:val="21"/>
                      <w:highlight w:val="none"/>
                    </w:rPr>
                    <w:t>年本）》</w:t>
                  </w:r>
                  <w:r>
                    <w:rPr>
                      <w:rFonts w:hint="eastAsia"/>
                      <w:color w:val="auto"/>
                      <w:szCs w:val="21"/>
                      <w:highlight w:val="none"/>
                      <w:lang w:eastAsia="zh-CN"/>
                    </w:rPr>
                    <w:t>中的</w:t>
                  </w:r>
                  <w:r>
                    <w:rPr>
                      <w:rFonts w:hint="eastAsia"/>
                      <w:color w:val="auto"/>
                      <w:szCs w:val="21"/>
                      <w:highlight w:val="none"/>
                      <w:lang w:val="en-US" w:eastAsia="zh-CN"/>
                    </w:rPr>
                    <w:t>允许类</w:t>
                  </w:r>
                  <w:r>
                    <w:rPr>
                      <w:rFonts w:hint="eastAsia"/>
                      <w:color w:val="auto"/>
                      <w:szCs w:val="21"/>
                      <w:highlight w:val="none"/>
                      <w:lang w:eastAsia="zh-CN"/>
                    </w:rPr>
                    <w:t>项目</w:t>
                  </w:r>
                  <w:r>
                    <w:rPr>
                      <w:rFonts w:hint="eastAsia"/>
                      <w:color w:val="auto"/>
                      <w:szCs w:val="21"/>
                      <w:highlight w:val="none"/>
                    </w:rPr>
                    <w:t>，项目已在</w:t>
                  </w:r>
                  <w:r>
                    <w:rPr>
                      <w:rFonts w:hint="eastAsia"/>
                      <w:color w:val="auto"/>
                      <w:szCs w:val="21"/>
                      <w:highlight w:val="none"/>
                      <w:lang w:eastAsia="zh-CN"/>
                    </w:rPr>
                    <w:t>石家庄市井陉矿区数据和政务服务局</w:t>
                  </w:r>
                  <w:r>
                    <w:rPr>
                      <w:rFonts w:hint="eastAsia"/>
                      <w:color w:val="auto"/>
                      <w:szCs w:val="21"/>
                      <w:highlight w:val="none"/>
                    </w:rPr>
                    <w:t>备案，符合国家、地方产业政策；</w:t>
                  </w:r>
                </w:p>
                <w:p w14:paraId="5CB12181">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2</w:t>
                  </w:r>
                  <w:r>
                    <w:rPr>
                      <w:rFonts w:hint="eastAsia"/>
                      <w:color w:val="auto"/>
                      <w:szCs w:val="21"/>
                      <w:highlight w:val="none"/>
                    </w:rPr>
                    <w:t>、项目位于河北省石家庄市</w:t>
                  </w:r>
                  <w:r>
                    <w:rPr>
                      <w:rFonts w:hint="eastAsia"/>
                      <w:color w:val="auto"/>
                      <w:szCs w:val="21"/>
                      <w:highlight w:val="none"/>
                      <w:lang w:eastAsia="zh-CN"/>
                    </w:rPr>
                    <w:t>井陉矿区世纪大道以北，石钢路以西</w:t>
                  </w:r>
                  <w:r>
                    <w:rPr>
                      <w:rFonts w:hint="eastAsia"/>
                      <w:color w:val="auto"/>
                      <w:szCs w:val="21"/>
                      <w:highlight w:val="none"/>
                    </w:rPr>
                    <w:t>，</w:t>
                  </w:r>
                  <w:r>
                    <w:rPr>
                      <w:rFonts w:hint="eastAsia"/>
                      <w:color w:val="auto"/>
                      <w:szCs w:val="21"/>
                      <w:highlight w:val="none"/>
                      <w:lang w:val="en-US" w:eastAsia="zh-CN"/>
                    </w:rPr>
                    <w:t>石家庄矿区工业园区的石钢片区规划范围内，符合园区产业定位</w:t>
                  </w:r>
                  <w:r>
                    <w:rPr>
                      <w:rFonts w:hint="eastAsia"/>
                      <w:color w:val="auto"/>
                      <w:szCs w:val="21"/>
                      <w:highlight w:val="none"/>
                    </w:rPr>
                    <w:t>。</w:t>
                  </w:r>
                </w:p>
              </w:tc>
              <w:tc>
                <w:tcPr>
                  <w:tcW w:w="646" w:type="pct"/>
                  <w:noWrap w:val="0"/>
                  <w:vAlign w:val="center"/>
                </w:tcPr>
                <w:p w14:paraId="6A60455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6180B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0D49E54A">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地下水重点管控区</w:t>
                  </w:r>
                </w:p>
              </w:tc>
              <w:tc>
                <w:tcPr>
                  <w:tcW w:w="2339" w:type="pct"/>
                  <w:gridSpan w:val="2"/>
                  <w:noWrap w:val="0"/>
                  <w:vAlign w:val="center"/>
                </w:tcPr>
                <w:p w14:paraId="07BA8A4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落实最严格水资源管理制度，强化用水监管，优化用水结构，推动城镇农村生活、工业、农业节水，发掘多源供水，缓解地下水超采压力，加强地下水开采重点管控区和生态用水补给区的管控。</w:t>
                  </w:r>
                </w:p>
              </w:tc>
              <w:tc>
                <w:tcPr>
                  <w:tcW w:w="1442" w:type="pct"/>
                  <w:noWrap w:val="0"/>
                  <w:vAlign w:val="center"/>
                </w:tcPr>
                <w:p w14:paraId="5F671C6F">
                  <w:pPr>
                    <w:keepNext w:val="0"/>
                    <w:keepLines w:val="0"/>
                    <w:widowControl/>
                    <w:suppressLineNumbers w:val="0"/>
                    <w:adjustRightInd w:val="0"/>
                    <w:snapToGrid w:val="0"/>
                    <w:spacing w:before="0" w:beforeAutospacing="0" w:after="0" w:afterAutospacing="0"/>
                    <w:ind w:left="0" w:right="0"/>
                    <w:jc w:val="center"/>
                    <w:rPr>
                      <w:rFonts w:hint="eastAsia"/>
                      <w:color w:val="auto"/>
                      <w:szCs w:val="21"/>
                      <w:highlight w:val="none"/>
                      <w:lang w:bidi="ar"/>
                    </w:rPr>
                  </w:pPr>
                  <w:r>
                    <w:rPr>
                      <w:rFonts w:hint="eastAsia"/>
                      <w:color w:val="auto"/>
                      <w:szCs w:val="21"/>
                      <w:highlight w:val="none"/>
                      <w:lang w:bidi="ar"/>
                    </w:rPr>
                    <w:t>项目用水</w:t>
                  </w:r>
                  <w:r>
                    <w:rPr>
                      <w:rFonts w:hint="eastAsia"/>
                      <w:color w:val="auto"/>
                      <w:szCs w:val="21"/>
                      <w:highlight w:val="none"/>
                      <w:lang w:eastAsia="zh-CN"/>
                    </w:rPr>
                    <w:t>由园区供水管网提供</w:t>
                  </w:r>
                  <w:r>
                    <w:rPr>
                      <w:rFonts w:hint="eastAsia"/>
                      <w:color w:val="auto"/>
                      <w:szCs w:val="21"/>
                      <w:highlight w:val="none"/>
                      <w:lang w:bidi="ar"/>
                    </w:rPr>
                    <w:t>，不开采地下水。</w:t>
                  </w:r>
                </w:p>
              </w:tc>
              <w:tc>
                <w:tcPr>
                  <w:tcW w:w="646" w:type="pct"/>
                  <w:noWrap w:val="0"/>
                  <w:vAlign w:val="center"/>
                </w:tcPr>
                <w:p w14:paraId="42E3DFF2">
                  <w:pPr>
                    <w:keepNext w:val="0"/>
                    <w:keepLines w:val="0"/>
                    <w:widowControl/>
                    <w:suppressLineNumbers w:val="0"/>
                    <w:adjustRightInd w:val="0"/>
                    <w:snapToGrid w:val="0"/>
                    <w:spacing w:before="0" w:beforeAutospacing="0" w:after="0" w:afterAutospacing="0"/>
                    <w:ind w:left="0" w:right="0"/>
                    <w:jc w:val="center"/>
                    <w:rPr>
                      <w:rFonts w:hint="eastAsia"/>
                      <w:color w:val="auto"/>
                      <w:szCs w:val="21"/>
                      <w:highlight w:val="none"/>
                      <w:lang w:bidi="ar"/>
                    </w:rPr>
                  </w:pPr>
                  <w:r>
                    <w:rPr>
                      <w:rFonts w:hint="eastAsia"/>
                      <w:color w:val="auto"/>
                      <w:szCs w:val="21"/>
                      <w:highlight w:val="none"/>
                      <w:lang w:bidi="ar"/>
                    </w:rPr>
                    <w:t>是</w:t>
                  </w:r>
                </w:p>
              </w:tc>
            </w:tr>
            <w:tr w14:paraId="2BA91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7"/>
                  <w:noWrap w:val="0"/>
                  <w:vAlign w:val="center"/>
                </w:tcPr>
                <w:p w14:paraId="4F51A926">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b/>
                      <w:bCs/>
                      <w:color w:val="auto"/>
                      <w:szCs w:val="21"/>
                      <w:highlight w:val="none"/>
                    </w:rPr>
                    <w:t>全市生态空间总体管控要求</w:t>
                  </w:r>
                </w:p>
              </w:tc>
            </w:tr>
            <w:tr w14:paraId="408A7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78" w:type="pct"/>
                  <w:noWrap w:val="0"/>
                  <w:vAlign w:val="center"/>
                </w:tcPr>
                <w:p w14:paraId="19270912">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属性</w:t>
                  </w:r>
                </w:p>
              </w:tc>
              <w:tc>
                <w:tcPr>
                  <w:tcW w:w="758" w:type="pct"/>
                  <w:gridSpan w:val="3"/>
                  <w:noWrap w:val="0"/>
                  <w:vAlign w:val="center"/>
                </w:tcPr>
                <w:p w14:paraId="7B58E54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管控</w:t>
                  </w:r>
                </w:p>
              </w:tc>
              <w:tc>
                <w:tcPr>
                  <w:tcW w:w="1873" w:type="pct"/>
                  <w:noWrap w:val="0"/>
                  <w:vAlign w:val="center"/>
                </w:tcPr>
                <w:p w14:paraId="0FB1E3F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管控要求</w:t>
                  </w:r>
                </w:p>
              </w:tc>
              <w:tc>
                <w:tcPr>
                  <w:tcW w:w="1442" w:type="pct"/>
                  <w:noWrap w:val="0"/>
                  <w:vAlign w:val="center"/>
                </w:tcPr>
                <w:p w14:paraId="78590FB1">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项目情况</w:t>
                  </w:r>
                </w:p>
              </w:tc>
              <w:tc>
                <w:tcPr>
                  <w:tcW w:w="646" w:type="pct"/>
                  <w:noWrap w:val="0"/>
                  <w:vAlign w:val="center"/>
                </w:tcPr>
                <w:p w14:paraId="43BAB02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是否符合相关要求</w:t>
                  </w:r>
                </w:p>
              </w:tc>
            </w:tr>
            <w:tr w14:paraId="06A7C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78" w:type="pct"/>
                  <w:vMerge w:val="restart"/>
                  <w:noWrap w:val="0"/>
                  <w:vAlign w:val="center"/>
                </w:tcPr>
                <w:p w14:paraId="37D7064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生态保护</w:t>
                  </w:r>
                </w:p>
                <w:p w14:paraId="60FB1A0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红线</w:t>
                  </w:r>
                </w:p>
              </w:tc>
              <w:tc>
                <w:tcPr>
                  <w:tcW w:w="292" w:type="pct"/>
                  <w:gridSpan w:val="2"/>
                  <w:vMerge w:val="restart"/>
                  <w:noWrap w:val="0"/>
                  <w:vAlign w:val="center"/>
                </w:tcPr>
                <w:p w14:paraId="13808C5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空间布局</w:t>
                  </w:r>
                </w:p>
                <w:p w14:paraId="5008AD9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约束</w:t>
                  </w:r>
                </w:p>
              </w:tc>
              <w:tc>
                <w:tcPr>
                  <w:tcW w:w="465" w:type="pct"/>
                  <w:noWrap w:val="0"/>
                  <w:vAlign w:val="center"/>
                </w:tcPr>
                <w:p w14:paraId="619682A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禁止开发</w:t>
                  </w:r>
                </w:p>
                <w:p w14:paraId="6410E5A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建设活动</w:t>
                  </w:r>
                </w:p>
                <w:p w14:paraId="6CFC187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的要求</w:t>
                  </w:r>
                </w:p>
              </w:tc>
              <w:tc>
                <w:tcPr>
                  <w:tcW w:w="1873" w:type="pct"/>
                  <w:noWrap w:val="0"/>
                  <w:vAlign w:val="center"/>
                </w:tcPr>
                <w:p w14:paraId="6045715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1、生态保护红线原则上按禁止开发区域的要求进行管理。严禁不符合主体功能定位的各类开发活动，严禁任意改变用途。</w:t>
                  </w:r>
                </w:p>
                <w:p w14:paraId="0ED7DB25">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2、自然保护地核心保护区原则上禁止人为活动，其他区域严格禁止开发性、生产性建设</w:t>
                  </w:r>
                </w:p>
                <w:p w14:paraId="5C4412B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活动，法律法规另有规定的，从其规定。生态保护红线内自然保护区、风景名胜区、饮用</w:t>
                  </w:r>
                </w:p>
                <w:p w14:paraId="53A55CB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水水源保护区等区域，依照相关法律法规执行。</w:t>
                  </w:r>
                </w:p>
              </w:tc>
              <w:tc>
                <w:tcPr>
                  <w:tcW w:w="1442" w:type="pct"/>
                  <w:noWrap w:val="0"/>
                  <w:vAlign w:val="center"/>
                </w:tcPr>
                <w:p w14:paraId="68DAFD3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1、项目位于河北省石家庄市</w:t>
                  </w:r>
                  <w:r>
                    <w:rPr>
                      <w:rFonts w:hint="eastAsia"/>
                      <w:color w:val="auto"/>
                      <w:szCs w:val="21"/>
                      <w:highlight w:val="none"/>
                      <w:lang w:eastAsia="zh-CN"/>
                    </w:rPr>
                    <w:t>井陉矿区世纪大道以北，石钢路以西</w:t>
                  </w:r>
                  <w:r>
                    <w:rPr>
                      <w:rFonts w:hint="eastAsia"/>
                      <w:color w:val="auto"/>
                      <w:szCs w:val="21"/>
                      <w:highlight w:val="none"/>
                    </w:rPr>
                    <w:t>，不在生态保护红线范围内，不涉及生态红线内各类开发活动，不改变生态红线用途。</w:t>
                  </w:r>
                </w:p>
                <w:p w14:paraId="664F2100">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2、项目不在生态保护红线范围内，不在自然保护地核心保护区范围内，不涉及保护区人为、开发性、生产性建设活动。</w:t>
                  </w:r>
                </w:p>
              </w:tc>
              <w:tc>
                <w:tcPr>
                  <w:tcW w:w="646" w:type="pct"/>
                  <w:noWrap w:val="0"/>
                  <w:vAlign w:val="center"/>
                </w:tcPr>
                <w:p w14:paraId="52F6D2E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lang w:bidi="ar"/>
                    </w:rPr>
                    <w:t>是</w:t>
                  </w:r>
                </w:p>
              </w:tc>
            </w:tr>
            <w:tr w14:paraId="6E496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78" w:type="pct"/>
                  <w:vMerge w:val="continue"/>
                  <w:noWrap w:val="0"/>
                  <w:vAlign w:val="center"/>
                </w:tcPr>
                <w:p w14:paraId="638CD669">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292" w:type="pct"/>
                  <w:gridSpan w:val="2"/>
                  <w:vMerge w:val="continue"/>
                  <w:noWrap w:val="0"/>
                  <w:vAlign w:val="center"/>
                </w:tcPr>
                <w:p w14:paraId="5B063FD6">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465" w:type="pct"/>
                  <w:noWrap w:val="0"/>
                  <w:vAlign w:val="center"/>
                </w:tcPr>
                <w:p w14:paraId="18F7F3A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有限人为</w:t>
                  </w:r>
                </w:p>
                <w:p w14:paraId="5FD480F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活动</w:t>
                  </w:r>
                </w:p>
                <w:p w14:paraId="0D2730C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1873" w:type="pct"/>
                  <w:noWrap w:val="0"/>
                  <w:vAlign w:val="center"/>
                </w:tcPr>
                <w:p w14:paraId="354C1A2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1、自然保护地核心区外，在符合法律法规的情况下，除国家重大战略外，仅允许以下对</w:t>
                  </w:r>
                </w:p>
                <w:p w14:paraId="1CC8FEE5">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生态功能不造成破坏的有限人为活动。①管护巡护、保护执法、科学研究、调查监测、测绘导航、防灾减灾救灾、军事国防、疫情防控等活动及相关的必要设施修筑。②原住居民和其他合法权益主体，允许在不扩大现有建设用地、用海用岛、耕地、水产养殖规模和放牧强度</w:t>
                  </w:r>
                  <w:r>
                    <w:rPr>
                      <w:rFonts w:hint="eastAsia"/>
                      <w:color w:val="auto"/>
                      <w:szCs w:val="21"/>
                      <w:highlight w:val="none"/>
                      <w:lang w:eastAsia="zh-CN"/>
                    </w:rPr>
                    <w:t>（</w:t>
                  </w:r>
                  <w:r>
                    <w:rPr>
                      <w:rFonts w:hint="eastAsia"/>
                      <w:color w:val="auto"/>
                      <w:szCs w:val="21"/>
                      <w:highlight w:val="none"/>
                    </w:rPr>
                    <w:t>符合草畜平衡管理规定</w:t>
                  </w:r>
                  <w:r>
                    <w:rPr>
                      <w:rFonts w:hint="eastAsia"/>
                      <w:color w:val="auto"/>
                      <w:szCs w:val="21"/>
                      <w:highlight w:val="none"/>
                      <w:lang w:eastAsia="zh-CN"/>
                    </w:rPr>
                    <w:t>）</w:t>
                  </w:r>
                  <w:r>
                    <w:rPr>
                      <w:rFonts w:hint="eastAsia"/>
                      <w:color w:val="auto"/>
                      <w:szCs w:val="21"/>
                      <w:highlight w:val="none"/>
                    </w:rPr>
                    <w:t>的前提下，开展种植、放牧、捕捞、养殖（不包括投礁型海洋牧场、围海养殖）等活动，修筑生产生活设施。③经依法批准的考古调查发掘、古生物化石调查发掘、标本采集和文物保护活动。④按规定对人工商品林进行抚育采伐，或以提升森林质量、优化栖息地、建设生物防火隔离带等为目的的树种更新，依法开展的竹林采伐经营。⑤不破坏生态功能的适度参观旅游、科普宣教及符合相关规划的配套性服务设施和相关的必要公共设施建设及维护。⑥必须且无法避让、符合县级以上国土空间规划的线性基础设施、通讯和防洪、供水设施建设和船舶航行、航道疏浚清淤等活动；已有的合法水利、交通运输等设施运行维护改造。⑦地质调查与矿产资源勘查开采。包括</w:t>
                  </w:r>
                  <w:r>
                    <w:rPr>
                      <w:rFonts w:hint="eastAsia"/>
                      <w:color w:val="auto"/>
                      <w:szCs w:val="21"/>
                      <w:highlight w:val="none"/>
                      <w:lang w:eastAsia="zh-CN"/>
                    </w:rPr>
                    <w:t>：</w:t>
                  </w:r>
                  <w:r>
                    <w:rPr>
                      <w:rFonts w:hint="eastAsia"/>
                      <w:color w:val="auto"/>
                      <w:szCs w:val="21"/>
                      <w:highlight w:val="none"/>
                    </w:rPr>
                    <w:t>基础地质调查和战略性矿产资源远景调查等公益性工作；铀矿勘查开采活动，可办理矿业权登记；已依法设立的油气探矿权继续勘查活动，可办理探矿权延续、变更</w:t>
                  </w:r>
                  <w:r>
                    <w:rPr>
                      <w:rFonts w:hint="eastAsia"/>
                      <w:color w:val="auto"/>
                      <w:szCs w:val="21"/>
                      <w:highlight w:val="none"/>
                      <w:lang w:eastAsia="zh-CN"/>
                    </w:rPr>
                    <w:t>（</w:t>
                  </w:r>
                  <w:r>
                    <w:rPr>
                      <w:rFonts w:hint="eastAsia"/>
                      <w:color w:val="auto"/>
                      <w:szCs w:val="21"/>
                      <w:highlight w:val="none"/>
                    </w:rPr>
                    <w:t>不含扩大勘查区块范围</w:t>
                  </w:r>
                  <w:r>
                    <w:rPr>
                      <w:rFonts w:hint="eastAsia"/>
                      <w:color w:val="auto"/>
                      <w:szCs w:val="21"/>
                      <w:highlight w:val="none"/>
                      <w:lang w:eastAsia="zh-CN"/>
                    </w:rPr>
                    <w:t>）</w:t>
                  </w:r>
                  <w:r>
                    <w:rPr>
                      <w:rFonts w:hint="eastAsia"/>
                      <w:color w:val="auto"/>
                      <w:szCs w:val="21"/>
                      <w:highlight w:val="none"/>
                    </w:rPr>
                    <w:t>、保留、注销，当发现可供开采油气资源并探明储量时，可将开采拟占用的地表或海域范围依照国家相关规定调出生态保护红线；已依法设立的油气采矿权不扩大用地用海范围，继续开采，可办理采矿权延续、变更（不含扩大矿区范围）、注销；已依法设立的矿泉水和地热采矿权，在不超出已经核定的生产规模、不新增生产设施的前提下继续开采，可办理采矿权延续、变更（不含扩大矿区范围）、注销；已依法设立和新立铬、铜、镍、锂、钴、锆、钾盐、</w:t>
                  </w:r>
                  <w:r>
                    <w:rPr>
                      <w:rFonts w:hint="eastAsia"/>
                      <w:color w:val="auto"/>
                      <w:szCs w:val="21"/>
                      <w:highlight w:val="none"/>
                      <w:lang w:eastAsia="zh-CN"/>
                    </w:rPr>
                    <w:t>（</w:t>
                  </w:r>
                  <w:r>
                    <w:rPr>
                      <w:rFonts w:hint="eastAsia"/>
                      <w:color w:val="auto"/>
                      <w:szCs w:val="21"/>
                      <w:highlight w:val="none"/>
                    </w:rPr>
                    <w:t>中</w:t>
                  </w:r>
                  <w:r>
                    <w:rPr>
                      <w:rFonts w:hint="eastAsia"/>
                      <w:color w:val="auto"/>
                      <w:szCs w:val="21"/>
                      <w:highlight w:val="none"/>
                      <w:lang w:eastAsia="zh-CN"/>
                    </w:rPr>
                    <w:t>）</w:t>
                  </w:r>
                  <w:r>
                    <w:rPr>
                      <w:rFonts w:hint="eastAsia"/>
                      <w:color w:val="auto"/>
                      <w:szCs w:val="21"/>
                      <w:highlight w:val="none"/>
                    </w:rPr>
                    <w:t>重稀土矿等战略性矿产探矿权开展勘查活动，可办理探矿权登记，因国家战略需要开展开采活动的，可办理采矿权登记。上述勘查开采活动，应落实减缓生态环境影响措施，严格执行绿色勘查、开采及矿山环境生态修复相关要求。⑧依据县级以上国土空间规划和生态保护修复专项规划开展的生态修复。⑨根据我国相关法律法规和与邻国签署的国界管理制度协定</w:t>
                  </w:r>
                  <w:r>
                    <w:rPr>
                      <w:rFonts w:hint="eastAsia"/>
                      <w:color w:val="auto"/>
                      <w:szCs w:val="21"/>
                      <w:highlight w:val="none"/>
                      <w:lang w:eastAsia="zh-CN"/>
                    </w:rPr>
                    <w:t>（</w:t>
                  </w:r>
                  <w:r>
                    <w:rPr>
                      <w:rFonts w:hint="eastAsia"/>
                      <w:color w:val="auto"/>
                      <w:szCs w:val="21"/>
                      <w:highlight w:val="none"/>
                    </w:rPr>
                    <w:t>条约</w:t>
                  </w:r>
                  <w:r>
                    <w:rPr>
                      <w:rFonts w:hint="eastAsia"/>
                      <w:color w:val="auto"/>
                      <w:szCs w:val="21"/>
                      <w:highlight w:val="none"/>
                      <w:lang w:eastAsia="zh-CN"/>
                    </w:rPr>
                    <w:t>）</w:t>
                  </w:r>
                  <w:r>
                    <w:rPr>
                      <w:rFonts w:hint="eastAsia"/>
                      <w:color w:val="auto"/>
                      <w:szCs w:val="21"/>
                      <w:highlight w:val="none"/>
                    </w:rPr>
                    <w:t>开展的边界边境通视道清理以及界务工程的修建、维护和拆除工作。⑩法律法规规定允许的其他人为活动。</w:t>
                  </w:r>
                </w:p>
                <w:p w14:paraId="5715326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对审批中发现涉及生态保护红线和相关法定保护区的输气管线、铁路等线性项目，指导督促项目优化调整选线、主动避让；确实无法避让的，要求建设单位采取无害化穿（跨）越方式，或依法依规向有关行政主管部门履行穿越法定保护区的行政许可手续、强化减缓和补偿措施。</w:t>
                  </w:r>
                </w:p>
                <w:p w14:paraId="72B7EF19">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3、涉及饮用水水源地保护区的区域，还应严格执行《水污染防治法》《集中式饮用水水</w:t>
                  </w:r>
                </w:p>
                <w:p w14:paraId="2FE33A6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源地规范化建设环境保护技术要求</w:t>
                  </w:r>
                  <w:r>
                    <w:rPr>
                      <w:rFonts w:hint="eastAsia"/>
                      <w:color w:val="auto"/>
                      <w:szCs w:val="21"/>
                      <w:highlight w:val="none"/>
                      <w:lang w:eastAsia="zh-CN"/>
                    </w:rPr>
                    <w:t>（</w:t>
                  </w:r>
                  <w:r>
                    <w:rPr>
                      <w:rFonts w:hint="eastAsia"/>
                      <w:color w:val="auto"/>
                      <w:szCs w:val="21"/>
                      <w:highlight w:val="none"/>
                    </w:rPr>
                    <w:t>HJ773-2015</w:t>
                  </w:r>
                  <w:r>
                    <w:rPr>
                      <w:rFonts w:hint="eastAsia"/>
                      <w:color w:val="auto"/>
                      <w:szCs w:val="21"/>
                      <w:highlight w:val="none"/>
                      <w:lang w:eastAsia="zh-CN"/>
                    </w:rPr>
                    <w:t>）</w:t>
                  </w:r>
                  <w:r>
                    <w:rPr>
                      <w:rFonts w:hint="eastAsia"/>
                      <w:color w:val="auto"/>
                      <w:szCs w:val="21"/>
                      <w:highlight w:val="none"/>
                    </w:rPr>
                    <w:t>》相关要求。</w:t>
                  </w:r>
                </w:p>
              </w:tc>
              <w:tc>
                <w:tcPr>
                  <w:tcW w:w="1442" w:type="pct"/>
                  <w:noWrap w:val="0"/>
                  <w:vAlign w:val="center"/>
                </w:tcPr>
                <w:p w14:paraId="5AE11FB2">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1.</w:t>
                  </w:r>
                  <w:r>
                    <w:rPr>
                      <w:rFonts w:hint="eastAsia"/>
                      <w:color w:val="auto"/>
                      <w:szCs w:val="21"/>
                      <w:highlight w:val="none"/>
                    </w:rPr>
                    <w:t>项目不在自然保护地核心保护区范围内，不涉及保护区有限人为活动。</w:t>
                  </w:r>
                </w:p>
                <w:p w14:paraId="08E33DC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2、项目不在生态保护红线范围内，不属于输气管线、铁路等线性项目。</w:t>
                  </w:r>
                </w:p>
                <w:p w14:paraId="182C0B5D">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3、</w:t>
                  </w:r>
                  <w:r>
                    <w:rPr>
                      <w:rFonts w:hint="eastAsia"/>
                      <w:color w:val="auto"/>
                      <w:szCs w:val="21"/>
                      <w:highlight w:val="none"/>
                      <w:lang w:bidi="ar"/>
                    </w:rPr>
                    <w:t>项目选址位于饮用水水源准保护区，不涉及饮用水水源一级、二级保护区</w:t>
                  </w:r>
                  <w:r>
                    <w:rPr>
                      <w:rFonts w:hint="eastAsia"/>
                      <w:color w:val="auto"/>
                      <w:szCs w:val="21"/>
                      <w:highlight w:val="none"/>
                      <w:lang w:eastAsia="zh-CN" w:bidi="ar"/>
                    </w:rPr>
                    <w:t>；本项目淬火、回火冷却水循环使用不外排；生活污水经化粪池处理后定期由吸粪车抽走，无废水外排，不属于对水体污染严重的项目，对周边地表水体产生影响较小</w:t>
                  </w:r>
                  <w:r>
                    <w:rPr>
                      <w:rFonts w:hint="eastAsia"/>
                      <w:color w:val="auto"/>
                      <w:szCs w:val="21"/>
                      <w:highlight w:val="none"/>
                    </w:rPr>
                    <w:t>。</w:t>
                  </w:r>
                </w:p>
              </w:tc>
              <w:tc>
                <w:tcPr>
                  <w:tcW w:w="646" w:type="pct"/>
                  <w:noWrap w:val="0"/>
                  <w:vAlign w:val="center"/>
                </w:tcPr>
                <w:p w14:paraId="52FF6091">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lang w:bidi="ar"/>
                    </w:rPr>
                    <w:t>是</w:t>
                  </w:r>
                </w:p>
              </w:tc>
            </w:tr>
            <w:tr w14:paraId="12219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78" w:type="pct"/>
                  <w:noWrap w:val="0"/>
                  <w:vAlign w:val="center"/>
                </w:tcPr>
                <w:p w14:paraId="0B1FB6FC">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一般生态空间</w:t>
                  </w:r>
                </w:p>
              </w:tc>
              <w:tc>
                <w:tcPr>
                  <w:tcW w:w="292" w:type="pct"/>
                  <w:gridSpan w:val="2"/>
                  <w:noWrap w:val="0"/>
                  <w:vAlign w:val="center"/>
                </w:tcPr>
                <w:p w14:paraId="004FD97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总体要求</w:t>
                  </w:r>
                </w:p>
              </w:tc>
              <w:tc>
                <w:tcPr>
                  <w:tcW w:w="465" w:type="pct"/>
                  <w:noWrap w:val="0"/>
                  <w:vAlign w:val="center"/>
                </w:tcPr>
                <w:p w14:paraId="6FE52B1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空间布局约束</w:t>
                  </w:r>
                </w:p>
              </w:tc>
              <w:tc>
                <w:tcPr>
                  <w:tcW w:w="1873" w:type="pct"/>
                  <w:noWrap w:val="0"/>
                  <w:vAlign w:val="center"/>
                </w:tcPr>
                <w:p w14:paraId="220EE58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①严格矿产资源开发与管控，矿产开发管控依照《河北省加强矿产资源开发管控十条措</w:t>
                  </w:r>
                </w:p>
                <w:p w14:paraId="7014E889">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施》、《河北省人民代表大会常务委员会关于加强矿产开发管控保护生态环境的决定》等相关文件要求执行。</w:t>
                  </w:r>
                </w:p>
                <w:p w14:paraId="5D01325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②涉及饮用水水源地保护区的，水环境总体管控要求中饮用水水源地保护区相关要求进行管控。</w:t>
                  </w:r>
                </w:p>
              </w:tc>
              <w:tc>
                <w:tcPr>
                  <w:tcW w:w="1442" w:type="pct"/>
                  <w:noWrap w:val="0"/>
                  <w:vAlign w:val="center"/>
                </w:tcPr>
                <w:p w14:paraId="3569EF80">
                  <w:pPr>
                    <w:keepNext w:val="0"/>
                    <w:keepLines w:val="0"/>
                    <w:numPr>
                      <w:ilvl w:val="0"/>
                      <w:numId w:val="3"/>
                    </w:numPr>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项目不涉及矿产资源开发。</w:t>
                  </w:r>
                </w:p>
                <w:p w14:paraId="49654BA0">
                  <w:pPr>
                    <w:keepNext w:val="0"/>
                    <w:keepLines w:val="0"/>
                    <w:numPr>
                      <w:ilvl w:val="0"/>
                      <w:numId w:val="3"/>
                    </w:numPr>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lang w:bidi="ar"/>
                    </w:rPr>
                    <w:t>项目选址位于饮用水水源准保护区，不涉及饮用水水源一级、二级保护区</w:t>
                  </w:r>
                  <w:r>
                    <w:rPr>
                      <w:rFonts w:hint="eastAsia"/>
                      <w:color w:val="auto"/>
                      <w:szCs w:val="21"/>
                      <w:highlight w:val="none"/>
                      <w:lang w:eastAsia="zh-CN" w:bidi="ar"/>
                    </w:rPr>
                    <w:t>；本项目淬火、回火冷却水循环使用不外排；生活污水经化粪池处理后定期由吸粪车抽走，无废水外排，不属于对水体污染严重的项目，对周边地表水体产生影响较小</w:t>
                  </w:r>
                  <w:r>
                    <w:rPr>
                      <w:rFonts w:hint="eastAsia"/>
                      <w:color w:val="auto"/>
                      <w:szCs w:val="21"/>
                      <w:highlight w:val="none"/>
                    </w:rPr>
                    <w:t>。</w:t>
                  </w:r>
                </w:p>
              </w:tc>
              <w:tc>
                <w:tcPr>
                  <w:tcW w:w="646" w:type="pct"/>
                  <w:noWrap w:val="0"/>
                  <w:vAlign w:val="center"/>
                </w:tcPr>
                <w:p w14:paraId="2205396C">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6ABB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7"/>
                  <w:noWrap w:val="0"/>
                  <w:vAlign w:val="center"/>
                </w:tcPr>
                <w:p w14:paraId="650902C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b/>
                      <w:bCs/>
                      <w:color w:val="auto"/>
                      <w:szCs w:val="21"/>
                      <w:highlight w:val="none"/>
                    </w:rPr>
                    <w:t>全市水环境总体管控要求</w:t>
                  </w:r>
                </w:p>
              </w:tc>
            </w:tr>
            <w:tr w14:paraId="5D6FF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0FCFC4C6">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分类</w:t>
                  </w:r>
                </w:p>
              </w:tc>
              <w:tc>
                <w:tcPr>
                  <w:tcW w:w="465" w:type="pct"/>
                  <w:noWrap w:val="0"/>
                  <w:vAlign w:val="center"/>
                </w:tcPr>
                <w:p w14:paraId="37CF4F53">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管控类型</w:t>
                  </w:r>
                </w:p>
              </w:tc>
              <w:tc>
                <w:tcPr>
                  <w:tcW w:w="1873" w:type="pct"/>
                  <w:noWrap w:val="0"/>
                  <w:vAlign w:val="center"/>
                </w:tcPr>
                <w:p w14:paraId="544ADD0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管控要求</w:t>
                  </w:r>
                </w:p>
              </w:tc>
              <w:tc>
                <w:tcPr>
                  <w:tcW w:w="1442" w:type="pct"/>
                  <w:noWrap w:val="0"/>
                  <w:vAlign w:val="center"/>
                </w:tcPr>
                <w:p w14:paraId="673FBD05">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项目情况</w:t>
                  </w:r>
                </w:p>
              </w:tc>
              <w:tc>
                <w:tcPr>
                  <w:tcW w:w="646" w:type="pct"/>
                  <w:noWrap w:val="0"/>
                  <w:vAlign w:val="center"/>
                </w:tcPr>
                <w:p w14:paraId="585E0DE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是否符合相关要求</w:t>
                  </w:r>
                </w:p>
              </w:tc>
            </w:tr>
            <w:tr w14:paraId="04B6D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7A43CB69">
                  <w:pPr>
                    <w:keepNext w:val="0"/>
                    <w:keepLines w:val="0"/>
                    <w:suppressLineNumbers w:val="0"/>
                    <w:adjustRightInd w:val="0"/>
                    <w:snapToGrid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饮用水水源地保护区</w:t>
                  </w:r>
                </w:p>
              </w:tc>
              <w:tc>
                <w:tcPr>
                  <w:tcW w:w="465" w:type="pct"/>
                  <w:noWrap w:val="0"/>
                  <w:vAlign w:val="center"/>
                </w:tcPr>
                <w:p w14:paraId="745BD3A9">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空间布局约束</w:t>
                  </w:r>
                </w:p>
              </w:tc>
              <w:tc>
                <w:tcPr>
                  <w:tcW w:w="1873" w:type="pct"/>
                  <w:noWrap w:val="0"/>
                  <w:vAlign w:val="center"/>
                </w:tcPr>
                <w:p w14:paraId="3090E265">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1、在饮用水水源保护区内，禁止设置排污口。</w:t>
                  </w:r>
                </w:p>
                <w:p w14:paraId="430B72A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禁止在饮用水水源一级保护区内新建、改建、扩建与供水设施和保护水源无关的建设项目；已建成的与供水设施和保护水源无关的建设项目，由县级以上人民政府责令拆除或者关闭。禁止在饮用水水源一级保护区内 从事网箱养殖、旅游、游泳、垂钓或者其他可能污染饮用水水体的活动。</w:t>
                  </w:r>
                </w:p>
                <w:p w14:paraId="3C65DA7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禁止在饮用水水源二级保护区内新建、改建、扩建排放污染物的建设项目；已建成的排放污染物的建设项目，由县级以上人民政府责令拆除或者关闭。在饮用水水源二级保护区内从事网箱养殖、旅游等活动的，应当按照规定采取措施，防止污染饮用水水体。</w:t>
                  </w:r>
                </w:p>
                <w:p w14:paraId="1D594A7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4、禁止在饮用水水源准保护区内新建、扩建对水体污染严重的建设项目；改建建设项目，不得增加排污量。</w:t>
                  </w:r>
                </w:p>
                <w:p w14:paraId="261CFD0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5、县级以上地方人民政府应当根据保护饮用水水源的实际需要，在准保护区内采取工程措施或者建造湿地、水源涵养林等生态保护措施，防止水污染物直接排入饮用水水体，确保饮用水安全。</w:t>
                  </w:r>
                </w:p>
              </w:tc>
              <w:tc>
                <w:tcPr>
                  <w:tcW w:w="1442" w:type="pct"/>
                  <w:noWrap w:val="0"/>
                  <w:vAlign w:val="center"/>
                </w:tcPr>
                <w:p w14:paraId="01279E39">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lang w:bidi="ar"/>
                    </w:rPr>
                    <w:t>项目选址位于饮用水水源准保护区，不涉及饮用水水源一级、二级保护区</w:t>
                  </w:r>
                  <w:r>
                    <w:rPr>
                      <w:rFonts w:hint="eastAsia"/>
                      <w:color w:val="auto"/>
                      <w:szCs w:val="21"/>
                      <w:highlight w:val="none"/>
                      <w:lang w:eastAsia="zh-CN" w:bidi="ar"/>
                    </w:rPr>
                    <w:t>；本项目淬火、回火冷却水循环使用不外排；生活污水经化粪池处理后定期由吸粪车抽走，无废水外排，不属于对水体污染严重的项目</w:t>
                  </w:r>
                  <w:r>
                    <w:rPr>
                      <w:rFonts w:hint="eastAsia"/>
                      <w:color w:val="auto"/>
                      <w:szCs w:val="21"/>
                      <w:highlight w:val="none"/>
                    </w:rPr>
                    <w:t>。</w:t>
                  </w:r>
                </w:p>
              </w:tc>
              <w:tc>
                <w:tcPr>
                  <w:tcW w:w="646" w:type="pct"/>
                  <w:noWrap w:val="0"/>
                  <w:vAlign w:val="center"/>
                </w:tcPr>
                <w:p w14:paraId="592DFCE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223DE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5000" w:type="pct"/>
                  <w:gridSpan w:val="7"/>
                  <w:noWrap w:val="0"/>
                  <w:vAlign w:val="center"/>
                </w:tcPr>
                <w:p w14:paraId="64C4242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b/>
                      <w:bCs/>
                      <w:color w:val="auto"/>
                      <w:szCs w:val="21"/>
                      <w:highlight w:val="none"/>
                    </w:rPr>
                    <w:t>大气环境总体准入要求</w:t>
                  </w:r>
                </w:p>
              </w:tc>
            </w:tr>
            <w:tr w14:paraId="70B2B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721C4DD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管控类型</w:t>
                  </w:r>
                </w:p>
              </w:tc>
              <w:tc>
                <w:tcPr>
                  <w:tcW w:w="2339" w:type="pct"/>
                  <w:gridSpan w:val="2"/>
                  <w:noWrap w:val="0"/>
                  <w:vAlign w:val="center"/>
                </w:tcPr>
                <w:p w14:paraId="5E459FF9">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准入要求</w:t>
                  </w:r>
                </w:p>
              </w:tc>
              <w:tc>
                <w:tcPr>
                  <w:tcW w:w="1442" w:type="pct"/>
                  <w:noWrap w:val="0"/>
                  <w:vAlign w:val="center"/>
                </w:tcPr>
                <w:p w14:paraId="2481D0C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项目情况</w:t>
                  </w:r>
                </w:p>
              </w:tc>
              <w:tc>
                <w:tcPr>
                  <w:tcW w:w="646" w:type="pct"/>
                  <w:noWrap w:val="0"/>
                  <w:vAlign w:val="center"/>
                </w:tcPr>
                <w:p w14:paraId="2CDC31E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是否符合相关要求</w:t>
                  </w:r>
                </w:p>
              </w:tc>
            </w:tr>
            <w:tr w14:paraId="2C075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56E4CE3A">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空间布局约束</w:t>
                  </w:r>
                </w:p>
              </w:tc>
              <w:tc>
                <w:tcPr>
                  <w:tcW w:w="2339" w:type="pct"/>
                  <w:gridSpan w:val="2"/>
                  <w:noWrap w:val="0"/>
                  <w:vAlign w:val="center"/>
                </w:tcPr>
                <w:p w14:paraId="011ED65F">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1、加大钢铁、焦化等行业结构调整力度，推进化工、石化企业治理改造，优先发展战略新兴产业和先进制造业，坚决遏制高耗能高排放低水平项目盲目发展。</w:t>
                  </w:r>
                </w:p>
                <w:p w14:paraId="70AE1A65">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2、引导重点行业向环境容量充足、扩散条件较好区域布局。</w:t>
                  </w:r>
                </w:p>
                <w:p w14:paraId="4BD4000E">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3、大气环境受体敏感重点管控区、大气环境布局敏感重点管控区、大气环境弱扩散重点管控区严格控制高耗能、高排放项目建设。严禁新增钢铁、焦化、水泥、平板玻璃、电解铝等产能。</w:t>
                  </w:r>
                </w:p>
                <w:p w14:paraId="6516CEEB">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4、大气环境受体敏感重点管控区中重点涉气行业企业，除必须依托城市或直接服务于城市的企业外，均应规划退城搬迁。</w:t>
                  </w:r>
                </w:p>
                <w:p w14:paraId="6F75CF1D">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5、大气环境弱扩散重点管控区内严格控制新建、扩建燃煤火电、钢铁，以及除国家、省、市规划外的石化等高污染高排放项目。</w:t>
                  </w:r>
                </w:p>
                <w:p w14:paraId="6950EAEA">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6、对热效率低下、敞开未封闭，装备简易落后、自动化程度低，布局分散、规模小、无组织排放突出，以及无治理设施或治理设施工艺落后的工业炉窑，依法责令停业关闭。</w:t>
                  </w:r>
                </w:p>
                <w:p w14:paraId="420FD327">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7、全市禁止新建35蒸吨/小时及以下燃煤锅炉，35蒸吨/小时以上燃煤锅炉要达到超低排放标准。城市主城区和县城禁止新建35蒸吨/小时及以下生物质和燃油（醇基燃料）锅炉，35蒸吨/小时以上的燃油和生物质锅炉要达到超低排放标准。</w:t>
                  </w:r>
                </w:p>
                <w:p w14:paraId="2631ED99">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8、禁燃区内不得新建、扩建燃烧煤炭、重油、渣油等高污染燃料的设施；现有未改用清洁能源替代的高污染燃料设施，应当配套建设先进工艺的脱硫、脱硝、除尘装置或者采取其他措施，控制二氧化硫、氮氧化物和烟尘等排放；仍未达到大气污染物排放标准的，应当停止使用。禁燃区内禁止原煤散烧。禁止销售、使用高污染燃料。</w:t>
                  </w:r>
                </w:p>
              </w:tc>
              <w:tc>
                <w:tcPr>
                  <w:tcW w:w="1442" w:type="pct"/>
                  <w:noWrap w:val="0"/>
                  <w:vAlign w:val="center"/>
                </w:tcPr>
                <w:p w14:paraId="7508029F">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1.项目不属于钢铁、焦化等行业，不属于高耗能高排放低水平项目；</w:t>
                  </w:r>
                </w:p>
                <w:p w14:paraId="63BE80BB">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2.项目不属于重点行业。</w:t>
                  </w:r>
                </w:p>
                <w:p w14:paraId="173D1AC0">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3.项目不属于高耗能、高排放项目，不属于钢铁、焦化、水泥、平板玻璃、电解铝等新增产能项目。</w:t>
                  </w:r>
                </w:p>
                <w:p w14:paraId="7D51E18C">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4.项目位于河北省石家庄市</w:t>
                  </w:r>
                  <w:r>
                    <w:rPr>
                      <w:rFonts w:hint="eastAsia"/>
                      <w:color w:val="auto"/>
                      <w:szCs w:val="21"/>
                      <w:highlight w:val="none"/>
                      <w:lang w:eastAsia="zh-CN"/>
                    </w:rPr>
                    <w:t>井陉矿区世纪大道以北，石钢路以西</w:t>
                  </w:r>
                  <w:r>
                    <w:rPr>
                      <w:rFonts w:hint="eastAsia"/>
                      <w:color w:val="auto"/>
                      <w:szCs w:val="21"/>
                      <w:highlight w:val="none"/>
                    </w:rPr>
                    <w:t>，不在城区范围内。</w:t>
                  </w:r>
                </w:p>
                <w:p w14:paraId="030EA7F7">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5.项目不属于新建、扩建燃煤火电、钢铁，以及除国家、省、市规划外的石化等高污染高排放项目。</w:t>
                  </w:r>
                </w:p>
                <w:p w14:paraId="07860227">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6.</w:t>
                  </w:r>
                  <w:r>
                    <w:rPr>
                      <w:rFonts w:hint="eastAsia"/>
                      <w:color w:val="auto"/>
                      <w:szCs w:val="21"/>
                      <w:highlight w:val="none"/>
                      <w:lang w:val="en-US" w:eastAsia="zh-CN"/>
                    </w:rPr>
                    <w:t>项目不涉及工业炉窑使用</w:t>
                  </w:r>
                  <w:r>
                    <w:rPr>
                      <w:rFonts w:hint="eastAsia"/>
                      <w:color w:val="auto"/>
                      <w:szCs w:val="21"/>
                      <w:highlight w:val="none"/>
                    </w:rPr>
                    <w:t>。</w:t>
                  </w:r>
                </w:p>
                <w:p w14:paraId="5869192B">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7.项目不涉及锅炉使用。</w:t>
                  </w:r>
                </w:p>
                <w:p w14:paraId="019E7E97">
                  <w:pPr>
                    <w:keepNext w:val="0"/>
                    <w:keepLines w:val="0"/>
                    <w:suppressLineNumbers w:val="0"/>
                    <w:spacing w:before="0" w:beforeAutospacing="0" w:after="0" w:afterAutospacing="0"/>
                    <w:ind w:left="0" w:right="0"/>
                    <w:jc w:val="center"/>
                    <w:rPr>
                      <w:rFonts w:hint="default"/>
                      <w:color w:val="auto"/>
                      <w:szCs w:val="20"/>
                      <w:highlight w:val="none"/>
                    </w:rPr>
                  </w:pPr>
                  <w:r>
                    <w:rPr>
                      <w:rFonts w:hint="eastAsia"/>
                      <w:color w:val="auto"/>
                      <w:szCs w:val="21"/>
                      <w:highlight w:val="none"/>
                    </w:rPr>
                    <w:t>8.项目不涉及煤炭、重油、渣油等高污染燃料的使用，项目生产均采用电能，不涉及二氧化硫、氮氧化物的排放。</w:t>
                  </w:r>
                </w:p>
              </w:tc>
              <w:tc>
                <w:tcPr>
                  <w:tcW w:w="646" w:type="pct"/>
                  <w:noWrap w:val="0"/>
                  <w:vAlign w:val="center"/>
                </w:tcPr>
                <w:p w14:paraId="7B9C817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57A9C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7F284966">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污染物排放管控</w:t>
                  </w:r>
                </w:p>
              </w:tc>
              <w:tc>
                <w:tcPr>
                  <w:tcW w:w="2339" w:type="pct"/>
                  <w:gridSpan w:val="2"/>
                  <w:noWrap w:val="0"/>
                  <w:vAlign w:val="center"/>
                </w:tcPr>
                <w:p w14:paraId="2508513B">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1、严格区域削减要求。严格执行《生态环境部办公厅关于加强重点行业建设项目区域削减措施监督管理的通知》（环办环评〔2020〕36号）相关要求。</w:t>
                  </w:r>
                </w:p>
                <w:p w14:paraId="17090BAB">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2、对保留的工业炉窑开展环保提标改造，配套建设高效脱硫脱硝除尘设施，确保稳定达标排放，按照《河北省工业炉窑综合治理实施方案》执行。</w:t>
                  </w:r>
                </w:p>
                <w:p w14:paraId="7B970AC8">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3、按照《低挥发性有机化合物含量涂料产品技术要求》GB/T 38597-2020），开展低挥发性有机物含量涂料推广替代试点工作，加快推进党政机关单位定点印刷企业率先使用水性油墨、大豆油墨等低挥发性有机物含量油墨和胶粘剂。</w:t>
                  </w:r>
                </w:p>
                <w:p w14:paraId="354539ED">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4、加强无组织排放治理，开展钢铁、水泥、燃煤电厂、焦化平板玻璃、陶瓷等行业重点行业无组织排放检查工作，物料存储运输等全部采用密闭或封闭形式。</w:t>
                  </w:r>
                </w:p>
                <w:p w14:paraId="2023A32F">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5、加快推进铁路专用线建设，大宗货物及产品年货运量150万吨以上的企业原则上全部修建铁路专用线，达不到的采用清洁能源汽车或国六排放标准汽车代替。</w:t>
                  </w:r>
                </w:p>
                <w:p w14:paraId="4D4E14C5">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6、深化建筑施工扬尘专项整治，严格执行《石家庄市建设工程围挡设置和扬尘管理标准》加强道路扬尘综合整治。全市工业企业料堆场全部实现规范管理；对环境敏感区的煤场、料场、渣场实现在线监控和视频监控全覆盖。</w:t>
                  </w:r>
                </w:p>
                <w:p w14:paraId="59228B30">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7、严禁秸秆、垃圾露天焚烧，实施农村地区的散煤替代及清洁开发利用工程。</w:t>
                  </w:r>
                </w:p>
                <w:p w14:paraId="6A59AC23">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8、巩固钢铁、焦化、煤电、水泥、平板玻璃、陶瓷等行业超低排放成效，实施工艺全流程深度治理，全面加强无组织排放管控。</w:t>
                  </w:r>
                </w:p>
                <w:p w14:paraId="76943E36">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9、对以煤、石油焦、重油等为燃料的工业炉窑，加快使用清洁低碳能源以及利用工厂余热、电厂热力等进行替代，全市禁止掺烧高硫石油焦（硫含量大于3%）。玻璃行业全面禁止掺烧高硫石油焦。</w:t>
                  </w:r>
                </w:p>
              </w:tc>
              <w:tc>
                <w:tcPr>
                  <w:tcW w:w="1442" w:type="pct"/>
                  <w:noWrap w:val="0"/>
                  <w:vAlign w:val="center"/>
                </w:tcPr>
                <w:p w14:paraId="147F9BA1">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1.项目</w:t>
                  </w:r>
                  <w:r>
                    <w:rPr>
                      <w:rFonts w:hint="eastAsia"/>
                      <w:color w:val="auto"/>
                      <w:szCs w:val="21"/>
                      <w:highlight w:val="none"/>
                      <w:lang w:val="en-US" w:eastAsia="zh-CN"/>
                    </w:rPr>
                    <w:t>不属于重点行业</w:t>
                  </w:r>
                  <w:r>
                    <w:rPr>
                      <w:rFonts w:hint="eastAsia"/>
                      <w:color w:val="auto"/>
                      <w:szCs w:val="21"/>
                      <w:highlight w:val="none"/>
                    </w:rPr>
                    <w:t>。</w:t>
                  </w:r>
                </w:p>
                <w:p w14:paraId="50C1EE49">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2.</w:t>
                  </w:r>
                  <w:r>
                    <w:rPr>
                      <w:rFonts w:hint="eastAsia"/>
                      <w:color w:val="auto"/>
                      <w:szCs w:val="21"/>
                      <w:highlight w:val="none"/>
                      <w:lang w:val="en-US" w:eastAsia="zh-CN"/>
                    </w:rPr>
                    <w:t>项目不涉及工业炉窑使用</w:t>
                  </w:r>
                  <w:r>
                    <w:rPr>
                      <w:rFonts w:hint="eastAsia"/>
                      <w:color w:val="auto"/>
                      <w:szCs w:val="21"/>
                      <w:highlight w:val="none"/>
                    </w:rPr>
                    <w:t>。</w:t>
                  </w:r>
                </w:p>
                <w:p w14:paraId="3C1FE3B8">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3.项目不涉及涂料。</w:t>
                  </w:r>
                </w:p>
                <w:p w14:paraId="5E31C820">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4.项目</w:t>
                  </w:r>
                  <w:r>
                    <w:rPr>
                      <w:rFonts w:hint="eastAsia"/>
                      <w:color w:val="auto"/>
                      <w:szCs w:val="21"/>
                      <w:highlight w:val="none"/>
                      <w:lang w:val="en-US" w:eastAsia="zh-CN"/>
                    </w:rPr>
                    <w:t>不属于所列行业</w:t>
                  </w:r>
                  <w:r>
                    <w:rPr>
                      <w:rFonts w:hint="eastAsia"/>
                      <w:color w:val="auto"/>
                      <w:szCs w:val="21"/>
                      <w:highlight w:val="none"/>
                    </w:rPr>
                    <w:t>。</w:t>
                  </w:r>
                </w:p>
                <w:p w14:paraId="6F48BF13">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5.</w:t>
                  </w:r>
                  <w:r>
                    <w:rPr>
                      <w:rFonts w:hint="eastAsia"/>
                      <w:color w:val="auto"/>
                      <w:szCs w:val="21"/>
                      <w:highlight w:val="none"/>
                      <w:lang w:val="en-US" w:eastAsia="zh-CN"/>
                    </w:rPr>
                    <w:t>不涉及</w:t>
                  </w:r>
                  <w:r>
                    <w:rPr>
                      <w:rFonts w:hint="eastAsia"/>
                      <w:color w:val="auto"/>
                      <w:szCs w:val="21"/>
                      <w:highlight w:val="none"/>
                    </w:rPr>
                    <w:t>。</w:t>
                  </w:r>
                </w:p>
                <w:p w14:paraId="05F4D6FC">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6.</w:t>
                  </w:r>
                  <w:r>
                    <w:rPr>
                      <w:rFonts w:hint="eastAsia"/>
                      <w:color w:val="auto"/>
                      <w:szCs w:val="21"/>
                      <w:highlight w:val="none"/>
                      <w:lang w:val="zh-CN"/>
                    </w:rPr>
                    <w:t>项目施工期间通过定期洒水、设置围挡等措施降低施工期间扬尘对周围环境的影响，且施工期较短，随着施工期的结束，施工扬尘影响也将结束</w:t>
                  </w:r>
                  <w:r>
                    <w:rPr>
                      <w:rFonts w:hint="eastAsia"/>
                      <w:color w:val="auto"/>
                      <w:szCs w:val="21"/>
                      <w:highlight w:val="none"/>
                    </w:rPr>
                    <w:t>。</w:t>
                  </w:r>
                </w:p>
                <w:p w14:paraId="74F27D71">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7.项目不涉及散煤使用，不涉及秸秆、垃圾露天焚烧。</w:t>
                  </w:r>
                </w:p>
                <w:p w14:paraId="777F0047">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8.项目不属于钢铁、焦化、煤电、水泥、平板玻璃、陶瓷等行业，产生的污染物经采取措施后达标排放。</w:t>
                  </w:r>
                </w:p>
                <w:p w14:paraId="1BCA7CF2">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9.项目不涉及煤、石油焦、重油等为燃料的使用</w:t>
                  </w:r>
                  <w:r>
                    <w:rPr>
                      <w:rFonts w:hint="eastAsia"/>
                      <w:color w:val="auto"/>
                      <w:szCs w:val="21"/>
                      <w:highlight w:val="none"/>
                      <w:lang w:eastAsia="zh-CN"/>
                    </w:rPr>
                    <w:t>，</w:t>
                  </w:r>
                  <w:r>
                    <w:rPr>
                      <w:rFonts w:hint="eastAsia"/>
                      <w:color w:val="auto"/>
                      <w:szCs w:val="21"/>
                      <w:highlight w:val="none"/>
                      <w:lang w:val="en-US" w:eastAsia="zh-CN"/>
                    </w:rPr>
                    <w:t>项目生产采用电加热</w:t>
                  </w:r>
                  <w:r>
                    <w:rPr>
                      <w:rFonts w:hint="eastAsia"/>
                      <w:color w:val="auto"/>
                      <w:szCs w:val="21"/>
                      <w:highlight w:val="none"/>
                    </w:rPr>
                    <w:t>。</w:t>
                  </w:r>
                </w:p>
              </w:tc>
              <w:tc>
                <w:tcPr>
                  <w:tcW w:w="646" w:type="pct"/>
                  <w:noWrap w:val="0"/>
                  <w:vAlign w:val="center"/>
                </w:tcPr>
                <w:p w14:paraId="78FD51A1">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是</w:t>
                  </w:r>
                </w:p>
              </w:tc>
            </w:tr>
            <w:tr w14:paraId="06DDC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64D353C0">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环境风险防控</w:t>
                  </w:r>
                </w:p>
              </w:tc>
              <w:tc>
                <w:tcPr>
                  <w:tcW w:w="2339" w:type="pct"/>
                  <w:gridSpan w:val="2"/>
                  <w:noWrap w:val="0"/>
                  <w:vAlign w:val="center"/>
                </w:tcPr>
                <w:p w14:paraId="122DD837">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强化源头准入，落实国家重点管控新污染物清单及其禁止、限制、限排措施。对使用有毒有害化学物质或在生产过程中排放新污染物的企业，依法实施强制性清洁生产审核。强化石油化工、涂料、纺织印染、橡胶、农药、医药等行业新污染物环境风险管控。</w:t>
                  </w:r>
                </w:p>
              </w:tc>
              <w:tc>
                <w:tcPr>
                  <w:tcW w:w="1442" w:type="pct"/>
                  <w:noWrap w:val="0"/>
                  <w:vAlign w:val="center"/>
                </w:tcPr>
                <w:p w14:paraId="323BFD79">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项目不涉及有毒有害化学物质使用，不属于石油化工、涂料、纺织印染、橡胶、农药、医药等行业新污染物环境风险管控，项目要求待企业取得批复后，根据要求，成立应急组织机构，定期开展应急演练。</w:t>
                  </w:r>
                </w:p>
              </w:tc>
              <w:tc>
                <w:tcPr>
                  <w:tcW w:w="646" w:type="pct"/>
                  <w:noWrap w:val="0"/>
                  <w:vAlign w:val="center"/>
                </w:tcPr>
                <w:p w14:paraId="3CB2F879">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12965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7"/>
                  <w:noWrap w:val="0"/>
                  <w:vAlign w:val="center"/>
                </w:tcPr>
                <w:p w14:paraId="081FC911">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b/>
                      <w:bCs/>
                      <w:color w:val="auto"/>
                      <w:szCs w:val="21"/>
                      <w:highlight w:val="none"/>
                    </w:rPr>
                    <w:t>全市土壤环境总体管控要求</w:t>
                  </w:r>
                </w:p>
              </w:tc>
            </w:tr>
            <w:tr w14:paraId="55868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0E3CAA9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属性</w:t>
                  </w:r>
                </w:p>
              </w:tc>
              <w:tc>
                <w:tcPr>
                  <w:tcW w:w="2339" w:type="pct"/>
                  <w:gridSpan w:val="2"/>
                  <w:noWrap w:val="0"/>
                  <w:vAlign w:val="center"/>
                </w:tcPr>
                <w:p w14:paraId="0665FCE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管控要求</w:t>
                  </w:r>
                </w:p>
              </w:tc>
              <w:tc>
                <w:tcPr>
                  <w:tcW w:w="1442" w:type="pct"/>
                  <w:noWrap w:val="0"/>
                  <w:vAlign w:val="center"/>
                </w:tcPr>
                <w:p w14:paraId="177CAA8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项目情况</w:t>
                  </w:r>
                </w:p>
              </w:tc>
              <w:tc>
                <w:tcPr>
                  <w:tcW w:w="646" w:type="pct"/>
                  <w:noWrap w:val="0"/>
                  <w:vAlign w:val="center"/>
                </w:tcPr>
                <w:p w14:paraId="321A3C75">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是否符合相关要求</w:t>
                  </w:r>
                </w:p>
              </w:tc>
            </w:tr>
            <w:tr w14:paraId="3E199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71" w:type="pct"/>
                  <w:gridSpan w:val="3"/>
                  <w:noWrap w:val="0"/>
                  <w:vAlign w:val="center"/>
                </w:tcPr>
                <w:p w14:paraId="50C87CE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建设用地风险管控和</w:t>
                  </w:r>
                </w:p>
                <w:p w14:paraId="5ABA206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修复</w:t>
                  </w:r>
                </w:p>
              </w:tc>
              <w:tc>
                <w:tcPr>
                  <w:tcW w:w="2339" w:type="pct"/>
                  <w:gridSpan w:val="2"/>
                  <w:noWrap w:val="0"/>
                  <w:vAlign w:val="center"/>
                </w:tcPr>
                <w:p w14:paraId="7C5833AB">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1、依法推进建设用地土壤状况调查评估。以用途变更为</w:t>
                  </w:r>
                  <w:r>
                    <w:rPr>
                      <w:rFonts w:hint="eastAsia"/>
                      <w:color w:val="auto"/>
                      <w:szCs w:val="21"/>
                      <w:highlight w:val="none"/>
                      <w:lang w:eastAsia="zh-CN"/>
                    </w:rPr>
                    <w:t>“</w:t>
                  </w:r>
                  <w:r>
                    <w:rPr>
                      <w:rFonts w:hint="eastAsia"/>
                      <w:color w:val="auto"/>
                      <w:szCs w:val="21"/>
                      <w:highlight w:val="none"/>
                    </w:rPr>
                    <w:t>一住两公</w:t>
                  </w:r>
                  <w:r>
                    <w:rPr>
                      <w:rFonts w:hint="eastAsia"/>
                      <w:color w:val="auto"/>
                      <w:szCs w:val="21"/>
                      <w:highlight w:val="none"/>
                      <w:lang w:eastAsia="zh-CN"/>
                    </w:rPr>
                    <w:t>”</w:t>
                  </w:r>
                  <w:r>
                    <w:rPr>
                      <w:rFonts w:hint="eastAsia"/>
                      <w:color w:val="auto"/>
                      <w:szCs w:val="21"/>
                      <w:highlight w:val="none"/>
                    </w:rPr>
                    <w:t>地块，以及腾退工矿企业用地为重点，依法开展土壤污染状况调查和风险评估。</w:t>
                  </w:r>
                </w:p>
                <w:p w14:paraId="0E9A97E8">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2、对土壤污染状况调查报告评审表明污染物含量超过土壤污染风险管控标准的建设用地地块，土壤污染责任人、土地使用权人应当按照国务院生态环境主管部门的规定进行土壤污染风险评估。</w:t>
                  </w:r>
                </w:p>
                <w:p w14:paraId="25B2DBEE">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3、对建设用地土壤污染风险管控和修复名录中需要实施修复的地块，土壤污染责任人应当结合土地利用总体规划和城乡规划编制修复方案，报地方人民政府生态环境主管部门备案并实施。</w:t>
                  </w:r>
                </w:p>
                <w:p w14:paraId="286DBD86">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4、风险管控、修复活动完成后，需要实施后期管理的，土壤污染责任人应当按照要求实施后期管理。</w:t>
                  </w:r>
                </w:p>
                <w:p w14:paraId="5BCF76CB">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5、各县（市、区）在编制国土空间等相关规划时，充分考虑建设用地土壤污染环境风险，合理确定土地用途。</w:t>
                  </w:r>
                </w:p>
                <w:p w14:paraId="71B6FB35">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6、严格落实建设用地土壤污染风险管控和修复名录制度。未达到土壤污染风险评估报告确定的风险管控、修复目标的地块，不得开工建设与风险管控和修复无关的项目。</w:t>
                  </w:r>
                </w:p>
              </w:tc>
              <w:tc>
                <w:tcPr>
                  <w:tcW w:w="1442" w:type="pct"/>
                  <w:noWrap w:val="0"/>
                  <w:vAlign w:val="center"/>
                </w:tcPr>
                <w:p w14:paraId="530EBBFA">
                  <w:pPr>
                    <w:keepNext w:val="0"/>
                    <w:keepLines w:val="0"/>
                    <w:suppressLineNumbers w:val="0"/>
                    <w:spacing w:before="0" w:beforeAutospacing="0" w:after="0" w:afterAutospacing="0"/>
                    <w:ind w:left="0" w:right="0"/>
                    <w:jc w:val="center"/>
                    <w:rPr>
                      <w:rFonts w:hint="eastAsia"/>
                      <w:color w:val="auto"/>
                      <w:sz w:val="21"/>
                      <w:szCs w:val="21"/>
                      <w:highlight w:val="none"/>
                    </w:rPr>
                  </w:pPr>
                  <w:r>
                    <w:rPr>
                      <w:rFonts w:hint="eastAsia"/>
                      <w:color w:val="auto"/>
                      <w:szCs w:val="21"/>
                      <w:highlight w:val="none"/>
                    </w:rPr>
                    <w:t>1.项目位于河北省石家庄市</w:t>
                  </w:r>
                  <w:r>
                    <w:rPr>
                      <w:rFonts w:hint="eastAsia"/>
                      <w:color w:val="auto"/>
                      <w:szCs w:val="21"/>
                      <w:highlight w:val="none"/>
                      <w:lang w:eastAsia="zh-CN"/>
                    </w:rPr>
                    <w:t>井陉矿区世纪大道以北，石钢路以西</w:t>
                  </w:r>
                  <w:r>
                    <w:rPr>
                      <w:rFonts w:hint="eastAsia"/>
                      <w:color w:val="auto"/>
                      <w:szCs w:val="21"/>
                      <w:highlight w:val="none"/>
                    </w:rPr>
                    <w:t>，</w:t>
                  </w:r>
                  <w:r>
                    <w:rPr>
                      <w:rFonts w:hint="eastAsia"/>
                      <w:color w:val="auto"/>
                      <w:szCs w:val="21"/>
                      <w:highlight w:val="none"/>
                      <w:lang w:eastAsia="zh-CN"/>
                    </w:rPr>
                    <w:t>根据不动产权证书，项目土地属于工业用地，符合用地规划要求</w:t>
                  </w:r>
                  <w:r>
                    <w:rPr>
                      <w:rFonts w:hint="eastAsia"/>
                      <w:color w:val="auto"/>
                      <w:sz w:val="21"/>
                      <w:szCs w:val="21"/>
                      <w:highlight w:val="none"/>
                    </w:rPr>
                    <w:t>。</w:t>
                  </w:r>
                  <w:r>
                    <w:rPr>
                      <w:rFonts w:hint="eastAsia"/>
                      <w:color w:val="auto"/>
                      <w:sz w:val="21"/>
                      <w:szCs w:val="21"/>
                      <w:highlight w:val="none"/>
                      <w:lang w:eastAsia="zh-CN"/>
                    </w:rPr>
                    <w:t>项目不涉及土地用途变更情况，不涉及土壤环境状况调查评估</w:t>
                  </w:r>
                  <w:r>
                    <w:rPr>
                      <w:rFonts w:hint="eastAsia"/>
                      <w:color w:val="auto"/>
                      <w:sz w:val="21"/>
                      <w:szCs w:val="21"/>
                      <w:highlight w:val="none"/>
                    </w:rPr>
                    <w:t>。同时，项目采取分区防渗措施项目固废合理处置，正常生产情况下，项目对厂区及附近土壤环境的影响较小。</w:t>
                  </w:r>
                </w:p>
                <w:p w14:paraId="12918C3C">
                  <w:pPr>
                    <w:keepNext w:val="0"/>
                    <w:keepLines w:val="0"/>
                    <w:suppressLineNumbers w:val="0"/>
                    <w:spacing w:before="0" w:beforeAutospacing="0" w:after="0" w:afterAutospacing="0"/>
                    <w:ind w:left="0" w:right="0"/>
                    <w:jc w:val="center"/>
                    <w:rPr>
                      <w:rFonts w:hint="eastAsia"/>
                      <w:color w:val="auto"/>
                      <w:sz w:val="21"/>
                      <w:szCs w:val="21"/>
                      <w:highlight w:val="none"/>
                    </w:rPr>
                  </w:pPr>
                  <w:r>
                    <w:rPr>
                      <w:rFonts w:hint="eastAsia"/>
                      <w:color w:val="auto"/>
                      <w:sz w:val="21"/>
                      <w:szCs w:val="21"/>
                      <w:highlight w:val="none"/>
                    </w:rPr>
                    <w:t>2.</w:t>
                  </w:r>
                  <w:r>
                    <w:rPr>
                      <w:rFonts w:hint="eastAsia"/>
                      <w:color w:val="auto"/>
                      <w:sz w:val="21"/>
                      <w:szCs w:val="21"/>
                      <w:highlight w:val="none"/>
                      <w:lang w:eastAsia="zh-CN"/>
                    </w:rPr>
                    <w:t>项目不涉及土地用途变更情况，不涉及土壤环境状况调查评估</w:t>
                  </w:r>
                  <w:r>
                    <w:rPr>
                      <w:rFonts w:hint="eastAsia"/>
                      <w:color w:val="auto"/>
                      <w:sz w:val="21"/>
                      <w:szCs w:val="21"/>
                      <w:highlight w:val="none"/>
                    </w:rPr>
                    <w:t>。</w:t>
                  </w:r>
                </w:p>
                <w:p w14:paraId="3BBDEE62">
                  <w:pPr>
                    <w:keepNext w:val="0"/>
                    <w:keepLines w:val="0"/>
                    <w:suppressLineNumbers w:val="0"/>
                    <w:spacing w:before="0" w:beforeAutospacing="0" w:after="0" w:afterAutospacing="0"/>
                    <w:ind w:left="0" w:right="0"/>
                    <w:jc w:val="center"/>
                    <w:rPr>
                      <w:rFonts w:hint="eastAsia"/>
                      <w:color w:val="auto"/>
                      <w:sz w:val="21"/>
                      <w:szCs w:val="21"/>
                      <w:highlight w:val="none"/>
                    </w:rPr>
                  </w:pPr>
                  <w:r>
                    <w:rPr>
                      <w:rFonts w:hint="eastAsia"/>
                      <w:color w:val="auto"/>
                      <w:sz w:val="21"/>
                      <w:szCs w:val="21"/>
                      <w:highlight w:val="none"/>
                    </w:rPr>
                    <w:t>3.项目不涉及土壤环境状况调查评估，不涉及土壤污染风险管控和修复名录中需要实施修复的地块。</w:t>
                  </w:r>
                </w:p>
                <w:p w14:paraId="4AB8E7ED">
                  <w:pPr>
                    <w:keepNext w:val="0"/>
                    <w:keepLines w:val="0"/>
                    <w:suppressLineNumbers w:val="0"/>
                    <w:spacing w:before="0" w:beforeAutospacing="0" w:after="0" w:afterAutospacing="0"/>
                    <w:ind w:left="0" w:right="0"/>
                    <w:jc w:val="center"/>
                    <w:rPr>
                      <w:rFonts w:hint="eastAsia"/>
                      <w:color w:val="auto"/>
                      <w:sz w:val="21"/>
                      <w:szCs w:val="21"/>
                      <w:highlight w:val="none"/>
                    </w:rPr>
                  </w:pPr>
                  <w:r>
                    <w:rPr>
                      <w:rFonts w:hint="eastAsia"/>
                      <w:color w:val="auto"/>
                      <w:sz w:val="21"/>
                      <w:szCs w:val="21"/>
                      <w:highlight w:val="none"/>
                    </w:rPr>
                    <w:t>4.项目不涉及需要实施修复的地块。</w:t>
                  </w:r>
                </w:p>
                <w:p w14:paraId="0EE02FDC">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 w:val="21"/>
                      <w:szCs w:val="21"/>
                      <w:highlight w:val="none"/>
                    </w:rPr>
                    <w:t>5.</w:t>
                  </w:r>
                  <w:r>
                    <w:rPr>
                      <w:rFonts w:hint="eastAsia"/>
                      <w:color w:val="auto"/>
                      <w:szCs w:val="21"/>
                      <w:highlight w:val="none"/>
                      <w:lang w:eastAsia="zh-CN"/>
                    </w:rPr>
                    <w:t>本项目不涉及土地用途变更，在确定用地用途时充分考虑了建设用地土壤污染环境风险，项目土壤环境影响潜势极低，建设不会引发原有土壤环境污染问题，符合 “各县（市、区）在编制国土空间等相关规划时，充分考虑建设用地土壤污染环境风险，合理确定土地用途” 的要求</w:t>
                  </w:r>
                  <w:r>
                    <w:rPr>
                      <w:rFonts w:hint="eastAsia"/>
                      <w:color w:val="auto"/>
                      <w:szCs w:val="21"/>
                      <w:highlight w:val="none"/>
                    </w:rPr>
                    <w:t>。</w:t>
                  </w:r>
                </w:p>
                <w:p w14:paraId="7304C603">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6.项目不涉及需要实施修复的地块。</w:t>
                  </w:r>
                </w:p>
              </w:tc>
              <w:tc>
                <w:tcPr>
                  <w:tcW w:w="646" w:type="pct"/>
                  <w:noWrap w:val="0"/>
                  <w:vAlign w:val="center"/>
                </w:tcPr>
                <w:p w14:paraId="6FD8C47F">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7713E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7"/>
                  <w:noWrap w:val="0"/>
                  <w:vAlign w:val="center"/>
                </w:tcPr>
                <w:p w14:paraId="07F1E2B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b/>
                      <w:bCs/>
                      <w:color w:val="auto"/>
                      <w:szCs w:val="21"/>
                      <w:highlight w:val="none"/>
                    </w:rPr>
                    <w:t>全市自然资源总体管控要求</w:t>
                  </w:r>
                </w:p>
              </w:tc>
            </w:tr>
            <w:tr w14:paraId="057A4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6" w:type="pct"/>
                  <w:gridSpan w:val="2"/>
                  <w:noWrap w:val="0"/>
                  <w:vAlign w:val="center"/>
                </w:tcPr>
                <w:p w14:paraId="70CDEE6B">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要素</w:t>
                  </w:r>
                </w:p>
              </w:tc>
              <w:tc>
                <w:tcPr>
                  <w:tcW w:w="570" w:type="pct"/>
                  <w:gridSpan w:val="2"/>
                  <w:noWrap w:val="0"/>
                  <w:vAlign w:val="center"/>
                </w:tcPr>
                <w:p w14:paraId="4067861F">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管控类型</w:t>
                  </w:r>
                </w:p>
              </w:tc>
              <w:tc>
                <w:tcPr>
                  <w:tcW w:w="1873" w:type="pct"/>
                  <w:noWrap w:val="0"/>
                  <w:vAlign w:val="center"/>
                </w:tcPr>
                <w:p w14:paraId="4E9C871F">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管控要求</w:t>
                  </w:r>
                </w:p>
              </w:tc>
              <w:tc>
                <w:tcPr>
                  <w:tcW w:w="1442" w:type="pct"/>
                  <w:noWrap w:val="0"/>
                  <w:vAlign w:val="center"/>
                </w:tcPr>
                <w:p w14:paraId="00A4D48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项目情况</w:t>
                  </w:r>
                </w:p>
              </w:tc>
              <w:tc>
                <w:tcPr>
                  <w:tcW w:w="646" w:type="pct"/>
                  <w:noWrap w:val="0"/>
                  <w:vAlign w:val="center"/>
                </w:tcPr>
                <w:p w14:paraId="14DD908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是否符合相关要求</w:t>
                  </w:r>
                </w:p>
              </w:tc>
            </w:tr>
            <w:tr w14:paraId="250E9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6" w:type="pct"/>
                  <w:gridSpan w:val="2"/>
                  <w:noWrap w:val="0"/>
                  <w:vAlign w:val="center"/>
                </w:tcPr>
                <w:p w14:paraId="490EEA4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水资源</w:t>
                  </w:r>
                </w:p>
              </w:tc>
              <w:tc>
                <w:tcPr>
                  <w:tcW w:w="570" w:type="pct"/>
                  <w:gridSpan w:val="2"/>
                  <w:noWrap w:val="0"/>
                  <w:vAlign w:val="center"/>
                </w:tcPr>
                <w:p w14:paraId="118A438C">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一般管控区</w:t>
                  </w:r>
                </w:p>
              </w:tc>
              <w:tc>
                <w:tcPr>
                  <w:tcW w:w="1873" w:type="pct"/>
                  <w:noWrap w:val="0"/>
                  <w:vAlign w:val="center"/>
                </w:tcPr>
                <w:p w14:paraId="79E99E3C">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1、严格执行</w:t>
                  </w:r>
                  <w:r>
                    <w:rPr>
                      <w:rFonts w:hint="eastAsia"/>
                      <w:color w:val="auto"/>
                      <w:szCs w:val="21"/>
                      <w:highlight w:val="none"/>
                      <w:lang w:eastAsia="zh-CN"/>
                    </w:rPr>
                    <w:t>“</w:t>
                  </w:r>
                  <w:r>
                    <w:rPr>
                      <w:rFonts w:hint="eastAsia"/>
                      <w:color w:val="auto"/>
                      <w:szCs w:val="21"/>
                      <w:highlight w:val="none"/>
                    </w:rPr>
                    <w:t>最严格水资源管理制度</w:t>
                  </w:r>
                  <w:r>
                    <w:rPr>
                      <w:rFonts w:hint="eastAsia"/>
                      <w:color w:val="auto"/>
                      <w:szCs w:val="21"/>
                      <w:highlight w:val="none"/>
                      <w:lang w:eastAsia="zh-CN"/>
                    </w:rPr>
                    <w:t>”</w:t>
                  </w:r>
                  <w:r>
                    <w:rPr>
                      <w:rFonts w:hint="eastAsia"/>
                      <w:color w:val="auto"/>
                      <w:szCs w:val="21"/>
                      <w:highlight w:val="none"/>
                    </w:rPr>
                    <w:t>确定的用水总量控制指标，加强水资源取水论证，严格水资源总量考核管理，同时全面推进节水型社会建设，提高用水效率。</w:t>
                  </w:r>
                </w:p>
                <w:p w14:paraId="7A7BA6C9">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地下水开采重点管控区外的地下水超采区按照《华北地区地下水超采综合治理行动方案》、《河北省人民政府关于公布地下水超采区和禁止开采区、限制开采区范围的通知》及《关于地下水超采综合治理实施意见》进行管控。</w:t>
                  </w:r>
                </w:p>
              </w:tc>
              <w:tc>
                <w:tcPr>
                  <w:tcW w:w="1442" w:type="pct"/>
                  <w:noWrap w:val="0"/>
                  <w:vAlign w:val="center"/>
                </w:tcPr>
                <w:p w14:paraId="18656E0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项目用水</w:t>
                  </w:r>
                  <w:r>
                    <w:rPr>
                      <w:rFonts w:hint="eastAsia"/>
                      <w:color w:val="auto"/>
                      <w:szCs w:val="21"/>
                      <w:highlight w:val="none"/>
                      <w:lang w:eastAsia="zh-CN"/>
                    </w:rPr>
                    <w:t>由园区供水管网提供</w:t>
                  </w:r>
                  <w:r>
                    <w:rPr>
                      <w:rFonts w:hint="eastAsia"/>
                      <w:color w:val="auto"/>
                      <w:szCs w:val="21"/>
                      <w:highlight w:val="none"/>
                    </w:rPr>
                    <w:t>，不开采地下水。</w:t>
                  </w:r>
                </w:p>
              </w:tc>
              <w:tc>
                <w:tcPr>
                  <w:tcW w:w="646" w:type="pct"/>
                  <w:noWrap w:val="0"/>
                  <w:vAlign w:val="center"/>
                </w:tcPr>
                <w:p w14:paraId="42577EE8">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是</w:t>
                  </w:r>
                </w:p>
              </w:tc>
            </w:tr>
            <w:tr w14:paraId="281C7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6" w:type="pct"/>
                  <w:gridSpan w:val="2"/>
                  <w:vMerge w:val="restart"/>
                  <w:noWrap w:val="0"/>
                  <w:vAlign w:val="center"/>
                </w:tcPr>
                <w:p w14:paraId="7403D2CE">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能源</w:t>
                  </w:r>
                </w:p>
              </w:tc>
              <w:tc>
                <w:tcPr>
                  <w:tcW w:w="570" w:type="pct"/>
                  <w:gridSpan w:val="2"/>
                  <w:noWrap w:val="0"/>
                  <w:vAlign w:val="center"/>
                </w:tcPr>
                <w:p w14:paraId="2D6270D3">
                  <w:pPr>
                    <w:keepNext w:val="0"/>
                    <w:keepLines w:val="0"/>
                    <w:widowControl/>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高污染燃料禁燃区</w:t>
                  </w:r>
                </w:p>
              </w:tc>
              <w:tc>
                <w:tcPr>
                  <w:tcW w:w="1873" w:type="pct"/>
                  <w:noWrap w:val="0"/>
                  <w:vAlign w:val="center"/>
                </w:tcPr>
                <w:p w14:paraId="54BFC87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1、禁燃区内不得新建、改建、扩建燃烧煤炭、重油、渣油等高污染燃料的设施；现有燃烧高污染燃料的设施，应当限期改用清洁能源；未改用清洁能源替代的高污染燃料设施，应当配套建设先进工艺的脱硫、</w:t>
                  </w:r>
                </w:p>
                <w:p w14:paraId="78D8641A">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脱硝、除尘装置或者采取其他措施，控制二氧化硫、氮氧化物和烟尘等排放；仍未达到大气污染物排放标准的，应当停止使用。</w:t>
                  </w:r>
                </w:p>
                <w:p w14:paraId="1123DCA6">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2、禁燃区内禁止销售、使用高污染燃料。</w:t>
                  </w:r>
                </w:p>
                <w:p w14:paraId="4E42E4A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3、禁燃区内禁止原煤散烧。</w:t>
                  </w:r>
                </w:p>
                <w:p w14:paraId="78CABC6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4、其他平原县和山区县执行县级政府确定的禁燃区范围和管理要求。</w:t>
                  </w:r>
                </w:p>
              </w:tc>
              <w:tc>
                <w:tcPr>
                  <w:tcW w:w="1442" w:type="pct"/>
                  <w:noWrap w:val="0"/>
                  <w:vAlign w:val="center"/>
                </w:tcPr>
                <w:p w14:paraId="00DED4D7">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1.项目采用电能，不涉及煤炭、重油、渣油等高污染燃料的使用。2.项目不涉及高污染燃料销售、使用；3.项目不涉及原煤散烧；4.项目采用电能，满足禁燃区范围和管理要求。</w:t>
                  </w:r>
                </w:p>
              </w:tc>
              <w:tc>
                <w:tcPr>
                  <w:tcW w:w="646" w:type="pct"/>
                  <w:noWrap w:val="0"/>
                  <w:vAlign w:val="center"/>
                </w:tcPr>
                <w:p w14:paraId="7C6F4A35">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21347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66" w:type="pct"/>
                  <w:gridSpan w:val="2"/>
                  <w:vMerge w:val="continue"/>
                  <w:noWrap w:val="0"/>
                  <w:vAlign w:val="center"/>
                </w:tcPr>
                <w:p w14:paraId="72D0C562">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p>
              </w:tc>
              <w:tc>
                <w:tcPr>
                  <w:tcW w:w="570" w:type="pct"/>
                  <w:gridSpan w:val="2"/>
                  <w:noWrap w:val="0"/>
                  <w:vAlign w:val="center"/>
                </w:tcPr>
                <w:p w14:paraId="3A2A2852">
                  <w:pPr>
                    <w:keepNext w:val="0"/>
                    <w:keepLines w:val="0"/>
                    <w:widowControl/>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一般管控区</w:t>
                  </w:r>
                </w:p>
              </w:tc>
              <w:tc>
                <w:tcPr>
                  <w:tcW w:w="1873" w:type="pct"/>
                  <w:noWrap w:val="0"/>
                  <w:vAlign w:val="center"/>
                </w:tcPr>
                <w:p w14:paraId="5BDB5C8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1、强化能源消费约束，严格实施能源消费总量和强度</w:t>
                  </w:r>
                  <w:r>
                    <w:rPr>
                      <w:rFonts w:hint="eastAsia"/>
                      <w:color w:val="auto"/>
                      <w:szCs w:val="21"/>
                      <w:highlight w:val="none"/>
                      <w:lang w:eastAsia="zh-CN"/>
                    </w:rPr>
                    <w:t>“</w:t>
                  </w:r>
                  <w:r>
                    <w:rPr>
                      <w:rFonts w:hint="eastAsia"/>
                      <w:color w:val="auto"/>
                      <w:szCs w:val="21"/>
                      <w:highlight w:val="none"/>
                    </w:rPr>
                    <w:t>双控</w:t>
                  </w:r>
                  <w:r>
                    <w:rPr>
                      <w:rFonts w:hint="eastAsia"/>
                      <w:color w:val="auto"/>
                      <w:szCs w:val="21"/>
                      <w:highlight w:val="none"/>
                      <w:lang w:eastAsia="zh-CN"/>
                    </w:rPr>
                    <w:t>”</w:t>
                  </w:r>
                  <w:r>
                    <w:rPr>
                      <w:rFonts w:hint="eastAsia"/>
                      <w:color w:val="auto"/>
                      <w:szCs w:val="21"/>
                      <w:highlight w:val="none"/>
                    </w:rPr>
                    <w:t>。从工艺技术、主要用能设备、节能措施等方面切实加强项目单耗先进性审查，新建高能耗项目单位产品（产值）能耗达到国际先进水平，用能设备达到国家一级能效标准。</w:t>
                  </w:r>
                </w:p>
                <w:p w14:paraId="1494EC0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2、以工业、建筑和交通运输领域为重点，深入推进技术节能和管理节能。推进农业和农村节能，强化商用和民用节能，实施公共机构节能。完善节能措施引导，完善峰谷电价、阶梯气价等价格政策等。</w:t>
                  </w:r>
                </w:p>
                <w:p w14:paraId="4F94404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3、控制煤炭消费总量，加快产业结构向高新高端产业转变，推进钢铁、水泥等重点行业去产能。大力实施散煤替代。</w:t>
                  </w:r>
                </w:p>
                <w:p w14:paraId="77F5643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深入推进煤炭清洁高效利用，扩大清洁能源利用。加强煤炭质量监管，严格落实省、市燃煤质量标准，全市禁止生产、销售灰分劣质煤。严厉打击销售使用劣质煤行为。燃煤发电企业使用的煤炭要符合河北省《工业和民用燃料煤》标准。</w:t>
                  </w:r>
                </w:p>
              </w:tc>
              <w:tc>
                <w:tcPr>
                  <w:tcW w:w="1442" w:type="pct"/>
                  <w:noWrap w:val="0"/>
                  <w:vAlign w:val="center"/>
                </w:tcPr>
                <w:p w14:paraId="7154AFD5">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lang w:eastAsia="zh-CN"/>
                    </w:rPr>
                    <w:t>项目生产</w:t>
                  </w:r>
                  <w:r>
                    <w:rPr>
                      <w:rFonts w:hint="eastAsia"/>
                      <w:color w:val="auto"/>
                      <w:szCs w:val="21"/>
                      <w:highlight w:val="none"/>
                      <w:lang w:val="en-US" w:eastAsia="zh-CN"/>
                    </w:rPr>
                    <w:t>采用电加热</w:t>
                  </w:r>
                  <w:r>
                    <w:rPr>
                      <w:rFonts w:hint="eastAsia"/>
                      <w:snapToGrid w:val="0"/>
                      <w:color w:val="auto"/>
                      <w:kern w:val="0"/>
                      <w:szCs w:val="21"/>
                      <w:highlight w:val="none"/>
                    </w:rPr>
                    <w:t>，职工日常办公供暖由空调提供</w:t>
                  </w:r>
                  <w:r>
                    <w:rPr>
                      <w:rFonts w:hint="eastAsia"/>
                      <w:color w:val="auto"/>
                      <w:szCs w:val="21"/>
                      <w:highlight w:val="none"/>
                    </w:rPr>
                    <w:t>，来源为电能，不涉及</w:t>
                  </w:r>
                  <w:r>
                    <w:rPr>
                      <w:rStyle w:val="66"/>
                      <w:rFonts w:hint="default" w:ascii="Times New Roman" w:hAnsi="Times New Roman"/>
                      <w:color w:val="auto"/>
                      <w:sz w:val="21"/>
                      <w:szCs w:val="21"/>
                      <w:highlight w:val="none"/>
                    </w:rPr>
                    <w:t>煤炭使用情况。</w:t>
                  </w:r>
                </w:p>
              </w:tc>
              <w:tc>
                <w:tcPr>
                  <w:tcW w:w="646" w:type="pct"/>
                  <w:noWrap w:val="0"/>
                  <w:vAlign w:val="center"/>
                </w:tcPr>
                <w:p w14:paraId="03B2BF2E">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0478E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7"/>
                  <w:noWrap w:val="0"/>
                  <w:vAlign w:val="center"/>
                </w:tcPr>
                <w:p w14:paraId="1B264065">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b/>
                      <w:bCs/>
                      <w:color w:val="auto"/>
                      <w:szCs w:val="21"/>
                      <w:highlight w:val="none"/>
                    </w:rPr>
                    <w:t>全市产业布局总体管控要求</w:t>
                  </w:r>
                </w:p>
              </w:tc>
            </w:tr>
            <w:tr w14:paraId="2BF68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37" w:type="pct"/>
                  <w:gridSpan w:val="4"/>
                  <w:noWrap w:val="0"/>
                  <w:vAlign w:val="center"/>
                </w:tcPr>
                <w:p w14:paraId="7042F918">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分类</w:t>
                  </w:r>
                </w:p>
              </w:tc>
              <w:tc>
                <w:tcPr>
                  <w:tcW w:w="1873" w:type="pct"/>
                  <w:noWrap w:val="0"/>
                  <w:vAlign w:val="center"/>
                </w:tcPr>
                <w:p w14:paraId="1F01B01E">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管控要求</w:t>
                  </w:r>
                </w:p>
              </w:tc>
              <w:tc>
                <w:tcPr>
                  <w:tcW w:w="1442" w:type="pct"/>
                  <w:noWrap w:val="0"/>
                  <w:vAlign w:val="center"/>
                </w:tcPr>
                <w:p w14:paraId="713564D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项目情况</w:t>
                  </w:r>
                </w:p>
              </w:tc>
              <w:tc>
                <w:tcPr>
                  <w:tcW w:w="646" w:type="pct"/>
                  <w:noWrap w:val="0"/>
                  <w:vAlign w:val="center"/>
                </w:tcPr>
                <w:p w14:paraId="79CEE77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是否符合相关要求</w:t>
                  </w:r>
                </w:p>
              </w:tc>
            </w:tr>
            <w:tr w14:paraId="350CA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37" w:type="pct"/>
                  <w:gridSpan w:val="4"/>
                  <w:noWrap w:val="0"/>
                  <w:vAlign w:val="center"/>
                </w:tcPr>
                <w:p w14:paraId="25679B6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产业总体布局要求</w:t>
                  </w:r>
                </w:p>
              </w:tc>
              <w:tc>
                <w:tcPr>
                  <w:tcW w:w="1873" w:type="pct"/>
                  <w:noWrap w:val="0"/>
                  <w:vAlign w:val="center"/>
                </w:tcPr>
                <w:p w14:paraId="04EF728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1、严格建设项目环境准入，新、改、扩建项目的环境影响评价应满足区域、规划环评要求。</w:t>
                  </w:r>
                </w:p>
                <w:p w14:paraId="1A1682FA">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2、新建、改建、扩建用煤项目，应当实行煤炭的等量或者减量替代。</w:t>
                  </w:r>
                </w:p>
                <w:p w14:paraId="74D15F7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3、严格执行国家《产业结构调整指导目录》、《市场准入负面清单》以及《河北省禁止投资的产业目录》中准入要求。</w:t>
                  </w:r>
                </w:p>
                <w:p w14:paraId="3D9EA20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4、严格控制《环境保护综合名录》中</w:t>
                  </w:r>
                  <w:r>
                    <w:rPr>
                      <w:rFonts w:hint="eastAsia"/>
                      <w:color w:val="auto"/>
                      <w:szCs w:val="21"/>
                      <w:highlight w:val="none"/>
                      <w:lang w:eastAsia="zh-CN"/>
                    </w:rPr>
                    <w:t>“</w:t>
                  </w:r>
                  <w:r>
                    <w:rPr>
                      <w:rFonts w:hint="eastAsia"/>
                      <w:color w:val="auto"/>
                      <w:szCs w:val="21"/>
                      <w:highlight w:val="none"/>
                    </w:rPr>
                    <w:t>高污染、高环境风险</w:t>
                  </w:r>
                  <w:r>
                    <w:rPr>
                      <w:rFonts w:hint="eastAsia"/>
                      <w:color w:val="auto"/>
                      <w:szCs w:val="21"/>
                      <w:highlight w:val="none"/>
                      <w:lang w:eastAsia="zh-CN"/>
                    </w:rPr>
                    <w:t>”</w:t>
                  </w:r>
                  <w:r>
                    <w:rPr>
                      <w:rFonts w:hint="eastAsia"/>
                      <w:color w:val="auto"/>
                      <w:szCs w:val="21"/>
                      <w:highlight w:val="none"/>
                    </w:rPr>
                    <w:t>产品加工项目，城市工业企业退城搬迁改造及产能置换项目除外。</w:t>
                  </w:r>
                </w:p>
                <w:p w14:paraId="1CEE3F3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5、新建项目一律不得违规占用河库管理范围。</w:t>
                  </w:r>
                </w:p>
                <w:p w14:paraId="7F8AEE7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6、以石化、化工、涂装、医药、包装印刷、油品储运销等行业领域为重点，安全高效推进挥发性有机物</w:t>
                  </w:r>
                  <w:r>
                    <w:rPr>
                      <w:rFonts w:hint="eastAsia"/>
                      <w:color w:val="auto"/>
                      <w:szCs w:val="21"/>
                      <w:highlight w:val="none"/>
                      <w:lang w:eastAsia="zh-CN"/>
                    </w:rPr>
                    <w:t>（</w:t>
                  </w:r>
                  <w:r>
                    <w:rPr>
                      <w:rFonts w:hint="eastAsia"/>
                      <w:color w:val="auto"/>
                      <w:szCs w:val="21"/>
                      <w:highlight w:val="none"/>
                    </w:rPr>
                    <w:t>VOCs</w:t>
                  </w:r>
                  <w:r>
                    <w:rPr>
                      <w:rFonts w:hint="eastAsia"/>
                      <w:color w:val="auto"/>
                      <w:szCs w:val="21"/>
                      <w:highlight w:val="none"/>
                      <w:lang w:eastAsia="zh-CN"/>
                    </w:rPr>
                    <w:t>）</w:t>
                  </w:r>
                  <w:r>
                    <w:rPr>
                      <w:rFonts w:hint="eastAsia"/>
                      <w:color w:val="auto"/>
                      <w:szCs w:val="21"/>
                      <w:highlight w:val="none"/>
                    </w:rPr>
                    <w:t>综合治理，实施原辅材料和产品源头替代、无组织排放和末端深度治理等提升改造工程。</w:t>
                  </w:r>
                </w:p>
                <w:p w14:paraId="01D1DEA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7、锅炉大气污染物排放控制要求、污染物监测要求、达标判定要求按照河北省地标《锅炉大气污染物排放标准》</w:t>
                  </w:r>
                  <w:r>
                    <w:rPr>
                      <w:rFonts w:hint="eastAsia"/>
                      <w:color w:val="auto"/>
                      <w:szCs w:val="21"/>
                      <w:highlight w:val="none"/>
                      <w:lang w:eastAsia="zh-CN"/>
                    </w:rPr>
                    <w:t>（</w:t>
                  </w:r>
                  <w:r>
                    <w:rPr>
                      <w:rFonts w:hint="eastAsia"/>
                      <w:color w:val="auto"/>
                      <w:szCs w:val="21"/>
                      <w:highlight w:val="none"/>
                    </w:rPr>
                    <w:t>DB13/5161-2020</w:t>
                  </w:r>
                  <w:r>
                    <w:rPr>
                      <w:rFonts w:hint="eastAsia"/>
                      <w:color w:val="auto"/>
                      <w:szCs w:val="21"/>
                      <w:highlight w:val="none"/>
                      <w:lang w:eastAsia="zh-CN"/>
                    </w:rPr>
                    <w:t>）</w:t>
                  </w:r>
                  <w:r>
                    <w:rPr>
                      <w:rFonts w:hint="eastAsia"/>
                      <w:color w:val="auto"/>
                      <w:szCs w:val="21"/>
                      <w:highlight w:val="none"/>
                    </w:rPr>
                    <w:t>执行。</w:t>
                  </w:r>
                </w:p>
                <w:p w14:paraId="59349D9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8、禁止在居民区和学校、医院、疗养院、养老院等单位周边新建、改建、扩建有色金属冶炼、石油加工、焦化、化工、电镀、制革等可能造成土壤污染的建设项目。</w:t>
                  </w:r>
                </w:p>
                <w:p w14:paraId="780F516A">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9、在地下水超采区控制高耗水产业发展。</w:t>
                  </w:r>
                </w:p>
                <w:p w14:paraId="1979CC8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10、涉重金属重点行业企业</w:t>
                  </w:r>
                  <w:r>
                    <w:rPr>
                      <w:rFonts w:hint="eastAsia"/>
                      <w:color w:val="auto"/>
                      <w:szCs w:val="21"/>
                      <w:highlight w:val="none"/>
                      <w:lang w:eastAsia="zh-CN"/>
                    </w:rPr>
                    <w:t>“</w:t>
                  </w:r>
                  <w:r>
                    <w:rPr>
                      <w:rFonts w:hint="eastAsia"/>
                      <w:color w:val="auto"/>
                      <w:szCs w:val="21"/>
                      <w:highlight w:val="none"/>
                    </w:rPr>
                    <w:t>十四五</w:t>
                  </w:r>
                  <w:r>
                    <w:rPr>
                      <w:rFonts w:hint="eastAsia"/>
                      <w:color w:val="auto"/>
                      <w:szCs w:val="21"/>
                      <w:highlight w:val="none"/>
                      <w:lang w:eastAsia="zh-CN"/>
                    </w:rPr>
                    <w:t>”</w:t>
                  </w:r>
                  <w:r>
                    <w:rPr>
                      <w:rFonts w:hint="eastAsia"/>
                      <w:color w:val="auto"/>
                      <w:szCs w:val="21"/>
                      <w:highlight w:val="none"/>
                    </w:rPr>
                    <w:t>期间依法依规至少开展一轮强制性清洁生产审核，到2025年底，涉重金属重点行业企业基本达到国内清洁生产先进水平。</w:t>
                  </w:r>
                </w:p>
                <w:p w14:paraId="3289A49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11、按照《关于进一步加强塑料污染治理的实施方案》要求，石家庄城市建成区和重点领域禁止、限制部分塑料制品的生产、销售和使用。</w:t>
                  </w:r>
                </w:p>
                <w:p w14:paraId="055E7B1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12、实施制造业绿色改造重点专项，开展制造业绿色发展示范工程，推进生物医药、化工、钢铁等行业工艺技术装备绿色化改造。鼓励企业实施绿色战略、绿色标准、绿色管理和绿色生产，推行</w:t>
                  </w:r>
                  <w:r>
                    <w:rPr>
                      <w:rFonts w:hint="eastAsia"/>
                      <w:color w:val="auto"/>
                      <w:szCs w:val="21"/>
                      <w:highlight w:val="none"/>
                      <w:lang w:eastAsia="zh-CN"/>
                    </w:rPr>
                    <w:t>“</w:t>
                  </w:r>
                  <w:r>
                    <w:rPr>
                      <w:rFonts w:hint="eastAsia"/>
                      <w:color w:val="auto"/>
                      <w:szCs w:val="21"/>
                      <w:highlight w:val="none"/>
                    </w:rPr>
                    <w:t>互联网+绿色制造</w:t>
                  </w:r>
                  <w:r>
                    <w:rPr>
                      <w:rFonts w:hint="eastAsia"/>
                      <w:color w:val="auto"/>
                      <w:szCs w:val="21"/>
                      <w:highlight w:val="none"/>
                      <w:lang w:eastAsia="zh-CN"/>
                    </w:rPr>
                    <w:t>”</w:t>
                  </w:r>
                  <w:r>
                    <w:rPr>
                      <w:rFonts w:hint="eastAsia"/>
                      <w:color w:val="auto"/>
                      <w:szCs w:val="21"/>
                      <w:highlight w:val="none"/>
                    </w:rPr>
                    <w:t>模式，开发绿色产品，建设绿色工厂，打造绿色供应链，构建绿色制造体系。大力发展节能环保、清洁生产和清洁能源产业。在钢铁、火电、水泥、化工等重点行业推广低碳节能技术改造，探索开展碳捕集、利用与封存试验示范，控制工业领域温室气体排放。加快构建绿色低碳的综合交通运输体系，实施一批绿色公路、绿色机场等示范工程。全面推行清洁生产，推进钢铁、石化、建材、纺织、食品等重点行业强制性清洁生产审核。</w:t>
                  </w:r>
                </w:p>
                <w:p w14:paraId="281A825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13、新建、改建、扩建</w:t>
                  </w:r>
                  <w:r>
                    <w:rPr>
                      <w:rFonts w:hint="eastAsia"/>
                      <w:color w:val="auto"/>
                      <w:szCs w:val="21"/>
                      <w:highlight w:val="none"/>
                      <w:lang w:eastAsia="zh-CN"/>
                    </w:rPr>
                    <w:t>“</w:t>
                  </w:r>
                  <w:r>
                    <w:rPr>
                      <w:rFonts w:hint="eastAsia"/>
                      <w:color w:val="auto"/>
                      <w:szCs w:val="21"/>
                      <w:highlight w:val="none"/>
                    </w:rPr>
                    <w:t>两高</w:t>
                  </w:r>
                  <w:r>
                    <w:rPr>
                      <w:rFonts w:hint="eastAsia"/>
                      <w:color w:val="auto"/>
                      <w:szCs w:val="21"/>
                      <w:highlight w:val="none"/>
                      <w:lang w:eastAsia="zh-CN"/>
                    </w:rPr>
                    <w:t>”</w:t>
                  </w:r>
                  <w:r>
                    <w:rPr>
                      <w:rFonts w:hint="eastAsia"/>
                      <w:color w:val="auto"/>
                      <w:szCs w:val="21"/>
                      <w:highlight w:val="none"/>
                    </w:rPr>
                    <w:t>项目须符合生态环境保护法律法规和相关法定规划，满足重点污染物排放总量控制、碳排放达峰目标、生态环境准入清单、相关规划环评和相应行业建设项目环境准入条件、环评文件审批原则要求。新增主要污染物排放量的</w:t>
                  </w:r>
                  <w:r>
                    <w:rPr>
                      <w:rFonts w:hint="eastAsia"/>
                      <w:color w:val="auto"/>
                      <w:szCs w:val="21"/>
                      <w:highlight w:val="none"/>
                      <w:lang w:eastAsia="zh-CN"/>
                    </w:rPr>
                    <w:t>“</w:t>
                  </w:r>
                  <w:r>
                    <w:rPr>
                      <w:rFonts w:hint="eastAsia"/>
                      <w:color w:val="auto"/>
                      <w:szCs w:val="21"/>
                      <w:highlight w:val="none"/>
                    </w:rPr>
                    <w:t>两高</w:t>
                  </w:r>
                  <w:r>
                    <w:rPr>
                      <w:rFonts w:hint="eastAsia"/>
                      <w:color w:val="auto"/>
                      <w:szCs w:val="21"/>
                      <w:highlight w:val="none"/>
                      <w:lang w:eastAsia="zh-CN"/>
                    </w:rPr>
                    <w:t>”</w:t>
                  </w:r>
                  <w:r>
                    <w:rPr>
                      <w:rFonts w:hint="eastAsia"/>
                      <w:color w:val="auto"/>
                      <w:szCs w:val="21"/>
                      <w:highlight w:val="none"/>
                    </w:rPr>
                    <w:t>项目，严格落实生态环境部《关于加强重点行业建设项目区域削减措施监督管理的通知要求》，提出有效区域削减方案，主要污染物实行区域倍量削减，规范削减措施来源，强化建设单位、出让减排量排污单位和地方政府责任，确保落实区域削减措施。</w:t>
                  </w:r>
                </w:p>
                <w:p w14:paraId="0087CCF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14、省级人民政府及其有关部门批准设立的经济技术开发区、高新技术产业开发区、旅游度假区等产业园区及市级人民政府批准设立的各类产业园区，在编制开发建设有关规划时，应依法开展规划环评工作，编制环境影响报告书。涉及</w:t>
                  </w:r>
                  <w:r>
                    <w:rPr>
                      <w:rFonts w:hint="eastAsia"/>
                      <w:color w:val="auto"/>
                      <w:szCs w:val="21"/>
                      <w:highlight w:val="none"/>
                      <w:lang w:eastAsia="zh-CN"/>
                    </w:rPr>
                    <w:t>“</w:t>
                  </w:r>
                  <w:r>
                    <w:rPr>
                      <w:rFonts w:hint="eastAsia"/>
                      <w:color w:val="auto"/>
                      <w:szCs w:val="21"/>
                      <w:highlight w:val="none"/>
                    </w:rPr>
                    <w:t>一区多园</w:t>
                  </w:r>
                  <w:r>
                    <w:rPr>
                      <w:rFonts w:hint="eastAsia"/>
                      <w:color w:val="auto"/>
                      <w:szCs w:val="21"/>
                      <w:highlight w:val="none"/>
                      <w:lang w:eastAsia="zh-CN"/>
                    </w:rPr>
                    <w:t>”</w:t>
                  </w:r>
                  <w:r>
                    <w:rPr>
                      <w:rFonts w:hint="eastAsia"/>
                      <w:color w:val="auto"/>
                      <w:szCs w:val="21"/>
                      <w:highlight w:val="none"/>
                    </w:rPr>
                    <w:t>的产业园区，应整体开展规划环境影响评价（跟踪评价）工作，实现规划环评</w:t>
                  </w:r>
                  <w:r>
                    <w:rPr>
                      <w:rFonts w:hint="eastAsia"/>
                      <w:color w:val="auto"/>
                      <w:szCs w:val="21"/>
                      <w:highlight w:val="none"/>
                      <w:lang w:eastAsia="zh-CN"/>
                    </w:rPr>
                    <w:t>“</w:t>
                  </w:r>
                  <w:r>
                    <w:rPr>
                      <w:rFonts w:hint="eastAsia"/>
                      <w:color w:val="auto"/>
                      <w:szCs w:val="21"/>
                      <w:highlight w:val="none"/>
                    </w:rPr>
                    <w:t>一本制</w:t>
                  </w:r>
                  <w:r>
                    <w:rPr>
                      <w:rFonts w:hint="eastAsia"/>
                      <w:color w:val="auto"/>
                      <w:szCs w:val="21"/>
                      <w:highlight w:val="none"/>
                      <w:lang w:eastAsia="zh-CN"/>
                    </w:rPr>
                    <w:t>”</w:t>
                  </w:r>
                  <w:r>
                    <w:rPr>
                      <w:rFonts w:hint="eastAsia"/>
                      <w:color w:val="auto"/>
                      <w:szCs w:val="21"/>
                      <w:highlight w:val="none"/>
                    </w:rPr>
                    <w:t>。</w:t>
                  </w:r>
                </w:p>
              </w:tc>
              <w:tc>
                <w:tcPr>
                  <w:tcW w:w="1442" w:type="pct"/>
                  <w:noWrap w:val="0"/>
                  <w:vAlign w:val="center"/>
                </w:tcPr>
                <w:p w14:paraId="745A577F">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1.</w:t>
                  </w:r>
                  <w:r>
                    <w:rPr>
                      <w:rFonts w:hint="eastAsia"/>
                      <w:color w:val="auto"/>
                      <w:szCs w:val="21"/>
                      <w:highlight w:val="none"/>
                      <w:lang w:val="en-US" w:eastAsia="zh-CN"/>
                    </w:rPr>
                    <w:t>位于河北石家庄矿区工业园区总体发展规划范围内，符合规划环评要求</w:t>
                  </w:r>
                  <w:r>
                    <w:rPr>
                      <w:rFonts w:hint="eastAsia"/>
                      <w:color w:val="auto"/>
                      <w:szCs w:val="21"/>
                      <w:highlight w:val="none"/>
                    </w:rPr>
                    <w:t>。</w:t>
                  </w:r>
                </w:p>
                <w:p w14:paraId="4833D6FA">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2.项目不涉及煤炭的使用。</w:t>
                  </w:r>
                </w:p>
                <w:p w14:paraId="0CB79F63">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3.项目不属于《</w:t>
                  </w:r>
                  <w:r>
                    <w:rPr>
                      <w:rFonts w:hint="eastAsia"/>
                      <w:color w:val="auto"/>
                      <w:szCs w:val="21"/>
                      <w:highlight w:val="none"/>
                      <w:lang w:eastAsia="zh-CN"/>
                    </w:rPr>
                    <w:t>市场准入负面清单（2025年版）</w:t>
                  </w:r>
                  <w:r>
                    <w:rPr>
                      <w:rFonts w:hint="eastAsia"/>
                      <w:color w:val="auto"/>
                      <w:szCs w:val="21"/>
                      <w:highlight w:val="none"/>
                    </w:rPr>
                    <w:t>》中的禁止类项目</w:t>
                  </w:r>
                  <w:r>
                    <w:rPr>
                      <w:rFonts w:hint="eastAsia"/>
                      <w:color w:val="auto"/>
                      <w:szCs w:val="20"/>
                      <w:highlight w:val="none"/>
                    </w:rPr>
                    <w:t>，</w:t>
                  </w:r>
                  <w:r>
                    <w:rPr>
                      <w:rFonts w:hint="eastAsia"/>
                      <w:color w:val="auto"/>
                      <w:szCs w:val="21"/>
                      <w:highlight w:val="none"/>
                    </w:rPr>
                    <w:t>为《产业结构调整指导目录（2024年本）》</w:t>
                  </w:r>
                  <w:r>
                    <w:rPr>
                      <w:rFonts w:hint="eastAsia"/>
                      <w:color w:val="auto"/>
                      <w:szCs w:val="21"/>
                      <w:highlight w:val="none"/>
                      <w:lang w:val="en-US" w:eastAsia="zh-CN"/>
                    </w:rPr>
                    <w:t>允许类</w:t>
                  </w:r>
                  <w:r>
                    <w:rPr>
                      <w:rFonts w:hint="eastAsia"/>
                      <w:color w:val="auto"/>
                      <w:szCs w:val="21"/>
                      <w:highlight w:val="none"/>
                      <w:lang w:eastAsia="zh-CN"/>
                    </w:rPr>
                    <w:t>项目</w:t>
                  </w:r>
                  <w:r>
                    <w:rPr>
                      <w:rFonts w:hint="eastAsia"/>
                      <w:color w:val="auto"/>
                      <w:szCs w:val="21"/>
                      <w:highlight w:val="none"/>
                    </w:rPr>
                    <w:t>，符合相关要求。</w:t>
                  </w:r>
                </w:p>
                <w:p w14:paraId="2B22FC7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4.项目不属于</w:t>
                  </w:r>
                  <w:r>
                    <w:rPr>
                      <w:rFonts w:hint="eastAsia"/>
                      <w:color w:val="auto"/>
                      <w:szCs w:val="21"/>
                      <w:highlight w:val="none"/>
                      <w:lang w:eastAsia="zh-CN"/>
                    </w:rPr>
                    <w:t>“</w:t>
                  </w:r>
                  <w:r>
                    <w:rPr>
                      <w:rFonts w:hint="eastAsia"/>
                      <w:color w:val="auto"/>
                      <w:szCs w:val="21"/>
                      <w:highlight w:val="none"/>
                    </w:rPr>
                    <w:t>高污染、高环境风险</w:t>
                  </w:r>
                  <w:r>
                    <w:rPr>
                      <w:rFonts w:hint="eastAsia"/>
                      <w:color w:val="auto"/>
                      <w:szCs w:val="21"/>
                      <w:highlight w:val="none"/>
                      <w:lang w:eastAsia="zh-CN"/>
                    </w:rPr>
                    <w:t>”</w:t>
                  </w:r>
                  <w:r>
                    <w:rPr>
                      <w:rFonts w:hint="eastAsia"/>
                      <w:color w:val="auto"/>
                      <w:szCs w:val="21"/>
                      <w:highlight w:val="none"/>
                    </w:rPr>
                    <w:t>产品加工项目，不属于城市工业企业。</w:t>
                  </w:r>
                </w:p>
                <w:p w14:paraId="064C82CA">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5.项目不占用河库管理范围。</w:t>
                  </w:r>
                </w:p>
                <w:p w14:paraId="6A004AF3">
                  <w:pPr>
                    <w:keepNext w:val="0"/>
                    <w:keepLines w:val="0"/>
                    <w:suppressLineNumbers w:val="0"/>
                    <w:adjustRightInd w:val="0"/>
                    <w:snapToGrid w:val="0"/>
                    <w:spacing w:before="0" w:beforeAutospacing="0" w:after="0" w:afterAutospacing="0"/>
                    <w:ind w:left="0" w:right="0"/>
                    <w:jc w:val="center"/>
                    <w:rPr>
                      <w:rFonts w:hint="eastAsia" w:eastAsia="宋体"/>
                      <w:color w:val="auto"/>
                      <w:szCs w:val="21"/>
                      <w:highlight w:val="none"/>
                      <w:lang w:eastAsia="zh-CN"/>
                    </w:rPr>
                  </w:pPr>
                  <w:r>
                    <w:rPr>
                      <w:rFonts w:hint="eastAsia"/>
                      <w:color w:val="auto"/>
                      <w:szCs w:val="21"/>
                      <w:highlight w:val="none"/>
                    </w:rPr>
                    <w:t>6.项目不属于石化、化工、涂装、医药、包装印刷、油品储运销等行业，项目不涉及含VOCs物料的使用</w:t>
                  </w:r>
                  <w:r>
                    <w:rPr>
                      <w:rFonts w:hint="eastAsia"/>
                      <w:color w:val="auto"/>
                      <w:szCs w:val="21"/>
                      <w:highlight w:val="none"/>
                      <w:lang w:eastAsia="zh-CN"/>
                    </w:rPr>
                    <w:t>。</w:t>
                  </w:r>
                </w:p>
                <w:p w14:paraId="5F9AFEE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7.项目不涉及锅炉使用。</w:t>
                  </w:r>
                </w:p>
                <w:p w14:paraId="4EBB0B7F">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8.项目不属于有色金属冶炼、石油加工、焦化、化工、电镀、制革等可能造成土壤污染的建设项目。</w:t>
                  </w:r>
                </w:p>
                <w:p w14:paraId="2241A58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9.项目用水</w:t>
                  </w:r>
                  <w:r>
                    <w:rPr>
                      <w:rFonts w:hint="eastAsia"/>
                      <w:color w:val="auto"/>
                      <w:szCs w:val="21"/>
                      <w:highlight w:val="none"/>
                      <w:lang w:eastAsia="zh-CN"/>
                    </w:rPr>
                    <w:t>由园区供水管网提供</w:t>
                  </w:r>
                  <w:r>
                    <w:rPr>
                      <w:rFonts w:hint="eastAsia"/>
                      <w:color w:val="auto"/>
                      <w:szCs w:val="21"/>
                      <w:highlight w:val="none"/>
                    </w:rPr>
                    <w:t>，不开采地下水。</w:t>
                  </w:r>
                </w:p>
                <w:p w14:paraId="0176E27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10.项目不涉及重金属。</w:t>
                  </w:r>
                </w:p>
                <w:p w14:paraId="2E5C20C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11.项目不属于《关于进一步加强塑料污染治理的实施方案》</w:t>
                  </w:r>
                  <w:r>
                    <w:rPr>
                      <w:rFonts w:hint="eastAsia"/>
                      <w:color w:val="auto"/>
                      <w:szCs w:val="21"/>
                      <w:highlight w:val="none"/>
                      <w:lang w:val="en-US" w:eastAsia="zh-CN"/>
                    </w:rPr>
                    <w:t>中</w:t>
                  </w:r>
                  <w:r>
                    <w:rPr>
                      <w:rFonts w:hint="eastAsia"/>
                      <w:color w:val="auto"/>
                      <w:szCs w:val="21"/>
                      <w:highlight w:val="none"/>
                    </w:rPr>
                    <w:t>禁止、限制部分塑料制品的生产、销售和使用。</w:t>
                  </w:r>
                </w:p>
                <w:p w14:paraId="212EAE4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12.本项目生产全过程均在密闭车间内进行</w:t>
                  </w:r>
                  <w:r>
                    <w:rPr>
                      <w:rFonts w:hint="eastAsia"/>
                      <w:color w:val="auto"/>
                      <w:szCs w:val="21"/>
                      <w:highlight w:val="none"/>
                      <w:lang w:eastAsia="zh-CN"/>
                    </w:rPr>
                    <w:t>，</w:t>
                  </w:r>
                  <w:r>
                    <w:rPr>
                      <w:rFonts w:hint="eastAsia"/>
                      <w:color w:val="auto"/>
                      <w:szCs w:val="21"/>
                      <w:highlight w:val="none"/>
                      <w:lang w:val="en-US" w:eastAsia="zh-CN"/>
                    </w:rPr>
                    <w:t>加强有组织收集</w:t>
                  </w:r>
                  <w:r>
                    <w:rPr>
                      <w:rFonts w:hint="eastAsia"/>
                      <w:color w:val="auto"/>
                      <w:szCs w:val="21"/>
                      <w:highlight w:val="none"/>
                    </w:rPr>
                    <w:t>，有效减少无组织污染物排放，实现绿色管理与绿色生产。项目符合国家及地方关于实施制造业绿色改造、推进绿色制造体系建设的相关要求</w:t>
                  </w:r>
                  <w:r>
                    <w:rPr>
                      <w:rFonts w:hint="eastAsia"/>
                      <w:color w:val="auto"/>
                      <w:szCs w:val="21"/>
                      <w:highlight w:val="none"/>
                      <w:lang w:eastAsia="zh-CN"/>
                    </w:rPr>
                    <w:t>：</w:t>
                  </w:r>
                  <w:r>
                    <w:rPr>
                      <w:rFonts w:hint="eastAsia"/>
                      <w:color w:val="auto"/>
                      <w:szCs w:val="21"/>
                      <w:highlight w:val="none"/>
                    </w:rPr>
                    <w:t>项目通过采用密闭化、集约化生产方式，提升工艺技术与装备水平，践行绿色战略、绿色标准、绿色管理和绿色生产；生产过程推行清洁生产，从源头减少资源消耗与污染物产生，不属于高耗能、高排放行业，未纳入强制性清洁生产审核重点行业名录。项目建设与运营符合大力发展节能环保、清洁生产产业的政策导向，符合全面推行清洁生产、推进制造业绿色低碳发展的总体要求，有利于构建绿色制造体系，与区域制造业绿色改造、绿色发展示范工程的政策方向保持一致。</w:t>
                  </w:r>
                </w:p>
                <w:p w14:paraId="68D06E9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13.项目不属于两高项目。</w:t>
                  </w:r>
                </w:p>
                <w:p w14:paraId="69B3C1B9">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14.项目</w:t>
                  </w:r>
                  <w:r>
                    <w:rPr>
                      <w:rFonts w:hint="eastAsia"/>
                      <w:color w:val="auto"/>
                      <w:szCs w:val="21"/>
                      <w:highlight w:val="none"/>
                      <w:lang w:val="en-US" w:eastAsia="zh-CN"/>
                    </w:rPr>
                    <w:t>满足园区规划环评要求</w:t>
                  </w:r>
                  <w:r>
                    <w:rPr>
                      <w:rFonts w:hint="eastAsia"/>
                      <w:color w:val="auto"/>
                      <w:szCs w:val="21"/>
                      <w:highlight w:val="none"/>
                    </w:rPr>
                    <w:t>。</w:t>
                  </w:r>
                </w:p>
              </w:tc>
              <w:tc>
                <w:tcPr>
                  <w:tcW w:w="646" w:type="pct"/>
                  <w:noWrap w:val="0"/>
                  <w:vAlign w:val="center"/>
                </w:tcPr>
                <w:p w14:paraId="56DDD3B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7811C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37" w:type="pct"/>
                  <w:gridSpan w:val="4"/>
                  <w:noWrap w:val="0"/>
                  <w:vAlign w:val="center"/>
                </w:tcPr>
                <w:p w14:paraId="774F235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项目入园准入要求</w:t>
                  </w:r>
                </w:p>
              </w:tc>
              <w:tc>
                <w:tcPr>
                  <w:tcW w:w="1873" w:type="pct"/>
                  <w:noWrap w:val="0"/>
                  <w:vAlign w:val="center"/>
                </w:tcPr>
                <w:p w14:paraId="42A7A68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县级以下原则不再建设新的园区，造纸、焦化、氮肥、有色金属、印染、原料药制造、皮革、农药、电镀、钢铁、石灰、平板玻璃、石化、化工等高污染工业项目必须入园进区。被认定为重点监控点的化工企业，可按照《河北省人民政府办公厅关于印发河北省化工重点监控点认定办法的通知》（冀政办字〔2021〕122号）相关要求执行。</w:t>
                  </w:r>
                </w:p>
                <w:p w14:paraId="332D570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2、加强园区规划及环评时效性。现有县市级工业区在遵从规划、规划环评及跟踪评价的要求前提下，严格遵循全省、地市及对应单元生态环境准入要求。</w:t>
                  </w:r>
                </w:p>
                <w:p w14:paraId="6985DE1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3、对新设立或扩区未开展规划环评的园区，规划定位、范围、布局、结构、规模等发生调整未开展规划环评调整的以及规划实施已超过5年未进行规划环境影响跟踪评价的园区，督促园区管委会抓紧整改。</w:t>
                  </w:r>
                </w:p>
                <w:p w14:paraId="55887D1A">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4、各级行政审批部门应把规划环评结论及审查意见的符合性作为入园建设项目环评审批的重要依据。严格落实产业园区规划环评对项目环评的指导要求，规划环评提出需要深入论证的，在项目环评审批阶段应重点把关。按要求可以简化内容的项目环评，不再增加相关环评内容要求。</w:t>
                  </w:r>
                </w:p>
              </w:tc>
              <w:tc>
                <w:tcPr>
                  <w:tcW w:w="1442" w:type="pct"/>
                  <w:noWrap w:val="0"/>
                  <w:vAlign w:val="center"/>
                </w:tcPr>
                <w:p w14:paraId="7AC652E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本项目不属于造纸、</w:t>
                  </w:r>
                </w:p>
                <w:p w14:paraId="1ECD40B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焦化、氮肥、有色金</w:t>
                  </w:r>
                </w:p>
                <w:p w14:paraId="5F7AAC46">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属、印染、原料药制</w:t>
                  </w:r>
                </w:p>
                <w:p w14:paraId="5472907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造、皮革、农药、电</w:t>
                  </w:r>
                </w:p>
                <w:p w14:paraId="4EC1384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镀、钢铁、石灰、平</w:t>
                  </w:r>
                </w:p>
                <w:p w14:paraId="26A2FF5C">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板玻璃、石化、化工</w:t>
                  </w:r>
                </w:p>
                <w:p w14:paraId="1535F14C">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等高污染工业项目。</w:t>
                  </w:r>
                </w:p>
                <w:p w14:paraId="2735679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项目位于</w:t>
                  </w:r>
                  <w:r>
                    <w:rPr>
                      <w:rFonts w:hint="eastAsia"/>
                      <w:color w:val="auto"/>
                      <w:szCs w:val="21"/>
                      <w:highlight w:val="none"/>
                      <w:lang w:val="en-US" w:eastAsia="zh-CN"/>
                    </w:rPr>
                    <w:t>河北石家庄矿区工业园区</w:t>
                  </w:r>
                  <w:r>
                    <w:rPr>
                      <w:rFonts w:hint="eastAsia"/>
                      <w:color w:val="auto"/>
                      <w:szCs w:val="21"/>
                      <w:highlight w:val="none"/>
                    </w:rPr>
                    <w:t>，满</w:t>
                  </w:r>
                </w:p>
                <w:p w14:paraId="2377C8F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足园区规划环评要</w:t>
                  </w:r>
                </w:p>
                <w:p w14:paraId="33CAA28B">
                  <w:pPr>
                    <w:keepNext w:val="0"/>
                    <w:keepLines w:val="0"/>
                    <w:suppressLineNumbers w:val="0"/>
                    <w:adjustRightInd w:val="0"/>
                    <w:snapToGrid w:val="0"/>
                    <w:spacing w:before="0" w:beforeAutospacing="0" w:after="0" w:afterAutospacing="0"/>
                    <w:ind w:left="0" w:right="0"/>
                    <w:jc w:val="center"/>
                    <w:rPr>
                      <w:rFonts w:hint="default"/>
                      <w:color w:val="auto"/>
                      <w:szCs w:val="20"/>
                      <w:highlight w:val="none"/>
                    </w:rPr>
                  </w:pPr>
                  <w:r>
                    <w:rPr>
                      <w:rFonts w:hint="eastAsia"/>
                      <w:color w:val="auto"/>
                      <w:szCs w:val="21"/>
                      <w:highlight w:val="none"/>
                    </w:rPr>
                    <w:t>求。</w:t>
                  </w:r>
                </w:p>
              </w:tc>
              <w:tc>
                <w:tcPr>
                  <w:tcW w:w="646" w:type="pct"/>
                  <w:noWrap w:val="0"/>
                  <w:vAlign w:val="center"/>
                </w:tcPr>
                <w:p w14:paraId="55F04C5B">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bl>
          <w:p w14:paraId="000AD5A0">
            <w:pPr>
              <w:keepNext w:val="0"/>
              <w:keepLines w:val="0"/>
              <w:suppressLineNumbers w:val="0"/>
              <w:spacing w:before="0" w:beforeAutospacing="0" w:after="0" w:afterAutospacing="0"/>
              <w:ind w:left="0" w:right="0" w:firstLine="482" w:firstLineChars="200"/>
              <w:jc w:val="center"/>
              <w:rPr>
                <w:rFonts w:hint="eastAsia"/>
                <w:b/>
                <w:bCs/>
                <w:color w:val="auto"/>
                <w:sz w:val="24"/>
                <w:szCs w:val="20"/>
                <w:highlight w:val="none"/>
              </w:rPr>
            </w:pPr>
            <w:r>
              <w:rPr>
                <w:rFonts w:hint="eastAsia"/>
                <w:b/>
                <w:bCs/>
                <w:color w:val="auto"/>
                <w:sz w:val="24"/>
                <w:szCs w:val="20"/>
                <w:highlight w:val="none"/>
              </w:rPr>
              <w:t>表1-</w:t>
            </w:r>
            <w:r>
              <w:rPr>
                <w:rFonts w:hint="eastAsia"/>
                <w:b/>
                <w:bCs/>
                <w:color w:val="auto"/>
                <w:sz w:val="24"/>
                <w:szCs w:val="20"/>
                <w:highlight w:val="none"/>
                <w:lang w:val="en-US" w:eastAsia="zh-CN"/>
              </w:rPr>
              <w:t>11</w:t>
            </w:r>
            <w:r>
              <w:rPr>
                <w:rFonts w:hint="eastAsia"/>
                <w:b/>
                <w:bCs/>
                <w:color w:val="auto"/>
                <w:sz w:val="24"/>
                <w:szCs w:val="20"/>
                <w:highlight w:val="none"/>
              </w:rPr>
              <w:t xml:space="preserve">  </w:t>
            </w:r>
            <w:r>
              <w:rPr>
                <w:rFonts w:hint="eastAsia"/>
                <w:b/>
                <w:bCs/>
                <w:color w:val="auto"/>
                <w:sz w:val="24"/>
                <w:szCs w:val="20"/>
                <w:highlight w:val="none"/>
                <w:lang w:eastAsia="zh-CN"/>
              </w:rPr>
              <w:t>井陉矿区</w:t>
            </w:r>
            <w:r>
              <w:rPr>
                <w:rFonts w:hint="eastAsia"/>
                <w:b/>
                <w:bCs/>
                <w:color w:val="auto"/>
                <w:sz w:val="24"/>
                <w:szCs w:val="20"/>
                <w:highlight w:val="none"/>
              </w:rPr>
              <w:t>生态环境准入清单</w:t>
            </w:r>
          </w:p>
          <w:tbl>
            <w:tblPr>
              <w:tblStyle w:val="47"/>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986"/>
              <w:gridCol w:w="914"/>
              <w:gridCol w:w="833"/>
              <w:gridCol w:w="2181"/>
              <w:gridCol w:w="1232"/>
              <w:gridCol w:w="633"/>
            </w:tblGrid>
            <w:tr w14:paraId="5192B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4" w:type="pct"/>
                  <w:noWrap w:val="0"/>
                  <w:vAlign w:val="center"/>
                </w:tcPr>
                <w:p w14:paraId="5007001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县（市、区）</w:t>
                  </w:r>
                </w:p>
              </w:tc>
              <w:tc>
                <w:tcPr>
                  <w:tcW w:w="646" w:type="pct"/>
                  <w:noWrap w:val="0"/>
                  <w:vAlign w:val="center"/>
                </w:tcPr>
                <w:p w14:paraId="143E31B9">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单元</w:t>
                  </w:r>
                </w:p>
                <w:p w14:paraId="4E54D9F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类别</w:t>
                  </w:r>
                </w:p>
              </w:tc>
              <w:tc>
                <w:tcPr>
                  <w:tcW w:w="599" w:type="pct"/>
                  <w:noWrap w:val="0"/>
                  <w:vAlign w:val="center"/>
                </w:tcPr>
                <w:p w14:paraId="11CF93B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环境要素类别</w:t>
                  </w:r>
                </w:p>
              </w:tc>
              <w:tc>
                <w:tcPr>
                  <w:tcW w:w="546" w:type="pct"/>
                  <w:noWrap w:val="0"/>
                  <w:vAlign w:val="center"/>
                </w:tcPr>
                <w:p w14:paraId="44F3233A">
                  <w:pPr>
                    <w:keepNext w:val="0"/>
                    <w:keepLines w:val="0"/>
                    <w:suppressLineNumbers w:val="0"/>
                    <w:spacing w:before="0" w:beforeAutospacing="0" w:after="0" w:afterAutospacing="0" w:line="360" w:lineRule="exact"/>
                    <w:ind w:left="-105" w:leftChars="-50" w:right="-105" w:rightChars="-50"/>
                    <w:jc w:val="center"/>
                    <w:rPr>
                      <w:rFonts w:hint="eastAsia"/>
                      <w:color w:val="auto"/>
                      <w:kern w:val="0"/>
                      <w:szCs w:val="21"/>
                      <w:highlight w:val="none"/>
                    </w:rPr>
                  </w:pPr>
                  <w:r>
                    <w:rPr>
                      <w:rFonts w:hint="eastAsia"/>
                      <w:color w:val="auto"/>
                      <w:kern w:val="0"/>
                      <w:szCs w:val="21"/>
                      <w:highlight w:val="none"/>
                    </w:rPr>
                    <w:t>维度</w:t>
                  </w:r>
                </w:p>
              </w:tc>
              <w:tc>
                <w:tcPr>
                  <w:tcW w:w="1430" w:type="pct"/>
                  <w:noWrap w:val="0"/>
                  <w:vAlign w:val="center"/>
                </w:tcPr>
                <w:p w14:paraId="6816D4EE">
                  <w:pPr>
                    <w:keepNext w:val="0"/>
                    <w:keepLines w:val="0"/>
                    <w:suppressLineNumbers w:val="0"/>
                    <w:spacing w:before="0" w:beforeAutospacing="0" w:after="0" w:afterAutospacing="0" w:line="360" w:lineRule="exact"/>
                    <w:ind w:left="-105" w:leftChars="-50" w:right="-105" w:rightChars="-50"/>
                    <w:jc w:val="center"/>
                    <w:rPr>
                      <w:rFonts w:hint="eastAsia"/>
                      <w:color w:val="auto"/>
                      <w:kern w:val="0"/>
                      <w:szCs w:val="21"/>
                      <w:highlight w:val="none"/>
                    </w:rPr>
                  </w:pPr>
                  <w:r>
                    <w:rPr>
                      <w:rFonts w:hint="eastAsia"/>
                      <w:color w:val="auto"/>
                      <w:kern w:val="0"/>
                      <w:szCs w:val="21"/>
                      <w:highlight w:val="none"/>
                    </w:rPr>
                    <w:t>管控措施</w:t>
                  </w:r>
                </w:p>
              </w:tc>
              <w:tc>
                <w:tcPr>
                  <w:tcW w:w="807" w:type="pct"/>
                  <w:noWrap w:val="0"/>
                  <w:vAlign w:val="center"/>
                </w:tcPr>
                <w:p w14:paraId="17434B9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项目情况</w:t>
                  </w:r>
                </w:p>
              </w:tc>
              <w:tc>
                <w:tcPr>
                  <w:tcW w:w="415" w:type="pct"/>
                  <w:noWrap w:val="0"/>
                  <w:vAlign w:val="center"/>
                </w:tcPr>
                <w:p w14:paraId="37711D36">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是否符合相关要求</w:t>
                  </w:r>
                </w:p>
              </w:tc>
            </w:tr>
            <w:tr w14:paraId="2421A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3" w:hRule="atLeast"/>
              </w:trPr>
              <w:tc>
                <w:tcPr>
                  <w:tcW w:w="554" w:type="pct"/>
                  <w:vMerge w:val="restart"/>
                  <w:noWrap w:val="0"/>
                  <w:vAlign w:val="center"/>
                </w:tcPr>
                <w:p w14:paraId="78E05392">
                  <w:pPr>
                    <w:keepNext w:val="0"/>
                    <w:keepLines w:val="0"/>
                    <w:suppressLineNumbers w:val="0"/>
                    <w:adjustRightInd w:val="0"/>
                    <w:snapToGrid w:val="0"/>
                    <w:spacing w:before="0" w:beforeAutospacing="0" w:after="0" w:afterAutospacing="0"/>
                    <w:ind w:left="0" w:right="0"/>
                    <w:jc w:val="center"/>
                    <w:rPr>
                      <w:rFonts w:hint="eastAsia" w:eastAsia="宋体"/>
                      <w:color w:val="auto"/>
                      <w:szCs w:val="21"/>
                      <w:highlight w:val="none"/>
                      <w:lang w:eastAsia="zh-CN"/>
                    </w:rPr>
                  </w:pPr>
                  <w:r>
                    <w:rPr>
                      <w:rFonts w:hint="eastAsia"/>
                      <w:color w:val="auto"/>
                      <w:szCs w:val="21"/>
                      <w:highlight w:val="none"/>
                      <w:lang w:eastAsia="zh-CN"/>
                    </w:rPr>
                    <w:t>井陉矿区</w:t>
                  </w:r>
                </w:p>
              </w:tc>
              <w:tc>
                <w:tcPr>
                  <w:tcW w:w="646" w:type="pct"/>
                  <w:vMerge w:val="restart"/>
                  <w:noWrap w:val="0"/>
                  <w:vAlign w:val="center"/>
                </w:tcPr>
                <w:p w14:paraId="10322F39">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rPr>
                    <w:t>重点管控单元</w:t>
                  </w:r>
                  <w:r>
                    <w:rPr>
                      <w:rFonts w:hint="eastAsia" w:cs="Times New Roman"/>
                      <w:color w:val="auto"/>
                      <w:szCs w:val="21"/>
                      <w:highlight w:val="none"/>
                      <w:lang w:val="en-US" w:eastAsia="zh-CN"/>
                    </w:rPr>
                    <w:t>3（ZH13010720019）</w:t>
                  </w:r>
                </w:p>
              </w:tc>
              <w:tc>
                <w:tcPr>
                  <w:tcW w:w="599" w:type="pct"/>
                  <w:vMerge w:val="restart"/>
                  <w:noWrap w:val="0"/>
                  <w:vAlign w:val="center"/>
                </w:tcPr>
                <w:p w14:paraId="238B855E">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水环境工业污染重</w:t>
                  </w:r>
                </w:p>
                <w:p w14:paraId="4621BFB7">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点管控区、大气环境</w:t>
                  </w:r>
                </w:p>
                <w:p w14:paraId="7D239372">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高排放重点管控区、</w:t>
                  </w:r>
                </w:p>
                <w:p w14:paraId="04C92FCE">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河北石家庄矿区工</w:t>
                  </w:r>
                </w:p>
                <w:p w14:paraId="6DB7852A">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业园区</w:t>
                  </w:r>
                </w:p>
                <w:p w14:paraId="006116C8">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(西区)</w:t>
                  </w:r>
                </w:p>
              </w:tc>
              <w:tc>
                <w:tcPr>
                  <w:tcW w:w="546" w:type="pct"/>
                  <w:noWrap w:val="0"/>
                  <w:vAlign w:val="center"/>
                </w:tcPr>
                <w:p w14:paraId="4926BEC9">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空间布局约束</w:t>
                  </w:r>
                </w:p>
              </w:tc>
              <w:tc>
                <w:tcPr>
                  <w:tcW w:w="1430" w:type="pct"/>
                  <w:noWrap w:val="0"/>
                  <w:vAlign w:val="center"/>
                </w:tcPr>
                <w:p w14:paraId="47BE676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1、严格落实国家、河北省以及石家庄市最新产业目录准入要求。</w:t>
                  </w:r>
                </w:p>
                <w:p w14:paraId="399D038E">
                  <w:pPr>
                    <w:keepNext w:val="0"/>
                    <w:keepLines w:val="0"/>
                    <w:suppressLineNumbers w:val="0"/>
                    <w:adjustRightInd w:val="0"/>
                    <w:snapToGrid w:val="0"/>
                    <w:spacing w:before="0" w:beforeAutospacing="0" w:after="0" w:afterAutospacing="0"/>
                    <w:ind w:left="0" w:right="0"/>
                    <w:jc w:val="center"/>
                    <w:rPr>
                      <w:rFonts w:hint="eastAsia" w:eastAsia="宋体"/>
                      <w:color w:val="auto"/>
                      <w:szCs w:val="21"/>
                      <w:highlight w:val="none"/>
                      <w:lang w:eastAsia="zh-CN"/>
                    </w:rPr>
                  </w:pPr>
                  <w:r>
                    <w:rPr>
                      <w:rFonts w:hint="eastAsia"/>
                      <w:color w:val="auto"/>
                      <w:szCs w:val="21"/>
                      <w:highlight w:val="none"/>
                    </w:rPr>
                    <w:t>2、严格落实最新规划环评及其批复文件制定的环境准入要求。</w:t>
                  </w:r>
                </w:p>
              </w:tc>
              <w:tc>
                <w:tcPr>
                  <w:tcW w:w="807" w:type="pct"/>
                  <w:noWrap w:val="0"/>
                  <w:vAlign w:val="center"/>
                </w:tcPr>
                <w:p w14:paraId="3EC5161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lang w:val="en-US" w:eastAsia="zh-CN"/>
                    </w:rPr>
                  </w:pPr>
                  <w:r>
                    <w:rPr>
                      <w:rFonts w:hint="eastAsia"/>
                      <w:color w:val="auto"/>
                      <w:szCs w:val="21"/>
                      <w:highlight w:val="none"/>
                      <w:lang w:val="en-US" w:eastAsia="zh-CN"/>
                    </w:rPr>
                    <w:t>1.本项目满足国家、地方最新产业目录准入要求。</w:t>
                  </w:r>
                </w:p>
                <w:p w14:paraId="376517B7">
                  <w:pPr>
                    <w:keepNext w:val="0"/>
                    <w:keepLines w:val="0"/>
                    <w:suppressLineNumbers w:val="0"/>
                    <w:adjustRightInd w:val="0"/>
                    <w:snapToGrid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2.本项目满足最新规划环评及其审查意见制定的环境准入要求。</w:t>
                  </w:r>
                </w:p>
              </w:tc>
              <w:tc>
                <w:tcPr>
                  <w:tcW w:w="415" w:type="pct"/>
                  <w:noWrap w:val="0"/>
                  <w:vAlign w:val="center"/>
                </w:tcPr>
                <w:p w14:paraId="74124B95">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51DA0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4" w:type="pct"/>
                  <w:vMerge w:val="continue"/>
                  <w:noWrap w:val="0"/>
                  <w:vAlign w:val="center"/>
                </w:tcPr>
                <w:p w14:paraId="5507666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646" w:type="pct"/>
                  <w:vMerge w:val="continue"/>
                  <w:noWrap w:val="0"/>
                  <w:vAlign w:val="center"/>
                </w:tcPr>
                <w:p w14:paraId="0D5E0E6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599" w:type="pct"/>
                  <w:vMerge w:val="continue"/>
                  <w:noWrap w:val="0"/>
                  <w:vAlign w:val="center"/>
                </w:tcPr>
                <w:p w14:paraId="0FC80816">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546" w:type="pct"/>
                  <w:noWrap w:val="0"/>
                  <w:vAlign w:val="center"/>
                </w:tcPr>
                <w:p w14:paraId="40557F9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污染物排放管控</w:t>
                  </w:r>
                </w:p>
              </w:tc>
              <w:tc>
                <w:tcPr>
                  <w:tcW w:w="1430" w:type="pct"/>
                  <w:noWrap w:val="0"/>
                  <w:vAlign w:val="center"/>
                </w:tcPr>
                <w:p w14:paraId="4B73BF9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1、涉挥发性有机物企业排放标准执行《工业企业挥发性有机物排放控制标准》(DB12/2322-2016)、《挥发性有机物无组织排放控制标准》(GB 37822-2019)等相关标准要求。</w:t>
                  </w:r>
                </w:p>
                <w:p w14:paraId="75C8C876">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2、新(改、扩)建向环境水体直接排放污水的排污单位执行《子牙河流域水污染物排放标准》(DB13/2796-2018)排放限值。</w:t>
                  </w:r>
                </w:p>
              </w:tc>
              <w:tc>
                <w:tcPr>
                  <w:tcW w:w="807" w:type="pct"/>
                  <w:noWrap w:val="0"/>
                  <w:vAlign w:val="center"/>
                </w:tcPr>
                <w:p w14:paraId="10402706">
                  <w:pPr>
                    <w:keepNext w:val="0"/>
                    <w:keepLines w:val="0"/>
                    <w:suppressLineNumbers w:val="0"/>
                    <w:adjustRightInd w:val="0"/>
                    <w:snapToGrid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本项目淬火、回火冷却水循环使用不外排；生活污水经化粪池处理后定期由吸粪车抽走，无废水外排，项目废水不直接向环境水体排放污染物</w:t>
                  </w:r>
                </w:p>
              </w:tc>
              <w:tc>
                <w:tcPr>
                  <w:tcW w:w="415" w:type="pct"/>
                  <w:noWrap w:val="0"/>
                  <w:vAlign w:val="center"/>
                </w:tcPr>
                <w:p w14:paraId="470F0749">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r w14:paraId="33387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4" w:type="pct"/>
                  <w:vMerge w:val="continue"/>
                  <w:noWrap w:val="0"/>
                  <w:vAlign w:val="center"/>
                </w:tcPr>
                <w:p w14:paraId="3103643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646" w:type="pct"/>
                  <w:vMerge w:val="continue"/>
                  <w:noWrap w:val="0"/>
                  <w:vAlign w:val="center"/>
                </w:tcPr>
                <w:p w14:paraId="79D1082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599" w:type="pct"/>
                  <w:vMerge w:val="continue"/>
                  <w:noWrap w:val="0"/>
                  <w:vAlign w:val="center"/>
                </w:tcPr>
                <w:p w14:paraId="2FB8F170">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546" w:type="pct"/>
                  <w:noWrap w:val="0"/>
                  <w:vAlign w:val="center"/>
                </w:tcPr>
                <w:p w14:paraId="4E61402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环境风险防控</w:t>
                  </w:r>
                </w:p>
              </w:tc>
              <w:tc>
                <w:tcPr>
                  <w:tcW w:w="1430" w:type="pct"/>
                  <w:noWrap w:val="0"/>
                  <w:vAlign w:val="center"/>
                </w:tcPr>
                <w:p w14:paraId="35AA56FB">
                  <w:pPr>
                    <w:keepNext w:val="0"/>
                    <w:keepLines w:val="0"/>
                    <w:suppressLineNumbers w:val="0"/>
                    <w:adjustRightInd w:val="0"/>
                    <w:snapToGrid w:val="0"/>
                    <w:spacing w:before="0" w:beforeAutospacing="0" w:after="0" w:afterAutospacing="0"/>
                    <w:ind w:left="0" w:right="0"/>
                    <w:jc w:val="center"/>
                    <w:rPr>
                      <w:rFonts w:hint="eastAsia" w:eastAsia="宋体"/>
                      <w:color w:val="auto"/>
                      <w:szCs w:val="21"/>
                      <w:highlight w:val="none"/>
                      <w:lang w:eastAsia="zh-CN"/>
                    </w:rPr>
                  </w:pPr>
                  <w:r>
                    <w:rPr>
                      <w:rFonts w:hint="eastAsia"/>
                      <w:color w:val="auto"/>
                      <w:szCs w:val="21"/>
                      <w:highlight w:val="none"/>
                      <w:lang w:val="en-US" w:eastAsia="zh-CN"/>
                    </w:rPr>
                    <w:t>1、园区按照相关要求，建立完善环境风险管理相关制度和有效的事故风险防范体系。</w:t>
                  </w:r>
                </w:p>
              </w:tc>
              <w:tc>
                <w:tcPr>
                  <w:tcW w:w="807" w:type="pct"/>
                  <w:noWrap w:val="0"/>
                  <w:vAlign w:val="center"/>
                </w:tcPr>
                <w:p w14:paraId="24789660">
                  <w:pPr>
                    <w:keepNext w:val="0"/>
                    <w:keepLines w:val="0"/>
                    <w:suppressLineNumbers w:val="0"/>
                    <w:adjustRightInd w:val="0"/>
                    <w:snapToGrid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w:t>
                  </w:r>
                </w:p>
              </w:tc>
              <w:tc>
                <w:tcPr>
                  <w:tcW w:w="415" w:type="pct"/>
                  <w:noWrap w:val="0"/>
                  <w:vAlign w:val="center"/>
                </w:tcPr>
                <w:p w14:paraId="0DF17246">
                  <w:pPr>
                    <w:keepNext w:val="0"/>
                    <w:keepLines w:val="0"/>
                    <w:suppressLineNumbers w:val="0"/>
                    <w:adjustRightInd w:val="0"/>
                    <w:snapToGrid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w:t>
                  </w:r>
                </w:p>
              </w:tc>
            </w:tr>
            <w:tr w14:paraId="200F0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4" w:type="pct"/>
                  <w:vMerge w:val="continue"/>
                  <w:noWrap w:val="0"/>
                  <w:vAlign w:val="center"/>
                </w:tcPr>
                <w:p w14:paraId="76E55061">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646" w:type="pct"/>
                  <w:vMerge w:val="continue"/>
                  <w:noWrap w:val="0"/>
                  <w:vAlign w:val="center"/>
                </w:tcPr>
                <w:p w14:paraId="0EC0A6A2">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599" w:type="pct"/>
                  <w:vMerge w:val="continue"/>
                  <w:noWrap w:val="0"/>
                  <w:vAlign w:val="center"/>
                </w:tcPr>
                <w:p w14:paraId="6BB14E84">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p>
              </w:tc>
              <w:tc>
                <w:tcPr>
                  <w:tcW w:w="546" w:type="pct"/>
                  <w:noWrap w:val="0"/>
                  <w:vAlign w:val="center"/>
                </w:tcPr>
                <w:p w14:paraId="3C0D3BE8">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资源利用效率</w:t>
                  </w:r>
                </w:p>
              </w:tc>
              <w:tc>
                <w:tcPr>
                  <w:tcW w:w="1430" w:type="pct"/>
                  <w:noWrap w:val="0"/>
                  <w:vAlign w:val="center"/>
                </w:tcPr>
                <w:p w14:paraId="67EA625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1、提高区域中水使用比例。</w:t>
                  </w:r>
                </w:p>
                <w:p w14:paraId="161200BD">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2、鼓励开展余热利用，提高能源利用效率。</w:t>
                  </w:r>
                </w:p>
              </w:tc>
              <w:tc>
                <w:tcPr>
                  <w:tcW w:w="807" w:type="pct"/>
                  <w:noWrap w:val="0"/>
                  <w:vAlign w:val="center"/>
                </w:tcPr>
                <w:p w14:paraId="316559EB">
                  <w:pPr>
                    <w:keepNext w:val="0"/>
                    <w:keepLines w:val="0"/>
                    <w:suppressLineNumbers w:val="0"/>
                    <w:adjustRightInd w:val="0"/>
                    <w:snapToGrid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本项目淬火、回火冷却水循环使用不外排；项目生产生活均采用电能。</w:t>
                  </w:r>
                </w:p>
              </w:tc>
              <w:tc>
                <w:tcPr>
                  <w:tcW w:w="415" w:type="pct"/>
                  <w:noWrap w:val="0"/>
                  <w:vAlign w:val="center"/>
                </w:tcPr>
                <w:p w14:paraId="7F5AFF9E">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eastAsia"/>
                      <w:color w:val="auto"/>
                      <w:szCs w:val="21"/>
                      <w:highlight w:val="none"/>
                    </w:rPr>
                    <w:t>是</w:t>
                  </w:r>
                </w:p>
              </w:tc>
            </w:tr>
          </w:tbl>
          <w:p w14:paraId="64A86C9A">
            <w:pPr>
              <w:pStyle w:val="39"/>
              <w:keepNext w:val="0"/>
              <w:keepLines w:val="0"/>
              <w:suppressLineNumbers w:val="0"/>
              <w:spacing w:before="0" w:beforeAutospacing="0" w:after="0" w:afterAutospacing="0" w:line="500" w:lineRule="exact"/>
              <w:ind w:right="0" w:firstLine="480"/>
              <w:rPr>
                <w:rFonts w:hint="eastAsia"/>
                <w:color w:val="auto"/>
                <w:sz w:val="24"/>
                <w:highlight w:val="none"/>
              </w:rPr>
            </w:pPr>
            <w:r>
              <w:rPr>
                <w:rFonts w:hint="default"/>
                <w:color w:val="auto"/>
                <w:sz w:val="24"/>
                <w:highlight w:val="none"/>
              </w:rPr>
              <w:t>综上所述，项目符合</w:t>
            </w:r>
            <w:r>
              <w:rPr>
                <w:rFonts w:hint="eastAsia"/>
                <w:color w:val="auto"/>
                <w:sz w:val="24"/>
                <w:highlight w:val="none"/>
              </w:rPr>
              <w:t>《石家庄市生态环境准入清单（2023年版）》</w:t>
            </w:r>
            <w:r>
              <w:rPr>
                <w:rFonts w:hint="default"/>
                <w:color w:val="auto"/>
                <w:sz w:val="24"/>
                <w:highlight w:val="none"/>
              </w:rPr>
              <w:t>的相关要求</w:t>
            </w:r>
            <w:r>
              <w:rPr>
                <w:rFonts w:hint="eastAsia"/>
                <w:color w:val="auto"/>
                <w:sz w:val="24"/>
                <w:highlight w:val="none"/>
              </w:rPr>
              <w:t>。</w:t>
            </w:r>
          </w:p>
          <w:p w14:paraId="30728A95">
            <w:pPr>
              <w:pStyle w:val="172"/>
              <w:keepNext w:val="0"/>
              <w:keepLines w:val="0"/>
              <w:suppressLineNumbers w:val="0"/>
              <w:spacing w:before="0" w:beforeAutospacing="0" w:after="0" w:afterAutospacing="0"/>
              <w:ind w:left="0" w:right="0" w:firstLine="439" w:firstLineChars="182"/>
              <w:rPr>
                <w:rFonts w:hint="default" w:ascii="Times New Roman" w:hAnsi="Times New Roman" w:cs="Times New Roman"/>
                <w:b/>
                <w:smallCaps w:val="0"/>
                <w:color w:val="auto"/>
                <w:spacing w:val="0"/>
                <w:highlight w:val="none"/>
              </w:rPr>
            </w:pPr>
            <w:r>
              <w:rPr>
                <w:rFonts w:hint="eastAsia" w:cs="Times New Roman"/>
                <w:b/>
                <w:smallCaps w:val="0"/>
                <w:color w:val="auto"/>
                <w:spacing w:val="0"/>
                <w:highlight w:val="none"/>
                <w:lang w:val="en-US" w:eastAsia="zh-CN"/>
              </w:rPr>
              <w:t>5</w:t>
            </w:r>
            <w:r>
              <w:rPr>
                <w:rFonts w:hint="default" w:ascii="Times New Roman" w:hAnsi="Times New Roman" w:cs="Times New Roman"/>
                <w:b/>
                <w:smallCaps w:val="0"/>
                <w:color w:val="auto"/>
                <w:spacing w:val="0"/>
                <w:highlight w:val="none"/>
              </w:rPr>
              <w:t>、与环境管理政策符合性分析</w:t>
            </w:r>
          </w:p>
          <w:p w14:paraId="2C40E390">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项目与环境管理政策符合性分析见下表</w:t>
            </w:r>
            <w:r>
              <w:rPr>
                <w:rFonts w:hint="eastAsia" w:cs="Times New Roman"/>
                <w:smallCaps w:val="0"/>
                <w:color w:val="auto"/>
                <w:spacing w:val="0"/>
                <w:highlight w:val="none"/>
                <w:lang w:eastAsia="zh-CN"/>
              </w:rPr>
              <w:t>：</w:t>
            </w:r>
          </w:p>
          <w:p w14:paraId="4D035D39">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表1-</w:t>
            </w:r>
            <w:r>
              <w:rPr>
                <w:rFonts w:hint="eastAsia" w:cs="Times New Roman"/>
                <w:smallCaps w:val="0"/>
                <w:color w:val="auto"/>
                <w:spacing w:val="0"/>
                <w:highlight w:val="none"/>
                <w:lang w:val="en-US" w:eastAsia="zh-CN"/>
              </w:rPr>
              <w:t>12</w:t>
            </w:r>
            <w:r>
              <w:rPr>
                <w:rFonts w:hint="default" w:ascii="Times New Roman" w:hAnsi="Times New Roman" w:cs="Times New Roman"/>
                <w:smallCaps w:val="0"/>
                <w:color w:val="auto"/>
                <w:spacing w:val="0"/>
                <w:highlight w:val="none"/>
              </w:rPr>
              <w:t xml:space="preserve">    与环境管理政策符合性分析一览表</w:t>
            </w:r>
          </w:p>
          <w:tbl>
            <w:tblPr>
              <w:tblStyle w:val="4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9"/>
              <w:gridCol w:w="3290"/>
              <w:gridCol w:w="2083"/>
              <w:gridCol w:w="725"/>
            </w:tblGrid>
            <w:tr w14:paraId="01267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noWrap w:val="0"/>
                  <w:vAlign w:val="center"/>
                </w:tcPr>
                <w:p w14:paraId="016C9659">
                  <w:pPr>
                    <w:keepNext w:val="0"/>
                    <w:keepLines w:val="0"/>
                    <w:suppressLineNumbers w:val="0"/>
                    <w:adjustRightInd w:val="0"/>
                    <w:snapToGrid w:val="0"/>
                    <w:spacing w:before="0" w:beforeAutospacing="0" w:after="0" w:afterAutospacing="0"/>
                    <w:ind w:left="0" w:right="0"/>
                    <w:jc w:val="center"/>
                    <w:rPr>
                      <w:rFonts w:hint="default" w:hAnsi="宋体"/>
                      <w:snapToGrid w:val="0"/>
                      <w:color w:val="auto"/>
                      <w:kern w:val="0"/>
                      <w:szCs w:val="21"/>
                      <w:highlight w:val="none"/>
                    </w:rPr>
                  </w:pPr>
                  <w:r>
                    <w:rPr>
                      <w:rFonts w:hint="default" w:hAnsi="宋体"/>
                      <w:snapToGrid w:val="0"/>
                      <w:color w:val="auto"/>
                      <w:kern w:val="0"/>
                      <w:szCs w:val="21"/>
                      <w:highlight w:val="none"/>
                    </w:rPr>
                    <w:t>环保政策</w:t>
                  </w:r>
                </w:p>
              </w:tc>
              <w:tc>
                <w:tcPr>
                  <w:tcW w:w="2156" w:type="pct"/>
                  <w:noWrap w:val="0"/>
                  <w:vAlign w:val="center"/>
                </w:tcPr>
                <w:p w14:paraId="380DD0CB">
                  <w:pPr>
                    <w:keepNext w:val="0"/>
                    <w:keepLines w:val="0"/>
                    <w:suppressLineNumbers w:val="0"/>
                    <w:adjustRightInd w:val="0"/>
                    <w:snapToGrid w:val="0"/>
                    <w:spacing w:before="0" w:beforeAutospacing="0" w:after="0" w:afterAutospacing="0"/>
                    <w:ind w:left="0" w:right="0"/>
                    <w:jc w:val="center"/>
                    <w:rPr>
                      <w:rFonts w:hint="default" w:hAnsi="宋体"/>
                      <w:snapToGrid w:val="0"/>
                      <w:color w:val="auto"/>
                      <w:kern w:val="0"/>
                      <w:szCs w:val="21"/>
                      <w:highlight w:val="none"/>
                    </w:rPr>
                  </w:pPr>
                  <w:r>
                    <w:rPr>
                      <w:rFonts w:hint="default" w:hAnsi="宋体"/>
                      <w:snapToGrid w:val="0"/>
                      <w:color w:val="auto"/>
                      <w:kern w:val="0"/>
                      <w:szCs w:val="21"/>
                      <w:highlight w:val="none"/>
                    </w:rPr>
                    <w:t>政策要求</w:t>
                  </w:r>
                </w:p>
              </w:tc>
              <w:tc>
                <w:tcPr>
                  <w:tcW w:w="1365" w:type="pct"/>
                  <w:noWrap w:val="0"/>
                  <w:vAlign w:val="center"/>
                </w:tcPr>
                <w:p w14:paraId="5814E6F3">
                  <w:pPr>
                    <w:keepNext w:val="0"/>
                    <w:keepLines w:val="0"/>
                    <w:suppressLineNumbers w:val="0"/>
                    <w:adjustRightInd w:val="0"/>
                    <w:snapToGrid w:val="0"/>
                    <w:spacing w:before="0" w:beforeAutospacing="0" w:after="0" w:afterAutospacing="0"/>
                    <w:ind w:left="0" w:right="0"/>
                    <w:jc w:val="center"/>
                    <w:rPr>
                      <w:rFonts w:hint="default" w:hAnsi="宋体"/>
                      <w:snapToGrid w:val="0"/>
                      <w:color w:val="auto"/>
                      <w:kern w:val="0"/>
                      <w:szCs w:val="21"/>
                      <w:highlight w:val="none"/>
                    </w:rPr>
                  </w:pPr>
                  <w:r>
                    <w:rPr>
                      <w:rFonts w:hint="eastAsia" w:hAnsi="宋体"/>
                      <w:snapToGrid w:val="0"/>
                      <w:color w:val="auto"/>
                      <w:kern w:val="0"/>
                      <w:szCs w:val="21"/>
                      <w:highlight w:val="none"/>
                    </w:rPr>
                    <w:t>项目</w:t>
                  </w:r>
                  <w:r>
                    <w:rPr>
                      <w:rFonts w:hint="default" w:hAnsi="宋体"/>
                      <w:snapToGrid w:val="0"/>
                      <w:color w:val="auto"/>
                      <w:kern w:val="0"/>
                      <w:szCs w:val="21"/>
                      <w:highlight w:val="none"/>
                    </w:rPr>
                    <w:t>情况</w:t>
                  </w:r>
                </w:p>
              </w:tc>
              <w:tc>
                <w:tcPr>
                  <w:tcW w:w="475" w:type="pct"/>
                  <w:noWrap w:val="0"/>
                  <w:vAlign w:val="center"/>
                </w:tcPr>
                <w:p w14:paraId="63B7DF04">
                  <w:pPr>
                    <w:keepNext w:val="0"/>
                    <w:keepLines w:val="0"/>
                    <w:suppressLineNumbers w:val="0"/>
                    <w:adjustRightInd w:val="0"/>
                    <w:snapToGrid w:val="0"/>
                    <w:spacing w:before="0" w:beforeAutospacing="0" w:after="0" w:afterAutospacing="0"/>
                    <w:ind w:left="0" w:right="0"/>
                    <w:jc w:val="center"/>
                    <w:rPr>
                      <w:rFonts w:hint="default" w:hAnsi="宋体"/>
                      <w:snapToGrid w:val="0"/>
                      <w:color w:val="auto"/>
                      <w:kern w:val="0"/>
                      <w:szCs w:val="21"/>
                      <w:highlight w:val="none"/>
                    </w:rPr>
                  </w:pPr>
                  <w:r>
                    <w:rPr>
                      <w:rFonts w:hint="default" w:hAnsi="宋体"/>
                      <w:snapToGrid w:val="0"/>
                      <w:color w:val="auto"/>
                      <w:kern w:val="0"/>
                      <w:szCs w:val="21"/>
                      <w:highlight w:val="none"/>
                    </w:rPr>
                    <w:t>符合性</w:t>
                  </w:r>
                </w:p>
              </w:tc>
            </w:tr>
            <w:tr w14:paraId="7F75B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restart"/>
                  <w:shd w:val="clear" w:color="auto" w:fill="auto"/>
                  <w:noWrap w:val="0"/>
                  <w:vAlign w:val="center"/>
                </w:tcPr>
                <w:p w14:paraId="386CCEDE">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国务院关于印发《空气质量持续改善行动计划》的通知</w:t>
                  </w:r>
                </w:p>
              </w:tc>
              <w:tc>
                <w:tcPr>
                  <w:tcW w:w="2156" w:type="pct"/>
                  <w:shd w:val="clear" w:color="auto" w:fill="auto"/>
                  <w:noWrap w:val="0"/>
                  <w:vAlign w:val="center"/>
                </w:tcPr>
                <w:p w14:paraId="0276D992">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二</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重点区域京津冀及周边地区。包含北京市，天津市，河北省石家庄、唐山、秦皇岛、邯郸、邢台、保定、沧州、廊坊、衡水市以及雄安新区和辛集、定州市，山东省济南、淄博、枣庄、东营、潍坊、济宁、泰安、日照、临沂、德州、聊城、滨州、菏泽市，河南省郑州、开封、洛阳、平顶山、安阳、鹤壁、新乡、焦作、濮阳、许昌、漯河、三门峡、商丘、周口市以及济源市</w:t>
                  </w:r>
                </w:p>
              </w:tc>
              <w:tc>
                <w:tcPr>
                  <w:tcW w:w="1365" w:type="pct"/>
                  <w:shd w:val="clear" w:color="auto" w:fill="auto"/>
                  <w:noWrap w:val="0"/>
                  <w:vAlign w:val="center"/>
                </w:tcPr>
                <w:p w14:paraId="7CA4E4F1">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项目位于河北省石家庄市</w:t>
                  </w:r>
                  <w:r>
                    <w:rPr>
                      <w:rFonts w:hint="eastAsia" w:cs="Times New Roman"/>
                      <w:color w:val="auto"/>
                      <w:kern w:val="2"/>
                      <w:sz w:val="21"/>
                      <w:szCs w:val="21"/>
                      <w:highlight w:val="none"/>
                      <w:lang w:val="en-US" w:eastAsia="zh-CN" w:bidi="ar-SA"/>
                    </w:rPr>
                    <w:t>井陉矿区</w:t>
                  </w:r>
                  <w:r>
                    <w:rPr>
                      <w:rFonts w:hint="eastAsia" w:ascii="Times New Roman" w:hAnsi="Times New Roman" w:eastAsia="宋体" w:cs="Times New Roman"/>
                      <w:color w:val="auto"/>
                      <w:kern w:val="2"/>
                      <w:sz w:val="21"/>
                      <w:szCs w:val="21"/>
                      <w:highlight w:val="none"/>
                      <w:lang w:val="en-US" w:eastAsia="zh-CN" w:bidi="ar-SA"/>
                    </w:rPr>
                    <w:t>，属于京津冀及周边地区重点区域</w:t>
                  </w:r>
                </w:p>
              </w:tc>
              <w:tc>
                <w:tcPr>
                  <w:tcW w:w="475" w:type="pct"/>
                  <w:shd w:val="clear" w:color="auto" w:fill="auto"/>
                  <w:noWrap w:val="0"/>
                  <w:vAlign w:val="center"/>
                </w:tcPr>
                <w:p w14:paraId="653526B5">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符合</w:t>
                  </w:r>
                </w:p>
              </w:tc>
            </w:tr>
            <w:tr w14:paraId="2B2C1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shd w:val="clear" w:color="auto" w:fill="auto"/>
                  <w:noWrap w:val="0"/>
                  <w:vAlign w:val="center"/>
                </w:tcPr>
                <w:p w14:paraId="54A579F7">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p>
              </w:tc>
              <w:tc>
                <w:tcPr>
                  <w:tcW w:w="2156" w:type="pct"/>
                  <w:shd w:val="clear" w:color="auto" w:fill="auto"/>
                  <w:noWrap w:val="0"/>
                  <w:vAlign w:val="center"/>
                </w:tcPr>
                <w:p w14:paraId="009B5561">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四</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坚决遏制高耗能、高排放、低水平项目盲目上马。新改扩建项目严格落实国家产业规划、产业政策、生态环境分区管控方案、规划环评、项目环评、节能审查、产能置换、重点污染物总量控制、污染物排放区域削减、碳排放达峰目标等相关要求，原则上采用清洁运输方式。涉及产能置换的项目，被置换产能及其配套设施关停后，新建项目方可投产。</w:t>
                  </w:r>
                </w:p>
              </w:tc>
              <w:tc>
                <w:tcPr>
                  <w:tcW w:w="1365" w:type="pct"/>
                  <w:shd w:val="clear" w:color="auto" w:fill="auto"/>
                  <w:noWrap w:val="0"/>
                  <w:vAlign w:val="center"/>
                </w:tcPr>
                <w:p w14:paraId="19C0C773">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项目不属于高耗能、高排放、低水平项目。符合国家产业政策、生态环境分区管控方案</w:t>
                  </w:r>
                </w:p>
              </w:tc>
              <w:tc>
                <w:tcPr>
                  <w:tcW w:w="475" w:type="pct"/>
                  <w:shd w:val="clear" w:color="auto" w:fill="auto"/>
                  <w:noWrap w:val="0"/>
                  <w:vAlign w:val="center"/>
                </w:tcPr>
                <w:p w14:paraId="3CC6638F">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符合</w:t>
                  </w:r>
                </w:p>
              </w:tc>
            </w:tr>
            <w:tr w14:paraId="12213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shd w:val="clear" w:color="auto" w:fill="auto"/>
                  <w:noWrap w:val="0"/>
                  <w:vAlign w:val="center"/>
                </w:tcPr>
                <w:p w14:paraId="07801D25">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p>
              </w:tc>
              <w:tc>
                <w:tcPr>
                  <w:tcW w:w="2156" w:type="pct"/>
                  <w:shd w:val="clear" w:color="auto" w:fill="auto"/>
                  <w:noWrap w:val="0"/>
                  <w:vAlign w:val="center"/>
                </w:tcPr>
                <w:p w14:paraId="41846BF9">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十五</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加快提升机动车清洁化水平。重点区域公共领域新增或更新公交、出租、城市物流配送、轻型环卫等车辆中，新能源汽车比例不低于80%</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加快淘汰采用稀薄燃烧技术的燃气货车。推动山西省、内蒙古自治区、陕西省打造清洁运输先行引领区，培育一批清洁运输企业。在火电、钢铁、煤炭、焦化、有色、水泥等行业和物流园区推广新能源中重型货车，发展零排放货运车队。力争到2025年，重点区域高速服务区快充站覆盖率不低于80%，其他地区不低于60%。</w:t>
                  </w:r>
                </w:p>
                <w:p w14:paraId="7E763756">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强化新生产货车监督抽查，实现系族全覆盖。加强重型货车路检路查和入户检查。全面实施汽车排放检验与维护制度和机动车排放召回制度，强化对年检机构的监管执法。鼓励重点区域城市开展燃油蒸发排放控制检测。</w:t>
                  </w:r>
                </w:p>
              </w:tc>
              <w:tc>
                <w:tcPr>
                  <w:tcW w:w="1365" w:type="pct"/>
                  <w:shd w:val="clear" w:color="auto" w:fill="auto"/>
                  <w:noWrap w:val="0"/>
                  <w:vAlign w:val="center"/>
                </w:tcPr>
                <w:p w14:paraId="6C1E41BE">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本项目不属于</w:t>
                  </w:r>
                  <w:r>
                    <w:rPr>
                      <w:rFonts w:hint="default" w:ascii="Times New Roman" w:hAnsi="Times New Roman" w:eastAsia="宋体" w:cs="Times New Roman"/>
                      <w:color w:val="auto"/>
                      <w:kern w:val="2"/>
                      <w:sz w:val="21"/>
                      <w:szCs w:val="21"/>
                      <w:highlight w:val="none"/>
                      <w:lang w:val="en-US" w:eastAsia="zh-CN" w:bidi="ar-SA"/>
                    </w:rPr>
                    <w:t>火电、钢铁、煤炭、焦化、有色、水泥等行业</w:t>
                  </w:r>
                  <w:r>
                    <w:rPr>
                      <w:rFonts w:hint="eastAsia" w:ascii="Times New Roman" w:hAnsi="Times New Roman" w:eastAsia="宋体" w:cs="Times New Roman"/>
                      <w:color w:val="auto"/>
                      <w:kern w:val="2"/>
                      <w:sz w:val="21"/>
                      <w:szCs w:val="21"/>
                      <w:highlight w:val="none"/>
                      <w:lang w:val="en-US" w:eastAsia="zh-CN" w:bidi="ar-SA"/>
                    </w:rPr>
                    <w:t>；项目</w:t>
                  </w:r>
                  <w:r>
                    <w:rPr>
                      <w:rFonts w:hint="eastAsia" w:cs="Times New Roman"/>
                      <w:color w:val="auto"/>
                      <w:kern w:val="2"/>
                      <w:sz w:val="21"/>
                      <w:szCs w:val="21"/>
                      <w:highlight w:val="none"/>
                      <w:lang w:val="en-US" w:eastAsia="zh-CN" w:bidi="ar-SA"/>
                    </w:rPr>
                    <w:t>的原辅材料、产品</w:t>
                  </w:r>
                  <w:r>
                    <w:rPr>
                      <w:rFonts w:hint="eastAsia" w:ascii="Times New Roman" w:hAnsi="Times New Roman" w:eastAsia="宋体" w:cs="Times New Roman"/>
                      <w:color w:val="auto"/>
                      <w:kern w:val="2"/>
                      <w:sz w:val="21"/>
                      <w:szCs w:val="21"/>
                      <w:highlight w:val="none"/>
                      <w:lang w:val="en-US" w:eastAsia="zh-CN" w:bidi="ar-SA"/>
                    </w:rPr>
                    <w:t>由物流公司运输，要求使用的运输车辆符合要求。</w:t>
                  </w:r>
                </w:p>
              </w:tc>
              <w:tc>
                <w:tcPr>
                  <w:tcW w:w="475" w:type="pct"/>
                  <w:shd w:val="clear" w:color="auto" w:fill="auto"/>
                  <w:noWrap w:val="0"/>
                  <w:vAlign w:val="center"/>
                </w:tcPr>
                <w:p w14:paraId="5BD64AFA">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符合</w:t>
                  </w:r>
                </w:p>
              </w:tc>
            </w:tr>
            <w:tr w14:paraId="5A2B5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restart"/>
                  <w:shd w:val="clear" w:color="auto" w:fill="auto"/>
                  <w:noWrap w:val="0"/>
                  <w:vAlign w:val="center"/>
                </w:tcPr>
                <w:p w14:paraId="57F2B4ED">
                  <w:pPr>
                    <w:pStyle w:val="67"/>
                    <w:keepNext w:val="0"/>
                    <w:keepLines w:val="0"/>
                    <w:pageBreakBefore w:val="0"/>
                    <w:suppressLineNumbers w:val="0"/>
                    <w:kinsoku/>
                    <w:wordWrap/>
                    <w:overflowPunct/>
                    <w:bidi w:val="0"/>
                    <w:spacing w:before="0" w:beforeAutospacing="0" w:after="0" w:afterAutospacing="0" w:line="360" w:lineRule="exact"/>
                    <w:ind w:left="0" w:leftChars="0" w:right="0" w:rightChars="0"/>
                    <w:jc w:val="center"/>
                    <w:rPr>
                      <w:rFonts w:hint="eastAsia" w:ascii="Times New Roman" w:hAnsi="Times New Roman" w:eastAsia="宋体" w:cs="Times New Roman"/>
                      <w:bCs/>
                      <w:smallCaps w:val="0"/>
                      <w:color w:val="auto"/>
                      <w:spacing w:val="0"/>
                      <w:kern w:val="0"/>
                      <w:sz w:val="21"/>
                      <w:szCs w:val="21"/>
                      <w:highlight w:val="none"/>
                      <w:lang w:val="en-US" w:eastAsia="zh-CN" w:bidi="ar-SA"/>
                    </w:rPr>
                  </w:pPr>
                  <w:r>
                    <w:rPr>
                      <w:rFonts w:hint="eastAsia" w:ascii="Times New Roman" w:hAnsi="Times New Roman" w:cs="Times New Roman"/>
                      <w:smallCaps w:val="0"/>
                      <w:color w:val="auto"/>
                      <w:spacing w:val="0"/>
                      <w:sz w:val="21"/>
                      <w:szCs w:val="21"/>
                      <w:highlight w:val="none"/>
                      <w:lang w:val="en-US" w:eastAsia="zh-CN"/>
                    </w:rPr>
                    <w:t>石家庄市人民政府关于印发《石家庄市大气环境质量限期达标规划》（石政发</w:t>
                  </w:r>
                  <w:r>
                    <w:rPr>
                      <w:rFonts w:hint="default" w:ascii="Times New Roman" w:hAnsi="Times New Roman" w:cs="Times New Roman"/>
                      <w:smallCaps w:val="0"/>
                      <w:color w:val="auto"/>
                      <w:spacing w:val="0"/>
                      <w:sz w:val="21"/>
                      <w:szCs w:val="21"/>
                      <w:highlight w:val="none"/>
                      <w:lang w:val="en-US" w:eastAsia="zh-CN"/>
                    </w:rPr>
                    <w:t>〔</w:t>
                  </w:r>
                  <w:r>
                    <w:rPr>
                      <w:rFonts w:hint="eastAsia" w:ascii="Times New Roman" w:hAnsi="Times New Roman" w:cs="Times New Roman"/>
                      <w:smallCaps w:val="0"/>
                      <w:color w:val="auto"/>
                      <w:spacing w:val="0"/>
                      <w:sz w:val="21"/>
                      <w:szCs w:val="21"/>
                      <w:highlight w:val="none"/>
                      <w:lang w:val="en-US" w:eastAsia="zh-CN"/>
                    </w:rPr>
                    <w:t>2025</w:t>
                  </w:r>
                  <w:r>
                    <w:rPr>
                      <w:rFonts w:hint="default" w:ascii="Times New Roman" w:hAnsi="Times New Roman" w:cs="Times New Roman"/>
                      <w:smallCaps w:val="0"/>
                      <w:color w:val="auto"/>
                      <w:spacing w:val="0"/>
                      <w:sz w:val="21"/>
                      <w:szCs w:val="21"/>
                      <w:highlight w:val="none"/>
                      <w:lang w:val="en-US" w:eastAsia="zh-CN"/>
                    </w:rPr>
                    <w:t>〕</w:t>
                  </w:r>
                  <w:r>
                    <w:rPr>
                      <w:rFonts w:hint="eastAsia" w:ascii="Times New Roman" w:hAnsi="Times New Roman" w:cs="Times New Roman"/>
                      <w:smallCaps w:val="0"/>
                      <w:color w:val="auto"/>
                      <w:spacing w:val="0"/>
                      <w:sz w:val="21"/>
                      <w:szCs w:val="21"/>
                      <w:highlight w:val="none"/>
                      <w:lang w:val="en-US" w:eastAsia="zh-CN"/>
                    </w:rPr>
                    <w:t>11</w:t>
                  </w:r>
                  <w:r>
                    <w:rPr>
                      <w:rFonts w:hint="default" w:ascii="Times New Roman" w:hAnsi="Times New Roman" w:cs="Times New Roman"/>
                      <w:smallCaps w:val="0"/>
                      <w:color w:val="auto"/>
                      <w:spacing w:val="0"/>
                      <w:sz w:val="21"/>
                      <w:szCs w:val="21"/>
                      <w:highlight w:val="none"/>
                      <w:lang w:val="en-US" w:eastAsia="zh-CN"/>
                    </w:rPr>
                    <w:t>号</w:t>
                  </w:r>
                  <w:r>
                    <w:rPr>
                      <w:rFonts w:hint="eastAsia" w:ascii="Times New Roman" w:hAnsi="Times New Roman" w:cs="Times New Roman"/>
                      <w:smallCaps w:val="0"/>
                      <w:color w:val="auto"/>
                      <w:spacing w:val="0"/>
                      <w:sz w:val="21"/>
                      <w:szCs w:val="21"/>
                      <w:highlight w:val="none"/>
                      <w:lang w:val="en-US" w:eastAsia="zh-CN"/>
                    </w:rPr>
                    <w:t>）</w:t>
                  </w:r>
                </w:p>
              </w:tc>
              <w:tc>
                <w:tcPr>
                  <w:tcW w:w="2156" w:type="pct"/>
                  <w:shd w:val="clear" w:color="auto" w:fill="auto"/>
                  <w:noWrap w:val="0"/>
                  <w:vAlign w:val="center"/>
                </w:tcPr>
                <w:p w14:paraId="605A766A">
                  <w:pPr>
                    <w:pStyle w:val="136"/>
                    <w:keepNext w:val="0"/>
                    <w:keepLines w:val="0"/>
                    <w:pageBreakBefore w:val="0"/>
                    <w:suppressLineNumbers w:val="0"/>
                    <w:shd w:val="clear" w:color="auto" w:fill="auto"/>
                    <w:kinsoku/>
                    <w:wordWrap/>
                    <w:overflowPunct/>
                    <w:bidi w:val="0"/>
                    <w:spacing w:before="0" w:beforeAutospacing="0" w:after="0" w:afterAutospacing="0" w:line="360" w:lineRule="exact"/>
                    <w:ind w:left="0" w:right="0" w:hanging="1" w:firstLineChars="0"/>
                    <w:jc w:val="center"/>
                    <w:rPr>
                      <w:rFonts w:hint="default" w:ascii="Times New Roman" w:hAnsi="Times New Roman" w:cs="Times New Roman"/>
                      <w:smallCaps w:val="0"/>
                      <w:color w:val="auto"/>
                      <w:spacing w:val="0"/>
                      <w:sz w:val="21"/>
                      <w:szCs w:val="21"/>
                      <w:highlight w:val="none"/>
                    </w:rPr>
                  </w:pPr>
                  <w:r>
                    <w:rPr>
                      <w:rFonts w:hint="default" w:ascii="Times New Roman" w:hAnsi="Times New Roman" w:cs="Times New Roman"/>
                      <w:smallCaps w:val="0"/>
                      <w:color w:val="auto"/>
                      <w:spacing w:val="0"/>
                      <w:sz w:val="21"/>
                      <w:szCs w:val="21"/>
                      <w:highlight w:val="none"/>
                    </w:rPr>
                    <w:t>1.严格环境准入</w:t>
                  </w:r>
                </w:p>
                <w:p w14:paraId="161D3F66">
                  <w:pPr>
                    <w:pStyle w:val="136"/>
                    <w:keepNext w:val="0"/>
                    <w:keepLines w:val="0"/>
                    <w:pageBreakBefore w:val="0"/>
                    <w:suppressLineNumbers w:val="0"/>
                    <w:shd w:val="clear" w:color="auto" w:fill="auto"/>
                    <w:kinsoku/>
                    <w:wordWrap/>
                    <w:overflowPunct/>
                    <w:bidi w:val="0"/>
                    <w:spacing w:before="0" w:beforeAutospacing="0" w:after="0" w:afterAutospacing="0" w:line="360" w:lineRule="exact"/>
                    <w:ind w:left="0" w:right="0" w:hanging="1" w:firstLineChars="0"/>
                    <w:jc w:val="center"/>
                    <w:rPr>
                      <w:rFonts w:hint="default" w:ascii="Times New Roman" w:hAnsi="Times New Roman" w:cs="Times New Roman"/>
                      <w:smallCaps w:val="0"/>
                      <w:color w:val="auto"/>
                      <w:spacing w:val="0"/>
                      <w:sz w:val="21"/>
                      <w:szCs w:val="21"/>
                      <w:highlight w:val="none"/>
                    </w:rPr>
                  </w:pPr>
                  <w:r>
                    <w:rPr>
                      <w:rFonts w:hint="default" w:ascii="Times New Roman" w:hAnsi="Times New Roman" w:cs="Times New Roman"/>
                      <w:smallCaps w:val="0"/>
                      <w:color w:val="auto"/>
                      <w:spacing w:val="0"/>
                      <w:sz w:val="21"/>
                      <w:szCs w:val="21"/>
                      <w:highlight w:val="none"/>
                    </w:rPr>
                    <w:t>严格落实生态环境分区管控。强化生态环境分区管控的刚性约束和政策引领作用，新、改、扩建项目的环境影响评价应满足区域、规划环评要求。按照《石家庄市生态环境准入清单》要求，严格控制生产和使用高VOCs含量涂料、油墨、胶粘剂、清洗剂等建设项目，提高低</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无</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VOCs含量产品比重。</w:t>
                  </w:r>
                </w:p>
                <w:p w14:paraId="78A8C5E7">
                  <w:pPr>
                    <w:pStyle w:val="136"/>
                    <w:keepNext w:val="0"/>
                    <w:keepLines w:val="0"/>
                    <w:pageBreakBefore w:val="0"/>
                    <w:suppressLineNumbers w:val="0"/>
                    <w:shd w:val="clear" w:color="auto" w:fill="auto"/>
                    <w:kinsoku/>
                    <w:wordWrap/>
                    <w:overflowPunct/>
                    <w:bidi w:val="0"/>
                    <w:spacing w:before="0" w:beforeAutospacing="0" w:after="0" w:afterAutospacing="0" w:line="360" w:lineRule="exact"/>
                    <w:ind w:left="0" w:leftChars="0" w:right="0" w:rightChars="0" w:hanging="1" w:firstLineChars="0"/>
                    <w:jc w:val="center"/>
                    <w:rPr>
                      <w:rFonts w:hint="default" w:ascii="Times New Roman" w:hAnsi="Times New Roman" w:eastAsia="宋体" w:cs="Times New Roman"/>
                      <w:smallCaps w:val="0"/>
                      <w:color w:val="auto"/>
                      <w:spacing w:val="0"/>
                      <w:kern w:val="0"/>
                      <w:sz w:val="21"/>
                      <w:szCs w:val="21"/>
                      <w:highlight w:val="none"/>
                      <w:lang w:val="en-US" w:eastAsia="zh-CN" w:bidi="ar-SA"/>
                    </w:rPr>
                  </w:pPr>
                  <w:r>
                    <w:rPr>
                      <w:rFonts w:hint="default" w:ascii="Times New Roman" w:hAnsi="Times New Roman" w:cs="Times New Roman"/>
                      <w:smallCaps w:val="0"/>
                      <w:color w:val="auto"/>
                      <w:spacing w:val="0"/>
                      <w:sz w:val="21"/>
                      <w:szCs w:val="21"/>
                      <w:highlight w:val="none"/>
                    </w:rPr>
                    <w:t>严控</w:t>
                  </w:r>
                  <w:r>
                    <w:rPr>
                      <w:rFonts w:hint="eastAsia"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两高</w:t>
                  </w:r>
                  <w:r>
                    <w:rPr>
                      <w:rFonts w:hint="eastAsia"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项目准入。全市不再新增钢铁</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含铸造用生铁</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、焦化、水泥熟料</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超出产能进行产能置换除外</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、平板玻璃、电解铝、氧化铝</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含氢氧化铝</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、煤化工产能。严格执行重点行业产能减量或等量置换相关规定。对本地新、改、扩建项目排放的颗粒物、SO</w:t>
                  </w:r>
                  <w:r>
                    <w:rPr>
                      <w:rFonts w:hint="default" w:ascii="Times New Roman" w:hAnsi="Times New Roman" w:cs="Times New Roman"/>
                      <w:smallCaps w:val="0"/>
                      <w:color w:val="auto"/>
                      <w:spacing w:val="0"/>
                      <w:sz w:val="21"/>
                      <w:szCs w:val="21"/>
                      <w:highlight w:val="none"/>
                      <w:vertAlign w:val="subscript"/>
                    </w:rPr>
                    <w:t>2</w:t>
                  </w:r>
                  <w:r>
                    <w:rPr>
                      <w:rFonts w:hint="default" w:ascii="Times New Roman" w:hAnsi="Times New Roman" w:cs="Times New Roman"/>
                      <w:smallCaps w:val="0"/>
                      <w:color w:val="auto"/>
                      <w:spacing w:val="0"/>
                      <w:sz w:val="21"/>
                      <w:szCs w:val="21"/>
                      <w:highlight w:val="none"/>
                    </w:rPr>
                    <w:t>、NOx、VOCs实行两倍削减替代。建设项目为高架源的，污染物替代指标应来源于高架源。</w:t>
                  </w:r>
                </w:p>
              </w:tc>
              <w:tc>
                <w:tcPr>
                  <w:tcW w:w="1365" w:type="pct"/>
                  <w:shd w:val="clear" w:color="auto" w:fill="auto"/>
                  <w:noWrap w:val="0"/>
                  <w:vAlign w:val="center"/>
                </w:tcPr>
                <w:p w14:paraId="2DAEB19B">
                  <w:pPr>
                    <w:pStyle w:val="136"/>
                    <w:keepNext w:val="0"/>
                    <w:keepLines w:val="0"/>
                    <w:pageBreakBefore w:val="0"/>
                    <w:suppressLineNumbers w:val="0"/>
                    <w:shd w:val="clear" w:color="auto" w:fill="auto"/>
                    <w:kinsoku/>
                    <w:wordWrap/>
                    <w:overflowPunct/>
                    <w:bidi w:val="0"/>
                    <w:spacing w:before="0" w:beforeAutospacing="0" w:after="0" w:afterAutospacing="0" w:line="360" w:lineRule="exact"/>
                    <w:ind w:left="0" w:leftChars="0" w:right="0" w:rightChars="0"/>
                    <w:jc w:val="center"/>
                    <w:rPr>
                      <w:rFonts w:hint="eastAsia" w:ascii="Times New Roman" w:hAnsi="Times New Roman" w:eastAsia="宋体" w:cs="Times New Roman"/>
                      <w:smallCaps w:val="0"/>
                      <w:color w:val="auto"/>
                      <w:spacing w:val="0"/>
                      <w:kern w:val="0"/>
                      <w:sz w:val="21"/>
                      <w:szCs w:val="21"/>
                      <w:highlight w:val="none"/>
                      <w:lang w:val="en-US" w:eastAsia="zh-CN" w:bidi="ar-SA"/>
                    </w:rPr>
                  </w:pPr>
                  <w:r>
                    <w:rPr>
                      <w:rFonts w:hint="eastAsia" w:ascii="Times New Roman" w:hAnsi="Times New Roman" w:cs="Times New Roman"/>
                      <w:smallCaps w:val="0"/>
                      <w:color w:val="auto"/>
                      <w:spacing w:val="0"/>
                      <w:sz w:val="21"/>
                      <w:szCs w:val="21"/>
                      <w:highlight w:val="none"/>
                      <w:lang w:val="en-US" w:eastAsia="zh-CN"/>
                    </w:rPr>
                    <w:t>项目为</w:t>
                  </w:r>
                  <w:r>
                    <w:rPr>
                      <w:rFonts w:hint="eastAsia" w:cs="Times New Roman"/>
                      <w:smallCaps w:val="0"/>
                      <w:color w:val="auto"/>
                      <w:spacing w:val="0"/>
                      <w:sz w:val="21"/>
                      <w:szCs w:val="21"/>
                      <w:highlight w:val="none"/>
                      <w:lang w:val="en-US" w:eastAsia="zh-CN"/>
                    </w:rPr>
                    <w:t>零部件加工制造项目，</w:t>
                  </w:r>
                  <w:r>
                    <w:rPr>
                      <w:rFonts w:hint="eastAsia" w:ascii="Times New Roman" w:hAnsi="Times New Roman" w:cs="Times New Roman"/>
                      <w:smallCaps w:val="0"/>
                      <w:color w:val="auto"/>
                      <w:spacing w:val="0"/>
                      <w:sz w:val="21"/>
                      <w:szCs w:val="21"/>
                      <w:highlight w:val="none"/>
                      <w:lang w:val="en-US" w:eastAsia="zh-CN"/>
                    </w:rPr>
                    <w:t>满足《石家庄市生态环境准入清单》要求，不涉及</w:t>
                  </w:r>
                  <w:r>
                    <w:rPr>
                      <w:rFonts w:hint="default" w:ascii="Times New Roman" w:hAnsi="Times New Roman" w:cs="Times New Roman"/>
                      <w:smallCaps w:val="0"/>
                      <w:color w:val="auto"/>
                      <w:spacing w:val="0"/>
                      <w:sz w:val="21"/>
                      <w:szCs w:val="21"/>
                      <w:highlight w:val="none"/>
                    </w:rPr>
                    <w:t>生产和使用高VOCs含量涂料、油墨、胶粘剂、清洗剂等建设项目</w:t>
                  </w:r>
                  <w:r>
                    <w:rPr>
                      <w:rFonts w:hint="eastAsia" w:ascii="Times New Roman" w:hAnsi="Times New Roman" w:cs="Times New Roman"/>
                      <w:smallCaps w:val="0"/>
                      <w:color w:val="auto"/>
                      <w:spacing w:val="0"/>
                      <w:sz w:val="21"/>
                      <w:szCs w:val="21"/>
                      <w:highlight w:val="none"/>
                      <w:lang w:eastAsia="zh-CN"/>
                    </w:rPr>
                    <w:t>；</w:t>
                  </w:r>
                  <w:r>
                    <w:rPr>
                      <w:rFonts w:hint="eastAsia" w:ascii="Times New Roman" w:hAnsi="Times New Roman" w:cs="Times New Roman"/>
                      <w:smallCaps w:val="0"/>
                      <w:color w:val="auto"/>
                      <w:spacing w:val="0"/>
                      <w:sz w:val="21"/>
                      <w:szCs w:val="21"/>
                      <w:highlight w:val="none"/>
                      <w:lang w:val="en-US" w:eastAsia="zh-CN"/>
                    </w:rPr>
                    <w:t>项目不属于</w:t>
                  </w:r>
                  <w:r>
                    <w:rPr>
                      <w:rFonts w:hint="eastAsia"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两高</w:t>
                  </w:r>
                  <w:r>
                    <w:rPr>
                      <w:rFonts w:hint="eastAsia"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项目</w:t>
                  </w:r>
                  <w:r>
                    <w:rPr>
                      <w:rFonts w:hint="eastAsia" w:ascii="Times New Roman" w:hAnsi="Times New Roman" w:cs="Times New Roman"/>
                      <w:smallCaps w:val="0"/>
                      <w:color w:val="auto"/>
                      <w:spacing w:val="0"/>
                      <w:sz w:val="21"/>
                      <w:szCs w:val="21"/>
                      <w:highlight w:val="none"/>
                      <w:lang w:eastAsia="zh-CN"/>
                    </w:rPr>
                    <w:t>，</w:t>
                  </w:r>
                  <w:r>
                    <w:rPr>
                      <w:rFonts w:hint="eastAsia" w:ascii="Times New Roman" w:hAnsi="Times New Roman" w:cs="Times New Roman"/>
                      <w:smallCaps w:val="0"/>
                      <w:color w:val="auto"/>
                      <w:spacing w:val="0"/>
                      <w:sz w:val="21"/>
                      <w:szCs w:val="21"/>
                      <w:highlight w:val="none"/>
                      <w:lang w:val="en-US" w:eastAsia="zh-CN"/>
                    </w:rPr>
                    <w:t>不涉及新增</w:t>
                  </w:r>
                  <w:r>
                    <w:rPr>
                      <w:rFonts w:hint="eastAsia" w:cs="Times New Roman"/>
                      <w:smallCaps w:val="0"/>
                      <w:color w:val="auto"/>
                      <w:spacing w:val="0"/>
                      <w:sz w:val="21"/>
                      <w:szCs w:val="21"/>
                      <w:highlight w:val="none"/>
                      <w:lang w:val="en-US" w:eastAsia="zh-CN"/>
                    </w:rPr>
                    <w:t>钢铁</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含铸造用生铁</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、焦化、水泥熟料</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超出产能进行产能置换除外</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、平板玻璃、电解铝、氧化铝</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含氢氧化铝</w:t>
                  </w:r>
                  <w:r>
                    <w:rPr>
                      <w:rFonts w:hint="eastAsia" w:ascii="Times New Roman" w:hAnsi="Times New Roman" w:cs="Times New Roman"/>
                      <w:smallCaps w:val="0"/>
                      <w:color w:val="auto"/>
                      <w:spacing w:val="0"/>
                      <w:sz w:val="21"/>
                      <w:szCs w:val="21"/>
                      <w:highlight w:val="none"/>
                      <w:lang w:eastAsia="zh-CN"/>
                    </w:rPr>
                    <w:t>）</w:t>
                  </w:r>
                  <w:r>
                    <w:rPr>
                      <w:rFonts w:hint="default" w:ascii="Times New Roman" w:hAnsi="Times New Roman" w:cs="Times New Roman"/>
                      <w:smallCaps w:val="0"/>
                      <w:color w:val="auto"/>
                      <w:spacing w:val="0"/>
                      <w:sz w:val="21"/>
                      <w:szCs w:val="21"/>
                      <w:highlight w:val="none"/>
                    </w:rPr>
                    <w:t>、煤化工</w:t>
                  </w:r>
                  <w:r>
                    <w:rPr>
                      <w:rFonts w:hint="eastAsia" w:ascii="Times New Roman" w:hAnsi="Times New Roman" w:cs="Times New Roman"/>
                      <w:smallCaps w:val="0"/>
                      <w:color w:val="auto"/>
                      <w:spacing w:val="0"/>
                      <w:sz w:val="21"/>
                      <w:szCs w:val="21"/>
                      <w:highlight w:val="none"/>
                      <w:lang w:val="en-US" w:eastAsia="zh-CN"/>
                    </w:rPr>
                    <w:t>产能；不属于重点行业，不涉及产能减量或等量置换</w:t>
                  </w:r>
                </w:p>
              </w:tc>
              <w:tc>
                <w:tcPr>
                  <w:tcW w:w="475" w:type="pct"/>
                  <w:shd w:val="clear" w:color="auto" w:fill="auto"/>
                  <w:noWrap w:val="0"/>
                  <w:vAlign w:val="center"/>
                </w:tcPr>
                <w:p w14:paraId="2D27BF2F">
                  <w:pPr>
                    <w:pStyle w:val="67"/>
                    <w:keepNext w:val="0"/>
                    <w:keepLines w:val="0"/>
                    <w:pageBreakBefore w:val="0"/>
                    <w:suppressLineNumbers w:val="0"/>
                    <w:kinsoku/>
                    <w:wordWrap/>
                    <w:overflowPunct/>
                    <w:bidi w:val="0"/>
                    <w:spacing w:before="0" w:beforeAutospacing="0" w:after="0" w:afterAutospacing="0" w:line="360" w:lineRule="exact"/>
                    <w:ind w:left="0" w:leftChars="0" w:right="0" w:rightChars="0"/>
                    <w:jc w:val="center"/>
                    <w:rPr>
                      <w:rFonts w:hint="eastAsia" w:ascii="Times New Roman" w:hAnsi="Times New Roman" w:eastAsia="宋体" w:cs="Times New Roman"/>
                      <w:bCs/>
                      <w:smallCaps w:val="0"/>
                      <w:color w:val="auto"/>
                      <w:spacing w:val="0"/>
                      <w:kern w:val="0"/>
                      <w:sz w:val="21"/>
                      <w:szCs w:val="21"/>
                      <w:highlight w:val="none"/>
                      <w:lang w:val="en-US" w:eastAsia="zh-CN" w:bidi="ar-SA"/>
                    </w:rPr>
                  </w:pPr>
                  <w:r>
                    <w:rPr>
                      <w:rFonts w:hint="eastAsia" w:ascii="Times New Roman" w:hAnsi="Times New Roman" w:cs="Times New Roman"/>
                      <w:smallCaps w:val="0"/>
                      <w:color w:val="auto"/>
                      <w:spacing w:val="0"/>
                      <w:sz w:val="21"/>
                      <w:szCs w:val="21"/>
                      <w:highlight w:val="none"/>
                      <w:lang w:val="en-US" w:eastAsia="zh-CN"/>
                    </w:rPr>
                    <w:t>符合</w:t>
                  </w:r>
                </w:p>
              </w:tc>
            </w:tr>
            <w:tr w14:paraId="725FF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shd w:val="clear" w:color="auto" w:fill="auto"/>
                  <w:noWrap w:val="0"/>
                  <w:vAlign w:val="center"/>
                </w:tcPr>
                <w:p w14:paraId="72CB33AF">
                  <w:pPr>
                    <w:pStyle w:val="67"/>
                    <w:keepNext w:val="0"/>
                    <w:keepLines w:val="0"/>
                    <w:pageBreakBefore w:val="0"/>
                    <w:suppressLineNumbers w:val="0"/>
                    <w:kinsoku/>
                    <w:wordWrap/>
                    <w:overflowPunct/>
                    <w:bidi w:val="0"/>
                    <w:spacing w:before="0" w:beforeAutospacing="0" w:after="0" w:afterAutospacing="0" w:line="360" w:lineRule="exact"/>
                    <w:ind w:left="0" w:leftChars="0" w:right="0" w:rightChars="0"/>
                    <w:jc w:val="center"/>
                    <w:rPr>
                      <w:rFonts w:hint="eastAsia" w:ascii="Times New Roman" w:hAnsi="Times New Roman" w:cs="Times New Roman"/>
                      <w:smallCaps w:val="0"/>
                      <w:color w:val="auto"/>
                      <w:spacing w:val="0"/>
                      <w:sz w:val="21"/>
                      <w:szCs w:val="21"/>
                      <w:highlight w:val="none"/>
                      <w:lang w:val="en-US" w:eastAsia="zh-CN"/>
                    </w:rPr>
                  </w:pPr>
                </w:p>
              </w:tc>
              <w:tc>
                <w:tcPr>
                  <w:tcW w:w="2156" w:type="pct"/>
                  <w:shd w:val="clear" w:color="auto" w:fill="auto"/>
                  <w:noWrap w:val="0"/>
                  <w:vAlign w:val="center"/>
                </w:tcPr>
                <w:p w14:paraId="4C3456FE">
                  <w:pPr>
                    <w:pStyle w:val="136"/>
                    <w:keepNext w:val="0"/>
                    <w:keepLines w:val="0"/>
                    <w:pageBreakBefore w:val="0"/>
                    <w:suppressLineNumbers w:val="0"/>
                    <w:shd w:val="clear" w:color="auto" w:fill="auto"/>
                    <w:kinsoku/>
                    <w:wordWrap/>
                    <w:overflowPunct/>
                    <w:bidi w:val="0"/>
                    <w:spacing w:before="0" w:beforeAutospacing="0" w:after="0" w:afterAutospacing="0" w:line="360" w:lineRule="exact"/>
                    <w:ind w:left="0" w:leftChars="0" w:right="0" w:rightChars="0" w:hanging="1"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14.推进非道路移动机械清洁发展</w:t>
                  </w:r>
                </w:p>
                <w:p w14:paraId="1C2D096F">
                  <w:pPr>
                    <w:pStyle w:val="136"/>
                    <w:keepNext w:val="0"/>
                    <w:keepLines w:val="0"/>
                    <w:pageBreakBefore w:val="0"/>
                    <w:suppressLineNumbers w:val="0"/>
                    <w:shd w:val="clear" w:color="auto" w:fill="auto"/>
                    <w:kinsoku/>
                    <w:wordWrap/>
                    <w:overflowPunct/>
                    <w:bidi w:val="0"/>
                    <w:spacing w:before="0" w:beforeAutospacing="0" w:after="0" w:afterAutospacing="0" w:line="360" w:lineRule="exact"/>
                    <w:ind w:left="0" w:leftChars="0" w:right="0" w:rightChars="0" w:hanging="1" w:firstLineChars="0"/>
                    <w:jc w:val="center"/>
                    <w:rPr>
                      <w:rFonts w:hint="default" w:ascii="Times New Roman" w:hAnsi="Times New Roman" w:eastAsia="宋体" w:cs="Times New Roman"/>
                      <w:smallCaps w:val="0"/>
                      <w:color w:val="auto"/>
                      <w:spacing w:val="0"/>
                      <w:kern w:val="0"/>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重点行业企业、工业园区、产业集群、物流园区、施工工地、矿山等新增或更新的内部车辆和非道路移动机械原则上采用新能源，无对应新能源产品的，鼓励满足国四及以上排放标准。机场新增作业车辆和非道路移动机械应电尽电。到2027年，力争全市建成区使用国四或新能源非道路移动机械，煤炭</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开采、洗选等</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、钢铁、火电、水泥</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含粉磨站</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有色等重点行业内部作业车辆和机械更新为新能源，无对应新能源产品的，鼓励满足国四及以上排放标准。到2030年，力争全市工矿企业内部作业车辆和机械更新为新能源，无对应新能源产品的，鼓励满足国四及以上排放标准。持续推进工程机械和农业机械清洁化替代。</w:t>
                  </w:r>
                </w:p>
              </w:tc>
              <w:tc>
                <w:tcPr>
                  <w:tcW w:w="1365" w:type="pct"/>
                  <w:shd w:val="clear" w:color="auto" w:fill="auto"/>
                  <w:noWrap w:val="0"/>
                  <w:vAlign w:val="center"/>
                </w:tcPr>
                <w:p w14:paraId="130F69FF">
                  <w:pPr>
                    <w:pStyle w:val="136"/>
                    <w:keepNext w:val="0"/>
                    <w:keepLines w:val="0"/>
                    <w:pageBreakBefore w:val="0"/>
                    <w:suppressLineNumbers w:val="0"/>
                    <w:shd w:val="clear" w:color="auto" w:fill="auto"/>
                    <w:kinsoku/>
                    <w:wordWrap/>
                    <w:overflowPunct/>
                    <w:bidi w:val="0"/>
                    <w:spacing w:before="0" w:beforeAutospacing="0" w:after="0" w:afterAutospacing="0" w:line="360" w:lineRule="exact"/>
                    <w:ind w:left="0" w:leftChars="0" w:right="0" w:rightChars="0"/>
                    <w:jc w:val="center"/>
                    <w:rPr>
                      <w:rFonts w:hint="eastAsia" w:ascii="Times New Roman" w:hAnsi="Times New Roman" w:eastAsia="宋体" w:cs="Times New Roman"/>
                      <w:smallCaps w:val="0"/>
                      <w:color w:val="auto"/>
                      <w:spacing w:val="0"/>
                      <w:kern w:val="0"/>
                      <w:sz w:val="21"/>
                      <w:szCs w:val="21"/>
                      <w:highlight w:val="none"/>
                      <w:lang w:val="en-US" w:eastAsia="zh-CN" w:bidi="ar-SA"/>
                    </w:rPr>
                  </w:pPr>
                  <w:r>
                    <w:rPr>
                      <w:rFonts w:hint="eastAsia" w:ascii="Times New Roman" w:hAnsi="Times New Roman" w:eastAsia="宋体" w:cs="Times New Roman"/>
                      <w:smallCaps w:val="0"/>
                      <w:color w:val="auto"/>
                      <w:spacing w:val="0"/>
                      <w:kern w:val="0"/>
                      <w:sz w:val="21"/>
                      <w:szCs w:val="21"/>
                      <w:highlight w:val="none"/>
                      <w:lang w:val="en-US" w:eastAsia="zh-CN" w:bidi="ar-SA"/>
                    </w:rPr>
                    <w:t>项目使用</w:t>
                  </w:r>
                  <w:r>
                    <w:rPr>
                      <w:rFonts w:hint="default" w:ascii="Times New Roman" w:hAnsi="Times New Roman" w:eastAsia="宋体" w:cs="Times New Roman"/>
                      <w:color w:val="auto"/>
                      <w:kern w:val="2"/>
                      <w:sz w:val="21"/>
                      <w:szCs w:val="21"/>
                      <w:highlight w:val="none"/>
                      <w:lang w:val="en-US" w:eastAsia="zh-CN" w:bidi="ar-SA"/>
                    </w:rPr>
                    <w:t>国四及以上排放标准</w:t>
                  </w:r>
                  <w:r>
                    <w:rPr>
                      <w:rFonts w:hint="eastAsia" w:cs="Times New Roman"/>
                      <w:smallCaps w:val="0"/>
                      <w:color w:val="auto"/>
                      <w:spacing w:val="0"/>
                      <w:kern w:val="0"/>
                      <w:sz w:val="21"/>
                      <w:szCs w:val="21"/>
                      <w:highlight w:val="none"/>
                      <w:lang w:val="en-US" w:eastAsia="zh-CN" w:bidi="ar-SA"/>
                    </w:rPr>
                    <w:t>铲车</w:t>
                  </w:r>
                  <w:r>
                    <w:rPr>
                      <w:rFonts w:hint="eastAsia" w:ascii="Times New Roman" w:hAnsi="Times New Roman" w:eastAsia="宋体" w:cs="Times New Roman"/>
                      <w:smallCaps w:val="0"/>
                      <w:color w:val="auto"/>
                      <w:spacing w:val="0"/>
                      <w:kern w:val="0"/>
                      <w:sz w:val="21"/>
                      <w:szCs w:val="21"/>
                      <w:highlight w:val="none"/>
                      <w:lang w:val="en-US" w:eastAsia="zh-CN" w:bidi="ar-SA"/>
                    </w:rPr>
                    <w:t>，为清洁化运输</w:t>
                  </w:r>
                </w:p>
              </w:tc>
              <w:tc>
                <w:tcPr>
                  <w:tcW w:w="475" w:type="pct"/>
                  <w:shd w:val="clear" w:color="auto" w:fill="auto"/>
                  <w:noWrap w:val="0"/>
                  <w:vAlign w:val="center"/>
                </w:tcPr>
                <w:p w14:paraId="0DEEFAE8">
                  <w:pPr>
                    <w:pStyle w:val="67"/>
                    <w:keepNext w:val="0"/>
                    <w:keepLines w:val="0"/>
                    <w:pageBreakBefore w:val="0"/>
                    <w:suppressLineNumbers w:val="0"/>
                    <w:kinsoku/>
                    <w:wordWrap/>
                    <w:overflowPunct/>
                    <w:bidi w:val="0"/>
                    <w:spacing w:before="0" w:beforeAutospacing="0" w:after="0" w:afterAutospacing="0" w:line="360" w:lineRule="exact"/>
                    <w:ind w:left="0" w:leftChars="0" w:right="0" w:rightChars="0"/>
                    <w:jc w:val="center"/>
                    <w:rPr>
                      <w:rFonts w:hint="eastAsia" w:ascii="Times New Roman" w:hAnsi="Times New Roman" w:cs="Times New Roman"/>
                      <w:smallCaps w:val="0"/>
                      <w:color w:val="auto"/>
                      <w:spacing w:val="0"/>
                      <w:sz w:val="21"/>
                      <w:szCs w:val="21"/>
                      <w:highlight w:val="none"/>
                      <w:lang w:val="en-US" w:eastAsia="zh-CN"/>
                    </w:rPr>
                  </w:pPr>
                  <w:r>
                    <w:rPr>
                      <w:rFonts w:hint="eastAsia" w:ascii="Times New Roman" w:hAnsi="Times New Roman" w:cs="Times New Roman"/>
                      <w:smallCaps w:val="0"/>
                      <w:color w:val="auto"/>
                      <w:spacing w:val="0"/>
                      <w:sz w:val="21"/>
                      <w:szCs w:val="21"/>
                      <w:highlight w:val="none"/>
                      <w:lang w:val="en-US" w:eastAsia="zh-CN"/>
                    </w:rPr>
                    <w:t>符合</w:t>
                  </w:r>
                </w:p>
              </w:tc>
            </w:tr>
            <w:tr w14:paraId="145E7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restart"/>
                  <w:noWrap w:val="0"/>
                  <w:vAlign w:val="center"/>
                </w:tcPr>
                <w:p w14:paraId="6357EB3E">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《河北省大气污染防治条例》</w:t>
                  </w:r>
                </w:p>
              </w:tc>
              <w:tc>
                <w:tcPr>
                  <w:tcW w:w="2156" w:type="pct"/>
                  <w:noWrap w:val="0"/>
                  <w:vAlign w:val="center"/>
                </w:tcPr>
                <w:p w14:paraId="724533AF">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default"/>
                      <w:color w:val="auto"/>
                      <w:szCs w:val="21"/>
                      <w:highlight w:val="none"/>
                    </w:rPr>
                  </w:pPr>
                  <w:r>
                    <w:rPr>
                      <w:rFonts w:hint="eastAsia" w:ascii="Times New Roman" w:hAnsi="Times New Roman" w:eastAsia="宋体" w:cs="Times New Roman"/>
                      <w:color w:val="auto"/>
                      <w:kern w:val="2"/>
                      <w:sz w:val="21"/>
                      <w:szCs w:val="21"/>
                      <w:highlight w:val="none"/>
                      <w:lang w:val="en-US" w:eastAsia="zh-CN" w:bidi="ar-SA"/>
                    </w:rPr>
                    <w:t>第十七条、</w:t>
                  </w:r>
                  <w:r>
                    <w:rPr>
                      <w:rFonts w:hint="default"/>
                      <w:color w:val="auto"/>
                      <w:szCs w:val="21"/>
                      <w:highlight w:val="none"/>
                    </w:rPr>
                    <w:t>县级以上人民政府应当统筹考虑区域环境资源承载能力，合理确定重点产业和能源结构，制定和推行有利于大气污染防治的经济政策，促进污染企业进行技术改造与产业升级。</w:t>
                  </w:r>
                </w:p>
                <w:p w14:paraId="346119FC">
                  <w:pPr>
                    <w:keepNext w:val="0"/>
                    <w:keepLines w:val="0"/>
                    <w:numPr>
                      <w:ilvl w:val="0"/>
                      <w:numId w:val="0"/>
                    </w:numPr>
                    <w:suppressLineNumbers w:val="0"/>
                    <w:adjustRightInd w:val="0"/>
                    <w:snapToGrid w:val="0"/>
                    <w:spacing w:before="0" w:beforeAutospacing="0" w:after="0" w:afterAutospacing="0"/>
                    <w:ind w:left="0" w:leftChars="0" w:right="0" w:rightChars="0"/>
                    <w:jc w:val="center"/>
                    <w:rPr>
                      <w:rFonts w:hint="eastAsia"/>
                      <w:color w:val="auto"/>
                      <w:szCs w:val="21"/>
                      <w:highlight w:val="none"/>
                    </w:rPr>
                  </w:pPr>
                  <w:r>
                    <w:rPr>
                      <w:rFonts w:hint="eastAsia" w:ascii="Times New Roman" w:hAnsi="Times New Roman" w:eastAsia="宋体" w:cs="Times New Roman"/>
                      <w:color w:val="auto"/>
                      <w:kern w:val="2"/>
                      <w:sz w:val="21"/>
                      <w:szCs w:val="21"/>
                      <w:highlight w:val="none"/>
                      <w:lang w:val="en-US" w:eastAsia="zh-CN" w:bidi="ar-SA"/>
                    </w:rPr>
                    <w:t>第十八条、</w:t>
                  </w:r>
                  <w:r>
                    <w:rPr>
                      <w:rFonts w:hint="default"/>
                      <w:color w:val="auto"/>
                      <w:szCs w:val="21"/>
                      <w:highlight w:val="none"/>
                    </w:rPr>
                    <w:t>县级以上人民政府应当优化产业布局，逐步将钢铁、水泥、平板玻璃、化学合成制药、有色金属冶炼、化工等重污染企业搬出城市建成区和生态红线控制区。在完成落实技术改造措施和达到排放污染防治标准要求后，迁入工业园区。</w:t>
                  </w:r>
                </w:p>
              </w:tc>
              <w:tc>
                <w:tcPr>
                  <w:tcW w:w="1365" w:type="pct"/>
                  <w:noWrap w:val="0"/>
                  <w:vAlign w:val="center"/>
                </w:tcPr>
                <w:p w14:paraId="3500F35E">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项目不属于</w:t>
                  </w:r>
                  <w:r>
                    <w:rPr>
                      <w:rFonts w:hint="default"/>
                      <w:color w:val="auto"/>
                      <w:szCs w:val="21"/>
                      <w:highlight w:val="none"/>
                    </w:rPr>
                    <w:t>钢铁、水泥、平板玻璃、化学合成制药、有色金属冶炼、化工等重污染企业</w:t>
                  </w:r>
                  <w:r>
                    <w:rPr>
                      <w:rFonts w:hint="eastAsia"/>
                      <w:color w:val="auto"/>
                      <w:szCs w:val="21"/>
                      <w:highlight w:val="none"/>
                    </w:rPr>
                    <w:t>。项目位于河北石家庄矿区工业园区</w:t>
                  </w:r>
                  <w:r>
                    <w:rPr>
                      <w:rFonts w:hint="eastAsia"/>
                      <w:color w:val="auto"/>
                      <w:szCs w:val="21"/>
                      <w:highlight w:val="none"/>
                      <w:lang w:val="en-US" w:eastAsia="zh-CN"/>
                    </w:rPr>
                    <w:t>内</w:t>
                  </w:r>
                  <w:r>
                    <w:rPr>
                      <w:rFonts w:hint="eastAsia"/>
                      <w:color w:val="auto"/>
                      <w:szCs w:val="21"/>
                      <w:highlight w:val="none"/>
                    </w:rPr>
                    <w:t>。</w:t>
                  </w:r>
                </w:p>
              </w:tc>
              <w:tc>
                <w:tcPr>
                  <w:tcW w:w="475" w:type="pct"/>
                  <w:noWrap w:val="0"/>
                  <w:vAlign w:val="center"/>
                </w:tcPr>
                <w:p w14:paraId="5A7056AD">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符合</w:t>
                  </w:r>
                </w:p>
              </w:tc>
            </w:tr>
            <w:tr w14:paraId="1E2B5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noWrap w:val="0"/>
                  <w:vAlign w:val="center"/>
                </w:tcPr>
                <w:p w14:paraId="7C84D6D7">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p>
              </w:tc>
              <w:tc>
                <w:tcPr>
                  <w:tcW w:w="2156" w:type="pct"/>
                  <w:noWrap w:val="0"/>
                  <w:vAlign w:val="center"/>
                </w:tcPr>
                <w:p w14:paraId="1235A77C">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第十五条</w:t>
                  </w:r>
                  <w:r>
                    <w:rPr>
                      <w:rFonts w:hint="eastAsia"/>
                      <w:color w:val="auto"/>
                      <w:szCs w:val="21"/>
                      <w:highlight w:val="none"/>
                    </w:rPr>
                    <w:t>、</w:t>
                  </w:r>
                  <w:r>
                    <w:rPr>
                      <w:rFonts w:hint="default"/>
                      <w:color w:val="auto"/>
                      <w:szCs w:val="21"/>
                      <w:highlight w:val="none"/>
                    </w:rPr>
                    <w:t>本省实行重点大气污染物排放总量控制制度，逐步削减重点大气污染物排放总量。省人民政府结合经济社会发展水平、环境质量状况、产业结构，将重点大气污染物排放总量控制指标，分解落实到设区的市、县（市）人民政府。设区的市、县（市）人民政府按照公开、公平、公正的原则，将重点大气污染物排放总量控制指标分解落实到排污单位。排污单位不得超过总量控制指标排放大气污染物。</w:t>
                  </w:r>
                </w:p>
                <w:p w14:paraId="55ED65B9">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第十六条</w:t>
                  </w:r>
                  <w:r>
                    <w:rPr>
                      <w:rFonts w:hint="eastAsia"/>
                      <w:color w:val="auto"/>
                      <w:szCs w:val="21"/>
                      <w:highlight w:val="none"/>
                    </w:rPr>
                    <w:t>、</w:t>
                  </w:r>
                  <w:r>
                    <w:rPr>
                      <w:rFonts w:hint="default"/>
                      <w:color w:val="auto"/>
                      <w:szCs w:val="21"/>
                      <w:highlight w:val="none"/>
                    </w:rPr>
                    <w:t>本省在严格控制重点大气污染物排放总量、实行排放总量削减计划的前提下，按照有利于总量减少的原则，逐步推行重点大气污染物排污权和碳排放权交易。</w:t>
                  </w:r>
                </w:p>
              </w:tc>
              <w:tc>
                <w:tcPr>
                  <w:tcW w:w="1365" w:type="pct"/>
                  <w:noWrap w:val="0"/>
                  <w:vAlign w:val="center"/>
                </w:tcPr>
                <w:p w14:paraId="19D88755">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项目不涉及二氧化硫、氮氧化物的排放，不涉及</w:t>
                  </w:r>
                  <w:r>
                    <w:rPr>
                      <w:rFonts w:hint="default"/>
                      <w:color w:val="auto"/>
                      <w:szCs w:val="21"/>
                      <w:highlight w:val="none"/>
                    </w:rPr>
                    <w:t>重点大气污染物排放总量</w:t>
                  </w:r>
                  <w:r>
                    <w:rPr>
                      <w:rFonts w:hint="eastAsia"/>
                      <w:color w:val="auto"/>
                      <w:szCs w:val="21"/>
                      <w:highlight w:val="none"/>
                    </w:rPr>
                    <w:t>，无需进行</w:t>
                  </w:r>
                  <w:r>
                    <w:rPr>
                      <w:rFonts w:hint="default"/>
                      <w:color w:val="auto"/>
                      <w:szCs w:val="21"/>
                      <w:highlight w:val="none"/>
                    </w:rPr>
                    <w:t>重点大气污染物排污权和碳排放权交易</w:t>
                  </w:r>
                  <w:r>
                    <w:rPr>
                      <w:rFonts w:hint="eastAsia"/>
                      <w:color w:val="auto"/>
                      <w:szCs w:val="21"/>
                      <w:highlight w:val="none"/>
                    </w:rPr>
                    <w:t>。</w:t>
                  </w:r>
                </w:p>
              </w:tc>
              <w:tc>
                <w:tcPr>
                  <w:tcW w:w="475" w:type="pct"/>
                  <w:noWrap w:val="0"/>
                  <w:vAlign w:val="center"/>
                </w:tcPr>
                <w:p w14:paraId="33D3EAF6">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符合</w:t>
                  </w:r>
                </w:p>
              </w:tc>
            </w:tr>
            <w:tr w14:paraId="13684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noWrap w:val="0"/>
                  <w:vAlign w:val="center"/>
                </w:tcPr>
                <w:p w14:paraId="37AD3A6B">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p>
              </w:tc>
              <w:tc>
                <w:tcPr>
                  <w:tcW w:w="2156" w:type="pct"/>
                  <w:noWrap w:val="0"/>
                  <w:vAlign w:val="center"/>
                </w:tcPr>
                <w:p w14:paraId="3CE186B9">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第十七条</w:t>
                  </w:r>
                  <w:r>
                    <w:rPr>
                      <w:rFonts w:hint="eastAsia"/>
                      <w:color w:val="auto"/>
                      <w:szCs w:val="21"/>
                      <w:highlight w:val="none"/>
                    </w:rPr>
                    <w:t>、</w:t>
                  </w:r>
                  <w:r>
                    <w:rPr>
                      <w:rFonts w:hint="default"/>
                      <w:color w:val="auto"/>
                      <w:szCs w:val="21"/>
                      <w:highlight w:val="none"/>
                    </w:rPr>
                    <w:t>本省实行大气污染物排污许可管理制度。向大气排放工业废气或者有毒有害大气污染物的企业事业单位、集中供热设施的燃煤热源生产运营单位，以及其他依法实行排污许可管理的单位，应当依法取得排污许可证。禁止无排污许可证或者不按照排污许可证的规定排放大气污染物。向大气排放污染物的排污单位，应当按照国家和本省规定，设置大气污染物排放口及其标志。除因发生或者可能发生安全生产事故或者突发环境事件需要通过应急排放通道排放大气污染物外，禁止通过其他排放通道排放大气污染物。</w:t>
                  </w:r>
                </w:p>
                <w:p w14:paraId="41FA8D61">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第十八条</w:t>
                  </w:r>
                  <w:r>
                    <w:rPr>
                      <w:rFonts w:hint="eastAsia"/>
                      <w:color w:val="auto"/>
                      <w:szCs w:val="21"/>
                      <w:highlight w:val="none"/>
                    </w:rPr>
                    <w:t>、</w:t>
                  </w:r>
                  <w:r>
                    <w:rPr>
                      <w:rFonts w:hint="default"/>
                      <w:color w:val="auto"/>
                      <w:szCs w:val="21"/>
                      <w:highlight w:val="none"/>
                    </w:rPr>
                    <w:t>向大气排放污染物的重点排污单位，应当按照国家和本省有关规定安装使用大气污染物排放自动监测设备，并与环境保护主管部门的监控设备联网，保证监测设备正常运行并依法公开排放信息。重点排污单位不得破坏、损毁或者擅自拆除、闲置大气污染物排放自动监测设备，不得篡改、伪造监测数据。</w:t>
                  </w:r>
                </w:p>
              </w:tc>
              <w:tc>
                <w:tcPr>
                  <w:tcW w:w="1365" w:type="pct"/>
                  <w:noWrap w:val="0"/>
                  <w:vAlign w:val="center"/>
                </w:tcPr>
                <w:p w14:paraId="5EBDDD1C">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rPr>
                    <w:t>项目要求建设完成后，依法取得</w:t>
                  </w:r>
                  <w:r>
                    <w:rPr>
                      <w:rFonts w:hint="eastAsia"/>
                      <w:color w:val="auto"/>
                      <w:szCs w:val="21"/>
                      <w:highlight w:val="none"/>
                      <w:lang w:eastAsia="zh-CN"/>
                    </w:rPr>
                    <w:t>排污手续</w:t>
                  </w:r>
                  <w:r>
                    <w:rPr>
                      <w:rFonts w:hint="eastAsia"/>
                      <w:color w:val="auto"/>
                      <w:szCs w:val="21"/>
                      <w:highlight w:val="none"/>
                    </w:rPr>
                    <w:t>。对排入大气的排放口，</w:t>
                  </w:r>
                  <w:r>
                    <w:rPr>
                      <w:rFonts w:hint="default" w:ascii="Helvetica" w:hAnsi="Helvetica" w:eastAsia="Helvetica" w:cs="Helvetica"/>
                      <w:color w:val="auto"/>
                      <w:szCs w:val="21"/>
                      <w:highlight w:val="none"/>
                      <w:shd w:val="clear" w:color="auto" w:fill="FFFFFF"/>
                    </w:rPr>
                    <w:t>设置大气污染物排放标志</w:t>
                  </w:r>
                  <w:r>
                    <w:rPr>
                      <w:rFonts w:hint="eastAsia" w:ascii="Helvetica" w:hAnsi="Helvetica" w:cs="Helvetica"/>
                      <w:color w:val="auto"/>
                      <w:szCs w:val="21"/>
                      <w:highlight w:val="none"/>
                      <w:shd w:val="clear" w:color="auto" w:fill="FFFFFF"/>
                    </w:rPr>
                    <w:t>。同时根据检测要求，定期检测。</w:t>
                  </w:r>
                </w:p>
              </w:tc>
              <w:tc>
                <w:tcPr>
                  <w:tcW w:w="475" w:type="pct"/>
                  <w:noWrap w:val="0"/>
                  <w:vAlign w:val="center"/>
                </w:tcPr>
                <w:p w14:paraId="77F86AD9">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符合</w:t>
                  </w:r>
                </w:p>
              </w:tc>
            </w:tr>
            <w:tr w14:paraId="14425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noWrap w:val="0"/>
                  <w:vAlign w:val="center"/>
                </w:tcPr>
                <w:p w14:paraId="046E19AA">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p>
              </w:tc>
              <w:tc>
                <w:tcPr>
                  <w:tcW w:w="2156" w:type="pct"/>
                  <w:noWrap w:val="0"/>
                  <w:vAlign w:val="center"/>
                </w:tcPr>
                <w:p w14:paraId="6123ADBF">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default"/>
                      <w:color w:val="auto"/>
                      <w:szCs w:val="21"/>
                      <w:highlight w:val="none"/>
                    </w:rPr>
                    <w:t>第二十九条</w:t>
                  </w:r>
                  <w:r>
                    <w:rPr>
                      <w:rFonts w:hint="eastAsia"/>
                      <w:color w:val="auto"/>
                      <w:szCs w:val="21"/>
                      <w:highlight w:val="none"/>
                    </w:rPr>
                    <w:t>、</w:t>
                  </w:r>
                  <w:r>
                    <w:rPr>
                      <w:rFonts w:hint="default"/>
                      <w:color w:val="auto"/>
                      <w:szCs w:val="21"/>
                      <w:highlight w:val="none"/>
                    </w:rPr>
                    <w:t>根据国家产业政策，严格控制新建、改建、扩建钢铁、水泥、平板玻璃、化学合成制药、有色金属冶炼、化工等工业项目。现有大气重污染工业项目应当按照国家和本省有关规定开展清洁生产审核。</w:t>
                  </w:r>
                </w:p>
              </w:tc>
              <w:tc>
                <w:tcPr>
                  <w:tcW w:w="1365" w:type="pct"/>
                  <w:noWrap w:val="0"/>
                  <w:vAlign w:val="center"/>
                </w:tcPr>
                <w:p w14:paraId="0742E8D0">
                  <w:pPr>
                    <w:pStyle w:val="67"/>
                    <w:keepNext w:val="0"/>
                    <w:keepLines w:val="0"/>
                    <w:suppressLineNumbers w:val="0"/>
                    <w:spacing w:before="0" w:beforeAutospacing="0" w:after="0" w:afterAutospacing="0"/>
                    <w:ind w:left="0" w:right="0"/>
                    <w:jc w:val="center"/>
                    <w:rPr>
                      <w:rFonts w:hint="eastAsia" w:eastAsia="宋体"/>
                      <w:bCs w:val="0"/>
                      <w:color w:val="auto"/>
                      <w:spacing w:val="0"/>
                      <w:kern w:val="2"/>
                      <w:szCs w:val="21"/>
                      <w:highlight w:val="none"/>
                      <w:lang w:eastAsia="zh-CN"/>
                    </w:rPr>
                  </w:pPr>
                  <w:r>
                    <w:rPr>
                      <w:rFonts w:hint="eastAsia"/>
                      <w:bCs w:val="0"/>
                      <w:color w:val="auto"/>
                      <w:spacing w:val="0"/>
                      <w:kern w:val="2"/>
                      <w:szCs w:val="21"/>
                      <w:highlight w:val="none"/>
                    </w:rPr>
                    <w:t>项目</w:t>
                  </w:r>
                  <w:r>
                    <w:rPr>
                      <w:rFonts w:hint="eastAsia"/>
                      <w:bCs w:val="0"/>
                      <w:color w:val="auto"/>
                      <w:spacing w:val="0"/>
                      <w:kern w:val="2"/>
                      <w:szCs w:val="21"/>
                      <w:highlight w:val="none"/>
                      <w:lang w:val="en-US" w:eastAsia="zh-CN"/>
                    </w:rPr>
                    <w:t>不涉及</w:t>
                  </w:r>
                </w:p>
              </w:tc>
              <w:tc>
                <w:tcPr>
                  <w:tcW w:w="475" w:type="pct"/>
                  <w:noWrap w:val="0"/>
                  <w:vAlign w:val="center"/>
                </w:tcPr>
                <w:p w14:paraId="3FC253FF">
                  <w:pPr>
                    <w:pStyle w:val="67"/>
                    <w:keepNext w:val="0"/>
                    <w:keepLines w:val="0"/>
                    <w:suppressLineNumbers w:val="0"/>
                    <w:spacing w:before="0" w:beforeAutospacing="0" w:after="0" w:afterAutospacing="0"/>
                    <w:ind w:left="0" w:right="0"/>
                    <w:jc w:val="center"/>
                    <w:rPr>
                      <w:rFonts w:hint="eastAsia"/>
                      <w:bCs w:val="0"/>
                      <w:color w:val="auto"/>
                      <w:spacing w:val="0"/>
                      <w:kern w:val="2"/>
                      <w:szCs w:val="21"/>
                      <w:highlight w:val="none"/>
                    </w:rPr>
                  </w:pPr>
                  <w:r>
                    <w:rPr>
                      <w:rFonts w:hint="eastAsia"/>
                      <w:bCs w:val="0"/>
                      <w:color w:val="auto"/>
                      <w:spacing w:val="0"/>
                      <w:kern w:val="2"/>
                      <w:szCs w:val="21"/>
                      <w:highlight w:val="none"/>
                    </w:rPr>
                    <w:t>符合</w:t>
                  </w:r>
                </w:p>
              </w:tc>
            </w:tr>
            <w:tr w14:paraId="7FB03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noWrap w:val="0"/>
                  <w:vAlign w:val="center"/>
                </w:tcPr>
                <w:p w14:paraId="65578714">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p>
              </w:tc>
              <w:tc>
                <w:tcPr>
                  <w:tcW w:w="2156" w:type="pct"/>
                  <w:noWrap w:val="0"/>
                  <w:vAlign w:val="center"/>
                </w:tcPr>
                <w:p w14:paraId="1D4E8127">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default"/>
                      <w:color w:val="auto"/>
                      <w:szCs w:val="21"/>
                      <w:highlight w:val="none"/>
                    </w:rPr>
                    <w:t>第三十一条</w:t>
                  </w:r>
                  <w:r>
                    <w:rPr>
                      <w:rFonts w:hint="eastAsia"/>
                      <w:color w:val="auto"/>
                      <w:szCs w:val="21"/>
                      <w:highlight w:val="none"/>
                    </w:rPr>
                    <w:t>、</w:t>
                  </w:r>
                  <w:r>
                    <w:rPr>
                      <w:rFonts w:hint="default"/>
                      <w:color w:val="auto"/>
                      <w:szCs w:val="21"/>
                      <w:highlight w:val="none"/>
                    </w:rPr>
                    <w:t>在生产经营过程中产生有毒有害大气污染物的，排污单位应当安装收集净化装置或者采取其他措施，达到国家和本省规定的排放标准。禁止直接排放有毒有害大气污染物。</w:t>
                  </w:r>
                </w:p>
              </w:tc>
              <w:tc>
                <w:tcPr>
                  <w:tcW w:w="1365" w:type="pct"/>
                  <w:noWrap w:val="0"/>
                  <w:vAlign w:val="center"/>
                </w:tcPr>
                <w:p w14:paraId="1832742E">
                  <w:pPr>
                    <w:pStyle w:val="67"/>
                    <w:keepNext w:val="0"/>
                    <w:keepLines w:val="0"/>
                    <w:suppressLineNumbers w:val="0"/>
                    <w:spacing w:before="0" w:beforeAutospacing="0" w:after="0" w:afterAutospacing="0"/>
                    <w:ind w:left="0" w:leftChars="0" w:right="0" w:rightChars="0"/>
                    <w:jc w:val="center"/>
                    <w:rPr>
                      <w:rFonts w:hint="eastAsia"/>
                      <w:color w:val="auto"/>
                      <w:spacing w:val="0"/>
                      <w:szCs w:val="21"/>
                      <w:highlight w:val="none"/>
                    </w:rPr>
                  </w:pPr>
                  <w:r>
                    <w:rPr>
                      <w:rFonts w:hint="eastAsia"/>
                      <w:bCs w:val="0"/>
                      <w:color w:val="auto"/>
                      <w:spacing w:val="0"/>
                      <w:kern w:val="2"/>
                      <w:szCs w:val="21"/>
                      <w:highlight w:val="none"/>
                    </w:rPr>
                    <w:t>项目</w:t>
                  </w:r>
                  <w:r>
                    <w:rPr>
                      <w:rFonts w:hint="eastAsia"/>
                      <w:color w:val="auto"/>
                      <w:spacing w:val="0"/>
                      <w:szCs w:val="21"/>
                      <w:highlight w:val="none"/>
                    </w:rPr>
                    <w:t>不涉及有毒有害大气污染物的排放，</w:t>
                  </w:r>
                  <w:r>
                    <w:rPr>
                      <w:rFonts w:hint="eastAsia"/>
                      <w:color w:val="auto"/>
                      <w:szCs w:val="21"/>
                      <w:highlight w:val="none"/>
                      <w:lang w:val="en-US" w:eastAsia="zh-CN"/>
                    </w:rPr>
                    <w:t>项目废气经集气罩+脉冲布袋除尘器+15m高排气筒排放</w:t>
                  </w:r>
                  <w:r>
                    <w:rPr>
                      <w:rFonts w:hint="eastAsia"/>
                      <w:color w:val="auto"/>
                      <w:spacing w:val="0"/>
                      <w:szCs w:val="21"/>
                      <w:highlight w:val="none"/>
                    </w:rPr>
                    <w:t>。</w:t>
                  </w:r>
                </w:p>
              </w:tc>
              <w:tc>
                <w:tcPr>
                  <w:tcW w:w="475" w:type="pct"/>
                  <w:noWrap w:val="0"/>
                  <w:vAlign w:val="center"/>
                </w:tcPr>
                <w:p w14:paraId="18842DC0">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符合</w:t>
                  </w:r>
                </w:p>
              </w:tc>
            </w:tr>
            <w:tr w14:paraId="66910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noWrap w:val="0"/>
                  <w:vAlign w:val="center"/>
                </w:tcPr>
                <w:p w14:paraId="1C980E5D">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p>
              </w:tc>
              <w:tc>
                <w:tcPr>
                  <w:tcW w:w="2156" w:type="pct"/>
                  <w:noWrap w:val="0"/>
                  <w:vAlign w:val="center"/>
                </w:tcPr>
                <w:p w14:paraId="2C8DDCC3">
                  <w:pPr>
                    <w:keepNext w:val="0"/>
                    <w:keepLines w:val="0"/>
                    <w:suppressLineNumbers w:val="0"/>
                    <w:adjustRightInd w:val="0"/>
                    <w:snapToGrid w:val="0"/>
                    <w:spacing w:before="0" w:beforeAutospacing="0" w:after="0" w:afterAutospacing="0"/>
                    <w:ind w:left="0" w:right="0"/>
                    <w:jc w:val="center"/>
                    <w:rPr>
                      <w:rFonts w:hint="eastAsia"/>
                      <w:color w:val="auto"/>
                      <w:szCs w:val="21"/>
                      <w:highlight w:val="none"/>
                    </w:rPr>
                  </w:pPr>
                  <w:r>
                    <w:rPr>
                      <w:rFonts w:hint="default"/>
                      <w:color w:val="auto"/>
                      <w:szCs w:val="21"/>
                      <w:highlight w:val="none"/>
                    </w:rPr>
                    <w:t>第三十三条</w:t>
                  </w:r>
                  <w:r>
                    <w:rPr>
                      <w:rFonts w:hint="eastAsia"/>
                      <w:color w:val="auto"/>
                      <w:szCs w:val="21"/>
                      <w:highlight w:val="none"/>
                    </w:rPr>
                    <w:t>、</w:t>
                  </w:r>
                  <w:r>
                    <w:rPr>
                      <w:rFonts w:hint="default"/>
                      <w:color w:val="auto"/>
                      <w:szCs w:val="21"/>
                      <w:highlight w:val="none"/>
                    </w:rPr>
                    <w:t>产生含挥发性有机物废气的生产和服务活动，应当在密闭空间或者设备中进行，并按照规定安装、使用污染防治设施；无法密闭的，应当采取措施减少废气排放。禁止在人口集中地区从事露天喷漆、喷涂、喷砂、制作玻璃钢以及其他散发有毒有害气体的作业。</w:t>
                  </w:r>
                </w:p>
              </w:tc>
              <w:tc>
                <w:tcPr>
                  <w:tcW w:w="1365" w:type="pct"/>
                  <w:noWrap w:val="0"/>
                  <w:vAlign w:val="center"/>
                </w:tcPr>
                <w:p w14:paraId="73A1A3B0">
                  <w:pPr>
                    <w:pStyle w:val="67"/>
                    <w:keepNext w:val="0"/>
                    <w:keepLines w:val="0"/>
                    <w:suppressLineNumbers w:val="0"/>
                    <w:spacing w:before="0" w:beforeAutospacing="0" w:after="0" w:afterAutospacing="0"/>
                    <w:ind w:left="0" w:leftChars="0" w:right="0" w:rightChars="0"/>
                    <w:jc w:val="center"/>
                    <w:rPr>
                      <w:rFonts w:hint="default"/>
                      <w:color w:val="auto"/>
                      <w:spacing w:val="0"/>
                      <w:szCs w:val="21"/>
                      <w:highlight w:val="none"/>
                    </w:rPr>
                  </w:pPr>
                  <w:r>
                    <w:rPr>
                      <w:rFonts w:hint="eastAsia"/>
                      <w:bCs w:val="0"/>
                      <w:color w:val="auto"/>
                      <w:spacing w:val="0"/>
                      <w:kern w:val="2"/>
                      <w:szCs w:val="21"/>
                      <w:highlight w:val="none"/>
                    </w:rPr>
                    <w:t>项目生产在密闭车间内进行</w:t>
                  </w:r>
                  <w:r>
                    <w:rPr>
                      <w:rFonts w:hint="eastAsia"/>
                      <w:bCs w:val="0"/>
                      <w:color w:val="auto"/>
                      <w:spacing w:val="0"/>
                      <w:kern w:val="2"/>
                      <w:szCs w:val="21"/>
                      <w:highlight w:val="none"/>
                      <w:lang w:eastAsia="zh-CN"/>
                    </w:rPr>
                    <w:t>，</w:t>
                  </w:r>
                  <w:r>
                    <w:rPr>
                      <w:rFonts w:hint="eastAsia"/>
                      <w:bCs w:val="0"/>
                      <w:color w:val="auto"/>
                      <w:spacing w:val="0"/>
                      <w:kern w:val="2"/>
                      <w:szCs w:val="21"/>
                      <w:highlight w:val="none"/>
                      <w:lang w:val="en-US" w:eastAsia="zh-CN"/>
                    </w:rPr>
                    <w:t>本评价要求企业按照要求安装、使用污染防治设施；</w:t>
                  </w:r>
                  <w:r>
                    <w:rPr>
                      <w:rFonts w:hint="eastAsia"/>
                      <w:bCs w:val="0"/>
                      <w:color w:val="auto"/>
                      <w:spacing w:val="0"/>
                      <w:kern w:val="2"/>
                      <w:szCs w:val="21"/>
                      <w:highlight w:val="none"/>
                    </w:rPr>
                    <w:t>不涉及</w:t>
                  </w:r>
                  <w:r>
                    <w:rPr>
                      <w:rFonts w:hint="default"/>
                      <w:bCs w:val="0"/>
                      <w:color w:val="auto"/>
                      <w:spacing w:val="0"/>
                      <w:kern w:val="2"/>
                      <w:szCs w:val="21"/>
                      <w:highlight w:val="none"/>
                    </w:rPr>
                    <w:t>在人口集中地区从事露天喷漆、喷涂、喷砂、制作玻璃钢以及其他散发有毒有害气体的作业</w:t>
                  </w:r>
                  <w:r>
                    <w:rPr>
                      <w:rFonts w:hint="eastAsia"/>
                      <w:bCs w:val="0"/>
                      <w:color w:val="auto"/>
                      <w:spacing w:val="0"/>
                      <w:kern w:val="2"/>
                      <w:szCs w:val="21"/>
                      <w:highlight w:val="none"/>
                    </w:rPr>
                    <w:t>。</w:t>
                  </w:r>
                </w:p>
              </w:tc>
              <w:tc>
                <w:tcPr>
                  <w:tcW w:w="475" w:type="pct"/>
                  <w:noWrap w:val="0"/>
                  <w:vAlign w:val="center"/>
                </w:tcPr>
                <w:p w14:paraId="299EA01F">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符合</w:t>
                  </w:r>
                </w:p>
              </w:tc>
            </w:tr>
            <w:tr w14:paraId="6303B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noWrap w:val="0"/>
                  <w:vAlign w:val="center"/>
                </w:tcPr>
                <w:p w14:paraId="30F36481">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《河北省水污染防治条例》（河北省第十三届人民代表大会常务委员会公告第4号）</w:t>
                  </w:r>
                </w:p>
              </w:tc>
              <w:tc>
                <w:tcPr>
                  <w:tcW w:w="2156" w:type="pct"/>
                  <w:noWrap w:val="0"/>
                  <w:vAlign w:val="center"/>
                </w:tcPr>
                <w:p w14:paraId="576A0583">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排放工业废水的企业应当采取有效措施，收集和处理产生的全部废水，防止污染环境。含有毒有害水污染物的工业废水应当分类收集和处理，不得稀释排放。</w:t>
                  </w:r>
                </w:p>
              </w:tc>
              <w:tc>
                <w:tcPr>
                  <w:tcW w:w="1365" w:type="pct"/>
                  <w:noWrap w:val="0"/>
                  <w:vAlign w:val="center"/>
                </w:tcPr>
                <w:p w14:paraId="35FF0AD6">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eastAsia"/>
                      <w:color w:val="auto"/>
                      <w:szCs w:val="21"/>
                      <w:highlight w:val="none"/>
                      <w:lang w:eastAsia="zh-CN"/>
                    </w:rPr>
                    <w:t>本项目淬火、回火冷却水循环使用不外排；生活污水经化粪池处理后定期由吸粪车抽走，无废水外排</w:t>
                  </w:r>
                  <w:r>
                    <w:rPr>
                      <w:rFonts w:hint="eastAsia"/>
                      <w:color w:val="auto"/>
                      <w:szCs w:val="21"/>
                      <w:highlight w:val="none"/>
                    </w:rPr>
                    <w:t>，不会对环境造成污染</w:t>
                  </w:r>
                  <w:r>
                    <w:rPr>
                      <w:rFonts w:hint="default"/>
                      <w:color w:val="auto"/>
                      <w:szCs w:val="21"/>
                      <w:highlight w:val="none"/>
                    </w:rPr>
                    <w:t>。</w:t>
                  </w:r>
                </w:p>
              </w:tc>
              <w:tc>
                <w:tcPr>
                  <w:tcW w:w="475" w:type="pct"/>
                  <w:noWrap w:val="0"/>
                  <w:vAlign w:val="center"/>
                </w:tcPr>
                <w:p w14:paraId="706B1520">
                  <w:pPr>
                    <w:keepNext w:val="0"/>
                    <w:keepLines w:val="0"/>
                    <w:suppressLineNumbers w:val="0"/>
                    <w:adjustRightInd w:val="0"/>
                    <w:snapToGrid w:val="0"/>
                    <w:spacing w:before="0" w:beforeAutospacing="0" w:after="0" w:afterAutospacing="0"/>
                    <w:ind w:left="0" w:right="0"/>
                    <w:jc w:val="center"/>
                    <w:rPr>
                      <w:rFonts w:hint="default"/>
                      <w:color w:val="auto"/>
                      <w:szCs w:val="21"/>
                      <w:highlight w:val="none"/>
                    </w:rPr>
                  </w:pPr>
                  <w:r>
                    <w:rPr>
                      <w:rFonts w:hint="default"/>
                      <w:color w:val="auto"/>
                      <w:szCs w:val="21"/>
                      <w:highlight w:val="none"/>
                    </w:rPr>
                    <w:t>符合</w:t>
                  </w:r>
                </w:p>
              </w:tc>
            </w:tr>
            <w:tr w14:paraId="524AB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noWrap w:val="0"/>
                  <w:vAlign w:val="center"/>
                </w:tcPr>
                <w:p w14:paraId="4D133650">
                  <w:pPr>
                    <w:pStyle w:val="67"/>
                    <w:keepNext w:val="0"/>
                    <w:keepLines w:val="0"/>
                    <w:suppressLineNumbers w:val="0"/>
                    <w:spacing w:before="0" w:beforeAutospacing="0" w:after="0" w:afterAutospacing="0"/>
                    <w:ind w:left="0" w:right="0"/>
                    <w:jc w:val="center"/>
                    <w:rPr>
                      <w:rFonts w:hint="default"/>
                      <w:color w:val="auto"/>
                      <w:spacing w:val="0"/>
                      <w:szCs w:val="21"/>
                      <w:highlight w:val="none"/>
                    </w:rPr>
                  </w:pPr>
                  <w:r>
                    <w:rPr>
                      <w:rFonts w:hint="default"/>
                      <w:color w:val="auto"/>
                      <w:spacing w:val="0"/>
                      <w:szCs w:val="21"/>
                      <w:highlight w:val="none"/>
                    </w:rPr>
                    <w:t>《河北省水污染防治工作方案》（冀发〔2015〕28号）</w:t>
                  </w:r>
                </w:p>
              </w:tc>
              <w:tc>
                <w:tcPr>
                  <w:tcW w:w="2156" w:type="pct"/>
                  <w:noWrap w:val="0"/>
                  <w:vAlign w:val="center"/>
                </w:tcPr>
                <w:p w14:paraId="4B023933">
                  <w:pPr>
                    <w:pStyle w:val="67"/>
                    <w:keepNext w:val="0"/>
                    <w:keepLines w:val="0"/>
                    <w:suppressLineNumbers w:val="0"/>
                    <w:spacing w:before="0" w:beforeAutospacing="0" w:after="0" w:afterAutospacing="0"/>
                    <w:ind w:left="0" w:right="0"/>
                    <w:jc w:val="center"/>
                    <w:rPr>
                      <w:rFonts w:hint="default"/>
                      <w:color w:val="auto"/>
                      <w:spacing w:val="0"/>
                      <w:szCs w:val="21"/>
                      <w:highlight w:val="none"/>
                    </w:rPr>
                  </w:pPr>
                  <w:r>
                    <w:rPr>
                      <w:rFonts w:hint="default"/>
                      <w:color w:val="auto"/>
                      <w:spacing w:val="0"/>
                      <w:szCs w:val="21"/>
                      <w:highlight w:val="none"/>
                    </w:rPr>
                    <w:t>严格控制高污染、高耗水行业新增产能。对造纸、焦化、氮肥、石油化工、印染、农副食品加工、原料药制造、制革、农药、电镀等</w:t>
                  </w:r>
                  <w:r>
                    <w:rPr>
                      <w:rFonts w:hint="eastAsia"/>
                      <w:color w:val="auto"/>
                      <w:spacing w:val="0"/>
                      <w:szCs w:val="21"/>
                      <w:highlight w:val="none"/>
                      <w:lang w:eastAsia="zh-CN"/>
                    </w:rPr>
                    <w:t>“</w:t>
                  </w:r>
                  <w:r>
                    <w:rPr>
                      <w:rFonts w:hint="default"/>
                      <w:color w:val="auto"/>
                      <w:spacing w:val="0"/>
                      <w:szCs w:val="21"/>
                      <w:highlight w:val="none"/>
                    </w:rPr>
                    <w:t>十大</w:t>
                  </w:r>
                  <w:r>
                    <w:rPr>
                      <w:rFonts w:hint="eastAsia"/>
                      <w:color w:val="auto"/>
                      <w:spacing w:val="0"/>
                      <w:szCs w:val="21"/>
                      <w:highlight w:val="none"/>
                      <w:lang w:eastAsia="zh-CN"/>
                    </w:rPr>
                    <w:t>”</w:t>
                  </w:r>
                  <w:r>
                    <w:rPr>
                      <w:rFonts w:hint="default"/>
                      <w:color w:val="auto"/>
                      <w:spacing w:val="0"/>
                      <w:szCs w:val="21"/>
                      <w:highlight w:val="none"/>
                    </w:rPr>
                    <w:t>重点行业，新建、</w:t>
                  </w:r>
                  <w:r>
                    <w:rPr>
                      <w:rFonts w:hint="eastAsia"/>
                      <w:color w:val="auto"/>
                      <w:spacing w:val="0"/>
                      <w:szCs w:val="21"/>
                      <w:highlight w:val="none"/>
                    </w:rPr>
                    <w:t>技改</w:t>
                  </w:r>
                  <w:r>
                    <w:rPr>
                      <w:rFonts w:hint="default"/>
                      <w:color w:val="auto"/>
                      <w:spacing w:val="0"/>
                      <w:szCs w:val="21"/>
                      <w:highlight w:val="none"/>
                    </w:rPr>
                    <w:t>、扩建项目实行新增主要污染物排放倍量替代。</w:t>
                  </w:r>
                </w:p>
              </w:tc>
              <w:tc>
                <w:tcPr>
                  <w:tcW w:w="1365" w:type="pct"/>
                  <w:noWrap w:val="0"/>
                  <w:vAlign w:val="center"/>
                </w:tcPr>
                <w:p w14:paraId="18A1BDF5">
                  <w:pPr>
                    <w:pStyle w:val="67"/>
                    <w:keepNext w:val="0"/>
                    <w:keepLines w:val="0"/>
                    <w:suppressLineNumbers w:val="0"/>
                    <w:spacing w:before="0" w:beforeAutospacing="0" w:after="0" w:afterAutospacing="0"/>
                    <w:ind w:left="0" w:right="0"/>
                    <w:jc w:val="center"/>
                    <w:rPr>
                      <w:rFonts w:hint="default"/>
                      <w:bCs w:val="0"/>
                      <w:color w:val="auto"/>
                      <w:spacing w:val="0"/>
                      <w:kern w:val="2"/>
                      <w:szCs w:val="21"/>
                      <w:highlight w:val="none"/>
                    </w:rPr>
                  </w:pPr>
                  <w:r>
                    <w:rPr>
                      <w:rFonts w:hint="default"/>
                      <w:bCs w:val="0"/>
                      <w:color w:val="auto"/>
                      <w:spacing w:val="0"/>
                      <w:kern w:val="2"/>
                      <w:szCs w:val="21"/>
                      <w:highlight w:val="none"/>
                    </w:rPr>
                    <w:t>项目不属于高污染、高耗水行业，不属于</w:t>
                  </w:r>
                  <w:r>
                    <w:rPr>
                      <w:rFonts w:hint="eastAsia"/>
                      <w:bCs w:val="0"/>
                      <w:color w:val="auto"/>
                      <w:spacing w:val="0"/>
                      <w:kern w:val="2"/>
                      <w:szCs w:val="21"/>
                      <w:highlight w:val="none"/>
                      <w:lang w:eastAsia="zh-CN"/>
                    </w:rPr>
                    <w:t>“</w:t>
                  </w:r>
                  <w:r>
                    <w:rPr>
                      <w:rFonts w:hint="default"/>
                      <w:bCs w:val="0"/>
                      <w:color w:val="auto"/>
                      <w:spacing w:val="0"/>
                      <w:kern w:val="2"/>
                      <w:szCs w:val="21"/>
                      <w:highlight w:val="none"/>
                    </w:rPr>
                    <w:t>十大重点行业</w:t>
                  </w:r>
                  <w:r>
                    <w:rPr>
                      <w:rFonts w:hint="eastAsia"/>
                      <w:bCs w:val="0"/>
                      <w:color w:val="auto"/>
                      <w:spacing w:val="0"/>
                      <w:kern w:val="2"/>
                      <w:szCs w:val="21"/>
                      <w:highlight w:val="none"/>
                      <w:lang w:eastAsia="zh-CN"/>
                    </w:rPr>
                    <w:t>”</w:t>
                  </w:r>
                  <w:r>
                    <w:rPr>
                      <w:rFonts w:hint="default"/>
                      <w:bCs w:val="0"/>
                      <w:color w:val="auto"/>
                      <w:spacing w:val="0"/>
                      <w:kern w:val="2"/>
                      <w:szCs w:val="21"/>
                      <w:highlight w:val="none"/>
                    </w:rPr>
                    <w:t>。</w:t>
                  </w:r>
                </w:p>
              </w:tc>
              <w:tc>
                <w:tcPr>
                  <w:tcW w:w="475" w:type="pct"/>
                  <w:noWrap w:val="0"/>
                  <w:vAlign w:val="center"/>
                </w:tcPr>
                <w:p w14:paraId="1F63E083">
                  <w:pPr>
                    <w:pStyle w:val="67"/>
                    <w:keepNext w:val="0"/>
                    <w:keepLines w:val="0"/>
                    <w:suppressLineNumbers w:val="0"/>
                    <w:spacing w:before="0" w:beforeAutospacing="0" w:after="0" w:afterAutospacing="0"/>
                    <w:ind w:left="0" w:right="0"/>
                    <w:jc w:val="center"/>
                    <w:rPr>
                      <w:rFonts w:hint="default"/>
                      <w:bCs w:val="0"/>
                      <w:color w:val="auto"/>
                      <w:spacing w:val="0"/>
                      <w:kern w:val="2"/>
                      <w:szCs w:val="21"/>
                      <w:highlight w:val="none"/>
                    </w:rPr>
                  </w:pPr>
                  <w:r>
                    <w:rPr>
                      <w:rFonts w:hint="default"/>
                      <w:bCs w:val="0"/>
                      <w:color w:val="auto"/>
                      <w:spacing w:val="0"/>
                      <w:kern w:val="2"/>
                      <w:szCs w:val="21"/>
                      <w:highlight w:val="none"/>
                    </w:rPr>
                    <w:t>符合</w:t>
                  </w:r>
                </w:p>
              </w:tc>
            </w:tr>
            <w:tr w14:paraId="5353E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noWrap w:val="0"/>
                  <w:vAlign w:val="center"/>
                </w:tcPr>
                <w:p w14:paraId="2F9514BC">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《土壤污染防治行动计划》（国发〔2016〕31号）</w:t>
                  </w:r>
                </w:p>
              </w:tc>
              <w:tc>
                <w:tcPr>
                  <w:tcW w:w="2156" w:type="pct"/>
                  <w:noWrap w:val="0"/>
                  <w:vAlign w:val="center"/>
                </w:tcPr>
                <w:p w14:paraId="5E30A180">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严格控制在优先保护类耕地集中区域新建有色金属冶炼、石油加工、化工、焦化、电镀、制革等行业企业，现有相关行业企业要采用新技术、新工艺，加快提标升级改造步伐。严格执行相关行业企业布局选址要求，禁止在居民区、学校、医疗和养老机构等周边新建有色金属冶炼、焦化等行业企业；结合推进新型城镇化、产业结构调整和化解过剩产能等，有序搬迁或依法关闭对土壤造成严重污染的现有企业。</w:t>
                  </w:r>
                </w:p>
              </w:tc>
              <w:tc>
                <w:tcPr>
                  <w:tcW w:w="1365" w:type="pct"/>
                  <w:noWrap w:val="0"/>
                  <w:vAlign w:val="center"/>
                </w:tcPr>
                <w:p w14:paraId="0259DE2D">
                  <w:pPr>
                    <w:pStyle w:val="67"/>
                    <w:keepNext w:val="0"/>
                    <w:keepLines w:val="0"/>
                    <w:suppressLineNumbers w:val="0"/>
                    <w:spacing w:before="0" w:beforeAutospacing="0" w:after="0" w:afterAutospacing="0"/>
                    <w:ind w:left="0" w:right="0"/>
                    <w:jc w:val="center"/>
                    <w:rPr>
                      <w:rFonts w:hint="default"/>
                      <w:bCs w:val="0"/>
                      <w:color w:val="auto"/>
                      <w:spacing w:val="0"/>
                      <w:szCs w:val="21"/>
                      <w:highlight w:val="none"/>
                    </w:rPr>
                  </w:pPr>
                  <w:r>
                    <w:rPr>
                      <w:rFonts w:hint="default"/>
                      <w:color w:val="auto"/>
                      <w:spacing w:val="0"/>
                      <w:szCs w:val="21"/>
                      <w:highlight w:val="none"/>
                    </w:rPr>
                    <w:t>项目不属于计划中限制行业，不涉及有色金属冶炼、焦化等，项目废气</w:t>
                  </w:r>
                  <w:r>
                    <w:rPr>
                      <w:rFonts w:hint="eastAsia"/>
                      <w:color w:val="auto"/>
                      <w:spacing w:val="0"/>
                      <w:szCs w:val="21"/>
                      <w:highlight w:val="none"/>
                    </w:rPr>
                    <w:t>污染物，</w:t>
                  </w:r>
                  <w:r>
                    <w:rPr>
                      <w:rFonts w:hint="default"/>
                      <w:color w:val="auto"/>
                      <w:spacing w:val="0"/>
                      <w:szCs w:val="21"/>
                      <w:highlight w:val="none"/>
                    </w:rPr>
                    <w:t>经过治理措施处理后</w:t>
                  </w:r>
                  <w:r>
                    <w:rPr>
                      <w:rFonts w:hint="eastAsia"/>
                      <w:color w:val="auto"/>
                      <w:spacing w:val="0"/>
                      <w:szCs w:val="21"/>
                      <w:highlight w:val="none"/>
                    </w:rPr>
                    <w:t>达标排放</w:t>
                  </w:r>
                  <w:r>
                    <w:rPr>
                      <w:rFonts w:hint="default"/>
                      <w:color w:val="auto"/>
                      <w:spacing w:val="0"/>
                      <w:szCs w:val="21"/>
                      <w:highlight w:val="none"/>
                    </w:rPr>
                    <w:t>，不会对土壤造成严重污染</w:t>
                  </w:r>
                  <w:r>
                    <w:rPr>
                      <w:rFonts w:hint="eastAsia"/>
                      <w:color w:val="auto"/>
                      <w:spacing w:val="0"/>
                      <w:szCs w:val="21"/>
                      <w:highlight w:val="none"/>
                    </w:rPr>
                    <w:t>；</w:t>
                  </w:r>
                  <w:r>
                    <w:rPr>
                      <w:rFonts w:hint="eastAsia"/>
                      <w:color w:val="auto"/>
                      <w:spacing w:val="0"/>
                      <w:szCs w:val="21"/>
                      <w:highlight w:val="none"/>
                      <w:lang w:eastAsia="zh-CN"/>
                    </w:rPr>
                    <w:t>本项目淬火、回火冷却水循环使用不外排；生活污水经化粪池处理后定期由吸粪车抽走，无废水外排</w:t>
                  </w:r>
                  <w:r>
                    <w:rPr>
                      <w:rFonts w:hint="eastAsia"/>
                      <w:color w:val="auto"/>
                      <w:spacing w:val="0"/>
                      <w:szCs w:val="21"/>
                      <w:highlight w:val="none"/>
                    </w:rPr>
                    <w:t>，不会对土壤造成严重污染；项目固废均合理处置，不会对土壤造成严重污染</w:t>
                  </w:r>
                  <w:r>
                    <w:rPr>
                      <w:rFonts w:hint="default"/>
                      <w:color w:val="auto"/>
                      <w:spacing w:val="0"/>
                      <w:szCs w:val="21"/>
                      <w:highlight w:val="none"/>
                    </w:rPr>
                    <w:t>。</w:t>
                  </w:r>
                  <w:r>
                    <w:rPr>
                      <w:rFonts w:hint="eastAsia"/>
                      <w:color w:val="auto"/>
                      <w:spacing w:val="0"/>
                      <w:szCs w:val="21"/>
                      <w:highlight w:val="none"/>
                    </w:rPr>
                    <w:t>且项目分区进行防渗，正常生产情况下，对土壤环境的影响较小。</w:t>
                  </w:r>
                </w:p>
              </w:tc>
              <w:tc>
                <w:tcPr>
                  <w:tcW w:w="475" w:type="pct"/>
                  <w:noWrap w:val="0"/>
                  <w:vAlign w:val="center"/>
                </w:tcPr>
                <w:p w14:paraId="669A815F">
                  <w:pPr>
                    <w:pStyle w:val="67"/>
                    <w:keepNext w:val="0"/>
                    <w:keepLines w:val="0"/>
                    <w:suppressLineNumbers w:val="0"/>
                    <w:spacing w:before="0" w:beforeAutospacing="0" w:after="0" w:afterAutospacing="0"/>
                    <w:ind w:left="0" w:right="0"/>
                    <w:jc w:val="center"/>
                    <w:rPr>
                      <w:rFonts w:hint="default"/>
                      <w:bCs w:val="0"/>
                      <w:color w:val="auto"/>
                      <w:spacing w:val="0"/>
                      <w:szCs w:val="21"/>
                      <w:highlight w:val="none"/>
                    </w:rPr>
                  </w:pPr>
                  <w:r>
                    <w:rPr>
                      <w:rFonts w:hint="default"/>
                      <w:color w:val="auto"/>
                      <w:spacing w:val="0"/>
                      <w:szCs w:val="21"/>
                      <w:highlight w:val="none"/>
                    </w:rPr>
                    <w:t>符合</w:t>
                  </w:r>
                </w:p>
              </w:tc>
            </w:tr>
            <w:tr w14:paraId="72375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restart"/>
                  <w:noWrap w:val="0"/>
                  <w:vAlign w:val="center"/>
                </w:tcPr>
                <w:p w14:paraId="1A6EF48E">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《河北省人民政府办公厅关于进一步加强全省土壤污染防治工作的实施意见》（冀政办字〔2020〕11号）</w:t>
                  </w:r>
                </w:p>
              </w:tc>
              <w:tc>
                <w:tcPr>
                  <w:tcW w:w="2156" w:type="pct"/>
                  <w:noWrap w:val="0"/>
                  <w:vAlign w:val="center"/>
                </w:tcPr>
                <w:p w14:paraId="7992CA56">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开展建设用地调查评估。对土壤状况普查、详查、监测、现场检查等表明有土壤污染风险的建设用地地块，土地使用权人要开展土壤污染状况调查；用途变更为住宅、公共管理与公共服务用地的，变更前要进行土壤污染状况调查，对污染物含量超过土壤污染风险管控标准的地块，要按规定进行风险评估。2020年6月底前，各县（市、区）政府要组织对未经土壤污染状况调查，已开发利用为住宅、公共管理与公共服务用地的地块进行摸底调查，采取有效措施，确保人居环境安全。</w:t>
                  </w:r>
                </w:p>
              </w:tc>
              <w:tc>
                <w:tcPr>
                  <w:tcW w:w="1365" w:type="pct"/>
                  <w:noWrap w:val="0"/>
                  <w:vAlign w:val="center"/>
                </w:tcPr>
                <w:p w14:paraId="42CBE5CC">
                  <w:pPr>
                    <w:keepNext w:val="0"/>
                    <w:keepLines w:val="0"/>
                    <w:suppressLineNumbers w:val="0"/>
                    <w:adjustRightInd w:val="0"/>
                    <w:snapToGrid w:val="0"/>
                    <w:spacing w:before="0" w:beforeAutospacing="0" w:after="0" w:afterAutospacing="0"/>
                    <w:ind w:left="0" w:right="0"/>
                    <w:jc w:val="center"/>
                    <w:rPr>
                      <w:rFonts w:hint="default"/>
                      <w:bCs/>
                      <w:color w:val="auto"/>
                      <w:kern w:val="0"/>
                      <w:szCs w:val="21"/>
                      <w:highlight w:val="none"/>
                    </w:rPr>
                  </w:pPr>
                  <w:r>
                    <w:rPr>
                      <w:rFonts w:hint="eastAsia"/>
                      <w:bCs/>
                      <w:color w:val="auto"/>
                      <w:kern w:val="0"/>
                      <w:szCs w:val="21"/>
                      <w:highlight w:val="none"/>
                    </w:rPr>
                    <w:t>本项目用地为工业用地、用途未变更、无土壤污染风险、不涉及政策规定的强制调查情形</w:t>
                  </w:r>
                  <w:r>
                    <w:rPr>
                      <w:rFonts w:hint="eastAsia"/>
                      <w:color w:val="auto"/>
                      <w:szCs w:val="21"/>
                      <w:highlight w:val="none"/>
                    </w:rPr>
                    <w:t>。</w:t>
                  </w:r>
                </w:p>
              </w:tc>
              <w:tc>
                <w:tcPr>
                  <w:tcW w:w="475" w:type="pct"/>
                  <w:noWrap w:val="0"/>
                  <w:vAlign w:val="center"/>
                </w:tcPr>
                <w:p w14:paraId="38952127">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符合</w:t>
                  </w:r>
                </w:p>
              </w:tc>
            </w:tr>
            <w:tr w14:paraId="2E364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noWrap w:val="0"/>
                  <w:vAlign w:val="center"/>
                </w:tcPr>
                <w:p w14:paraId="25660BF3">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p>
              </w:tc>
              <w:tc>
                <w:tcPr>
                  <w:tcW w:w="2156" w:type="pct"/>
                  <w:noWrap w:val="0"/>
                  <w:vAlign w:val="center"/>
                </w:tcPr>
                <w:p w14:paraId="532B2D5C">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严格建设用地准入管理。加强对土地征收、收回、收购的监督管理，土壤污染重点监管单位生产经营用地用途变更或土地使用权回收、转让的土壤污染状况调查报告，作为不动产登记资料送交当地政府不动产登记机构。对列入建设用地土壤污染风险管控和修复名录的地块，不得作为住宅、公共管理与公共服务用地；对未达到土壤污染风险管控、修复目标的地块，禁止开工建设任何与风险管控、修复无关的项目；有关部门不得批准环境影响评价技术文件、建设工程规划许可证等事项。</w:t>
                  </w:r>
                </w:p>
              </w:tc>
              <w:tc>
                <w:tcPr>
                  <w:tcW w:w="1365" w:type="pct"/>
                  <w:noWrap w:val="0"/>
                  <w:vAlign w:val="center"/>
                </w:tcPr>
                <w:p w14:paraId="05B10DA0">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项目所在地块未列入建设用地土壤污染风险管控和修复名录，无需开展土壤污染状况调查。</w:t>
                  </w:r>
                </w:p>
              </w:tc>
              <w:tc>
                <w:tcPr>
                  <w:tcW w:w="475" w:type="pct"/>
                  <w:noWrap w:val="0"/>
                  <w:vAlign w:val="center"/>
                </w:tcPr>
                <w:p w14:paraId="0D37A7FE">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符合</w:t>
                  </w:r>
                </w:p>
              </w:tc>
            </w:tr>
            <w:tr w14:paraId="4C377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vMerge w:val="continue"/>
                  <w:noWrap w:val="0"/>
                  <w:vAlign w:val="center"/>
                </w:tcPr>
                <w:p w14:paraId="5DA94D63">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p>
              </w:tc>
              <w:tc>
                <w:tcPr>
                  <w:tcW w:w="2156" w:type="pct"/>
                  <w:noWrap w:val="0"/>
                  <w:vAlign w:val="center"/>
                </w:tcPr>
                <w:p w14:paraId="696E9948">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规范固体废物处置利用。加强工业固体废物堆存场所环境整治，提升大宗固体废物综合利用能力。统筹区域危险废物利用处置能力建设，严格危险废物经营许可审批。规范和完善医疗废物分类收集处置体系，2020年底前，全省医疗废物集中收集和集中处置率达到100%。全面禁止洋垃圾入境，推进实现固体废物零进口。积极推进雄安新区</w:t>
                  </w:r>
                  <w:r>
                    <w:rPr>
                      <w:rFonts w:hint="eastAsia"/>
                      <w:color w:val="auto"/>
                      <w:spacing w:val="0"/>
                      <w:szCs w:val="21"/>
                      <w:highlight w:val="none"/>
                      <w:lang w:eastAsia="zh-CN"/>
                    </w:rPr>
                    <w:t>“</w:t>
                  </w:r>
                  <w:r>
                    <w:rPr>
                      <w:rFonts w:hint="eastAsia"/>
                      <w:color w:val="auto"/>
                      <w:spacing w:val="0"/>
                      <w:szCs w:val="21"/>
                      <w:highlight w:val="none"/>
                    </w:rPr>
                    <w:t>无废城市</w:t>
                  </w:r>
                  <w:r>
                    <w:rPr>
                      <w:rFonts w:hint="eastAsia"/>
                      <w:color w:val="auto"/>
                      <w:spacing w:val="0"/>
                      <w:szCs w:val="21"/>
                      <w:highlight w:val="none"/>
                      <w:lang w:eastAsia="zh-CN"/>
                    </w:rPr>
                    <w:t>”</w:t>
                  </w:r>
                  <w:r>
                    <w:rPr>
                      <w:rFonts w:hint="eastAsia"/>
                      <w:color w:val="auto"/>
                      <w:spacing w:val="0"/>
                      <w:szCs w:val="21"/>
                      <w:highlight w:val="none"/>
                    </w:rPr>
                    <w:t>示范建设。</w:t>
                  </w:r>
                </w:p>
              </w:tc>
              <w:tc>
                <w:tcPr>
                  <w:tcW w:w="1365" w:type="pct"/>
                  <w:noWrap w:val="0"/>
                  <w:vAlign w:val="center"/>
                </w:tcPr>
                <w:p w14:paraId="01BC8C23">
                  <w:pPr>
                    <w:pStyle w:val="67"/>
                    <w:keepNext w:val="0"/>
                    <w:keepLines w:val="0"/>
                    <w:suppressLineNumbers w:val="0"/>
                    <w:spacing w:before="0" w:beforeAutospacing="0" w:after="0" w:afterAutospacing="0"/>
                    <w:ind w:left="0" w:right="0"/>
                    <w:jc w:val="center"/>
                    <w:rPr>
                      <w:rFonts w:hint="default"/>
                      <w:color w:val="auto"/>
                      <w:spacing w:val="0"/>
                      <w:szCs w:val="21"/>
                      <w:highlight w:val="none"/>
                    </w:rPr>
                  </w:pPr>
                  <w:r>
                    <w:rPr>
                      <w:rFonts w:hint="eastAsia"/>
                      <w:color w:val="auto"/>
                      <w:spacing w:val="0"/>
                      <w:szCs w:val="21"/>
                      <w:highlight w:val="none"/>
                    </w:rPr>
                    <w:t>项目一般固体废物均合理处置；</w:t>
                  </w:r>
                  <w:r>
                    <w:rPr>
                      <w:rFonts w:hint="eastAsia"/>
                      <w:color w:val="auto"/>
                      <w:spacing w:val="0"/>
                      <w:szCs w:val="21"/>
                      <w:highlight w:val="none"/>
                      <w:lang w:eastAsia="zh-CN"/>
                    </w:rPr>
                    <w:t>危险废物即产即清，交由有资质的单位处理</w:t>
                  </w:r>
                  <w:r>
                    <w:rPr>
                      <w:rFonts w:hint="eastAsia"/>
                      <w:color w:val="auto"/>
                      <w:spacing w:val="0"/>
                      <w:szCs w:val="21"/>
                      <w:highlight w:val="none"/>
                      <w:lang w:val="zh-CN"/>
                    </w:rPr>
                    <w:t>，</w:t>
                  </w:r>
                  <w:r>
                    <w:rPr>
                      <w:rFonts w:hint="eastAsia"/>
                      <w:color w:val="auto"/>
                      <w:spacing w:val="0"/>
                      <w:szCs w:val="21"/>
                      <w:highlight w:val="none"/>
                    </w:rPr>
                    <w:t>固体废物规范处置。</w:t>
                  </w:r>
                </w:p>
              </w:tc>
              <w:tc>
                <w:tcPr>
                  <w:tcW w:w="475" w:type="pct"/>
                  <w:noWrap w:val="0"/>
                  <w:vAlign w:val="center"/>
                </w:tcPr>
                <w:p w14:paraId="4876DF45">
                  <w:pPr>
                    <w:pStyle w:val="67"/>
                    <w:keepNext w:val="0"/>
                    <w:keepLines w:val="0"/>
                    <w:suppressLineNumbers w:val="0"/>
                    <w:spacing w:before="0" w:beforeAutospacing="0" w:after="0" w:afterAutospacing="0"/>
                    <w:ind w:left="0" w:right="0"/>
                    <w:jc w:val="center"/>
                    <w:rPr>
                      <w:rFonts w:hint="eastAsia"/>
                      <w:color w:val="auto"/>
                      <w:spacing w:val="0"/>
                      <w:szCs w:val="21"/>
                      <w:highlight w:val="none"/>
                    </w:rPr>
                  </w:pPr>
                  <w:r>
                    <w:rPr>
                      <w:rFonts w:hint="eastAsia"/>
                      <w:color w:val="auto"/>
                      <w:spacing w:val="0"/>
                      <w:szCs w:val="21"/>
                      <w:highlight w:val="none"/>
                    </w:rPr>
                    <w:t>符合</w:t>
                  </w:r>
                </w:p>
              </w:tc>
            </w:tr>
            <w:tr w14:paraId="4876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shd w:val="clear" w:color="auto" w:fill="auto"/>
                  <w:noWrap w:val="0"/>
                  <w:vAlign w:val="center"/>
                </w:tcPr>
                <w:p w14:paraId="553E637B">
                  <w:pPr>
                    <w:keepNext w:val="0"/>
                    <w:keepLines w:val="0"/>
                    <w:suppressLineNumbers w:val="0"/>
                    <w:adjustRightInd w:val="0"/>
                    <w:snapToGrid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《固体废物综合治理行动计划》（国发〔2025〕14 号）</w:t>
                  </w:r>
                </w:p>
              </w:tc>
              <w:tc>
                <w:tcPr>
                  <w:tcW w:w="2156" w:type="pct"/>
                  <w:shd w:val="clear" w:color="auto" w:fill="auto"/>
                  <w:noWrap w:val="0"/>
                  <w:vAlign w:val="center"/>
                </w:tcPr>
                <w:p w14:paraId="0C64B837">
                  <w:pPr>
                    <w:keepNext w:val="0"/>
                    <w:keepLines w:val="0"/>
                    <w:suppressLineNumbers w:val="0"/>
                    <w:adjustRightInd w:val="0"/>
                    <w:snapToGrid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四）加强工业固体废物规范化管理。完善工业固体废物管理台账制度，强化全链条跟踪管控。推行工业固体废物分类收集贮存，防范混堆混排。禁止向生活垃圾收集设施中投放工业固体废物。严格执行工业固体废物、危险废物跨省转移审批制度。规范各类企业危险废物收集管理</w:t>
                  </w:r>
                </w:p>
              </w:tc>
              <w:tc>
                <w:tcPr>
                  <w:tcW w:w="1365" w:type="pct"/>
                  <w:shd w:val="clear" w:color="auto" w:fill="auto"/>
                  <w:noWrap w:val="0"/>
                  <w:vAlign w:val="center"/>
                </w:tcPr>
                <w:p w14:paraId="7DB21E28">
                  <w:pPr>
                    <w:keepNext w:val="0"/>
                    <w:keepLines w:val="0"/>
                    <w:suppressLineNumbers w:val="0"/>
                    <w:adjustRightInd w:val="0"/>
                    <w:snapToGrid w:val="0"/>
                    <w:spacing w:before="0" w:beforeAutospacing="0" w:after="0" w:afterAutospacing="0"/>
                    <w:ind w:left="0" w:leftChars="0" w:right="0" w:rightChars="0"/>
                    <w:jc w:val="center"/>
                    <w:rPr>
                      <w:rFonts w:hint="default" w:cs="Times New Roman"/>
                      <w:smallCaps w:val="0"/>
                      <w:snapToGrid w:val="0"/>
                      <w:color w:val="auto"/>
                      <w:spacing w:val="0"/>
                      <w:kern w:val="0"/>
                      <w:sz w:val="21"/>
                      <w:szCs w:val="21"/>
                      <w:highlight w:val="none"/>
                      <w:lang w:val="en-US" w:eastAsia="zh-CN"/>
                    </w:rPr>
                  </w:pPr>
                  <w:r>
                    <w:rPr>
                      <w:rFonts w:hint="eastAsia" w:cs="Times New Roman"/>
                      <w:smallCaps w:val="0"/>
                      <w:snapToGrid w:val="0"/>
                      <w:color w:val="auto"/>
                      <w:spacing w:val="0"/>
                      <w:kern w:val="0"/>
                      <w:sz w:val="21"/>
                      <w:szCs w:val="21"/>
                      <w:highlight w:val="none"/>
                      <w:lang w:val="en-US" w:eastAsia="zh-CN"/>
                    </w:rPr>
                    <w:t>项目为投产后依法按照要求进行固废台账管理。</w:t>
                  </w:r>
                </w:p>
              </w:tc>
              <w:tc>
                <w:tcPr>
                  <w:tcW w:w="475" w:type="pct"/>
                  <w:shd w:val="clear" w:color="auto" w:fill="auto"/>
                  <w:noWrap w:val="0"/>
                  <w:vAlign w:val="center"/>
                </w:tcPr>
                <w:p w14:paraId="537F2C58">
                  <w:pPr>
                    <w:keepNext w:val="0"/>
                    <w:keepLines w:val="0"/>
                    <w:suppressLineNumbers w:val="0"/>
                    <w:adjustRightInd w:val="0"/>
                    <w:snapToGrid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符合</w:t>
                  </w:r>
                </w:p>
              </w:tc>
            </w:tr>
            <w:tr w14:paraId="51632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02" w:type="pct"/>
                  <w:shd w:val="clear" w:color="auto" w:fill="auto"/>
                  <w:noWrap w:val="0"/>
                  <w:vAlign w:val="center"/>
                </w:tcPr>
                <w:p w14:paraId="367150B1">
                  <w:pPr>
                    <w:keepNext w:val="0"/>
                    <w:keepLines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《关于进一步做好沙区建设项目环境影响评价工作的通知》冀环办字函</w:t>
                  </w:r>
                  <w:r>
                    <w:rPr>
                      <w:rFonts w:hint="default"/>
                      <w:color w:val="auto"/>
                      <w:szCs w:val="21"/>
                      <w:highlight w:val="none"/>
                    </w:rPr>
                    <w:t>〔202</w:t>
                  </w:r>
                  <w:r>
                    <w:rPr>
                      <w:rFonts w:hint="eastAsia"/>
                      <w:color w:val="auto"/>
                      <w:szCs w:val="21"/>
                      <w:highlight w:val="none"/>
                      <w:lang w:val="en-US" w:eastAsia="zh-CN"/>
                    </w:rPr>
                    <w:t>3</w:t>
                  </w:r>
                  <w:r>
                    <w:rPr>
                      <w:rFonts w:hint="default"/>
                      <w:color w:val="auto"/>
                      <w:szCs w:val="21"/>
                      <w:highlight w:val="none"/>
                    </w:rPr>
                    <w:t>〕</w:t>
                  </w:r>
                  <w:r>
                    <w:rPr>
                      <w:rFonts w:hint="eastAsia"/>
                      <w:color w:val="auto"/>
                      <w:szCs w:val="21"/>
                      <w:highlight w:val="none"/>
                      <w:lang w:val="en-US" w:eastAsia="zh-CN"/>
                    </w:rPr>
                    <w:t>326</w:t>
                  </w:r>
                  <w:r>
                    <w:rPr>
                      <w:rFonts w:hint="default"/>
                      <w:color w:val="auto"/>
                      <w:szCs w:val="21"/>
                      <w:highlight w:val="none"/>
                    </w:rPr>
                    <w:t>号</w:t>
                  </w:r>
                </w:p>
              </w:tc>
              <w:tc>
                <w:tcPr>
                  <w:tcW w:w="2156" w:type="pct"/>
                  <w:shd w:val="clear" w:color="auto" w:fill="auto"/>
                  <w:noWrap w:val="0"/>
                  <w:vAlign w:val="center"/>
                </w:tcPr>
                <w:p w14:paraId="32762B22">
                  <w:pPr>
                    <w:keepNext w:val="0"/>
                    <w:keepLines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沙区范围主要涉及的区域-</w:t>
                  </w:r>
                  <w:r>
                    <w:rPr>
                      <w:rFonts w:hint="eastAsia" w:ascii="Times New Roman" w:hAnsi="Times New Roman" w:eastAsia="宋体" w:cs="Times New Roman"/>
                      <w:color w:val="auto"/>
                      <w:kern w:val="2"/>
                      <w:sz w:val="21"/>
                      <w:szCs w:val="21"/>
                      <w:highlight w:val="none"/>
                      <w:lang w:val="en-US" w:eastAsia="zh-CN" w:bidi="ar-SA"/>
                    </w:rPr>
                    <w:t>石家庄</w:t>
                  </w:r>
                  <w:r>
                    <w:rPr>
                      <w:rFonts w:hint="eastAsia" w:cs="Times New Roman"/>
                      <w:color w:val="auto"/>
                      <w:kern w:val="2"/>
                      <w:sz w:val="21"/>
                      <w:szCs w:val="21"/>
                      <w:highlight w:val="none"/>
                      <w:lang w:val="en-US" w:eastAsia="zh-CN" w:bidi="ar-SA"/>
                    </w:rPr>
                    <w:t>：</w:t>
                  </w:r>
                  <w:r>
                    <w:rPr>
                      <w:rFonts w:hint="eastAsia" w:ascii="Times New Roman" w:hAnsi="Times New Roman" w:eastAsia="宋体" w:cs="Times New Roman"/>
                      <w:color w:val="auto"/>
                      <w:kern w:val="2"/>
                      <w:sz w:val="21"/>
                      <w:szCs w:val="21"/>
                      <w:highlight w:val="none"/>
                      <w:lang w:val="en-US" w:eastAsia="zh-CN" w:bidi="ar-SA"/>
                    </w:rPr>
                    <w:t>藁城区、行唐县、晋州市、灵寿县、深泽县、无极县、新乐市、赵县、正定县。</w:t>
                  </w:r>
                </w:p>
              </w:tc>
              <w:tc>
                <w:tcPr>
                  <w:tcW w:w="1365" w:type="pct"/>
                  <w:shd w:val="clear" w:color="auto" w:fill="auto"/>
                  <w:noWrap w:val="0"/>
                  <w:vAlign w:val="center"/>
                </w:tcPr>
                <w:p w14:paraId="5B63C910">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项目位于井陉矿区，不涉及沙区范围</w:t>
                  </w:r>
                </w:p>
              </w:tc>
              <w:tc>
                <w:tcPr>
                  <w:tcW w:w="475" w:type="pct"/>
                  <w:shd w:val="clear" w:color="auto" w:fill="auto"/>
                  <w:noWrap w:val="0"/>
                  <w:vAlign w:val="center"/>
                </w:tcPr>
                <w:p w14:paraId="39E02AD2">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符合</w:t>
                  </w:r>
                </w:p>
              </w:tc>
            </w:tr>
          </w:tbl>
          <w:p w14:paraId="2B18E457">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综上所述</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项目符合</w:t>
            </w:r>
            <w:r>
              <w:rPr>
                <w:rFonts w:hint="default" w:ascii="Times New Roman" w:hAnsi="Times New Roman" w:cs="Times New Roman"/>
                <w:smallCaps w:val="0"/>
                <w:color w:val="auto"/>
                <w:spacing w:val="0"/>
                <w:highlight w:val="none"/>
                <w:lang w:val="en-US" w:eastAsia="zh-CN"/>
              </w:rPr>
              <w:t>相关环境</w:t>
            </w:r>
            <w:r>
              <w:rPr>
                <w:rFonts w:hint="default" w:ascii="Times New Roman" w:hAnsi="Times New Roman" w:cs="Times New Roman"/>
                <w:smallCaps w:val="0"/>
                <w:color w:val="auto"/>
                <w:spacing w:val="0"/>
                <w:highlight w:val="none"/>
              </w:rPr>
              <w:t>管理政策的要求。</w:t>
            </w:r>
          </w:p>
          <w:p w14:paraId="6F9A0CF2">
            <w:pPr>
              <w:pStyle w:val="172"/>
              <w:keepNext w:val="0"/>
              <w:keepLines w:val="0"/>
              <w:suppressLineNumbers w:val="0"/>
              <w:spacing w:before="0" w:beforeAutospacing="0" w:after="0" w:afterAutospacing="0"/>
              <w:ind w:left="0" w:right="0" w:firstLine="439" w:firstLineChars="1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lang w:val="en-US" w:eastAsia="zh-CN"/>
              </w:rPr>
              <w:t>6</w:t>
            </w:r>
            <w:r>
              <w:rPr>
                <w:rFonts w:hint="default" w:ascii="Times New Roman" w:hAnsi="Times New Roman" w:cs="Times New Roman"/>
                <w:b/>
                <w:smallCaps w:val="0"/>
                <w:color w:val="auto"/>
                <w:spacing w:val="0"/>
                <w:highlight w:val="none"/>
              </w:rPr>
              <w:t>、项目</w:t>
            </w:r>
            <w:r>
              <w:rPr>
                <w:rFonts w:hint="default" w:ascii="Times New Roman" w:hAnsi="Times New Roman" w:cs="Times New Roman"/>
                <w:b/>
                <w:smallCaps w:val="0"/>
                <w:color w:val="auto"/>
                <w:spacing w:val="0"/>
                <w:highlight w:val="none"/>
                <w:lang w:val="en-US" w:eastAsia="zh-CN"/>
              </w:rPr>
              <w:t>与其他环境管理要求</w:t>
            </w:r>
            <w:r>
              <w:rPr>
                <w:rFonts w:hint="default" w:ascii="Times New Roman" w:hAnsi="Times New Roman" w:cs="Times New Roman"/>
                <w:b/>
                <w:smallCaps w:val="0"/>
                <w:color w:val="auto"/>
                <w:spacing w:val="0"/>
                <w:highlight w:val="none"/>
              </w:rPr>
              <w:t>符合性分析</w:t>
            </w:r>
          </w:p>
          <w:p w14:paraId="19383580">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w:t>
            </w:r>
            <w:r>
              <w:rPr>
                <w:rFonts w:hint="eastAsia" w:cs="Times New Roman"/>
                <w:smallCaps w:val="0"/>
                <w:color w:val="auto"/>
                <w:spacing w:val="0"/>
                <w:highlight w:val="none"/>
                <w:lang w:val="en-US" w:eastAsia="zh-CN"/>
              </w:rPr>
              <w:t>1</w:t>
            </w:r>
            <w:r>
              <w:rPr>
                <w:rFonts w:hint="default" w:ascii="Times New Roman" w:hAnsi="Times New Roman" w:cs="Times New Roman"/>
                <w:smallCaps w:val="0"/>
                <w:color w:val="auto"/>
                <w:spacing w:val="0"/>
                <w:highlight w:val="none"/>
              </w:rPr>
              <w:t>）项目与《河北省生态环境保护</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十四五</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规划》（冀政字[2022]2号）符合性分析</w:t>
            </w:r>
          </w:p>
          <w:p w14:paraId="40734CC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项目与《河北省生态环境保护</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十四五</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规划》（冀政字[2022]2号）符合性分析见表1-</w:t>
            </w:r>
            <w:r>
              <w:rPr>
                <w:rFonts w:hint="eastAsia" w:cs="Times New Roman"/>
                <w:smallCaps w:val="0"/>
                <w:color w:val="auto"/>
                <w:spacing w:val="0"/>
                <w:highlight w:val="none"/>
                <w:lang w:val="en-US" w:eastAsia="zh-CN"/>
              </w:rPr>
              <w:t>13</w:t>
            </w:r>
            <w:r>
              <w:rPr>
                <w:rFonts w:hint="default" w:ascii="Times New Roman" w:hAnsi="Times New Roman" w:cs="Times New Roman"/>
                <w:smallCaps w:val="0"/>
                <w:color w:val="auto"/>
                <w:spacing w:val="0"/>
                <w:highlight w:val="none"/>
                <w:lang w:val="en-US" w:eastAsia="zh-CN"/>
              </w:rPr>
              <w:t>。</w:t>
            </w:r>
          </w:p>
          <w:p w14:paraId="6F1B8ACF">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表1-</w:t>
            </w:r>
            <w:r>
              <w:rPr>
                <w:rFonts w:hint="eastAsia" w:cs="Times New Roman"/>
                <w:smallCaps w:val="0"/>
                <w:color w:val="auto"/>
                <w:spacing w:val="0"/>
                <w:highlight w:val="none"/>
                <w:lang w:val="en-US" w:eastAsia="zh-CN"/>
              </w:rPr>
              <w:t>13</w:t>
            </w:r>
            <w:r>
              <w:rPr>
                <w:rFonts w:hint="default" w:ascii="Times New Roman" w:hAnsi="Times New Roman" w:cs="Times New Roman"/>
                <w:smallCaps w:val="0"/>
                <w:color w:val="auto"/>
                <w:spacing w:val="0"/>
                <w:highlight w:val="none"/>
              </w:rPr>
              <w:t xml:space="preserve">    项目与《河北省生态环境保护</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十四五</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规划》（冀政字[2022]2号）符合性分析一览表</w:t>
            </w:r>
          </w:p>
          <w:tbl>
            <w:tblPr>
              <w:tblStyle w:val="47"/>
              <w:tblW w:w="4984"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770"/>
              <w:gridCol w:w="4404"/>
              <w:gridCol w:w="1834"/>
              <w:gridCol w:w="589"/>
            </w:tblGrid>
            <w:tr w14:paraId="4740C4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3405" w:type="pct"/>
                  <w:gridSpan w:val="2"/>
                  <w:tcBorders>
                    <w:top w:val="single" w:color="auto" w:sz="4" w:space="0"/>
                    <w:left w:val="single" w:color="auto" w:sz="4" w:space="0"/>
                    <w:bottom w:val="single" w:color="auto" w:sz="4" w:space="0"/>
                    <w:right w:val="single" w:color="auto" w:sz="4" w:space="0"/>
                  </w:tcBorders>
                  <w:noWrap w:val="0"/>
                  <w:vAlign w:val="center"/>
                </w:tcPr>
                <w:p w14:paraId="711EF69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相关内容要求</w:t>
                  </w:r>
                </w:p>
              </w:tc>
              <w:tc>
                <w:tcPr>
                  <w:tcW w:w="1206" w:type="pct"/>
                  <w:tcBorders>
                    <w:top w:val="single" w:color="auto" w:sz="4" w:space="0"/>
                    <w:left w:val="single" w:color="auto" w:sz="4" w:space="0"/>
                    <w:bottom w:val="single" w:color="auto" w:sz="4" w:space="0"/>
                    <w:right w:val="single" w:color="auto" w:sz="4" w:space="0"/>
                  </w:tcBorders>
                  <w:noWrap w:val="0"/>
                  <w:vAlign w:val="center"/>
                </w:tcPr>
                <w:p w14:paraId="12C1751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项目情况</w:t>
                  </w:r>
                </w:p>
              </w:tc>
              <w:tc>
                <w:tcPr>
                  <w:tcW w:w="387" w:type="pct"/>
                  <w:tcBorders>
                    <w:top w:val="single" w:color="auto" w:sz="4" w:space="0"/>
                    <w:left w:val="single" w:color="auto" w:sz="4" w:space="0"/>
                    <w:bottom w:val="single" w:color="auto" w:sz="4" w:space="0"/>
                    <w:right w:val="single" w:color="auto" w:sz="8" w:space="0"/>
                  </w:tcBorders>
                  <w:noWrap w:val="0"/>
                  <w:vAlign w:val="center"/>
                </w:tcPr>
                <w:p w14:paraId="26F0E3D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符合性</w:t>
                  </w:r>
                </w:p>
              </w:tc>
            </w:tr>
            <w:tr w14:paraId="7A2809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507" w:type="pct"/>
                  <w:vMerge w:val="restart"/>
                  <w:tcBorders>
                    <w:top w:val="single" w:color="auto" w:sz="4" w:space="0"/>
                    <w:left w:val="single" w:color="auto" w:sz="4" w:space="0"/>
                    <w:right w:val="single" w:color="auto" w:sz="4" w:space="0"/>
                  </w:tcBorders>
                  <w:noWrap w:val="0"/>
                  <w:vAlign w:val="center"/>
                </w:tcPr>
                <w:p w14:paraId="1883CFA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三、创新引领</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推动绿色低碳发展</w:t>
                  </w:r>
                </w:p>
              </w:tc>
              <w:tc>
                <w:tcPr>
                  <w:tcW w:w="2897" w:type="pct"/>
                  <w:tcBorders>
                    <w:top w:val="single" w:color="auto" w:sz="4" w:space="0"/>
                    <w:left w:val="single" w:color="auto" w:sz="4" w:space="0"/>
                    <w:bottom w:val="single" w:color="auto" w:sz="4" w:space="0"/>
                    <w:right w:val="single" w:color="auto" w:sz="4" w:space="0"/>
                  </w:tcBorders>
                  <w:noWrap w:val="0"/>
                  <w:vAlign w:val="center"/>
                </w:tcPr>
                <w:p w14:paraId="0986A40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（一）统筹推进区域绿色发展。2.建立生态环境分区管控体系。衔接国土空间规划分区和用途管制</w:t>
                  </w:r>
                  <w:r>
                    <w:rPr>
                      <w:rFonts w:hint="default" w:ascii="Times New Roman" w:hAnsi="Times New Roman" w:cs="Times New Roman"/>
                      <w:smallCaps w:val="0"/>
                      <w:snapToGrid w:val="0"/>
                      <w:color w:val="auto"/>
                      <w:spacing w:val="0"/>
                      <w:kern w:val="0"/>
                      <w:sz w:val="21"/>
                      <w:szCs w:val="21"/>
                      <w:highlight w:val="none"/>
                    </w:rPr>
                    <w:cr/>
                  </w:r>
                  <w:r>
                    <w:rPr>
                      <w:rFonts w:hint="default" w:ascii="Times New Roman" w:hAnsi="Times New Roman" w:cs="Times New Roman"/>
                      <w:smallCaps w:val="0"/>
                      <w:snapToGrid w:val="0"/>
                      <w:color w:val="auto"/>
                      <w:spacing w:val="0"/>
                      <w:kern w:val="0"/>
                      <w:sz w:val="21"/>
                      <w:szCs w:val="21"/>
                      <w:highlight w:val="none"/>
                    </w:rPr>
                    <w:t>要求</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将生态保护红线、环境质量底线、资源利用上线的硬约束落实到环境管控单元</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建立差别化的生态环境准入清单</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加强</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三线一单</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成果在政策制定、环境准入、园区管理、执法监管等方面的应用。健全以环评制度为主体的源头预防体系</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严格规划环评审查和项目环评准入</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开展重大经济技术政策的生态环境影响分析和重大生态环境政策的社会经济影响评估。</w:t>
                  </w:r>
                </w:p>
              </w:tc>
              <w:tc>
                <w:tcPr>
                  <w:tcW w:w="1206" w:type="pct"/>
                  <w:tcBorders>
                    <w:top w:val="single" w:color="auto" w:sz="4" w:space="0"/>
                    <w:left w:val="single" w:color="auto" w:sz="4" w:space="0"/>
                    <w:bottom w:val="single" w:color="auto" w:sz="4" w:space="0"/>
                    <w:right w:val="single" w:color="auto" w:sz="4" w:space="0"/>
                  </w:tcBorders>
                  <w:noWrap w:val="0"/>
                  <w:vAlign w:val="center"/>
                </w:tcPr>
                <w:p w14:paraId="48E9204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项目建设符合</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三线一单</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相关文件要求。</w:t>
                  </w:r>
                </w:p>
              </w:tc>
              <w:tc>
                <w:tcPr>
                  <w:tcW w:w="387" w:type="pct"/>
                  <w:tcBorders>
                    <w:top w:val="single" w:color="auto" w:sz="4" w:space="0"/>
                    <w:left w:val="single" w:color="auto" w:sz="4" w:space="0"/>
                    <w:bottom w:val="single" w:color="auto" w:sz="4" w:space="0"/>
                    <w:right w:val="single" w:color="auto" w:sz="8" w:space="0"/>
                  </w:tcBorders>
                  <w:noWrap w:val="0"/>
                  <w:vAlign w:val="center"/>
                </w:tcPr>
                <w:p w14:paraId="305DB37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符合</w:t>
                  </w:r>
                </w:p>
              </w:tc>
            </w:tr>
            <w:tr w14:paraId="4E09E6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507" w:type="pct"/>
                  <w:vMerge w:val="continue"/>
                  <w:tcBorders>
                    <w:left w:val="single" w:color="auto" w:sz="4" w:space="0"/>
                    <w:right w:val="single" w:color="auto" w:sz="4" w:space="0"/>
                  </w:tcBorders>
                  <w:noWrap w:val="0"/>
                  <w:vAlign w:val="center"/>
                </w:tcPr>
                <w:p w14:paraId="7087B96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p>
              </w:tc>
              <w:tc>
                <w:tcPr>
                  <w:tcW w:w="2897" w:type="pct"/>
                  <w:tcBorders>
                    <w:top w:val="single" w:color="auto" w:sz="4" w:space="0"/>
                    <w:left w:val="single" w:color="auto" w:sz="4" w:space="0"/>
                    <w:bottom w:val="single" w:color="auto" w:sz="4" w:space="0"/>
                    <w:right w:val="single" w:color="auto" w:sz="4" w:space="0"/>
                  </w:tcBorders>
                  <w:noWrap w:val="0"/>
                  <w:vAlign w:val="center"/>
                </w:tcPr>
                <w:p w14:paraId="6BF4F5D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（二）加快产业绿色转型升级。1.加强宏观治理的环境政策支撑。加强能耗总量和强度双控、煤炭</w:t>
                  </w:r>
                  <w:r>
                    <w:rPr>
                      <w:rFonts w:hint="default" w:ascii="Times New Roman" w:hAnsi="Times New Roman" w:cs="Times New Roman"/>
                      <w:smallCaps w:val="0"/>
                      <w:snapToGrid w:val="0"/>
                      <w:color w:val="auto"/>
                      <w:spacing w:val="0"/>
                      <w:kern w:val="0"/>
                      <w:sz w:val="21"/>
                      <w:szCs w:val="21"/>
                      <w:highlight w:val="none"/>
                    </w:rPr>
                    <w:cr/>
                  </w:r>
                  <w:r>
                    <w:rPr>
                      <w:rFonts w:hint="default" w:ascii="Times New Roman" w:hAnsi="Times New Roman" w:cs="Times New Roman"/>
                      <w:smallCaps w:val="0"/>
                      <w:snapToGrid w:val="0"/>
                      <w:color w:val="auto"/>
                      <w:spacing w:val="0"/>
                      <w:kern w:val="0"/>
                      <w:sz w:val="21"/>
                      <w:szCs w:val="21"/>
                      <w:highlight w:val="none"/>
                    </w:rPr>
                    <w:t>消费和污染物排放总量控制</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强化市场准入约束</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抑制高碳投资</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严格控制高耗能高排放项目盲目发展。严禁新增钢铁、焦化、水泥熟料、平板玻璃、煤化工产能</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合理控制煤制油气产能规模。依法依规加强节能审查事中事后监管。深化生态环境</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放管服</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改革</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推进环评审批、生态环境监管和监督执法</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正面清单</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制度化、规范化</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持续优化营商环境。2.优化重点行业企业布局。3.推进重点行业绿色转型。以钢铁、焦化、铸造、建材、有色、石化、化工、工业涂装、包装印刷、电镀、制革、石油开采、造纸、纺织印染、农副食品加工等行业为重点</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开展全流程清洁化、循环化、低碳化改造</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促进传统产业绿色转型升级。在电力、钢铁、建材等重点行业实施减污降碳行动</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实施全产业链和产品全生命周期降碳减污</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打造多维度、全覆盖的绿色低碳产业体系。推动重点行业完成限制类产能装备的升级改造。更好发挥电弧炉短流程炼钢企业绿色低碳、市场调节作用</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有序引导电弧炉短流程炼钢发展。依法推进强制性清洁生产审核</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行业、园区和产业集群探索开展整体审核。4.实施产业园区和产业集群升级改造。5.提升产业链供应链绿色化水平。6.做大做强环保产业。</w:t>
                  </w:r>
                </w:p>
              </w:tc>
              <w:tc>
                <w:tcPr>
                  <w:tcW w:w="1206" w:type="pct"/>
                  <w:tcBorders>
                    <w:top w:val="single" w:color="auto" w:sz="4" w:space="0"/>
                    <w:left w:val="single" w:color="auto" w:sz="4" w:space="0"/>
                    <w:bottom w:val="single" w:color="auto" w:sz="4" w:space="0"/>
                    <w:right w:val="single" w:color="auto" w:sz="4" w:space="0"/>
                  </w:tcBorders>
                  <w:noWrap w:val="0"/>
                  <w:vAlign w:val="center"/>
                </w:tcPr>
                <w:p w14:paraId="6C2131F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color w:val="auto"/>
                      <w:spacing w:val="0"/>
                      <w:kern w:val="0"/>
                      <w:sz w:val="21"/>
                      <w:szCs w:val="21"/>
                      <w:highlight w:val="none"/>
                    </w:rPr>
                    <w:t>项目使用能源为电能</w:t>
                  </w:r>
                  <w:r>
                    <w:rPr>
                      <w:rFonts w:hint="default" w:ascii="Times New Roman" w:hAnsi="Times New Roman" w:cs="Times New Roman"/>
                      <w:smallCaps w:val="0"/>
                      <w:color w:val="auto"/>
                      <w:spacing w:val="0"/>
                      <w:kern w:val="0"/>
                      <w:sz w:val="21"/>
                      <w:szCs w:val="21"/>
                      <w:highlight w:val="none"/>
                      <w:lang w:eastAsia="zh-CN"/>
                    </w:rPr>
                    <w:t>，</w:t>
                  </w:r>
                  <w:r>
                    <w:rPr>
                      <w:rFonts w:hint="default" w:ascii="Times New Roman" w:hAnsi="Times New Roman" w:cs="Times New Roman"/>
                      <w:smallCaps w:val="0"/>
                      <w:color w:val="auto"/>
                      <w:spacing w:val="0"/>
                      <w:kern w:val="0"/>
                      <w:sz w:val="21"/>
                      <w:szCs w:val="21"/>
                      <w:highlight w:val="none"/>
                    </w:rPr>
                    <w:t>不涉及煤炭等能源消耗</w:t>
                  </w:r>
                  <w:r>
                    <w:rPr>
                      <w:rFonts w:hint="eastAsia" w:cs="Times New Roman"/>
                      <w:smallCaps w:val="0"/>
                      <w:color w:val="auto"/>
                      <w:spacing w:val="0"/>
                      <w:kern w:val="0"/>
                      <w:sz w:val="21"/>
                      <w:szCs w:val="21"/>
                      <w:highlight w:val="none"/>
                      <w:lang w:eastAsia="zh-CN"/>
                    </w:rPr>
                    <w:t>，</w:t>
                  </w:r>
                  <w:r>
                    <w:rPr>
                      <w:rFonts w:hint="eastAsia" w:cs="Times New Roman"/>
                      <w:smallCaps w:val="0"/>
                      <w:color w:val="auto"/>
                      <w:spacing w:val="0"/>
                      <w:kern w:val="0"/>
                      <w:sz w:val="21"/>
                      <w:szCs w:val="21"/>
                      <w:highlight w:val="none"/>
                      <w:lang w:val="en-US" w:eastAsia="zh-CN"/>
                    </w:rPr>
                    <w:t>项目污染物排放满足总量控制指标</w:t>
                  </w:r>
                  <w:r>
                    <w:rPr>
                      <w:rFonts w:hint="default" w:ascii="Times New Roman" w:hAnsi="Times New Roman" w:cs="Times New Roman"/>
                      <w:smallCaps w:val="0"/>
                      <w:color w:val="auto"/>
                      <w:spacing w:val="0"/>
                      <w:kern w:val="0"/>
                      <w:sz w:val="21"/>
                      <w:szCs w:val="21"/>
                      <w:highlight w:val="none"/>
                      <w:lang w:eastAsia="zh-CN"/>
                    </w:rPr>
                    <w:t>，</w:t>
                  </w:r>
                  <w:r>
                    <w:rPr>
                      <w:rFonts w:hint="default" w:ascii="Times New Roman" w:hAnsi="Times New Roman" w:cs="Times New Roman"/>
                      <w:smallCaps w:val="0"/>
                      <w:color w:val="auto"/>
                      <w:spacing w:val="0"/>
                      <w:kern w:val="0"/>
                      <w:sz w:val="21"/>
                      <w:szCs w:val="21"/>
                      <w:highlight w:val="none"/>
                    </w:rPr>
                    <w:t>项目</w:t>
                  </w:r>
                  <w:r>
                    <w:rPr>
                      <w:rFonts w:hint="default" w:ascii="Times New Roman" w:hAnsi="Times New Roman" w:cs="Times New Roman"/>
                      <w:smallCaps w:val="0"/>
                      <w:color w:val="auto"/>
                      <w:spacing w:val="0"/>
                      <w:kern w:val="0"/>
                      <w:sz w:val="21"/>
                      <w:szCs w:val="21"/>
                      <w:highlight w:val="none"/>
                      <w:lang w:val="en-US" w:eastAsia="zh-CN"/>
                    </w:rPr>
                    <w:t>不属于重点行业</w:t>
                  </w:r>
                  <w:r>
                    <w:rPr>
                      <w:rFonts w:hint="default" w:ascii="Times New Roman" w:hAnsi="Times New Roman" w:cs="Times New Roman"/>
                      <w:smallCaps w:val="0"/>
                      <w:color w:val="auto"/>
                      <w:spacing w:val="0"/>
                      <w:kern w:val="0"/>
                      <w:sz w:val="21"/>
                      <w:szCs w:val="21"/>
                      <w:highlight w:val="none"/>
                    </w:rPr>
                    <w:t>；项目不</w:t>
                  </w:r>
                  <w:r>
                    <w:rPr>
                      <w:rFonts w:hint="default" w:ascii="Times New Roman" w:hAnsi="Times New Roman" w:cs="Times New Roman"/>
                      <w:smallCaps w:val="0"/>
                      <w:snapToGrid w:val="0"/>
                      <w:color w:val="auto"/>
                      <w:spacing w:val="0"/>
                      <w:kern w:val="0"/>
                      <w:sz w:val="21"/>
                      <w:szCs w:val="21"/>
                      <w:highlight w:val="none"/>
                    </w:rPr>
                    <w:t>新增钢铁、焦化、水泥熟料、平板玻璃、煤化工产能</w:t>
                  </w:r>
                  <w:r>
                    <w:rPr>
                      <w:rFonts w:hint="default" w:ascii="Times New Roman" w:hAnsi="Times New Roman" w:cs="Times New Roman"/>
                      <w:smallCaps w:val="0"/>
                      <w:color w:val="auto"/>
                      <w:spacing w:val="0"/>
                      <w:kern w:val="0"/>
                      <w:sz w:val="21"/>
                      <w:szCs w:val="21"/>
                      <w:highlight w:val="none"/>
                    </w:rPr>
                    <w:t>。</w:t>
                  </w:r>
                  <w:r>
                    <w:rPr>
                      <w:rFonts w:hint="eastAsia" w:cs="Times New Roman"/>
                      <w:smallCaps w:val="0"/>
                      <w:color w:val="auto"/>
                      <w:spacing w:val="0"/>
                      <w:kern w:val="0"/>
                      <w:sz w:val="21"/>
                      <w:szCs w:val="21"/>
                      <w:highlight w:val="none"/>
                      <w:lang w:val="en-US" w:eastAsia="zh-CN"/>
                    </w:rPr>
                    <w:t>企业属于其他通用零部件制造、金属表面处理及热处理加工</w:t>
                  </w:r>
                  <w:r>
                    <w:rPr>
                      <w:rFonts w:hint="default" w:ascii="Times New Roman" w:hAnsi="Times New Roman" w:cs="Times New Roman"/>
                      <w:smallCaps w:val="0"/>
                      <w:color w:val="auto"/>
                      <w:spacing w:val="0"/>
                      <w:kern w:val="0"/>
                      <w:sz w:val="21"/>
                      <w:szCs w:val="21"/>
                      <w:highlight w:val="none"/>
                      <w:lang w:eastAsia="zh-CN"/>
                    </w:rPr>
                    <w:t>，</w:t>
                  </w:r>
                  <w:r>
                    <w:rPr>
                      <w:rFonts w:hint="default" w:ascii="Times New Roman" w:hAnsi="Times New Roman" w:cs="Times New Roman"/>
                      <w:smallCaps w:val="0"/>
                      <w:color w:val="auto"/>
                      <w:spacing w:val="0"/>
                      <w:kern w:val="0"/>
                      <w:sz w:val="21"/>
                      <w:szCs w:val="21"/>
                      <w:highlight w:val="none"/>
                    </w:rPr>
                    <w:t>不属于重点行业企业</w:t>
                  </w:r>
                  <w:r>
                    <w:rPr>
                      <w:rFonts w:hint="default" w:ascii="Times New Roman" w:hAnsi="Times New Roman" w:cs="Times New Roman"/>
                      <w:smallCaps w:val="0"/>
                      <w:color w:val="auto"/>
                      <w:spacing w:val="0"/>
                      <w:kern w:val="0"/>
                      <w:sz w:val="21"/>
                      <w:szCs w:val="21"/>
                      <w:highlight w:val="none"/>
                      <w:lang w:eastAsia="zh-CN"/>
                    </w:rPr>
                    <w:t>，</w:t>
                  </w:r>
                  <w:r>
                    <w:rPr>
                      <w:rFonts w:hint="default" w:ascii="Times New Roman" w:hAnsi="Times New Roman" w:cs="Times New Roman"/>
                      <w:smallCaps w:val="0"/>
                      <w:color w:val="auto"/>
                      <w:spacing w:val="0"/>
                      <w:kern w:val="0"/>
                      <w:sz w:val="21"/>
                      <w:szCs w:val="21"/>
                      <w:highlight w:val="none"/>
                      <w:lang w:val="en-US" w:eastAsia="zh-CN"/>
                    </w:rPr>
                    <w:t>项目位于</w:t>
                  </w:r>
                  <w:r>
                    <w:rPr>
                      <w:rFonts w:hint="eastAsia" w:cs="Times New Roman"/>
                      <w:smallCaps w:val="0"/>
                      <w:color w:val="auto"/>
                      <w:spacing w:val="0"/>
                      <w:kern w:val="0"/>
                      <w:sz w:val="21"/>
                      <w:szCs w:val="21"/>
                      <w:highlight w:val="none"/>
                      <w:lang w:eastAsia="zh-CN"/>
                    </w:rPr>
                    <w:t>河北省石家庄市井陉矿区世纪大道以北，石钢路以西</w:t>
                  </w:r>
                  <w:r>
                    <w:rPr>
                      <w:rFonts w:hint="default" w:ascii="Times New Roman" w:hAnsi="Times New Roman" w:cs="Times New Roman"/>
                      <w:smallCaps w:val="0"/>
                      <w:color w:val="auto"/>
                      <w:spacing w:val="0"/>
                      <w:kern w:val="0"/>
                      <w:sz w:val="21"/>
                      <w:szCs w:val="21"/>
                      <w:highlight w:val="none"/>
                      <w:lang w:eastAsia="zh-CN"/>
                    </w:rPr>
                    <w:t>，</w:t>
                  </w:r>
                  <w:r>
                    <w:rPr>
                      <w:rFonts w:hint="default" w:ascii="Times New Roman" w:hAnsi="Times New Roman" w:cs="Times New Roman"/>
                      <w:smallCaps w:val="0"/>
                      <w:color w:val="auto"/>
                      <w:spacing w:val="0"/>
                      <w:kern w:val="0"/>
                      <w:sz w:val="21"/>
                      <w:szCs w:val="21"/>
                      <w:highlight w:val="none"/>
                      <w:lang w:val="en-US" w:eastAsia="zh-CN"/>
                    </w:rPr>
                    <w:t>占地为工业用地</w:t>
                  </w:r>
                  <w:r>
                    <w:rPr>
                      <w:rFonts w:hint="default" w:ascii="Times New Roman" w:hAnsi="Times New Roman" w:cs="Times New Roman"/>
                      <w:smallCaps w:val="0"/>
                      <w:snapToGrid w:val="0"/>
                      <w:color w:val="auto"/>
                      <w:spacing w:val="0"/>
                      <w:kern w:val="0"/>
                      <w:sz w:val="21"/>
                      <w:szCs w:val="21"/>
                      <w:highlight w:val="none"/>
                    </w:rPr>
                    <w:t>。</w:t>
                  </w:r>
                </w:p>
              </w:tc>
              <w:tc>
                <w:tcPr>
                  <w:tcW w:w="387" w:type="pct"/>
                  <w:tcBorders>
                    <w:top w:val="single" w:color="auto" w:sz="4" w:space="0"/>
                    <w:left w:val="single" w:color="auto" w:sz="4" w:space="0"/>
                    <w:bottom w:val="single" w:color="auto" w:sz="4" w:space="0"/>
                    <w:right w:val="single" w:color="auto" w:sz="8" w:space="0"/>
                  </w:tcBorders>
                  <w:noWrap w:val="0"/>
                  <w:vAlign w:val="center"/>
                </w:tcPr>
                <w:p w14:paraId="71036B9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符合</w:t>
                  </w:r>
                </w:p>
              </w:tc>
            </w:tr>
            <w:tr w14:paraId="68F79B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507" w:type="pct"/>
                  <w:vMerge w:val="continue"/>
                  <w:tcBorders>
                    <w:left w:val="single" w:color="auto" w:sz="4" w:space="0"/>
                    <w:bottom w:val="single" w:color="auto" w:sz="4" w:space="0"/>
                    <w:right w:val="single" w:color="auto" w:sz="4" w:space="0"/>
                  </w:tcBorders>
                  <w:noWrap w:val="0"/>
                  <w:vAlign w:val="center"/>
                </w:tcPr>
                <w:p w14:paraId="16A5EE9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p>
              </w:tc>
              <w:tc>
                <w:tcPr>
                  <w:tcW w:w="2897" w:type="pct"/>
                  <w:tcBorders>
                    <w:top w:val="single" w:color="auto" w:sz="4" w:space="0"/>
                    <w:left w:val="single" w:color="auto" w:sz="4" w:space="0"/>
                    <w:bottom w:val="single" w:color="auto" w:sz="4" w:space="0"/>
                    <w:right w:val="single" w:color="auto" w:sz="4" w:space="0"/>
                  </w:tcBorders>
                  <w:noWrap w:val="0"/>
                  <w:vAlign w:val="center"/>
                </w:tcPr>
                <w:p w14:paraId="3A34E88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（三）推动能源清洁高效利用。1.调整优化能源供给结构。2.控制煤炭消费总量。3.实施终端用能清洁化替代。</w:t>
                  </w:r>
                </w:p>
              </w:tc>
              <w:tc>
                <w:tcPr>
                  <w:tcW w:w="1206" w:type="pct"/>
                  <w:tcBorders>
                    <w:top w:val="single" w:color="auto" w:sz="4" w:space="0"/>
                    <w:left w:val="single" w:color="auto" w:sz="4" w:space="0"/>
                    <w:bottom w:val="single" w:color="auto" w:sz="4" w:space="0"/>
                    <w:right w:val="single" w:color="auto" w:sz="4" w:space="0"/>
                  </w:tcBorders>
                  <w:noWrap w:val="0"/>
                  <w:vAlign w:val="center"/>
                </w:tcPr>
                <w:p w14:paraId="1F1B912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color w:val="auto"/>
                      <w:spacing w:val="0"/>
                      <w:kern w:val="0"/>
                      <w:sz w:val="21"/>
                      <w:szCs w:val="21"/>
                      <w:highlight w:val="none"/>
                    </w:rPr>
                    <w:t>项目使用能源为电能</w:t>
                  </w:r>
                  <w:r>
                    <w:rPr>
                      <w:rFonts w:hint="eastAsia" w:cs="Times New Roman"/>
                      <w:smallCaps w:val="0"/>
                      <w:color w:val="auto"/>
                      <w:spacing w:val="0"/>
                      <w:kern w:val="0"/>
                      <w:sz w:val="21"/>
                      <w:szCs w:val="21"/>
                      <w:highlight w:val="none"/>
                      <w:lang w:val="en-US" w:eastAsia="zh-CN"/>
                    </w:rPr>
                    <w:t>，为清洁能源</w:t>
                  </w:r>
                  <w:r>
                    <w:rPr>
                      <w:rFonts w:hint="default" w:ascii="Times New Roman" w:hAnsi="Times New Roman" w:cs="Times New Roman"/>
                      <w:smallCaps w:val="0"/>
                      <w:color w:val="auto"/>
                      <w:spacing w:val="0"/>
                      <w:kern w:val="0"/>
                      <w:sz w:val="21"/>
                      <w:szCs w:val="21"/>
                      <w:highlight w:val="none"/>
                      <w:lang w:eastAsia="zh-CN"/>
                    </w:rPr>
                    <w:t>，</w:t>
                  </w:r>
                  <w:r>
                    <w:rPr>
                      <w:rFonts w:hint="default" w:ascii="Times New Roman" w:hAnsi="Times New Roman" w:cs="Times New Roman"/>
                      <w:smallCaps w:val="0"/>
                      <w:color w:val="auto"/>
                      <w:spacing w:val="0"/>
                      <w:kern w:val="0"/>
                      <w:sz w:val="21"/>
                      <w:szCs w:val="21"/>
                      <w:highlight w:val="none"/>
                    </w:rPr>
                    <w:t>不涉及煤炭能源消耗。</w:t>
                  </w:r>
                </w:p>
              </w:tc>
              <w:tc>
                <w:tcPr>
                  <w:tcW w:w="387" w:type="pct"/>
                  <w:tcBorders>
                    <w:top w:val="single" w:color="auto" w:sz="4" w:space="0"/>
                    <w:left w:val="single" w:color="auto" w:sz="4" w:space="0"/>
                    <w:bottom w:val="single" w:color="auto" w:sz="4" w:space="0"/>
                    <w:right w:val="single" w:color="auto" w:sz="8" w:space="0"/>
                  </w:tcBorders>
                  <w:noWrap w:val="0"/>
                  <w:vAlign w:val="center"/>
                </w:tcPr>
                <w:p w14:paraId="2442B9D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符合</w:t>
                  </w:r>
                </w:p>
              </w:tc>
            </w:tr>
            <w:tr w14:paraId="33A6A2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507" w:type="pct"/>
                  <w:tcBorders>
                    <w:top w:val="single" w:color="auto" w:sz="4" w:space="0"/>
                    <w:left w:val="single" w:color="auto" w:sz="4" w:space="0"/>
                    <w:bottom w:val="single" w:color="auto" w:sz="4" w:space="0"/>
                    <w:right w:val="single" w:color="auto" w:sz="4" w:space="0"/>
                  </w:tcBorders>
                  <w:noWrap w:val="0"/>
                  <w:vAlign w:val="center"/>
                </w:tcPr>
                <w:p w14:paraId="732F90C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四、降碳减排</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积极应对气候变化</w:t>
                  </w:r>
                </w:p>
              </w:tc>
              <w:tc>
                <w:tcPr>
                  <w:tcW w:w="2897" w:type="pct"/>
                  <w:tcBorders>
                    <w:top w:val="single" w:color="auto" w:sz="4" w:space="0"/>
                    <w:left w:val="single" w:color="auto" w:sz="4" w:space="0"/>
                    <w:bottom w:val="single" w:color="auto" w:sz="4" w:space="0"/>
                    <w:right w:val="single" w:color="auto" w:sz="4" w:space="0"/>
                  </w:tcBorders>
                  <w:noWrap w:val="0"/>
                  <w:vAlign w:val="center"/>
                </w:tcPr>
                <w:p w14:paraId="442EA2E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（二）控制温室气体排放。1.控制工业二氧化碳排放。2.控制交通领域二氧化碳排放。3.控制建筑领域二氧化碳排放。4.控制非二氧化碳温室气体排放。5.实施温室气体和污染物协同控制。</w:t>
                  </w:r>
                  <w:r>
                    <w:rPr>
                      <w:rFonts w:hint="default" w:ascii="Times New Roman" w:hAnsi="Times New Roman" w:cs="Times New Roman"/>
                      <w:smallCaps w:val="0"/>
                      <w:snapToGrid w:val="0"/>
                      <w:color w:val="auto"/>
                      <w:spacing w:val="0"/>
                      <w:kern w:val="0"/>
                      <w:sz w:val="21"/>
                      <w:szCs w:val="21"/>
                      <w:highlight w:val="none"/>
                    </w:rPr>
                    <w:cr/>
                  </w:r>
                </w:p>
              </w:tc>
              <w:tc>
                <w:tcPr>
                  <w:tcW w:w="1206" w:type="pct"/>
                  <w:tcBorders>
                    <w:top w:val="single" w:color="auto" w:sz="4" w:space="0"/>
                    <w:left w:val="single" w:color="auto" w:sz="4" w:space="0"/>
                    <w:bottom w:val="single" w:color="auto" w:sz="4" w:space="0"/>
                    <w:right w:val="single" w:color="auto" w:sz="4" w:space="0"/>
                  </w:tcBorders>
                  <w:noWrap w:val="0"/>
                  <w:vAlign w:val="center"/>
                </w:tcPr>
                <w:p w14:paraId="6A3022F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color w:val="auto"/>
                      <w:spacing w:val="0"/>
                      <w:kern w:val="0"/>
                      <w:sz w:val="21"/>
                      <w:szCs w:val="21"/>
                      <w:highlight w:val="none"/>
                    </w:rPr>
                    <w:t>项目使用能源为电能</w:t>
                  </w:r>
                  <w:r>
                    <w:rPr>
                      <w:rFonts w:hint="eastAsia" w:cs="Times New Roman"/>
                      <w:smallCaps w:val="0"/>
                      <w:color w:val="auto"/>
                      <w:spacing w:val="0"/>
                      <w:kern w:val="0"/>
                      <w:sz w:val="21"/>
                      <w:szCs w:val="21"/>
                      <w:highlight w:val="none"/>
                      <w:lang w:val="en-US" w:eastAsia="zh-CN"/>
                    </w:rPr>
                    <w:t>，为清洁能源</w:t>
                  </w:r>
                  <w:r>
                    <w:rPr>
                      <w:rFonts w:hint="default" w:ascii="Times New Roman" w:hAnsi="Times New Roman" w:cs="Times New Roman"/>
                      <w:smallCaps w:val="0"/>
                      <w:color w:val="auto"/>
                      <w:spacing w:val="0"/>
                      <w:kern w:val="0"/>
                      <w:sz w:val="21"/>
                      <w:szCs w:val="21"/>
                      <w:highlight w:val="none"/>
                      <w:lang w:eastAsia="zh-CN"/>
                    </w:rPr>
                    <w:t>，</w:t>
                  </w:r>
                  <w:r>
                    <w:rPr>
                      <w:rFonts w:hint="default" w:ascii="Times New Roman" w:hAnsi="Times New Roman" w:cs="Times New Roman"/>
                      <w:smallCaps w:val="0"/>
                      <w:color w:val="auto"/>
                      <w:spacing w:val="0"/>
                      <w:kern w:val="0"/>
                      <w:sz w:val="21"/>
                      <w:szCs w:val="21"/>
                      <w:highlight w:val="none"/>
                    </w:rPr>
                    <w:t>不涉及煤炭能源消耗。</w:t>
                  </w:r>
                </w:p>
              </w:tc>
              <w:tc>
                <w:tcPr>
                  <w:tcW w:w="387" w:type="pct"/>
                  <w:tcBorders>
                    <w:top w:val="single" w:color="auto" w:sz="4" w:space="0"/>
                    <w:left w:val="single" w:color="auto" w:sz="4" w:space="0"/>
                    <w:bottom w:val="single" w:color="auto" w:sz="4" w:space="0"/>
                    <w:right w:val="single" w:color="auto" w:sz="8" w:space="0"/>
                  </w:tcBorders>
                  <w:noWrap w:val="0"/>
                  <w:vAlign w:val="center"/>
                </w:tcPr>
                <w:p w14:paraId="68595A7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符合</w:t>
                  </w:r>
                </w:p>
              </w:tc>
            </w:tr>
            <w:tr w14:paraId="0F122B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507" w:type="pct"/>
                  <w:vMerge w:val="restart"/>
                  <w:tcBorders>
                    <w:top w:val="single" w:color="auto" w:sz="4" w:space="0"/>
                    <w:left w:val="single" w:color="auto" w:sz="4" w:space="0"/>
                    <w:right w:val="single" w:color="auto" w:sz="4" w:space="0"/>
                  </w:tcBorders>
                  <w:noWrap w:val="0"/>
                  <w:vAlign w:val="center"/>
                </w:tcPr>
                <w:p w14:paraId="77CAA6C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五、精准治理</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持续改善环境空气质量</w:t>
                  </w:r>
                </w:p>
              </w:tc>
              <w:tc>
                <w:tcPr>
                  <w:tcW w:w="2897" w:type="pct"/>
                  <w:tcBorders>
                    <w:top w:val="single" w:color="auto" w:sz="4" w:space="0"/>
                    <w:left w:val="single" w:color="auto" w:sz="4" w:space="0"/>
                    <w:bottom w:val="single" w:color="auto" w:sz="4" w:space="0"/>
                    <w:right w:val="single" w:color="auto" w:sz="4" w:space="0"/>
                  </w:tcBorders>
                  <w:noWrap w:val="0"/>
                  <w:vAlign w:val="center"/>
                </w:tcPr>
                <w:p w14:paraId="15C62C3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（二）推进工业领域污染减排。1.推动重点行业深度治理和超低排放。巩固钢铁、焦化、煤电、水泥、平板玻璃、陶瓷等行业超低排放成效</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实施工艺全流程深度治理</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全面加强无组织排放管控。推进砖瓦、石灰、铸造、铁合金、耐火材料等重点行业污染深度治理。以工业炉窑污染综合治理为重点</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深化工业氮氧化物减排。开展生活垃圾焚烧烟气深度治理</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探索研发二噁英治理和控制技术</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到2025年</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所有焚烧炉烟气达到生活垃圾焚烧大气污染物排放控制标准。2.深化重点行业挥发性有机物（VOCs）治理。以石化、化工、涂装、医药、包装印刷、油品储运销等行业领域为重点</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安全高效推进挥发性有机物（VOCs）综合治理</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实施原辅材料和产品源头替代、无组织排放和末端深度治理等提升改造工程。……</w:t>
                  </w:r>
                </w:p>
              </w:tc>
              <w:tc>
                <w:tcPr>
                  <w:tcW w:w="1206" w:type="pct"/>
                  <w:tcBorders>
                    <w:top w:val="single" w:color="auto" w:sz="4" w:space="0"/>
                    <w:left w:val="single" w:color="auto" w:sz="4" w:space="0"/>
                    <w:bottom w:val="single" w:color="auto" w:sz="4" w:space="0"/>
                    <w:right w:val="single" w:color="auto" w:sz="4" w:space="0"/>
                  </w:tcBorders>
                  <w:noWrap w:val="0"/>
                  <w:vAlign w:val="center"/>
                </w:tcPr>
                <w:p w14:paraId="5210B2C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eastAsia" w:cs="Times New Roman"/>
                      <w:smallCaps w:val="0"/>
                      <w:color w:val="auto"/>
                      <w:spacing w:val="0"/>
                      <w:kern w:val="0"/>
                      <w:sz w:val="21"/>
                      <w:szCs w:val="21"/>
                      <w:highlight w:val="none"/>
                      <w:lang w:val="en-US" w:eastAsia="zh-CN"/>
                    </w:rPr>
                    <w:t>项目不涉及超低排放；</w:t>
                  </w:r>
                  <w:r>
                    <w:rPr>
                      <w:rFonts w:hint="eastAsia"/>
                      <w:color w:val="auto"/>
                      <w:szCs w:val="21"/>
                      <w:highlight w:val="none"/>
                      <w:lang w:val="en-US" w:eastAsia="zh-CN"/>
                    </w:rPr>
                    <w:t>项目废气经集气罩+脉冲布袋除尘器+15m高排气筒排放</w:t>
                  </w:r>
                  <w:r>
                    <w:rPr>
                      <w:rFonts w:hint="default" w:ascii="Times New Roman" w:hAnsi="Times New Roman" w:cs="Times New Roman"/>
                      <w:smallCaps w:val="0"/>
                      <w:snapToGrid w:val="0"/>
                      <w:color w:val="auto"/>
                      <w:spacing w:val="0"/>
                      <w:kern w:val="0"/>
                      <w:sz w:val="21"/>
                      <w:szCs w:val="21"/>
                      <w:highlight w:val="none"/>
                    </w:rPr>
                    <w:t>。</w:t>
                  </w:r>
                </w:p>
              </w:tc>
              <w:tc>
                <w:tcPr>
                  <w:tcW w:w="387" w:type="pct"/>
                  <w:tcBorders>
                    <w:top w:val="single" w:color="auto" w:sz="4" w:space="0"/>
                    <w:left w:val="single" w:color="auto" w:sz="4" w:space="0"/>
                    <w:bottom w:val="single" w:color="auto" w:sz="4" w:space="0"/>
                    <w:right w:val="single" w:color="auto" w:sz="8" w:space="0"/>
                  </w:tcBorders>
                  <w:noWrap w:val="0"/>
                  <w:vAlign w:val="center"/>
                </w:tcPr>
                <w:p w14:paraId="3AC6336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符合</w:t>
                  </w:r>
                </w:p>
              </w:tc>
            </w:tr>
            <w:tr w14:paraId="5F481E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507" w:type="pct"/>
                  <w:vMerge w:val="continue"/>
                  <w:tcBorders>
                    <w:left w:val="single" w:color="auto" w:sz="4" w:space="0"/>
                    <w:bottom w:val="single" w:color="auto" w:sz="4" w:space="0"/>
                    <w:right w:val="single" w:color="auto" w:sz="4" w:space="0"/>
                  </w:tcBorders>
                  <w:noWrap w:val="0"/>
                  <w:vAlign w:val="center"/>
                </w:tcPr>
                <w:p w14:paraId="16D59F9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p>
              </w:tc>
              <w:tc>
                <w:tcPr>
                  <w:tcW w:w="2897" w:type="pct"/>
                  <w:tcBorders>
                    <w:top w:val="single" w:color="auto" w:sz="4" w:space="0"/>
                    <w:left w:val="single" w:color="auto" w:sz="4" w:space="0"/>
                    <w:bottom w:val="single" w:color="auto" w:sz="4" w:space="0"/>
                    <w:right w:val="single" w:color="auto" w:sz="4" w:space="0"/>
                  </w:tcBorders>
                  <w:noWrap w:val="0"/>
                  <w:vAlign w:val="center"/>
                </w:tcPr>
                <w:p w14:paraId="0AB3E46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（四）实施面源污染治理攻坚。1.强化扬尘精细化管控。建立健全绿色施工标准和扬尘管控体系</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对扬尘重点污染源实行清单化动态管理</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将绿色施工纳入企业资质评价、生态环境信用评价。加强城市道路低尘机械化湿式清扫作业</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加大城市出入口、城乡结合部等重要路段冲洗保洁力度</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实施渣土车密闭运输</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完善降尘监测和考评体系。城市裸露地面、粉料类物料堆放及大型煤炭和矿石码头物料堆场基本完成抑尘设施建设和物料输送系统封闭改造</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鼓励有条件的大型煤炭和矿石码头等干散货码头堆场实施全封闭改造。强化重点时段秸秆禁烧专项整治</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完善秸秆焚烧视频监控系统点位建设</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基本实现全省涉农区域全覆盖。严格落实矿产资源开采、运输和加工过程防尘、除尘措施</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实施矿山生产污染物排放在线监测。</w:t>
                  </w:r>
                </w:p>
              </w:tc>
              <w:tc>
                <w:tcPr>
                  <w:tcW w:w="1206" w:type="pct"/>
                  <w:tcBorders>
                    <w:top w:val="single" w:color="auto" w:sz="4" w:space="0"/>
                    <w:left w:val="single" w:color="auto" w:sz="4" w:space="0"/>
                    <w:bottom w:val="single" w:color="auto" w:sz="4" w:space="0"/>
                    <w:right w:val="single" w:color="auto" w:sz="4" w:space="0"/>
                  </w:tcBorders>
                  <w:noWrap w:val="0"/>
                  <w:vAlign w:val="center"/>
                </w:tcPr>
                <w:p w14:paraId="3C6AFA4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eastAsia"/>
                      <w:color w:val="auto"/>
                      <w:szCs w:val="21"/>
                      <w:highlight w:val="none"/>
                      <w:lang w:val="zh-CN"/>
                    </w:rPr>
                    <w:t>项目施工期间通过定期洒水、设置围挡等措施降低施工期间扬尘对周围环境的影响，且施工期较短，随着施工期的结束，施工扬尘影响也将结束</w:t>
                  </w:r>
                  <w:r>
                    <w:rPr>
                      <w:rFonts w:hint="default" w:ascii="Times New Roman" w:hAnsi="Times New Roman" w:cs="Times New Roman"/>
                      <w:smallCaps w:val="0"/>
                      <w:snapToGrid w:val="0"/>
                      <w:color w:val="auto"/>
                      <w:spacing w:val="0"/>
                      <w:kern w:val="0"/>
                      <w:sz w:val="21"/>
                      <w:szCs w:val="21"/>
                      <w:highlight w:val="none"/>
                    </w:rPr>
                    <w:t>。</w:t>
                  </w:r>
                </w:p>
              </w:tc>
              <w:tc>
                <w:tcPr>
                  <w:tcW w:w="387" w:type="pct"/>
                  <w:tcBorders>
                    <w:top w:val="single" w:color="auto" w:sz="4" w:space="0"/>
                    <w:left w:val="single" w:color="auto" w:sz="4" w:space="0"/>
                    <w:bottom w:val="single" w:color="auto" w:sz="4" w:space="0"/>
                    <w:right w:val="single" w:color="auto" w:sz="8" w:space="0"/>
                  </w:tcBorders>
                  <w:noWrap w:val="0"/>
                  <w:vAlign w:val="center"/>
                </w:tcPr>
                <w:p w14:paraId="52EECDE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符合</w:t>
                  </w:r>
                </w:p>
              </w:tc>
            </w:tr>
            <w:tr w14:paraId="08B4A5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507" w:type="pct"/>
                  <w:tcBorders>
                    <w:top w:val="single" w:color="auto" w:sz="4" w:space="0"/>
                    <w:left w:val="single" w:color="auto" w:sz="4" w:space="0"/>
                    <w:bottom w:val="single" w:color="auto" w:sz="4" w:space="0"/>
                    <w:right w:val="single" w:color="auto" w:sz="4" w:space="0"/>
                  </w:tcBorders>
                  <w:noWrap w:val="0"/>
                  <w:vAlign w:val="center"/>
                </w:tcPr>
                <w:p w14:paraId="7D6F0A7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六、</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三水</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统筹</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打造良好水生态环境</w:t>
                  </w:r>
                </w:p>
              </w:tc>
              <w:tc>
                <w:tcPr>
                  <w:tcW w:w="2897" w:type="pct"/>
                  <w:tcBorders>
                    <w:top w:val="single" w:color="auto" w:sz="4" w:space="0"/>
                    <w:left w:val="single" w:color="auto" w:sz="4" w:space="0"/>
                    <w:bottom w:val="single" w:color="auto" w:sz="4" w:space="0"/>
                    <w:right w:val="single" w:color="auto" w:sz="4" w:space="0"/>
                  </w:tcBorders>
                  <w:noWrap w:val="0"/>
                  <w:vAlign w:val="center"/>
                </w:tcPr>
                <w:p w14:paraId="18D96C1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（四）强化水污染源头防控。1.强化工业污染减排。实施差别化环境准入政策</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推进涉水工业企</w:t>
                  </w:r>
                  <w:r>
                    <w:rPr>
                      <w:rFonts w:hint="default" w:ascii="Times New Roman" w:hAnsi="Times New Roman" w:cs="Times New Roman"/>
                      <w:smallCaps w:val="0"/>
                      <w:snapToGrid w:val="0"/>
                      <w:color w:val="auto"/>
                      <w:spacing w:val="0"/>
                      <w:kern w:val="0"/>
                      <w:sz w:val="21"/>
                      <w:szCs w:val="21"/>
                      <w:highlight w:val="none"/>
                    </w:rPr>
                    <w:cr/>
                  </w:r>
                  <w:r>
                    <w:rPr>
                      <w:rFonts w:hint="default" w:ascii="Times New Roman" w:hAnsi="Times New Roman" w:cs="Times New Roman"/>
                      <w:smallCaps w:val="0"/>
                      <w:snapToGrid w:val="0"/>
                      <w:color w:val="auto"/>
                      <w:spacing w:val="0"/>
                      <w:kern w:val="0"/>
                      <w:sz w:val="21"/>
                      <w:szCs w:val="21"/>
                      <w:highlight w:val="none"/>
                    </w:rPr>
                    <w:t>业全面入园进区。新设立和升级的经济技术开发区、高新技术产业开发区等工业园区同步规划建设污水集中处理设施</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加快完善工业园区配套管网</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推进</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清污分流、雨污分流</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实现园区污水全收集、全处理。</w:t>
                  </w:r>
                </w:p>
              </w:tc>
              <w:tc>
                <w:tcPr>
                  <w:tcW w:w="1206" w:type="pct"/>
                  <w:tcBorders>
                    <w:top w:val="single" w:color="auto" w:sz="4" w:space="0"/>
                    <w:left w:val="single" w:color="auto" w:sz="4" w:space="0"/>
                    <w:bottom w:val="single" w:color="auto" w:sz="4" w:space="0"/>
                    <w:right w:val="single" w:color="auto" w:sz="4" w:space="0"/>
                  </w:tcBorders>
                  <w:noWrap w:val="0"/>
                  <w:vAlign w:val="center"/>
                </w:tcPr>
                <w:p w14:paraId="3C904039">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mallCaps w:val="0"/>
                      <w:snapToGrid w:val="0"/>
                      <w:color w:val="auto"/>
                      <w:spacing w:val="0"/>
                      <w:kern w:val="0"/>
                      <w:sz w:val="21"/>
                      <w:szCs w:val="21"/>
                      <w:highlight w:val="none"/>
                      <w:lang w:val="en-US" w:eastAsia="zh-CN"/>
                    </w:rPr>
                  </w:pPr>
                  <w:r>
                    <w:rPr>
                      <w:rFonts w:hint="eastAsia" w:cs="Times New Roman"/>
                      <w:smallCaps w:val="0"/>
                      <w:snapToGrid w:val="0"/>
                      <w:color w:val="auto"/>
                      <w:spacing w:val="0"/>
                      <w:kern w:val="0"/>
                      <w:sz w:val="21"/>
                      <w:szCs w:val="21"/>
                      <w:highlight w:val="none"/>
                      <w:lang w:val="en-US" w:eastAsia="zh-CN"/>
                    </w:rPr>
                    <w:t>本项目淬火、回火冷却水循环使用不外排；生活污水经化粪池处理后定期由吸粪车抽走，无废水外排</w:t>
                  </w:r>
                </w:p>
              </w:tc>
              <w:tc>
                <w:tcPr>
                  <w:tcW w:w="387" w:type="pct"/>
                  <w:tcBorders>
                    <w:top w:val="single" w:color="auto" w:sz="4" w:space="0"/>
                    <w:left w:val="single" w:color="auto" w:sz="4" w:space="0"/>
                    <w:bottom w:val="single" w:color="auto" w:sz="4" w:space="0"/>
                    <w:right w:val="single" w:color="auto" w:sz="8" w:space="0"/>
                  </w:tcBorders>
                  <w:noWrap w:val="0"/>
                  <w:vAlign w:val="center"/>
                </w:tcPr>
                <w:p w14:paraId="3245FEA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符合</w:t>
                  </w:r>
                </w:p>
              </w:tc>
            </w:tr>
            <w:tr w14:paraId="1A1187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507" w:type="pct"/>
                  <w:tcBorders>
                    <w:top w:val="single" w:color="auto" w:sz="4" w:space="0"/>
                    <w:left w:val="single" w:color="auto" w:sz="4" w:space="0"/>
                    <w:bottom w:val="single" w:color="auto" w:sz="4" w:space="0"/>
                    <w:right w:val="single" w:color="auto" w:sz="4" w:space="0"/>
                  </w:tcBorders>
                  <w:noWrap w:val="0"/>
                  <w:vAlign w:val="center"/>
                </w:tcPr>
                <w:p w14:paraId="26D5CC1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八、协同防控</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保障土壤地下水环境安全</w:t>
                  </w:r>
                </w:p>
              </w:tc>
              <w:tc>
                <w:tcPr>
                  <w:tcW w:w="2897" w:type="pct"/>
                  <w:tcBorders>
                    <w:top w:val="single" w:color="auto" w:sz="4" w:space="0"/>
                    <w:left w:val="single" w:color="auto" w:sz="4" w:space="0"/>
                    <w:bottom w:val="single" w:color="auto" w:sz="4" w:space="0"/>
                    <w:right w:val="single" w:color="auto" w:sz="4" w:space="0"/>
                  </w:tcBorders>
                  <w:noWrap w:val="0"/>
                  <w:vAlign w:val="center"/>
                </w:tcPr>
                <w:p w14:paraId="1D7F20ED">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（一）强化污染源头防控。1.加强空间布局管控。将土壤和地下水环境要求纳入相关规划。永久基本农田集中区域禁止新建可能造成土壤污染的建设项目。污染地块再开发利用</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严格落实规划用途及相应的土壤环境质量要求</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科学设定成片污染地块及周边土地开发时序。2.强化工业企业土壤污染风险防控。新（改、扩）建项目涉及有毒</w:t>
                  </w:r>
                  <w:r>
                    <w:rPr>
                      <w:rFonts w:hint="default" w:ascii="Times New Roman" w:hAnsi="Times New Roman" w:cs="Times New Roman"/>
                      <w:smallCaps w:val="0"/>
                      <w:snapToGrid w:val="0"/>
                      <w:color w:val="auto"/>
                      <w:spacing w:val="0"/>
                      <w:kern w:val="0"/>
                      <w:sz w:val="21"/>
                      <w:szCs w:val="21"/>
                      <w:highlight w:val="none"/>
                    </w:rPr>
                    <w:cr/>
                  </w:r>
                  <w:r>
                    <w:rPr>
                      <w:rFonts w:hint="default" w:ascii="Times New Roman" w:hAnsi="Times New Roman" w:cs="Times New Roman"/>
                      <w:smallCaps w:val="0"/>
                      <w:snapToGrid w:val="0"/>
                      <w:color w:val="auto"/>
                      <w:spacing w:val="0"/>
                      <w:kern w:val="0"/>
                      <w:sz w:val="21"/>
                      <w:szCs w:val="21"/>
                      <w:highlight w:val="none"/>
                    </w:rPr>
                    <w:t>有害物质可能造成土壤污染的</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落实土壤和地下水污染防治要求。开展典型行业企业用地及周边土壤污染状况调查</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持续推进耕地周边涉重金属行业企业排查整治。动态更新土壤污染重点监管单位名录</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将土壤污染防治义务依法纳入排污许可管理。加强企业拆除活动污染防治监管</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落实拆除活动污染防治措施。3.严格控制重金属排放总量。</w:t>
                  </w:r>
                </w:p>
              </w:tc>
              <w:tc>
                <w:tcPr>
                  <w:tcW w:w="1206" w:type="pct"/>
                  <w:tcBorders>
                    <w:top w:val="single" w:color="auto" w:sz="4" w:space="0"/>
                    <w:left w:val="single" w:color="auto" w:sz="4" w:space="0"/>
                    <w:bottom w:val="single" w:color="auto" w:sz="4" w:space="0"/>
                    <w:right w:val="single" w:color="auto" w:sz="4" w:space="0"/>
                  </w:tcBorders>
                  <w:noWrap w:val="0"/>
                  <w:vAlign w:val="center"/>
                </w:tcPr>
                <w:p w14:paraId="01DE2C3B">
                  <w:pPr>
                    <w:pStyle w:val="67"/>
                    <w:keepNext w:val="0"/>
                    <w:keepLines w:val="0"/>
                    <w:suppressLineNumbers w:val="0"/>
                    <w:spacing w:before="0" w:beforeAutospacing="0" w:after="0" w:afterAutospacing="0"/>
                    <w:ind w:left="0" w:right="0"/>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bCs/>
                      <w:smallCaps w:val="0"/>
                      <w:color w:val="auto"/>
                      <w:spacing w:val="0"/>
                      <w:sz w:val="21"/>
                      <w:szCs w:val="21"/>
                      <w:highlight w:val="none"/>
                    </w:rPr>
                    <w:t>项目实施后</w:t>
                  </w:r>
                  <w:r>
                    <w:rPr>
                      <w:rFonts w:hint="default" w:ascii="Times New Roman" w:hAnsi="Times New Roman" w:cs="Times New Roman"/>
                      <w:smallCaps w:val="0"/>
                      <w:snapToGrid w:val="0"/>
                      <w:color w:val="auto"/>
                      <w:spacing w:val="0"/>
                      <w:kern w:val="0"/>
                      <w:sz w:val="21"/>
                      <w:szCs w:val="21"/>
                      <w:highlight w:val="none"/>
                    </w:rPr>
                    <w:t>无生产废水</w:t>
                  </w:r>
                  <w:r>
                    <w:rPr>
                      <w:rFonts w:hint="eastAsia" w:cs="Times New Roman"/>
                      <w:smallCaps w:val="0"/>
                      <w:snapToGrid w:val="0"/>
                      <w:color w:val="auto"/>
                      <w:spacing w:val="0"/>
                      <w:kern w:val="0"/>
                      <w:sz w:val="21"/>
                      <w:szCs w:val="21"/>
                      <w:highlight w:val="none"/>
                      <w:lang w:val="en-US" w:eastAsia="zh-CN"/>
                    </w:rPr>
                    <w:t>排放</w:t>
                  </w:r>
                  <w:r>
                    <w:rPr>
                      <w:rFonts w:hint="default" w:ascii="Times New Roman" w:hAnsi="Times New Roman" w:cs="Times New Roman"/>
                      <w:smallCaps w:val="0"/>
                      <w:snapToGrid w:val="0"/>
                      <w:color w:val="auto"/>
                      <w:spacing w:val="0"/>
                      <w:kern w:val="0"/>
                      <w:sz w:val="21"/>
                      <w:szCs w:val="21"/>
                      <w:highlight w:val="none"/>
                      <w:lang w:eastAsia="zh-CN"/>
                    </w:rPr>
                    <w:t>，</w:t>
                  </w:r>
                  <w:r>
                    <w:rPr>
                      <w:rFonts w:hint="eastAsia" w:cs="Times New Roman"/>
                      <w:smallCaps w:val="0"/>
                      <w:color w:val="auto"/>
                      <w:spacing w:val="0"/>
                      <w:sz w:val="21"/>
                      <w:szCs w:val="21"/>
                      <w:highlight w:val="none"/>
                      <w:lang w:val="en-US" w:eastAsia="zh-CN"/>
                    </w:rPr>
                    <w:t>项目实施分区防渗措施，重点防渗区：1#生产车间K≤1.0×10</w:t>
                  </w:r>
                  <w:r>
                    <w:rPr>
                      <w:rFonts w:hint="eastAsia" w:cs="Times New Roman"/>
                      <w:smallCaps w:val="0"/>
                      <w:color w:val="auto"/>
                      <w:spacing w:val="0"/>
                      <w:sz w:val="21"/>
                      <w:szCs w:val="21"/>
                      <w:highlight w:val="none"/>
                      <w:vertAlign w:val="superscript"/>
                      <w:lang w:val="en-US" w:eastAsia="zh-CN"/>
                    </w:rPr>
                    <w:t>-10</w:t>
                  </w:r>
                  <w:r>
                    <w:rPr>
                      <w:rFonts w:hint="eastAsia" w:cs="Times New Roman"/>
                      <w:smallCaps w:val="0"/>
                      <w:color w:val="auto"/>
                      <w:spacing w:val="0"/>
                      <w:sz w:val="21"/>
                      <w:szCs w:val="21"/>
                      <w:highlight w:val="none"/>
                      <w:lang w:val="en-US" w:eastAsia="zh-CN"/>
                    </w:rPr>
                    <w:t>cm/s</w:t>
                  </w:r>
                  <w:r>
                    <w:rPr>
                      <w:rFonts w:hint="eastAsia" w:cs="Arial Unicode MS"/>
                      <w:color w:val="auto"/>
                      <w:sz w:val="21"/>
                      <w:szCs w:val="21"/>
                      <w:highlight w:val="none"/>
                      <w:lang w:val="en-US" w:eastAsia="zh-CN"/>
                    </w:rPr>
                    <w:t>；</w:t>
                  </w:r>
                  <w:r>
                    <w:rPr>
                      <w:rFonts w:hint="default" w:ascii="Times New Roman" w:hAnsi="Times New Roman" w:eastAsia="宋体" w:cs="Times New Roman"/>
                      <w:smallCaps w:val="0"/>
                      <w:color w:val="auto"/>
                      <w:spacing w:val="0"/>
                      <w:sz w:val="21"/>
                      <w:szCs w:val="21"/>
                      <w:highlight w:val="none"/>
                      <w:lang w:val="en-US" w:eastAsia="zh-CN"/>
                    </w:rPr>
                    <w:t>一般防渗</w:t>
                  </w:r>
                  <w:r>
                    <w:rPr>
                      <w:rFonts w:hint="eastAsia" w:cs="Times New Roman"/>
                      <w:smallCaps w:val="0"/>
                      <w:color w:val="auto"/>
                      <w:spacing w:val="0"/>
                      <w:sz w:val="21"/>
                      <w:szCs w:val="21"/>
                      <w:highlight w:val="none"/>
                      <w:lang w:val="en-US" w:eastAsia="zh-CN"/>
                    </w:rPr>
                    <w:t>：2#生产车间、3#生产车间、沉淀池</w:t>
                  </w:r>
                  <w:r>
                    <w:rPr>
                      <w:rFonts w:hint="default" w:ascii="Times New Roman" w:hAnsi="Times New Roman" w:eastAsia="宋体" w:cs="Times New Roman"/>
                      <w:smallCaps w:val="0"/>
                      <w:color w:val="auto"/>
                      <w:spacing w:val="0"/>
                      <w:sz w:val="21"/>
                      <w:szCs w:val="21"/>
                      <w:highlight w:val="none"/>
                      <w:lang w:val="en-US" w:eastAsia="zh-CN"/>
                    </w:rPr>
                    <w:t>其等效黏土防渗层Mb≥1.5m，渗透系数≤10</w:t>
                  </w:r>
                  <w:r>
                    <w:rPr>
                      <w:rFonts w:hint="default" w:ascii="Times New Roman" w:hAnsi="Times New Roman" w:eastAsia="宋体" w:cs="Times New Roman"/>
                      <w:smallCaps w:val="0"/>
                      <w:color w:val="auto"/>
                      <w:spacing w:val="0"/>
                      <w:sz w:val="21"/>
                      <w:szCs w:val="21"/>
                      <w:highlight w:val="none"/>
                      <w:vertAlign w:val="superscript"/>
                      <w:lang w:val="en-US" w:eastAsia="zh-CN"/>
                    </w:rPr>
                    <w:t>-7</w:t>
                  </w:r>
                  <w:r>
                    <w:rPr>
                      <w:rFonts w:hint="default" w:ascii="Times New Roman" w:hAnsi="Times New Roman" w:eastAsia="宋体" w:cs="Times New Roman"/>
                      <w:smallCaps w:val="0"/>
                      <w:color w:val="auto"/>
                      <w:spacing w:val="0"/>
                      <w:sz w:val="21"/>
                      <w:szCs w:val="21"/>
                      <w:highlight w:val="none"/>
                      <w:lang w:val="en-US" w:eastAsia="zh-CN"/>
                    </w:rPr>
                    <w:t>cm/s</w:t>
                  </w:r>
                  <w:r>
                    <w:rPr>
                      <w:rFonts w:hint="eastAsia" w:cs="Times New Roman"/>
                      <w:smallCaps w:val="0"/>
                      <w:color w:val="auto"/>
                      <w:spacing w:val="0"/>
                      <w:sz w:val="21"/>
                      <w:szCs w:val="21"/>
                      <w:highlight w:val="none"/>
                      <w:lang w:val="en-US" w:eastAsia="zh-CN"/>
                    </w:rPr>
                    <w:t>；简单防渗：办公室、厂区其他区域水泥硬化简单防渗措施</w:t>
                  </w:r>
                  <w:r>
                    <w:rPr>
                      <w:rFonts w:hint="default" w:ascii="Times New Roman" w:hAnsi="Times New Roman" w:eastAsia="宋体" w:cs="Times New Roman"/>
                      <w:smallCaps w:val="0"/>
                      <w:color w:val="auto"/>
                      <w:spacing w:val="0"/>
                      <w:sz w:val="21"/>
                      <w:szCs w:val="21"/>
                      <w:highlight w:val="none"/>
                      <w:lang w:val="en-US" w:eastAsia="zh-CN"/>
                    </w:rPr>
                    <w:t>，</w:t>
                  </w:r>
                  <w:r>
                    <w:rPr>
                      <w:rFonts w:hint="default" w:ascii="Times New Roman" w:hAnsi="Times New Roman" w:cs="Times New Roman"/>
                      <w:smallCaps w:val="0"/>
                      <w:color w:val="auto"/>
                      <w:spacing w:val="0"/>
                      <w:sz w:val="21"/>
                      <w:szCs w:val="21"/>
                      <w:highlight w:val="none"/>
                    </w:rPr>
                    <w:t>不会对土壤环境、地下水环境造成污染。项目不涉及</w:t>
                  </w:r>
                  <w:r>
                    <w:rPr>
                      <w:rFonts w:hint="default" w:ascii="Times New Roman" w:hAnsi="Times New Roman" w:cs="Times New Roman"/>
                      <w:smallCaps w:val="0"/>
                      <w:snapToGrid w:val="0"/>
                      <w:color w:val="auto"/>
                      <w:spacing w:val="0"/>
                      <w:kern w:val="0"/>
                      <w:sz w:val="21"/>
                      <w:szCs w:val="21"/>
                      <w:highlight w:val="none"/>
                    </w:rPr>
                    <w:t>重金属排放总量。</w:t>
                  </w:r>
                </w:p>
              </w:tc>
              <w:tc>
                <w:tcPr>
                  <w:tcW w:w="387" w:type="pct"/>
                  <w:tcBorders>
                    <w:top w:val="single" w:color="auto" w:sz="4" w:space="0"/>
                    <w:left w:val="single" w:color="auto" w:sz="4" w:space="0"/>
                    <w:bottom w:val="single" w:color="auto" w:sz="4" w:space="0"/>
                    <w:right w:val="single" w:color="auto" w:sz="8" w:space="0"/>
                  </w:tcBorders>
                  <w:noWrap w:val="0"/>
                  <w:vAlign w:val="center"/>
                </w:tcPr>
                <w:p w14:paraId="2B6861B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符合</w:t>
                  </w:r>
                </w:p>
              </w:tc>
            </w:tr>
            <w:tr w14:paraId="36139D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507" w:type="pct"/>
                  <w:vMerge w:val="restart"/>
                  <w:tcBorders>
                    <w:top w:val="single" w:color="auto" w:sz="4" w:space="0"/>
                    <w:left w:val="single" w:color="auto" w:sz="4" w:space="0"/>
                    <w:right w:val="single" w:color="auto" w:sz="4" w:space="0"/>
                  </w:tcBorders>
                  <w:noWrap w:val="0"/>
                  <w:vAlign w:val="center"/>
                </w:tcPr>
                <w:p w14:paraId="625CDE8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九、防治结合，构建固体废物监管体系。</w:t>
                  </w:r>
                </w:p>
              </w:tc>
              <w:tc>
                <w:tcPr>
                  <w:tcW w:w="2897" w:type="pct"/>
                  <w:tcBorders>
                    <w:top w:val="single" w:color="auto" w:sz="4" w:space="0"/>
                    <w:left w:val="single" w:color="auto" w:sz="4" w:space="0"/>
                    <w:bottom w:val="single" w:color="auto" w:sz="4" w:space="0"/>
                    <w:right w:val="single" w:color="auto" w:sz="4" w:space="0"/>
                  </w:tcBorders>
                  <w:noWrap w:val="0"/>
                  <w:vAlign w:val="center"/>
                </w:tcPr>
                <w:p w14:paraId="1FE465D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（一）规范危险废物环境管理。1.完善危险废物监管体制机制。拓宽部门沟通协作渠道</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建立覆盖危险废物产生、收集、贮存、运输、利用、处置等全过程、全链条式监管体系。完善联席会议制度</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促进信息共享。严格落实</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网格化</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监管</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深化网格长、网格监督员、监督执法人员、企业内部监管人员</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一长三员</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监管机制。建立危险废物环境风险区域联防联控机制。2.加大源头管控力度。严格执行危险废物名录管理制度</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动态更新危险废物环境重点监管单位清单。严把涉危险废物工业项目环境准入关</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落实工业危险废物排污许可制度。组织危险废物相关企业实施强制性清洁生产审核。鼓励生产者责任延伸</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支持研发、推广减少工业危险废物产生量和降低工业危险废物危害性的生产工艺和设备。3.规范危险废物收集转运。推动建立危险废物跨省转移</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白名单</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制度。开展工业园区危险废物收集转运试点。严格危险废物产生、运输、利用处置转移联单管理</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推动转移运输规范化和便捷化。支持危险废物专业收集转运</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利用处置单位和社会力量建设区域性收集网点和贮存设施。鼓励在有条件的高校集中区域开展实验室危险废物分类收集和预处理示范项目建设。6.强化危险废物环境风险防控能力。强化对危险废物收集、贮存、处置单位的监管</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严防危险废物超期超量贮存。推进智能化视频监控体系建设。在环境风险可控的前提下</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鼓励工业企业对产生的危险废物回收再利用处置</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开展</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点对点</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定向利用的危险废物经营许可豁免管理试点。</w:t>
                  </w:r>
                </w:p>
              </w:tc>
              <w:tc>
                <w:tcPr>
                  <w:tcW w:w="1206" w:type="pct"/>
                  <w:tcBorders>
                    <w:top w:val="single" w:color="auto" w:sz="4" w:space="0"/>
                    <w:left w:val="single" w:color="auto" w:sz="4" w:space="0"/>
                    <w:bottom w:val="single" w:color="auto" w:sz="4" w:space="0"/>
                    <w:right w:val="single" w:color="auto" w:sz="4" w:space="0"/>
                  </w:tcBorders>
                  <w:noWrap w:val="0"/>
                  <w:vAlign w:val="center"/>
                </w:tcPr>
                <w:p w14:paraId="1010E339">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eastAsia="宋体" w:cs="Times New Roman"/>
                      <w:smallCaps w:val="0"/>
                      <w:color w:val="auto"/>
                      <w:spacing w:val="0"/>
                      <w:sz w:val="21"/>
                      <w:szCs w:val="21"/>
                      <w:highlight w:val="none"/>
                      <w:lang w:val="en-US" w:eastAsia="zh-CN"/>
                    </w:rPr>
                    <w:t>项目</w:t>
                  </w:r>
                  <w:r>
                    <w:rPr>
                      <w:rFonts w:hint="eastAsia" w:cs="Times New Roman"/>
                      <w:smallCaps w:val="0"/>
                      <w:color w:val="auto"/>
                      <w:spacing w:val="0"/>
                      <w:sz w:val="21"/>
                      <w:szCs w:val="21"/>
                      <w:highlight w:val="none"/>
                      <w:lang w:val="en-US" w:eastAsia="zh-CN"/>
                    </w:rPr>
                    <w:t>从产废环节、贮存、转运均全过程把控</w:t>
                  </w:r>
                  <w:r>
                    <w:rPr>
                      <w:rFonts w:hint="default" w:ascii="Times New Roman" w:hAnsi="Times New Roman" w:eastAsia="宋体" w:cs="Times New Roman"/>
                      <w:smallCaps w:val="0"/>
                      <w:color w:val="auto"/>
                      <w:spacing w:val="0"/>
                      <w:sz w:val="21"/>
                      <w:szCs w:val="21"/>
                      <w:highlight w:val="none"/>
                      <w:lang w:val="en-US" w:eastAsia="zh-CN"/>
                    </w:rPr>
                    <w:t>。项目要求危险废物转移严格按照《危险废物转移管理办法》（部令 第23号）中规定进行。</w:t>
                  </w:r>
                </w:p>
              </w:tc>
              <w:tc>
                <w:tcPr>
                  <w:tcW w:w="387" w:type="pct"/>
                  <w:tcBorders>
                    <w:top w:val="single" w:color="auto" w:sz="4" w:space="0"/>
                    <w:left w:val="single" w:color="auto" w:sz="4" w:space="0"/>
                    <w:bottom w:val="single" w:color="auto" w:sz="4" w:space="0"/>
                    <w:right w:val="single" w:color="auto" w:sz="8" w:space="0"/>
                  </w:tcBorders>
                  <w:noWrap w:val="0"/>
                  <w:vAlign w:val="center"/>
                </w:tcPr>
                <w:p w14:paraId="0DCF58AF">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符合</w:t>
                  </w:r>
                </w:p>
              </w:tc>
            </w:tr>
            <w:tr w14:paraId="2899DC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507" w:type="pct"/>
                  <w:vMerge w:val="continue"/>
                  <w:tcBorders>
                    <w:left w:val="single" w:color="auto" w:sz="4" w:space="0"/>
                    <w:bottom w:val="single" w:color="auto" w:sz="4" w:space="0"/>
                    <w:right w:val="single" w:color="auto" w:sz="4" w:space="0"/>
                  </w:tcBorders>
                  <w:noWrap w:val="0"/>
                  <w:vAlign w:val="center"/>
                </w:tcPr>
                <w:p w14:paraId="058EB39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p>
              </w:tc>
              <w:tc>
                <w:tcPr>
                  <w:tcW w:w="2897"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6AB9CAC">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smallCaps w:val="0"/>
                      <w:snapToGrid w:val="0"/>
                      <w:color w:val="auto"/>
                      <w:spacing w:val="0"/>
                      <w:kern w:val="0"/>
                      <w:sz w:val="21"/>
                      <w:szCs w:val="21"/>
                      <w:highlight w:val="none"/>
                      <w:lang w:val="en-US" w:eastAsia="zh-CN" w:bidi="ar-SA"/>
                    </w:rPr>
                  </w:pPr>
                  <w:r>
                    <w:rPr>
                      <w:rFonts w:hint="default" w:ascii="Times New Roman" w:hAnsi="Times New Roman" w:cs="Times New Roman"/>
                      <w:smallCaps w:val="0"/>
                      <w:snapToGrid w:val="0"/>
                      <w:color w:val="auto"/>
                      <w:spacing w:val="0"/>
                      <w:kern w:val="0"/>
                      <w:sz w:val="21"/>
                      <w:szCs w:val="21"/>
                      <w:highlight w:val="none"/>
                    </w:rPr>
                    <w:t>（三）提高固体废物综合利用水平。2.强化工业固体废物污染防治。持续开展非法和不规范堆存渣场排查整治</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建立排污单位工业固体废物管理台账。推行生产企业</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逆向回收</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等模式</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推动大宗工业固体废物贮存处置总量趋零增长。加快建设邯郸、唐山国家大宗固体废弃物综合利用基地</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推进综合利用产业集聚发展</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提升综合利用水平。</w:t>
                  </w:r>
                </w:p>
              </w:tc>
              <w:tc>
                <w:tcPr>
                  <w:tcW w:w="1206"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71B8864">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smallCaps w:val="0"/>
                      <w:snapToGrid w:val="0"/>
                      <w:color w:val="auto"/>
                      <w:spacing w:val="0"/>
                      <w:kern w:val="0"/>
                      <w:sz w:val="21"/>
                      <w:szCs w:val="21"/>
                      <w:highlight w:val="none"/>
                      <w:lang w:val="en-US" w:eastAsia="zh-CN" w:bidi="ar-SA"/>
                    </w:rPr>
                  </w:pPr>
                  <w:r>
                    <w:rPr>
                      <w:rFonts w:hint="default" w:ascii="Times New Roman" w:hAnsi="Times New Roman" w:cs="Times New Roman"/>
                      <w:smallCaps w:val="0"/>
                      <w:snapToGrid w:val="0"/>
                      <w:color w:val="auto"/>
                      <w:spacing w:val="0"/>
                      <w:kern w:val="0"/>
                      <w:sz w:val="21"/>
                      <w:szCs w:val="21"/>
                      <w:highlight w:val="none"/>
                    </w:rPr>
                    <w:t>项目建立工业固体废物管理台账</w:t>
                  </w:r>
                  <w:r>
                    <w:rPr>
                      <w:rFonts w:hint="default" w:ascii="Times New Roman" w:hAnsi="Times New Roman" w:cs="Times New Roman"/>
                      <w:smallCaps w:val="0"/>
                      <w:snapToGrid w:val="0"/>
                      <w:color w:val="auto"/>
                      <w:spacing w:val="0"/>
                      <w:kern w:val="0"/>
                      <w:sz w:val="21"/>
                      <w:szCs w:val="21"/>
                      <w:highlight w:val="none"/>
                      <w:lang w:eastAsia="zh-CN"/>
                    </w:rPr>
                    <w:t>，</w:t>
                  </w:r>
                  <w:r>
                    <w:rPr>
                      <w:rFonts w:hint="default" w:ascii="Times New Roman" w:hAnsi="Times New Roman" w:cs="Times New Roman"/>
                      <w:smallCaps w:val="0"/>
                      <w:snapToGrid w:val="0"/>
                      <w:color w:val="auto"/>
                      <w:spacing w:val="0"/>
                      <w:kern w:val="0"/>
                      <w:sz w:val="21"/>
                      <w:szCs w:val="21"/>
                      <w:highlight w:val="none"/>
                    </w:rPr>
                    <w:t>产生的一般固废外售综合利用</w:t>
                  </w:r>
                  <w:r>
                    <w:rPr>
                      <w:rFonts w:hint="default" w:ascii="Times New Roman" w:hAnsi="Times New Roman" w:cs="Times New Roman"/>
                      <w:smallCaps w:val="0"/>
                      <w:snapToGrid w:val="0"/>
                      <w:color w:val="auto"/>
                      <w:spacing w:val="0"/>
                      <w:kern w:val="0"/>
                      <w:sz w:val="21"/>
                      <w:szCs w:val="21"/>
                      <w:highlight w:val="none"/>
                      <w:lang w:eastAsia="zh-CN"/>
                    </w:rPr>
                    <w:t>；</w:t>
                  </w:r>
                  <w:r>
                    <w:rPr>
                      <w:rFonts w:hint="eastAsia" w:cs="Times New Roman"/>
                      <w:smallCaps w:val="0"/>
                      <w:snapToGrid w:val="0"/>
                      <w:color w:val="auto"/>
                      <w:spacing w:val="0"/>
                      <w:kern w:val="0"/>
                      <w:sz w:val="21"/>
                      <w:szCs w:val="21"/>
                      <w:highlight w:val="none"/>
                      <w:lang w:val="en-US" w:eastAsia="zh-CN"/>
                    </w:rPr>
                    <w:t>项目产生的危险废物建立危险废物管理台账，产生危险废物即产即清，交由有资质单位处置</w:t>
                  </w:r>
                  <w:r>
                    <w:rPr>
                      <w:rFonts w:hint="default" w:ascii="Times New Roman" w:hAnsi="Times New Roman" w:cs="Times New Roman"/>
                      <w:smallCaps w:val="0"/>
                      <w:snapToGrid w:val="0"/>
                      <w:color w:val="auto"/>
                      <w:spacing w:val="0"/>
                      <w:kern w:val="0"/>
                      <w:sz w:val="21"/>
                      <w:szCs w:val="21"/>
                      <w:highlight w:val="none"/>
                    </w:rPr>
                    <w:t>。</w:t>
                  </w:r>
                </w:p>
              </w:tc>
              <w:tc>
                <w:tcPr>
                  <w:tcW w:w="387" w:type="pct"/>
                  <w:tcBorders>
                    <w:top w:val="single" w:color="auto" w:sz="4" w:space="0"/>
                    <w:left w:val="single" w:color="auto" w:sz="4" w:space="0"/>
                    <w:bottom w:val="single" w:color="auto" w:sz="4" w:space="0"/>
                    <w:right w:val="single" w:color="auto" w:sz="8" w:space="0"/>
                  </w:tcBorders>
                  <w:noWrap w:val="0"/>
                  <w:vAlign w:val="center"/>
                </w:tcPr>
                <w:p w14:paraId="7449E1F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符合</w:t>
                  </w:r>
                </w:p>
              </w:tc>
            </w:tr>
          </w:tbl>
          <w:p w14:paraId="799DDB50">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本项目符合《河北省生态环境保护</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十四五</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规划》（冀政字[2022]2号）</w:t>
            </w:r>
            <w:r>
              <w:rPr>
                <w:rFonts w:hint="default" w:ascii="Times New Roman" w:hAnsi="Times New Roman" w:cs="Times New Roman"/>
                <w:smallCaps w:val="0"/>
                <w:color w:val="auto"/>
                <w:spacing w:val="0"/>
                <w:highlight w:val="none"/>
                <w:lang w:val="en-US" w:eastAsia="zh-CN"/>
              </w:rPr>
              <w:t>要求。</w:t>
            </w:r>
          </w:p>
          <w:p w14:paraId="68C2706B">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w:t>
            </w:r>
            <w:r>
              <w:rPr>
                <w:rFonts w:hint="eastAsia" w:cs="Times New Roman"/>
                <w:smallCaps w:val="0"/>
                <w:color w:val="auto"/>
                <w:spacing w:val="0"/>
                <w:highlight w:val="none"/>
                <w:lang w:val="en-US" w:eastAsia="zh-CN"/>
              </w:rPr>
              <w:t>2</w:t>
            </w:r>
            <w:r>
              <w:rPr>
                <w:rFonts w:hint="default" w:ascii="Times New Roman" w:hAnsi="Times New Roman" w:cs="Times New Roman"/>
                <w:smallCaps w:val="0"/>
                <w:color w:val="auto"/>
                <w:spacing w:val="0"/>
                <w:highlight w:val="none"/>
              </w:rPr>
              <w:t>）项目与《石家庄市生态环境保护</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十四五</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规划》（石政函〔2022〕72号）符合性分析</w:t>
            </w:r>
          </w:p>
          <w:p w14:paraId="27BE3AEB">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项目与《石家庄市生态环境保护</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十四五</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规划》（石政函〔2022〕72号）符合性分析见表1-</w:t>
            </w:r>
            <w:r>
              <w:rPr>
                <w:rFonts w:hint="eastAsia" w:cs="Times New Roman"/>
                <w:smallCaps w:val="0"/>
                <w:color w:val="auto"/>
                <w:spacing w:val="0"/>
                <w:highlight w:val="none"/>
                <w:lang w:val="en-US" w:eastAsia="zh-CN"/>
              </w:rPr>
              <w:t>14</w:t>
            </w:r>
            <w:r>
              <w:rPr>
                <w:rFonts w:hint="default" w:ascii="Times New Roman" w:hAnsi="Times New Roman" w:cs="Times New Roman"/>
                <w:smallCaps w:val="0"/>
                <w:color w:val="auto"/>
                <w:spacing w:val="0"/>
                <w:highlight w:val="none"/>
                <w:lang w:val="en-US" w:eastAsia="zh-CN"/>
              </w:rPr>
              <w:t>。</w:t>
            </w:r>
          </w:p>
          <w:p w14:paraId="48193CC3">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表1-</w:t>
            </w:r>
            <w:r>
              <w:rPr>
                <w:rFonts w:hint="eastAsia" w:cs="Times New Roman"/>
                <w:smallCaps w:val="0"/>
                <w:color w:val="auto"/>
                <w:spacing w:val="0"/>
                <w:highlight w:val="none"/>
                <w:lang w:val="en-US" w:eastAsia="zh-CN"/>
              </w:rPr>
              <w:t>14</w:t>
            </w:r>
            <w:r>
              <w:rPr>
                <w:rFonts w:hint="default" w:ascii="Times New Roman" w:hAnsi="Times New Roman" w:cs="Times New Roman"/>
                <w:smallCaps w:val="0"/>
                <w:color w:val="auto"/>
                <w:spacing w:val="0"/>
                <w:highlight w:val="none"/>
              </w:rPr>
              <w:t xml:space="preserve">    项目与《石家庄市生态环境保护</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十四五</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规划》（石政函〔2022〕72号）符合性分析一览表</w:t>
            </w:r>
          </w:p>
          <w:tbl>
            <w:tblPr>
              <w:tblStyle w:val="4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5190"/>
              <w:gridCol w:w="1839"/>
              <w:gridCol w:w="592"/>
            </w:tblGrid>
            <w:tr w14:paraId="5A4774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3404" w:type="pct"/>
                  <w:tcBorders>
                    <w:top w:val="single" w:color="auto" w:sz="4" w:space="0"/>
                    <w:left w:val="single" w:color="auto" w:sz="4" w:space="0"/>
                    <w:bottom w:val="single" w:color="auto" w:sz="4" w:space="0"/>
                    <w:right w:val="single" w:color="auto" w:sz="4" w:space="0"/>
                  </w:tcBorders>
                  <w:noWrap w:val="0"/>
                  <w:vAlign w:val="center"/>
                </w:tcPr>
                <w:p w14:paraId="4F745D0E">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相关内容要求</w:t>
                  </w:r>
                </w:p>
              </w:tc>
              <w:tc>
                <w:tcPr>
                  <w:tcW w:w="1206" w:type="pct"/>
                  <w:tcBorders>
                    <w:top w:val="single" w:color="auto" w:sz="4" w:space="0"/>
                    <w:left w:val="single" w:color="auto" w:sz="4" w:space="0"/>
                    <w:bottom w:val="single" w:color="auto" w:sz="4" w:space="0"/>
                    <w:right w:val="single" w:color="auto" w:sz="4" w:space="0"/>
                  </w:tcBorders>
                  <w:noWrap w:val="0"/>
                  <w:vAlign w:val="center"/>
                </w:tcPr>
                <w:p w14:paraId="5145EA5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项目情况</w:t>
                  </w:r>
                </w:p>
              </w:tc>
              <w:tc>
                <w:tcPr>
                  <w:tcW w:w="388" w:type="pct"/>
                  <w:tcBorders>
                    <w:top w:val="single" w:color="auto" w:sz="4" w:space="0"/>
                    <w:left w:val="single" w:color="auto" w:sz="4" w:space="0"/>
                    <w:bottom w:val="single" w:color="auto" w:sz="4" w:space="0"/>
                    <w:right w:val="single" w:color="auto" w:sz="8" w:space="0"/>
                  </w:tcBorders>
                  <w:noWrap w:val="0"/>
                  <w:vAlign w:val="center"/>
                </w:tcPr>
                <w:p w14:paraId="53051B7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snapToGrid w:val="0"/>
                      <w:color w:val="auto"/>
                      <w:spacing w:val="0"/>
                      <w:kern w:val="0"/>
                      <w:sz w:val="21"/>
                      <w:szCs w:val="21"/>
                      <w:highlight w:val="none"/>
                    </w:rPr>
                  </w:pPr>
                  <w:r>
                    <w:rPr>
                      <w:rFonts w:hint="default" w:ascii="Times New Roman" w:hAnsi="Times New Roman" w:cs="Times New Roman"/>
                      <w:smallCaps w:val="0"/>
                      <w:snapToGrid w:val="0"/>
                      <w:color w:val="auto"/>
                      <w:spacing w:val="0"/>
                      <w:kern w:val="0"/>
                      <w:sz w:val="21"/>
                      <w:szCs w:val="21"/>
                      <w:highlight w:val="none"/>
                    </w:rPr>
                    <w:t>符合性</w:t>
                  </w:r>
                </w:p>
              </w:tc>
            </w:tr>
            <w:tr w14:paraId="2E79CD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3404" w:type="pct"/>
                  <w:tcBorders>
                    <w:top w:val="single" w:color="auto" w:sz="4" w:space="0"/>
                    <w:left w:val="single" w:color="auto" w:sz="4" w:space="0"/>
                    <w:bottom w:val="single" w:color="auto" w:sz="4" w:space="0"/>
                    <w:right w:val="single" w:color="auto" w:sz="4" w:space="0"/>
                  </w:tcBorders>
                  <w:noWrap w:val="0"/>
                  <w:vAlign w:val="center"/>
                </w:tcPr>
                <w:p w14:paraId="6DCEACD1">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mallCaps w:val="0"/>
                      <w:snapToGrid w:val="0"/>
                      <w:color w:val="auto"/>
                      <w:spacing w:val="0"/>
                      <w:kern w:val="0"/>
                      <w:sz w:val="21"/>
                      <w:szCs w:val="21"/>
                      <w:highlight w:val="none"/>
                    </w:rPr>
                  </w:pPr>
                  <w:r>
                    <w:rPr>
                      <w:rFonts w:hint="default" w:ascii="Times New Roman" w:hAnsi="Times New Roman" w:eastAsia="宋体" w:cs="Times New Roman"/>
                      <w:smallCaps w:val="0"/>
                      <w:snapToGrid w:val="0"/>
                      <w:color w:val="auto"/>
                      <w:spacing w:val="0"/>
                      <w:kern w:val="0"/>
                      <w:sz w:val="21"/>
                      <w:szCs w:val="21"/>
                      <w:highlight w:val="none"/>
                    </w:rPr>
                    <w:t>三、健全优化开发政策</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统筹推动绿色低碳发展</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二</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着力优化功能布局</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加快产业绿色升级严格环境准入门槛</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全市禁止钢铁、焦化、水泥、平板玻璃、铸造（高端或精密铸造项目以及《产业结构调整指导目录（2019年本）》第一类鼓励类项目除外）、有色、炭素、钙镁、煤化工、陶瓷、砖瓦等行业新建、扩建单纯新增产能（搬迁升级改造项目和产能置换项目除外）的项目和企业。对搬迁升级改造项目的环境影响评价。应满足规划环评要求</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对本地过剩产能重点行业搬迁、改建项目</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实行大气污染物排放倍量替代。严格控制新增燃煤项目（产能置换项目除外）建设。</w:t>
                  </w:r>
                </w:p>
              </w:tc>
              <w:tc>
                <w:tcPr>
                  <w:tcW w:w="1206" w:type="pct"/>
                  <w:tcBorders>
                    <w:top w:val="single" w:color="auto" w:sz="4" w:space="0"/>
                    <w:left w:val="single" w:color="auto" w:sz="4" w:space="0"/>
                    <w:bottom w:val="single" w:color="auto" w:sz="4" w:space="0"/>
                    <w:right w:val="single" w:color="auto" w:sz="4" w:space="0"/>
                  </w:tcBorders>
                  <w:noWrap w:val="0"/>
                  <w:vAlign w:val="center"/>
                </w:tcPr>
                <w:p w14:paraId="05AAC21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mallCaps w:val="0"/>
                      <w:snapToGrid w:val="0"/>
                      <w:color w:val="auto"/>
                      <w:spacing w:val="0"/>
                      <w:kern w:val="0"/>
                      <w:sz w:val="21"/>
                      <w:szCs w:val="21"/>
                      <w:highlight w:val="none"/>
                    </w:rPr>
                  </w:pPr>
                  <w:r>
                    <w:rPr>
                      <w:rFonts w:hint="default" w:ascii="Times New Roman" w:hAnsi="Times New Roman" w:eastAsia="宋体" w:cs="Times New Roman"/>
                      <w:smallCaps w:val="0"/>
                      <w:snapToGrid w:val="0"/>
                      <w:color w:val="auto"/>
                      <w:spacing w:val="0"/>
                      <w:kern w:val="0"/>
                      <w:sz w:val="21"/>
                      <w:szCs w:val="21"/>
                      <w:highlight w:val="none"/>
                    </w:rPr>
                    <w:t>项目属于</w:t>
                  </w:r>
                  <w:r>
                    <w:rPr>
                      <w:rFonts w:hint="eastAsia" w:cs="Times New Roman"/>
                      <w:smallCaps w:val="0"/>
                      <w:snapToGrid w:val="0"/>
                      <w:color w:val="auto"/>
                      <w:spacing w:val="0"/>
                      <w:kern w:val="0"/>
                      <w:sz w:val="21"/>
                      <w:szCs w:val="21"/>
                      <w:highlight w:val="none"/>
                      <w:lang w:eastAsia="zh-CN"/>
                    </w:rPr>
                    <w:t>《产业结构调整指导目录（2024年本）》</w:t>
                  </w:r>
                  <w:r>
                    <w:rPr>
                      <w:rFonts w:hint="eastAsia" w:cs="Times New Roman"/>
                      <w:smallCaps w:val="0"/>
                      <w:snapToGrid w:val="0"/>
                      <w:color w:val="auto"/>
                      <w:spacing w:val="0"/>
                      <w:kern w:val="0"/>
                      <w:sz w:val="21"/>
                      <w:szCs w:val="21"/>
                      <w:highlight w:val="none"/>
                      <w:lang w:val="en-US" w:eastAsia="zh-CN"/>
                    </w:rPr>
                    <w:t>允许类</w:t>
                  </w:r>
                  <w:r>
                    <w:rPr>
                      <w:rFonts w:hint="default" w:ascii="Times New Roman" w:hAnsi="Times New Roman" w:eastAsia="宋体" w:cs="Times New Roman"/>
                      <w:smallCaps w:val="0"/>
                      <w:snapToGrid w:val="0"/>
                      <w:color w:val="auto"/>
                      <w:spacing w:val="0"/>
                      <w:kern w:val="0"/>
                      <w:sz w:val="21"/>
                      <w:szCs w:val="21"/>
                      <w:highlight w:val="none"/>
                    </w:rPr>
                    <w:t>。</w:t>
                  </w:r>
                </w:p>
              </w:tc>
              <w:tc>
                <w:tcPr>
                  <w:tcW w:w="388" w:type="pct"/>
                  <w:tcBorders>
                    <w:top w:val="single" w:color="auto" w:sz="4" w:space="0"/>
                    <w:left w:val="single" w:color="auto" w:sz="4" w:space="0"/>
                    <w:bottom w:val="single" w:color="auto" w:sz="4" w:space="0"/>
                    <w:right w:val="single" w:color="auto" w:sz="8" w:space="0"/>
                  </w:tcBorders>
                  <w:noWrap w:val="0"/>
                  <w:vAlign w:val="center"/>
                </w:tcPr>
                <w:p w14:paraId="0936496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mallCaps w:val="0"/>
                      <w:snapToGrid w:val="0"/>
                      <w:color w:val="auto"/>
                      <w:spacing w:val="0"/>
                      <w:kern w:val="0"/>
                      <w:sz w:val="21"/>
                      <w:szCs w:val="21"/>
                      <w:highlight w:val="none"/>
                    </w:rPr>
                  </w:pPr>
                  <w:r>
                    <w:rPr>
                      <w:rFonts w:hint="default" w:ascii="Times New Roman" w:hAnsi="Times New Roman" w:eastAsia="宋体" w:cs="Times New Roman"/>
                      <w:smallCaps w:val="0"/>
                      <w:snapToGrid w:val="0"/>
                      <w:color w:val="auto"/>
                      <w:spacing w:val="0"/>
                      <w:kern w:val="0"/>
                      <w:sz w:val="21"/>
                      <w:szCs w:val="21"/>
                      <w:highlight w:val="none"/>
                    </w:rPr>
                    <w:t>符合</w:t>
                  </w:r>
                </w:p>
              </w:tc>
            </w:tr>
            <w:tr w14:paraId="450C04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jc w:val="center"/>
              </w:trPr>
              <w:tc>
                <w:tcPr>
                  <w:tcW w:w="3404" w:type="pct"/>
                  <w:tcBorders>
                    <w:top w:val="single" w:color="auto" w:sz="4" w:space="0"/>
                    <w:left w:val="single" w:color="auto" w:sz="4" w:space="0"/>
                    <w:bottom w:val="single" w:color="auto" w:sz="4" w:space="0"/>
                    <w:right w:val="single" w:color="auto" w:sz="4" w:space="0"/>
                  </w:tcBorders>
                  <w:noWrap w:val="0"/>
                  <w:vAlign w:val="center"/>
                </w:tcPr>
                <w:p w14:paraId="29A0F1E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mallCaps w:val="0"/>
                      <w:snapToGrid w:val="0"/>
                      <w:color w:val="auto"/>
                      <w:spacing w:val="0"/>
                      <w:kern w:val="0"/>
                      <w:sz w:val="21"/>
                      <w:szCs w:val="21"/>
                      <w:highlight w:val="none"/>
                    </w:rPr>
                  </w:pPr>
                  <w:r>
                    <w:rPr>
                      <w:rFonts w:hint="default" w:ascii="Times New Roman" w:hAnsi="Times New Roman" w:eastAsia="宋体" w:cs="Times New Roman"/>
                      <w:smallCaps w:val="0"/>
                      <w:snapToGrid w:val="0"/>
                      <w:color w:val="auto"/>
                      <w:spacing w:val="0"/>
                      <w:kern w:val="0"/>
                      <w:sz w:val="21"/>
                      <w:szCs w:val="21"/>
                      <w:highlight w:val="none"/>
                    </w:rPr>
                    <w:t>三、健全优化开发政策</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统筹推动绿色低碳发展</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三</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加快调整能源结构</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打造低碳能源体系加快产业和能源结构调整。聚焦钢铁、建材、石化、化工、装备、医药、纺织、皮革等重点行业</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实施传统产业</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千企绿色改造</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助推</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万企转型</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加快发展新能源、新材料、新能源汽车等绿色新兴产业。优化工业用能结构</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严格控制钢铁、化工、平板玻璃等重点行业主要用煤行业煤炭消费</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提升清洁能源消费比重降低煤炭消费总量。鼓励电厂使用高热值煤炭</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优化发电方式</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进一步控制煤炭消耗。科学论证</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以热定电</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方案</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落实</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碳达峰</w:t>
                  </w:r>
                  <w:r>
                    <w:rPr>
                      <w:rFonts w:hint="eastAsia"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方案</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以年度污染物排放目标任务</w:t>
                  </w:r>
                  <w:r>
                    <w:rPr>
                      <w:rFonts w:hint="eastAsia" w:cs="Times New Roman"/>
                      <w:smallCaps w:val="0"/>
                      <w:snapToGrid w:val="0"/>
                      <w:color w:val="auto"/>
                      <w:spacing w:val="0"/>
                      <w:kern w:val="0"/>
                      <w:sz w:val="21"/>
                      <w:szCs w:val="21"/>
                      <w:highlight w:val="none"/>
                      <w:lang w:val="en-US" w:eastAsia="zh-CN"/>
                    </w:rPr>
                    <w:t>核定</w:t>
                  </w:r>
                  <w:r>
                    <w:rPr>
                      <w:rFonts w:hint="default" w:ascii="Times New Roman" w:hAnsi="Times New Roman" w:eastAsia="宋体" w:cs="Times New Roman"/>
                      <w:smallCaps w:val="0"/>
                      <w:snapToGrid w:val="0"/>
                      <w:color w:val="auto"/>
                      <w:spacing w:val="0"/>
                      <w:kern w:val="0"/>
                      <w:sz w:val="21"/>
                      <w:szCs w:val="21"/>
                      <w:highlight w:val="none"/>
                    </w:rPr>
                    <w:t>用煤量</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有效压减电煤</w:t>
                  </w:r>
                  <w:r>
                    <w:rPr>
                      <w:rFonts w:hint="default" w:ascii="Times New Roman" w:hAnsi="Times New Roman" w:eastAsia="宋体" w:cs="Times New Roman"/>
                      <w:smallCaps w:val="0"/>
                      <w:snapToGrid w:val="0"/>
                      <w:color w:val="auto"/>
                      <w:spacing w:val="0"/>
                      <w:kern w:val="0"/>
                      <w:sz w:val="21"/>
                      <w:szCs w:val="21"/>
                      <w:highlight w:val="none"/>
                      <w:lang w:eastAsia="zh-CN"/>
                    </w:rPr>
                    <w:t>，</w:t>
                  </w:r>
                  <w:r>
                    <w:rPr>
                      <w:rFonts w:hint="default" w:ascii="Times New Roman" w:hAnsi="Times New Roman" w:eastAsia="宋体" w:cs="Times New Roman"/>
                      <w:smallCaps w:val="0"/>
                      <w:snapToGrid w:val="0"/>
                      <w:color w:val="auto"/>
                      <w:spacing w:val="0"/>
                      <w:kern w:val="0"/>
                      <w:sz w:val="21"/>
                      <w:szCs w:val="21"/>
                      <w:highlight w:val="none"/>
                    </w:rPr>
                    <w:t>增加外购电和绿电比例。</w:t>
                  </w:r>
                </w:p>
              </w:tc>
              <w:tc>
                <w:tcPr>
                  <w:tcW w:w="1206" w:type="pct"/>
                  <w:tcBorders>
                    <w:top w:val="single" w:color="auto" w:sz="4" w:space="0"/>
                    <w:left w:val="single" w:color="auto" w:sz="4" w:space="0"/>
                    <w:bottom w:val="single" w:color="auto" w:sz="4" w:space="0"/>
                    <w:right w:val="single" w:color="auto" w:sz="4" w:space="0"/>
                  </w:tcBorders>
                  <w:noWrap w:val="0"/>
                  <w:vAlign w:val="center"/>
                </w:tcPr>
                <w:p w14:paraId="6F75C19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mallCaps w:val="0"/>
                      <w:snapToGrid w:val="0"/>
                      <w:color w:val="auto"/>
                      <w:spacing w:val="0"/>
                      <w:kern w:val="0"/>
                      <w:sz w:val="21"/>
                      <w:szCs w:val="21"/>
                      <w:highlight w:val="none"/>
                    </w:rPr>
                  </w:pPr>
                  <w:r>
                    <w:rPr>
                      <w:rFonts w:hint="default" w:ascii="Times New Roman" w:hAnsi="Times New Roman" w:eastAsia="宋体" w:cs="Times New Roman"/>
                      <w:smallCaps w:val="0"/>
                      <w:snapToGrid w:val="0"/>
                      <w:color w:val="auto"/>
                      <w:spacing w:val="0"/>
                      <w:kern w:val="0"/>
                      <w:sz w:val="21"/>
                      <w:szCs w:val="21"/>
                      <w:highlight w:val="none"/>
                    </w:rPr>
                    <w:t>项目不属于钢铁、建材、石化、化工、装备、医药、纺织、皮革等重点行业。</w:t>
                  </w:r>
                </w:p>
              </w:tc>
              <w:tc>
                <w:tcPr>
                  <w:tcW w:w="388" w:type="pct"/>
                  <w:tcBorders>
                    <w:top w:val="single" w:color="auto" w:sz="4" w:space="0"/>
                    <w:left w:val="single" w:color="auto" w:sz="4" w:space="0"/>
                    <w:bottom w:val="single" w:color="auto" w:sz="4" w:space="0"/>
                    <w:right w:val="single" w:color="auto" w:sz="8" w:space="0"/>
                  </w:tcBorders>
                  <w:noWrap w:val="0"/>
                  <w:vAlign w:val="center"/>
                </w:tcPr>
                <w:p w14:paraId="4105C017">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smallCaps w:val="0"/>
                      <w:snapToGrid w:val="0"/>
                      <w:color w:val="auto"/>
                      <w:spacing w:val="0"/>
                      <w:kern w:val="0"/>
                      <w:sz w:val="21"/>
                      <w:szCs w:val="21"/>
                      <w:highlight w:val="none"/>
                    </w:rPr>
                  </w:pPr>
                  <w:r>
                    <w:rPr>
                      <w:rFonts w:hint="default" w:ascii="Times New Roman" w:hAnsi="Times New Roman" w:eastAsia="宋体" w:cs="Times New Roman"/>
                      <w:smallCaps w:val="0"/>
                      <w:snapToGrid w:val="0"/>
                      <w:color w:val="auto"/>
                      <w:spacing w:val="0"/>
                      <w:kern w:val="0"/>
                      <w:sz w:val="21"/>
                      <w:szCs w:val="21"/>
                      <w:highlight w:val="none"/>
                    </w:rPr>
                    <w:t>符合</w:t>
                  </w:r>
                </w:p>
              </w:tc>
            </w:tr>
          </w:tbl>
          <w:p w14:paraId="1EA4EBD6">
            <w:pPr>
              <w:pStyle w:val="172"/>
              <w:keepNext w:val="0"/>
              <w:keepLines w:val="0"/>
              <w:suppressLineNumbers w:val="0"/>
              <w:spacing w:before="0" w:beforeAutospacing="0" w:after="0" w:afterAutospacing="0"/>
              <w:ind w:left="0" w:right="0" w:firstLine="480"/>
              <w:rPr>
                <w:rFonts w:hint="eastAsia"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本项目符合《石家庄市生态环境保护</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十四五</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规划》（石政函〔2022〕72号）</w:t>
            </w:r>
            <w:r>
              <w:rPr>
                <w:rFonts w:hint="default" w:ascii="Times New Roman" w:hAnsi="Times New Roman" w:cs="Times New Roman"/>
                <w:smallCaps w:val="0"/>
                <w:color w:val="auto"/>
                <w:spacing w:val="0"/>
                <w:highlight w:val="none"/>
                <w:lang w:val="en-US" w:eastAsia="zh-CN"/>
              </w:rPr>
              <w:t>要求</w:t>
            </w:r>
            <w:r>
              <w:rPr>
                <w:rFonts w:hint="eastAsia" w:cs="Times New Roman"/>
                <w:smallCaps w:val="0"/>
                <w:color w:val="auto"/>
                <w:spacing w:val="0"/>
                <w:highlight w:val="none"/>
                <w:lang w:val="en-US" w:eastAsia="zh-CN"/>
              </w:rPr>
              <w:t>。</w:t>
            </w:r>
          </w:p>
          <w:p w14:paraId="12627C73">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w:t>
            </w:r>
            <w:r>
              <w:rPr>
                <w:rFonts w:hint="default" w:ascii="Times New Roman" w:hAnsi="Times New Roman" w:cs="Times New Roman"/>
                <w:smallCaps w:val="0"/>
                <w:color w:val="auto"/>
                <w:spacing w:val="0"/>
                <w:highlight w:val="none"/>
                <w:lang w:val="en-US" w:eastAsia="zh-CN"/>
              </w:rPr>
              <w:t>3</w:t>
            </w:r>
            <w:r>
              <w:rPr>
                <w:rFonts w:hint="default" w:ascii="Times New Roman" w:hAnsi="Times New Roman" w:cs="Times New Roman"/>
                <w:smallCaps w:val="0"/>
                <w:color w:val="auto"/>
                <w:spacing w:val="0"/>
                <w:highlight w:val="none"/>
              </w:rPr>
              <w:t>）项目与《</w:t>
            </w:r>
            <w:r>
              <w:rPr>
                <w:rFonts w:hint="default" w:ascii="Times New Roman" w:hAnsi="Times New Roman" w:cs="Times New Roman"/>
                <w:smallCaps w:val="0"/>
                <w:color w:val="auto"/>
                <w:spacing w:val="0"/>
                <w:highlight w:val="none"/>
                <w:lang w:val="en-US" w:eastAsia="zh-CN"/>
              </w:rPr>
              <w:t>河北省十一个行业重污染天气应急减排措施制定技术指南（试行）</w:t>
            </w:r>
            <w:r>
              <w:rPr>
                <w:rFonts w:hint="default" w:ascii="Times New Roman" w:hAnsi="Times New Roman" w:cs="Times New Roman"/>
                <w:smallCaps w:val="0"/>
                <w:color w:val="auto"/>
                <w:spacing w:val="0"/>
                <w:highlight w:val="none"/>
              </w:rPr>
              <w:t>》（</w:t>
            </w:r>
            <w:r>
              <w:rPr>
                <w:rFonts w:hint="default" w:ascii="Times New Roman" w:hAnsi="Times New Roman" w:cs="Times New Roman"/>
                <w:smallCaps w:val="0"/>
                <w:color w:val="auto"/>
                <w:spacing w:val="0"/>
                <w:highlight w:val="none"/>
                <w:lang w:val="en-US" w:eastAsia="zh-CN"/>
              </w:rPr>
              <w:t>冀气领办〔2019〕92号文</w:t>
            </w:r>
            <w:r>
              <w:rPr>
                <w:rFonts w:hint="default" w:ascii="Times New Roman" w:hAnsi="Times New Roman" w:cs="Times New Roman"/>
                <w:smallCaps w:val="0"/>
                <w:color w:val="auto"/>
                <w:spacing w:val="0"/>
                <w:highlight w:val="none"/>
              </w:rPr>
              <w:t>）符合性分析</w:t>
            </w:r>
          </w:p>
          <w:p w14:paraId="52AB7C6D">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项目与《河北省十一个行业重污染天气应急减排措施制定技术指南（试行）》（冀气领办〔2019〕92号文）</w:t>
            </w:r>
            <w:r>
              <w:rPr>
                <w:rFonts w:hint="default" w:ascii="Times New Roman" w:hAnsi="Times New Roman" w:cs="Times New Roman"/>
                <w:smallCaps w:val="0"/>
                <w:color w:val="auto"/>
                <w:spacing w:val="0"/>
                <w:highlight w:val="none"/>
                <w:lang w:val="en-US" w:eastAsia="zh-CN"/>
              </w:rPr>
              <w:t>中金属表面处理及热加工</w:t>
            </w:r>
            <w:r>
              <w:rPr>
                <w:rFonts w:hint="default" w:ascii="Times New Roman" w:hAnsi="Times New Roman" w:cs="Times New Roman"/>
                <w:smallCaps w:val="0"/>
                <w:color w:val="auto"/>
                <w:spacing w:val="0"/>
                <w:highlight w:val="none"/>
              </w:rPr>
              <w:t>符合性分析见表1-</w:t>
            </w:r>
            <w:r>
              <w:rPr>
                <w:rFonts w:hint="eastAsia" w:cs="Times New Roman"/>
                <w:smallCaps w:val="0"/>
                <w:color w:val="auto"/>
                <w:spacing w:val="0"/>
                <w:highlight w:val="none"/>
                <w:lang w:val="en-US" w:eastAsia="zh-CN"/>
              </w:rPr>
              <w:t>15</w:t>
            </w:r>
            <w:r>
              <w:rPr>
                <w:rFonts w:hint="default" w:ascii="Times New Roman" w:hAnsi="Times New Roman" w:cs="Times New Roman"/>
                <w:smallCaps w:val="0"/>
                <w:color w:val="auto"/>
                <w:spacing w:val="0"/>
                <w:highlight w:val="none"/>
                <w:lang w:val="en-US" w:eastAsia="zh-CN"/>
              </w:rPr>
              <w:t>。</w:t>
            </w:r>
          </w:p>
          <w:p w14:paraId="6BC87790">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表1-</w:t>
            </w:r>
            <w:r>
              <w:rPr>
                <w:rFonts w:hint="eastAsia" w:cs="Times New Roman"/>
                <w:smallCaps w:val="0"/>
                <w:color w:val="auto"/>
                <w:spacing w:val="0"/>
                <w:highlight w:val="none"/>
                <w:lang w:val="en-US" w:eastAsia="zh-CN"/>
              </w:rPr>
              <w:t>15</w:t>
            </w:r>
            <w:r>
              <w:rPr>
                <w:rFonts w:hint="default" w:ascii="Times New Roman" w:hAnsi="Times New Roman" w:cs="Times New Roman"/>
                <w:smallCaps w:val="0"/>
                <w:color w:val="auto"/>
                <w:spacing w:val="0"/>
                <w:highlight w:val="none"/>
              </w:rPr>
              <w:t xml:space="preserve">    项目与《河北省十一个行业重污染天气应急减排措施制定技术指南（试行）》（冀气领办〔2019〕92号文）中金属表面处理及热加工符合性分析一览表</w:t>
            </w:r>
          </w:p>
          <w:tbl>
            <w:tblPr>
              <w:tblStyle w:val="47"/>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1"/>
              <w:gridCol w:w="885"/>
              <w:gridCol w:w="2678"/>
              <w:gridCol w:w="3205"/>
            </w:tblGrid>
            <w:tr w14:paraId="7EC8D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noWrap w:val="0"/>
                  <w:vAlign w:val="center"/>
                </w:tcPr>
                <w:p w14:paraId="28F0591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差异化指标</w:t>
                  </w:r>
                </w:p>
              </w:tc>
              <w:tc>
                <w:tcPr>
                  <w:tcW w:w="2335" w:type="pct"/>
                  <w:gridSpan w:val="2"/>
                  <w:noWrap w:val="0"/>
                  <w:vAlign w:val="center"/>
                </w:tcPr>
                <w:p w14:paraId="7977AA1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Cs/>
                      <w:color w:val="auto"/>
                      <w:szCs w:val="21"/>
                      <w:highlight w:val="none"/>
                    </w:rPr>
                  </w:pPr>
                  <w:r>
                    <w:rPr>
                      <w:rFonts w:hint="default" w:ascii="Times New Roman" w:hAnsi="Times New Roman" w:cs="Times New Roman"/>
                      <w:bCs/>
                      <w:color w:val="auto"/>
                      <w:szCs w:val="21"/>
                      <w:highlight w:val="none"/>
                    </w:rPr>
                    <w:t>B级企业</w:t>
                  </w:r>
                </w:p>
              </w:tc>
              <w:tc>
                <w:tcPr>
                  <w:tcW w:w="2100" w:type="pct"/>
                  <w:noWrap w:val="0"/>
                  <w:vAlign w:val="center"/>
                </w:tcPr>
                <w:p w14:paraId="5793D64A">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bCs/>
                      <w:color w:val="auto"/>
                      <w:szCs w:val="21"/>
                      <w:highlight w:val="none"/>
                    </w:rPr>
                    <w:t>项目</w:t>
                  </w:r>
                </w:p>
              </w:tc>
            </w:tr>
            <w:tr w14:paraId="2EC36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noWrap w:val="0"/>
                  <w:vAlign w:val="center"/>
                </w:tcPr>
                <w:p w14:paraId="66E30D07">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能源类型</w:t>
                  </w:r>
                </w:p>
              </w:tc>
              <w:tc>
                <w:tcPr>
                  <w:tcW w:w="2335" w:type="pct"/>
                  <w:gridSpan w:val="2"/>
                  <w:noWrap w:val="0"/>
                  <w:vAlign w:val="center"/>
                </w:tcPr>
                <w:p w14:paraId="1237490A">
                  <w:pPr>
                    <w:keepNext w:val="0"/>
                    <w:keepLines w:val="0"/>
                    <w:widowControl/>
                    <w:numPr>
                      <w:ilvl w:val="0"/>
                      <w:numId w:val="0"/>
                    </w:numPr>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lang w:val="en-US" w:eastAsia="zh-CN"/>
                    </w:rPr>
                    <w:t>热处理加工采用电、天然气</w:t>
                  </w:r>
                </w:p>
              </w:tc>
              <w:tc>
                <w:tcPr>
                  <w:tcW w:w="2100" w:type="pct"/>
                  <w:noWrap w:val="0"/>
                  <w:vAlign w:val="center"/>
                </w:tcPr>
                <w:p w14:paraId="3469DAF4">
                  <w:pPr>
                    <w:keepNext w:val="0"/>
                    <w:keepLines w:val="0"/>
                    <w:widowControl/>
                    <w:suppressLineNumbers w:val="0"/>
                    <w:spacing w:before="0" w:beforeAutospacing="0" w:after="0" w:afterAutospacing="0"/>
                    <w:ind w:left="0" w:right="0"/>
                    <w:jc w:val="center"/>
                    <w:textAlignment w:val="center"/>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spacing w:val="0"/>
                      <w:sz w:val="21"/>
                      <w:szCs w:val="21"/>
                      <w:highlight w:val="none"/>
                      <w:lang w:val="en-US" w:eastAsia="zh-CN"/>
                    </w:rPr>
                    <w:t>项目</w:t>
                  </w:r>
                  <w:r>
                    <w:rPr>
                      <w:rFonts w:hint="eastAsia" w:cs="Times New Roman"/>
                      <w:color w:val="auto"/>
                      <w:spacing w:val="0"/>
                      <w:sz w:val="21"/>
                      <w:szCs w:val="21"/>
                      <w:highlight w:val="none"/>
                      <w:lang w:val="en-US" w:eastAsia="zh-CN"/>
                    </w:rPr>
                    <w:t>热处理加工采用电能</w:t>
                  </w:r>
                </w:p>
              </w:tc>
            </w:tr>
            <w:tr w14:paraId="495B3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vMerge w:val="restart"/>
                  <w:noWrap w:val="0"/>
                  <w:vAlign w:val="center"/>
                </w:tcPr>
                <w:p w14:paraId="726B8713">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Cs w:val="21"/>
                      <w:highlight w:val="none"/>
                      <w:lang w:val="en-US" w:eastAsia="zh-CN"/>
                    </w:rPr>
                  </w:pPr>
                  <w:r>
                    <w:rPr>
                      <w:rFonts w:hint="default" w:ascii="Times New Roman" w:hAnsi="Times New Roman" w:eastAsia="宋体" w:cs="Times New Roman"/>
                      <w:bCs/>
                      <w:color w:val="auto"/>
                      <w:szCs w:val="21"/>
                      <w:highlight w:val="none"/>
                    </w:rPr>
                    <w:t>污染治理技术</w:t>
                  </w:r>
                  <w:r>
                    <w:rPr>
                      <w:rFonts w:hint="default" w:ascii="Times New Roman" w:hAnsi="Times New Roman" w:eastAsia="宋体" w:cs="Times New Roman"/>
                      <w:bCs/>
                      <w:color w:val="auto"/>
                      <w:szCs w:val="21"/>
                      <w:highlight w:val="none"/>
                      <w:lang w:val="en-US" w:eastAsia="zh-CN"/>
                    </w:rPr>
                    <w:t>及收集技术</w:t>
                  </w:r>
                </w:p>
              </w:tc>
              <w:tc>
                <w:tcPr>
                  <w:tcW w:w="2335" w:type="pct"/>
                  <w:gridSpan w:val="2"/>
                  <w:noWrap w:val="0"/>
                  <w:vAlign w:val="center"/>
                </w:tcPr>
                <w:p w14:paraId="37722511">
                  <w:pPr>
                    <w:keepNext w:val="0"/>
                    <w:keepLines w:val="0"/>
                    <w:suppressLineNumbers w:val="0"/>
                    <w:adjustRightInd w:val="0"/>
                    <w:snapToGrid w:val="0"/>
                    <w:spacing w:before="0" w:beforeAutospacing="0" w:after="0" w:afterAutospacing="0"/>
                    <w:ind w:left="0" w:right="0"/>
                    <w:jc w:val="both"/>
                    <w:textAlignment w:val="auto"/>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szCs w:val="21"/>
                      <w:highlight w:val="none"/>
                    </w:rPr>
                    <w:t>金属表面处理：1.酸碱废气采用喷淋吸收处理工艺，采用pH计控制，实现自动加药，药液液位自动控制</w:t>
                  </w:r>
                  <w:r>
                    <w:rPr>
                      <w:rFonts w:hint="default" w:ascii="Times New Roman" w:hAnsi="Times New Roman" w:eastAsia="宋体" w:cs="Times New Roman"/>
                      <w:bCs/>
                      <w:color w:val="auto"/>
                      <w:szCs w:val="21"/>
                      <w:highlight w:val="none"/>
                      <w:lang w:eastAsia="zh-CN"/>
                    </w:rPr>
                    <w:t>；</w:t>
                  </w:r>
                  <w:r>
                    <w:rPr>
                      <w:rFonts w:hint="default" w:ascii="Times New Roman" w:hAnsi="Times New Roman" w:eastAsia="宋体" w:cs="Times New Roman"/>
                      <w:bCs/>
                      <w:color w:val="auto"/>
                      <w:szCs w:val="21"/>
                      <w:highlight w:val="none"/>
                    </w:rPr>
                    <w:t>2.油雾废气采用油雾多级回收+VOCs治理技术；VOCs治理采用喷淋、吸附、生物法等两级及以上组合工艺处理</w:t>
                  </w:r>
                  <w:r>
                    <w:rPr>
                      <w:rFonts w:hint="default" w:ascii="Times New Roman" w:hAnsi="Times New Roman" w:eastAsia="宋体" w:cs="Times New Roman"/>
                      <w:bCs/>
                      <w:color w:val="auto"/>
                      <w:szCs w:val="21"/>
                      <w:highlight w:val="none"/>
                      <w:lang w:eastAsia="zh-CN"/>
                    </w:rPr>
                    <w:t>；</w:t>
                  </w:r>
                  <w:r>
                    <w:rPr>
                      <w:rFonts w:hint="default" w:ascii="Times New Roman" w:hAnsi="Times New Roman" w:eastAsia="宋体" w:cs="Times New Roman"/>
                      <w:bCs/>
                      <w:color w:val="auto"/>
                      <w:szCs w:val="21"/>
                      <w:highlight w:val="none"/>
                    </w:rPr>
                    <w:t>采用活性炭吸附的，按活性炭最大吸附量的90%计算更换周期。3.废气收集系统排风罩（集气罩）设置应符合GB/T16758的规定。</w:t>
                  </w:r>
                </w:p>
              </w:tc>
              <w:tc>
                <w:tcPr>
                  <w:tcW w:w="2100" w:type="pct"/>
                  <w:noWrap w:val="0"/>
                  <w:vAlign w:val="center"/>
                </w:tcPr>
                <w:p w14:paraId="4CC85E40">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项目使用新鲜水淬火</w:t>
                  </w:r>
                  <w:r>
                    <w:rPr>
                      <w:rFonts w:hint="eastAsia" w:cs="Times New Roman"/>
                      <w:color w:val="auto"/>
                      <w:szCs w:val="21"/>
                      <w:highlight w:val="none"/>
                      <w:lang w:val="en-US" w:eastAsia="zh-CN"/>
                    </w:rPr>
                    <w:t>、回火冷却</w:t>
                  </w:r>
                  <w:r>
                    <w:rPr>
                      <w:rFonts w:hint="default" w:ascii="Times New Roman" w:hAnsi="Times New Roman" w:cs="Times New Roman"/>
                      <w:color w:val="auto"/>
                      <w:szCs w:val="21"/>
                      <w:highlight w:val="none"/>
                      <w:lang w:val="en-US" w:eastAsia="zh-CN"/>
                    </w:rPr>
                    <w:t>，不使用淬火油，无油雾产生；</w:t>
                  </w:r>
                </w:p>
              </w:tc>
            </w:tr>
            <w:tr w14:paraId="3E075E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64" w:type="pct"/>
                  <w:vMerge w:val="continue"/>
                  <w:noWrap w:val="0"/>
                  <w:vAlign w:val="center"/>
                </w:tcPr>
                <w:p w14:paraId="55E839D9">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Cs w:val="21"/>
                      <w:highlight w:val="none"/>
                    </w:rPr>
                  </w:pPr>
                </w:p>
              </w:tc>
              <w:tc>
                <w:tcPr>
                  <w:tcW w:w="2335" w:type="pct"/>
                  <w:gridSpan w:val="2"/>
                  <w:noWrap w:val="0"/>
                  <w:vAlign w:val="center"/>
                </w:tcPr>
                <w:p w14:paraId="73F8AB69">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Cs w:val="21"/>
                      <w:highlight w:val="none"/>
                    </w:rPr>
                  </w:pPr>
                  <w:r>
                    <w:rPr>
                      <w:rFonts w:hint="default" w:ascii="Times New Roman" w:hAnsi="Times New Roman" w:eastAsia="宋体" w:cs="Times New Roman"/>
                      <w:bCs/>
                      <w:color w:val="auto"/>
                      <w:kern w:val="2"/>
                      <w:sz w:val="21"/>
                      <w:szCs w:val="21"/>
                      <w:highlight w:val="none"/>
                      <w:lang w:val="en-US" w:eastAsia="zh-CN" w:bidi="ar"/>
                    </w:rPr>
                    <w:t>（二）热处理加工：1.除尘采用高效袋式除尘或其他高效过滤式除尘设施；2.热处理炉与锅炉烟气采用低氮燃烧，或源头、过程控制等效技术。</w:t>
                  </w:r>
                </w:p>
              </w:tc>
              <w:tc>
                <w:tcPr>
                  <w:tcW w:w="2100" w:type="pct"/>
                  <w:noWrap w:val="0"/>
                  <w:vAlign w:val="center"/>
                </w:tcPr>
                <w:p w14:paraId="66AE6640">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bCs/>
                      <w:color w:val="auto"/>
                      <w:szCs w:val="21"/>
                      <w:highlight w:val="none"/>
                      <w:lang w:val="en-US" w:eastAsia="zh-CN" w:bidi="ar"/>
                    </w:rPr>
                    <w:t>项目淬火前利用</w:t>
                  </w:r>
                  <w:r>
                    <w:rPr>
                      <w:rFonts w:hint="eastAsia" w:cs="Times New Roman"/>
                      <w:bCs/>
                      <w:color w:val="auto"/>
                      <w:szCs w:val="21"/>
                      <w:highlight w:val="none"/>
                      <w:lang w:val="en-US" w:eastAsia="zh-CN" w:bidi="ar"/>
                    </w:rPr>
                    <w:t>电</w:t>
                  </w:r>
                  <w:r>
                    <w:rPr>
                      <w:rFonts w:hint="default" w:ascii="Times New Roman" w:hAnsi="Times New Roman" w:cs="Times New Roman"/>
                      <w:bCs/>
                      <w:color w:val="auto"/>
                      <w:szCs w:val="21"/>
                      <w:highlight w:val="none"/>
                      <w:lang w:val="en-US" w:eastAsia="zh-CN" w:bidi="ar"/>
                    </w:rPr>
                    <w:t>加热炉加热，回火加热炉也利用</w:t>
                  </w:r>
                  <w:r>
                    <w:rPr>
                      <w:rFonts w:hint="eastAsia" w:cs="Times New Roman"/>
                      <w:bCs/>
                      <w:color w:val="auto"/>
                      <w:szCs w:val="21"/>
                      <w:highlight w:val="none"/>
                      <w:lang w:val="en-US" w:eastAsia="zh-CN" w:bidi="ar"/>
                    </w:rPr>
                    <w:t>电能</w:t>
                  </w:r>
                  <w:r>
                    <w:rPr>
                      <w:rFonts w:hint="default" w:ascii="Times New Roman" w:hAnsi="Times New Roman" w:cs="Times New Roman"/>
                      <w:bCs/>
                      <w:color w:val="auto"/>
                      <w:szCs w:val="21"/>
                      <w:highlight w:val="none"/>
                      <w:lang w:val="en-US" w:eastAsia="zh-CN" w:bidi="ar"/>
                    </w:rPr>
                    <w:t>，</w:t>
                  </w:r>
                  <w:r>
                    <w:rPr>
                      <w:rFonts w:hint="eastAsia" w:cs="Times New Roman"/>
                      <w:bCs/>
                      <w:color w:val="auto"/>
                      <w:szCs w:val="21"/>
                      <w:highlight w:val="none"/>
                      <w:lang w:val="en-US" w:eastAsia="zh-CN" w:bidi="ar"/>
                    </w:rPr>
                    <w:t>加热炉前采用低氮燃烧法</w:t>
                  </w:r>
                  <w:r>
                    <w:rPr>
                      <w:rFonts w:hint="default" w:ascii="Times New Roman" w:hAnsi="Times New Roman" w:cs="Times New Roman"/>
                      <w:bCs/>
                      <w:color w:val="auto"/>
                      <w:szCs w:val="21"/>
                      <w:highlight w:val="none"/>
                      <w:lang w:val="en-US" w:eastAsia="zh-CN" w:bidi="ar"/>
                    </w:rPr>
                    <w:t>；</w:t>
                  </w:r>
                </w:p>
              </w:tc>
            </w:tr>
            <w:tr w14:paraId="0336E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vMerge w:val="continue"/>
                  <w:noWrap w:val="0"/>
                  <w:vAlign w:val="center"/>
                </w:tcPr>
                <w:p w14:paraId="1819AA7C">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highlight w:val="none"/>
                    </w:rPr>
                  </w:pPr>
                </w:p>
              </w:tc>
              <w:tc>
                <w:tcPr>
                  <w:tcW w:w="2335" w:type="pct"/>
                  <w:gridSpan w:val="2"/>
                  <w:noWrap w:val="0"/>
                  <w:vAlign w:val="center"/>
                </w:tcPr>
                <w:p w14:paraId="23BE43CF">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涂装工序采用喷淋、吸附、生物法等两级及以上组合工艺处理，喷塑采用高效除尘治理技术；采用活性炭吸附的，按活性炭最大吸附量的90%计算更换周期。</w:t>
                  </w:r>
                </w:p>
              </w:tc>
              <w:tc>
                <w:tcPr>
                  <w:tcW w:w="2100" w:type="pct"/>
                  <w:noWrap w:val="0"/>
                  <w:vAlign w:val="center"/>
                </w:tcPr>
                <w:p w14:paraId="11530A7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cs="Times New Roman"/>
                      <w:color w:val="auto"/>
                      <w:szCs w:val="21"/>
                      <w:highlight w:val="none"/>
                      <w:lang w:val="en-US" w:eastAsia="zh-CN"/>
                    </w:rPr>
                    <w:t>不涉及涂装工序。</w:t>
                  </w:r>
                </w:p>
              </w:tc>
            </w:tr>
            <w:tr w14:paraId="1EB0C6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vMerge w:val="continue"/>
                  <w:noWrap w:val="0"/>
                  <w:vAlign w:val="center"/>
                </w:tcPr>
                <w:p w14:paraId="58B566C8">
                  <w:pPr>
                    <w:keepNext w:val="0"/>
                    <w:keepLines w:val="0"/>
                    <w:widowControl/>
                    <w:suppressLineNumbers w:val="0"/>
                    <w:spacing w:before="0" w:beforeAutospacing="0" w:after="0" w:afterAutospacing="0"/>
                    <w:ind w:left="0" w:right="0"/>
                    <w:jc w:val="center"/>
                    <w:textAlignment w:val="center"/>
                    <w:rPr>
                      <w:rFonts w:hint="default" w:ascii="Times New Roman" w:hAnsi="Times New Roman" w:cs="Times New Roman"/>
                      <w:color w:val="auto"/>
                      <w:szCs w:val="21"/>
                      <w:highlight w:val="none"/>
                    </w:rPr>
                  </w:pPr>
                </w:p>
              </w:tc>
              <w:tc>
                <w:tcPr>
                  <w:tcW w:w="2335" w:type="pct"/>
                  <w:gridSpan w:val="2"/>
                  <w:noWrap w:val="0"/>
                  <w:vAlign w:val="center"/>
                </w:tcPr>
                <w:p w14:paraId="5F2A37A4">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（四）废水收集及处理环节：废水储存、处理设施，产生VOCs废气的在曝气池之前加盖密闭或采取其他等效措施，并密闭收集至废气处理设备</w:t>
                  </w:r>
                </w:p>
              </w:tc>
              <w:tc>
                <w:tcPr>
                  <w:tcW w:w="2100" w:type="pct"/>
                  <w:noWrap w:val="0"/>
                  <w:vAlign w:val="center"/>
                </w:tcPr>
                <w:p w14:paraId="7CB369C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eastAsia"/>
                      <w:color w:val="auto"/>
                      <w:szCs w:val="21"/>
                      <w:highlight w:val="none"/>
                      <w:lang w:eastAsia="zh-CN" w:bidi="ar"/>
                    </w:rPr>
                    <w:t>本项目淬火、回火冷却水循环使用不外排；生活污水经化粪池处理后定期由吸粪车抽走，无废水外排</w:t>
                  </w:r>
                  <w:r>
                    <w:rPr>
                      <w:rFonts w:hint="default" w:ascii="Times New Roman" w:hAnsi="Times New Roman" w:cs="Times New Roman"/>
                      <w:color w:val="auto"/>
                      <w:szCs w:val="21"/>
                      <w:highlight w:val="none"/>
                      <w:lang w:val="en-US" w:eastAsia="zh-CN"/>
                    </w:rPr>
                    <w:t>；废水贮存不涉及</w:t>
                  </w:r>
                  <w:r>
                    <w:rPr>
                      <w:rFonts w:hint="default" w:ascii="Times New Roman" w:hAnsi="Times New Roman" w:eastAsia="宋体" w:cs="Times New Roman"/>
                      <w:bCs/>
                      <w:color w:val="auto"/>
                      <w:kern w:val="2"/>
                      <w:sz w:val="21"/>
                      <w:szCs w:val="21"/>
                      <w:highlight w:val="none"/>
                      <w:lang w:val="en-US" w:eastAsia="zh-CN" w:bidi="ar"/>
                    </w:rPr>
                    <w:t>VOCs废气</w:t>
                  </w:r>
                  <w:r>
                    <w:rPr>
                      <w:rFonts w:hint="default" w:ascii="Times New Roman" w:hAnsi="Times New Roman" w:cs="Times New Roman"/>
                      <w:color w:val="auto"/>
                      <w:szCs w:val="21"/>
                      <w:highlight w:val="none"/>
                      <w:lang w:val="en-US" w:eastAsia="zh-CN"/>
                    </w:rPr>
                    <w:t>生</w:t>
                  </w:r>
                  <w:r>
                    <w:rPr>
                      <w:rFonts w:hint="default" w:ascii="Times New Roman" w:hAnsi="Times New Roman" w:cs="Times New Roman"/>
                      <w:color w:val="auto"/>
                      <w:szCs w:val="21"/>
                      <w:highlight w:val="none"/>
                    </w:rPr>
                    <w:t>。</w:t>
                  </w:r>
                </w:p>
              </w:tc>
            </w:tr>
            <w:tr w14:paraId="1CC6C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vMerge w:val="restart"/>
                  <w:noWrap w:val="0"/>
                  <w:vAlign w:val="center"/>
                </w:tcPr>
                <w:p w14:paraId="13DA5F83">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Cs w:val="21"/>
                      <w:highlight w:val="none"/>
                      <w:lang w:bidi="ar"/>
                    </w:rPr>
                  </w:pPr>
                  <w:r>
                    <w:rPr>
                      <w:rFonts w:hint="default" w:ascii="Times New Roman" w:hAnsi="Times New Roman" w:eastAsia="宋体" w:cs="Times New Roman"/>
                      <w:bCs/>
                      <w:color w:val="auto"/>
                      <w:szCs w:val="21"/>
                      <w:highlight w:val="none"/>
                      <w:lang w:bidi="ar"/>
                    </w:rPr>
                    <w:t>排放限值</w:t>
                  </w:r>
                </w:p>
              </w:tc>
              <w:tc>
                <w:tcPr>
                  <w:tcW w:w="2335" w:type="pct"/>
                  <w:gridSpan w:val="2"/>
                  <w:noWrap w:val="0"/>
                  <w:vAlign w:val="center"/>
                </w:tcPr>
                <w:p w14:paraId="49AE23C5">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1.颗粒物排放限值要求：排放浓度不超过10mg/m</w:t>
                  </w:r>
                  <w:r>
                    <w:rPr>
                      <w:rFonts w:hint="default" w:ascii="Times New Roman" w:hAnsi="Times New Roman" w:eastAsia="宋体" w:cs="Times New Roman"/>
                      <w:bCs/>
                      <w:color w:val="auto"/>
                      <w:kern w:val="2"/>
                      <w:sz w:val="21"/>
                      <w:szCs w:val="21"/>
                      <w:highlight w:val="none"/>
                      <w:vertAlign w:val="superscript"/>
                      <w:lang w:val="en-US" w:eastAsia="zh-CN" w:bidi="ar"/>
                    </w:rPr>
                    <w:t>3</w:t>
                  </w:r>
                  <w:r>
                    <w:rPr>
                      <w:rFonts w:hint="default" w:ascii="Times New Roman" w:hAnsi="Times New Roman" w:eastAsia="宋体" w:cs="Times New Roman"/>
                      <w:bCs/>
                      <w:color w:val="auto"/>
                      <w:kern w:val="2"/>
                      <w:sz w:val="21"/>
                      <w:szCs w:val="21"/>
                      <w:highlight w:val="none"/>
                      <w:lang w:val="en-US" w:eastAsia="zh-CN" w:bidi="ar"/>
                    </w:rPr>
                    <w:t>；2.电镀生产线氯化氢、硫酸雾排放浓度不超过10mg/m</w:t>
                  </w:r>
                  <w:r>
                    <w:rPr>
                      <w:rFonts w:hint="default" w:ascii="Times New Roman" w:hAnsi="Times New Roman" w:eastAsia="宋体" w:cs="Times New Roman"/>
                      <w:bCs/>
                      <w:color w:val="auto"/>
                      <w:kern w:val="2"/>
                      <w:sz w:val="21"/>
                      <w:szCs w:val="21"/>
                      <w:highlight w:val="none"/>
                      <w:vertAlign w:val="superscript"/>
                      <w:lang w:val="en-US" w:eastAsia="zh-CN" w:bidi="ar"/>
                    </w:rPr>
                    <w:t>3</w:t>
                  </w:r>
                  <w:r>
                    <w:rPr>
                      <w:rFonts w:hint="default" w:ascii="Times New Roman" w:hAnsi="Times New Roman" w:eastAsia="宋体" w:cs="Times New Roman"/>
                      <w:bCs/>
                      <w:color w:val="auto"/>
                      <w:kern w:val="2"/>
                      <w:sz w:val="21"/>
                      <w:szCs w:val="21"/>
                      <w:highlight w:val="none"/>
                      <w:lang w:val="en-US" w:eastAsia="zh-CN" w:bidi="ar"/>
                    </w:rPr>
                    <w:t>；铬酸雾排放浓度不超过0.05mg/m</w:t>
                  </w:r>
                  <w:r>
                    <w:rPr>
                      <w:rFonts w:hint="default" w:ascii="Times New Roman" w:hAnsi="Times New Roman" w:eastAsia="宋体" w:cs="Times New Roman"/>
                      <w:bCs/>
                      <w:color w:val="auto"/>
                      <w:kern w:val="2"/>
                      <w:sz w:val="21"/>
                      <w:szCs w:val="21"/>
                      <w:highlight w:val="none"/>
                      <w:vertAlign w:val="superscript"/>
                      <w:lang w:val="en-US" w:eastAsia="zh-CN" w:bidi="ar"/>
                    </w:rPr>
                    <w:t>3</w:t>
                  </w:r>
                  <w:r>
                    <w:rPr>
                      <w:rFonts w:hint="default" w:ascii="Times New Roman" w:hAnsi="Times New Roman" w:eastAsia="宋体" w:cs="Times New Roman"/>
                      <w:bCs/>
                      <w:color w:val="auto"/>
                      <w:kern w:val="2"/>
                      <w:sz w:val="21"/>
                      <w:szCs w:val="21"/>
                      <w:highlight w:val="none"/>
                      <w:lang w:val="en-US" w:eastAsia="zh-CN" w:bidi="ar"/>
                    </w:rPr>
                    <w:t>；氰化氢排放浓度不超过0.5mg/m</w:t>
                  </w:r>
                  <w:r>
                    <w:rPr>
                      <w:rFonts w:hint="default" w:ascii="Times New Roman" w:hAnsi="Times New Roman" w:eastAsia="宋体" w:cs="Times New Roman"/>
                      <w:bCs/>
                      <w:color w:val="auto"/>
                      <w:kern w:val="2"/>
                      <w:sz w:val="21"/>
                      <w:szCs w:val="21"/>
                      <w:highlight w:val="none"/>
                      <w:vertAlign w:val="superscript"/>
                      <w:lang w:val="en-US" w:eastAsia="zh-CN" w:bidi="ar"/>
                    </w:rPr>
                    <w:t>3</w:t>
                  </w:r>
                  <w:r>
                    <w:rPr>
                      <w:rFonts w:hint="default" w:ascii="Times New Roman" w:hAnsi="Times New Roman" w:eastAsia="宋体" w:cs="Times New Roman"/>
                      <w:bCs/>
                      <w:color w:val="auto"/>
                      <w:kern w:val="2"/>
                      <w:sz w:val="21"/>
                      <w:szCs w:val="21"/>
                      <w:highlight w:val="none"/>
                      <w:lang w:val="en-US" w:eastAsia="zh-CN" w:bidi="ar"/>
                    </w:rPr>
                    <w:t>；氟化物排放浓度不超过5mg/m</w:t>
                  </w:r>
                  <w:r>
                    <w:rPr>
                      <w:rFonts w:hint="default" w:ascii="Times New Roman" w:hAnsi="Times New Roman" w:eastAsia="宋体" w:cs="Times New Roman"/>
                      <w:bCs/>
                      <w:color w:val="auto"/>
                      <w:kern w:val="2"/>
                      <w:sz w:val="21"/>
                      <w:szCs w:val="21"/>
                      <w:highlight w:val="none"/>
                      <w:vertAlign w:val="superscript"/>
                      <w:lang w:val="en-US" w:eastAsia="zh-CN" w:bidi="ar"/>
                    </w:rPr>
                    <w:t>3</w:t>
                  </w:r>
                  <w:r>
                    <w:rPr>
                      <w:rFonts w:hint="default" w:ascii="Times New Roman" w:hAnsi="Times New Roman" w:eastAsia="宋体" w:cs="Times New Roman"/>
                      <w:bCs/>
                      <w:color w:val="auto"/>
                      <w:kern w:val="2"/>
                      <w:sz w:val="21"/>
                      <w:szCs w:val="21"/>
                      <w:highlight w:val="none"/>
                      <w:lang w:val="en-US" w:eastAsia="zh-CN" w:bidi="ar"/>
                    </w:rPr>
                    <w:t>；NOx排放浓度不超过100mg/m</w:t>
                  </w:r>
                  <w:r>
                    <w:rPr>
                      <w:rFonts w:hint="default" w:ascii="Times New Roman" w:hAnsi="Times New Roman" w:eastAsia="宋体" w:cs="Times New Roman"/>
                      <w:bCs/>
                      <w:color w:val="auto"/>
                      <w:kern w:val="2"/>
                      <w:sz w:val="21"/>
                      <w:szCs w:val="21"/>
                      <w:highlight w:val="none"/>
                      <w:vertAlign w:val="superscript"/>
                      <w:lang w:val="en-US" w:eastAsia="zh-CN" w:bidi="ar"/>
                    </w:rPr>
                    <w:t>3</w:t>
                  </w:r>
                </w:p>
              </w:tc>
              <w:tc>
                <w:tcPr>
                  <w:tcW w:w="2100" w:type="pct"/>
                  <w:noWrap w:val="0"/>
                  <w:vAlign w:val="center"/>
                </w:tcPr>
                <w:p w14:paraId="5039E79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根据预测可知项目颗粒物满足相应标准</w:t>
                  </w:r>
                  <w:r>
                    <w:rPr>
                      <w:rFonts w:hint="default" w:ascii="Times New Roman" w:hAnsi="Times New Roman" w:cs="Times New Roman"/>
                      <w:color w:val="auto"/>
                      <w:szCs w:val="21"/>
                      <w:highlight w:val="none"/>
                      <w:lang w:val="en-US" w:eastAsia="zh-CN"/>
                    </w:rPr>
                    <w:t>；</w:t>
                  </w:r>
                  <w:r>
                    <w:rPr>
                      <w:rFonts w:hint="default" w:ascii="Times New Roman" w:hAnsi="Times New Roman" w:eastAsia="宋体" w:cs="Times New Roman"/>
                      <w:bCs/>
                      <w:color w:val="auto"/>
                      <w:kern w:val="2"/>
                      <w:sz w:val="21"/>
                      <w:szCs w:val="21"/>
                      <w:highlight w:val="none"/>
                      <w:vertAlign w:val="baseline"/>
                      <w:lang w:val="en-US" w:eastAsia="zh-CN" w:bidi="ar"/>
                    </w:rPr>
                    <w:t>项目不涉及电镀生产线。</w:t>
                  </w:r>
                </w:p>
              </w:tc>
            </w:tr>
            <w:tr w14:paraId="0C53F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vMerge w:val="continue"/>
                  <w:noWrap w:val="0"/>
                  <w:vAlign w:val="center"/>
                </w:tcPr>
                <w:p w14:paraId="30DD29AA">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Cs w:val="21"/>
                      <w:highlight w:val="none"/>
                      <w:lang w:bidi="ar"/>
                    </w:rPr>
                  </w:pPr>
                </w:p>
              </w:tc>
              <w:tc>
                <w:tcPr>
                  <w:tcW w:w="2335" w:type="pct"/>
                  <w:gridSpan w:val="2"/>
                  <w:noWrap w:val="0"/>
                  <w:vAlign w:val="center"/>
                </w:tcPr>
                <w:p w14:paraId="0ADAC736">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3.燃气锅炉排放限值要求：PM、SO</w:t>
                  </w:r>
                  <w:r>
                    <w:rPr>
                      <w:rFonts w:hint="default" w:ascii="Times New Roman" w:hAnsi="Times New Roman" w:eastAsia="宋体" w:cs="Times New Roman"/>
                      <w:bCs/>
                      <w:color w:val="auto"/>
                      <w:kern w:val="2"/>
                      <w:sz w:val="21"/>
                      <w:szCs w:val="21"/>
                      <w:highlight w:val="none"/>
                      <w:vertAlign w:val="subscript"/>
                      <w:lang w:val="en-US" w:eastAsia="zh-CN" w:bidi="ar"/>
                    </w:rPr>
                    <w:t>2</w:t>
                  </w:r>
                  <w:r>
                    <w:rPr>
                      <w:rFonts w:hint="default" w:ascii="Times New Roman" w:hAnsi="Times New Roman" w:eastAsia="宋体" w:cs="Times New Roman"/>
                      <w:bCs/>
                      <w:color w:val="auto"/>
                      <w:kern w:val="2"/>
                      <w:sz w:val="21"/>
                      <w:szCs w:val="21"/>
                      <w:highlight w:val="none"/>
                      <w:lang w:val="en-US" w:eastAsia="zh-CN" w:bidi="ar"/>
                    </w:rPr>
                    <w:t>、NOx 排放浓度分别不高于：5、10、50mg/m</w:t>
                  </w:r>
                  <w:r>
                    <w:rPr>
                      <w:rFonts w:hint="default" w:ascii="Times New Roman" w:hAnsi="Times New Roman" w:eastAsia="宋体" w:cs="Times New Roman"/>
                      <w:bCs/>
                      <w:color w:val="auto"/>
                      <w:kern w:val="2"/>
                      <w:sz w:val="21"/>
                      <w:szCs w:val="21"/>
                      <w:highlight w:val="none"/>
                      <w:vertAlign w:val="superscript"/>
                      <w:lang w:val="en-US" w:eastAsia="zh-CN" w:bidi="ar"/>
                    </w:rPr>
                    <w:t>3</w:t>
                  </w:r>
                  <w:r>
                    <w:rPr>
                      <w:rFonts w:hint="default" w:ascii="Times New Roman" w:hAnsi="Times New Roman" w:eastAsia="宋体" w:cs="Times New Roman"/>
                      <w:bCs/>
                      <w:color w:val="auto"/>
                      <w:kern w:val="2"/>
                      <w:sz w:val="21"/>
                      <w:szCs w:val="21"/>
                      <w:highlight w:val="none"/>
                      <w:lang w:val="en-US" w:eastAsia="zh-CN" w:bidi="ar"/>
                    </w:rPr>
                    <w:t>（基准含氧量 3.5%）</w:t>
                  </w:r>
                </w:p>
              </w:tc>
              <w:tc>
                <w:tcPr>
                  <w:tcW w:w="2100" w:type="pct"/>
                  <w:noWrap w:val="0"/>
                  <w:vAlign w:val="center"/>
                </w:tcPr>
                <w:p w14:paraId="36E9450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项目不涉及锅炉使用</w:t>
                  </w:r>
                </w:p>
              </w:tc>
            </w:tr>
            <w:tr w14:paraId="15BDE0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vMerge w:val="continue"/>
                  <w:noWrap w:val="0"/>
                  <w:vAlign w:val="center"/>
                </w:tcPr>
                <w:p w14:paraId="1DF17862">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Cs w:val="21"/>
                      <w:highlight w:val="none"/>
                      <w:lang w:bidi="ar"/>
                    </w:rPr>
                  </w:pPr>
                </w:p>
              </w:tc>
              <w:tc>
                <w:tcPr>
                  <w:tcW w:w="2335" w:type="pct"/>
                  <w:gridSpan w:val="2"/>
                  <w:noWrap w:val="0"/>
                  <w:vAlign w:val="center"/>
                </w:tcPr>
                <w:p w14:paraId="6459A5F5">
                  <w:pPr>
                    <w:keepNext w:val="0"/>
                    <w:keepLines w:val="0"/>
                    <w:widowControl/>
                    <w:suppressLineNumbers w:val="0"/>
                    <w:adjustRightInd w:val="0"/>
                    <w:snapToGrid w:val="0"/>
                    <w:spacing w:before="0" w:beforeAutospacing="0" w:after="0" w:afterAutospacing="0"/>
                    <w:ind w:left="0" w:right="0"/>
                    <w:jc w:val="center"/>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热处理炉烟气排放限值：PM、SO</w:t>
                  </w:r>
                  <w:r>
                    <w:rPr>
                      <w:rFonts w:hint="default" w:ascii="Times New Roman" w:hAnsi="Times New Roman" w:eastAsia="宋体" w:cs="Times New Roman"/>
                      <w:bCs/>
                      <w:color w:val="auto"/>
                      <w:kern w:val="2"/>
                      <w:sz w:val="21"/>
                      <w:szCs w:val="21"/>
                      <w:highlight w:val="none"/>
                      <w:vertAlign w:val="subscript"/>
                      <w:lang w:val="en-US" w:eastAsia="zh-CN" w:bidi="ar"/>
                    </w:rPr>
                    <w:t>2</w:t>
                  </w:r>
                  <w:r>
                    <w:rPr>
                      <w:rFonts w:hint="default" w:ascii="Times New Roman" w:hAnsi="Times New Roman" w:eastAsia="宋体" w:cs="Times New Roman"/>
                      <w:bCs/>
                      <w:color w:val="auto"/>
                      <w:kern w:val="2"/>
                      <w:sz w:val="21"/>
                      <w:szCs w:val="21"/>
                      <w:highlight w:val="none"/>
                      <w:lang w:val="en-US" w:eastAsia="zh-CN" w:bidi="ar"/>
                    </w:rPr>
                    <w:t>、NOx排放浓度分别不高于10、50、100mg/m</w:t>
                  </w:r>
                  <w:r>
                    <w:rPr>
                      <w:rFonts w:hint="default" w:ascii="Times New Roman" w:hAnsi="Times New Roman" w:eastAsia="宋体" w:cs="Times New Roman"/>
                      <w:bCs/>
                      <w:color w:val="auto"/>
                      <w:kern w:val="2"/>
                      <w:sz w:val="21"/>
                      <w:szCs w:val="21"/>
                      <w:highlight w:val="none"/>
                      <w:vertAlign w:val="superscript"/>
                      <w:lang w:val="en-US" w:eastAsia="zh-CN" w:bidi="ar"/>
                    </w:rPr>
                    <w:t>3</w:t>
                  </w:r>
                  <w:r>
                    <w:rPr>
                      <w:rFonts w:hint="default" w:ascii="Times New Roman" w:hAnsi="Times New Roman" w:eastAsia="宋体" w:cs="Times New Roman"/>
                      <w:bCs/>
                      <w:color w:val="auto"/>
                      <w:kern w:val="2"/>
                      <w:sz w:val="21"/>
                      <w:szCs w:val="21"/>
                      <w:highlight w:val="none"/>
                      <w:lang w:val="en-US" w:eastAsia="zh-CN" w:bidi="ar"/>
                    </w:rPr>
                    <w:t>（基准氧含量：3.5%）（因工艺需要掺入空气供后续干燥、烘干的干燥炉以及非密闭式生产的加热炉、热处理炉、干燥炉按实测浓度计）</w:t>
                  </w:r>
                </w:p>
              </w:tc>
              <w:tc>
                <w:tcPr>
                  <w:tcW w:w="2100" w:type="pct"/>
                  <w:noWrap w:val="0"/>
                  <w:vAlign w:val="center"/>
                </w:tcPr>
                <w:p w14:paraId="2431418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项目加热炉采用电能，无</w:t>
                  </w:r>
                  <w:r>
                    <w:rPr>
                      <w:rFonts w:hint="default" w:ascii="Times New Roman" w:hAnsi="Times New Roman" w:eastAsia="宋体" w:cs="Times New Roman"/>
                      <w:bCs/>
                      <w:color w:val="auto"/>
                      <w:kern w:val="2"/>
                      <w:sz w:val="21"/>
                      <w:szCs w:val="21"/>
                      <w:highlight w:val="none"/>
                      <w:lang w:val="en-US" w:eastAsia="zh-CN" w:bidi="ar"/>
                    </w:rPr>
                    <w:t>PM、SO</w:t>
                  </w:r>
                  <w:r>
                    <w:rPr>
                      <w:rFonts w:hint="default" w:ascii="Times New Roman" w:hAnsi="Times New Roman" w:eastAsia="宋体" w:cs="Times New Roman"/>
                      <w:bCs/>
                      <w:color w:val="auto"/>
                      <w:kern w:val="2"/>
                      <w:sz w:val="21"/>
                      <w:szCs w:val="21"/>
                      <w:highlight w:val="none"/>
                      <w:vertAlign w:val="subscript"/>
                      <w:lang w:val="en-US" w:eastAsia="zh-CN" w:bidi="ar"/>
                    </w:rPr>
                    <w:t>2</w:t>
                  </w:r>
                  <w:r>
                    <w:rPr>
                      <w:rFonts w:hint="default" w:ascii="Times New Roman" w:hAnsi="Times New Roman" w:eastAsia="宋体" w:cs="Times New Roman"/>
                      <w:bCs/>
                      <w:color w:val="auto"/>
                      <w:kern w:val="2"/>
                      <w:sz w:val="21"/>
                      <w:szCs w:val="21"/>
                      <w:highlight w:val="none"/>
                      <w:lang w:val="en-US" w:eastAsia="zh-CN" w:bidi="ar"/>
                    </w:rPr>
                    <w:t>、NOx排放</w:t>
                  </w:r>
                </w:p>
              </w:tc>
            </w:tr>
            <w:tr w14:paraId="0B1F6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noWrap w:val="0"/>
                  <w:vAlign w:val="center"/>
                </w:tcPr>
                <w:p w14:paraId="1837301D">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szCs w:val="21"/>
                      <w:highlight w:val="none"/>
                      <w:lang w:bidi="ar"/>
                    </w:rPr>
                  </w:pPr>
                  <w:r>
                    <w:rPr>
                      <w:rFonts w:hint="default" w:ascii="Times New Roman" w:hAnsi="Times New Roman" w:eastAsia="宋体" w:cs="Times New Roman"/>
                      <w:bCs/>
                      <w:color w:val="auto"/>
                      <w:kern w:val="2"/>
                      <w:sz w:val="21"/>
                      <w:szCs w:val="21"/>
                      <w:highlight w:val="none"/>
                      <w:lang w:val="en-US" w:eastAsia="zh-CN" w:bidi="ar"/>
                    </w:rPr>
                    <w:t>无组织管控</w:t>
                  </w:r>
                </w:p>
              </w:tc>
              <w:tc>
                <w:tcPr>
                  <w:tcW w:w="2335" w:type="pct"/>
                  <w:gridSpan w:val="2"/>
                  <w:noWrap w:val="0"/>
                  <w:vAlign w:val="center"/>
                </w:tcPr>
                <w:p w14:paraId="42E0BC50">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一）物料储存1.原辅材料分区有序摆放；2.车间、料库四面封闭，通道口安装卷帘门、推拉门等封闭性良好且便于开关的硬质门；3.含挥发性有机物物料以及废料（渣、液）应储存在密闭容器，并存放在封闭储存室内；4.车间环境整洁，地面、墙面及设备顶部无积尘，车间无可见烟尘逸散；（二）物料转移与输送5.转移和输送VOCs物料以及VOCs 废料（渣、液）时，应采用密闭管道或密闭容器；6.除尘器卸灰口应采取密闭措施，除尘灰不得直接卸落到地面；除尘灰采取袋装、罐装等密闭措施收集、存放和运输（三）工艺过程7.补漆工序固定工位并配备废气收集设施；8.金属表面处理及热处理工序应在密闭车间内进行，或在封闭车间内采取二次封闭措施，并对工序产生的酸雾、油雾及 VOCs 废气进行密闭收集处理。采用外部罩的，距集气罩开口面最远处的废气无组织排放位置，风速应不低于0.3米/秒；9.厂区地面全部绿化或硬化，无成片裸露土地。车间规范平整，无物料洒落和“跑、冒、滴、漏”现象</w:t>
                  </w:r>
                </w:p>
              </w:tc>
              <w:tc>
                <w:tcPr>
                  <w:tcW w:w="2100" w:type="pct"/>
                  <w:noWrap w:val="0"/>
                  <w:vAlign w:val="center"/>
                </w:tcPr>
                <w:p w14:paraId="24891BF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项目原辅材料在1#车间内东侧分区暂存</w:t>
                  </w:r>
                  <w:r>
                    <w:rPr>
                      <w:rFonts w:hint="default" w:ascii="Times New Roman" w:hAnsi="Times New Roman" w:cs="Times New Roman"/>
                      <w:color w:val="auto"/>
                      <w:szCs w:val="21"/>
                      <w:highlight w:val="none"/>
                      <w:lang w:val="en-US" w:eastAsia="zh-CN"/>
                    </w:rPr>
                    <w:t>；车间四面封闭，通道口安装推拉门；项目不涉及含挥发性有机物物料及废料产生；要求车间地面、墙面及设备</w:t>
                  </w:r>
                  <w:r>
                    <w:rPr>
                      <w:rFonts w:hint="eastAsia" w:cs="Times New Roman"/>
                      <w:color w:val="auto"/>
                      <w:szCs w:val="21"/>
                      <w:highlight w:val="none"/>
                      <w:lang w:val="en-US" w:eastAsia="zh-CN"/>
                    </w:rPr>
                    <w:t>顶部无积尘</w:t>
                  </w:r>
                  <w:r>
                    <w:rPr>
                      <w:rFonts w:hint="default" w:ascii="Times New Roman" w:hAnsi="Times New Roman" w:cs="Times New Roman"/>
                      <w:color w:val="auto"/>
                      <w:szCs w:val="21"/>
                      <w:highlight w:val="none"/>
                      <w:lang w:val="en-US" w:eastAsia="zh-CN"/>
                    </w:rPr>
                    <w:t>，不涉及挥发性有机物</w:t>
                  </w:r>
                  <w:r>
                    <w:rPr>
                      <w:rFonts w:hint="eastAsia" w:cs="Times New Roman"/>
                      <w:color w:val="auto"/>
                      <w:szCs w:val="21"/>
                      <w:highlight w:val="none"/>
                      <w:lang w:val="en-US" w:eastAsia="zh-CN"/>
                    </w:rPr>
                    <w:t>；项目除尘器卸灰口采取密闭措施，清灰时利用包装袋收集除尘灰</w:t>
                  </w:r>
                  <w:r>
                    <w:rPr>
                      <w:rFonts w:hint="default" w:ascii="Times New Roman" w:hAnsi="Times New Roman" w:cs="Times New Roman"/>
                      <w:color w:val="auto"/>
                      <w:szCs w:val="21"/>
                      <w:highlight w:val="none"/>
                      <w:lang w:val="en-US" w:eastAsia="zh-CN"/>
                    </w:rPr>
                    <w:t>；项目不涉及补漆；热处理工序在密闭设备及密闭车间内，</w:t>
                  </w:r>
                  <w:r>
                    <w:rPr>
                      <w:rFonts w:hint="eastAsia" w:cs="Times New Roman"/>
                      <w:color w:val="auto"/>
                      <w:szCs w:val="21"/>
                      <w:highlight w:val="none"/>
                      <w:lang w:val="en-US" w:eastAsia="zh-CN"/>
                    </w:rPr>
                    <w:t>项目加热炉、回火炉采用电能，无废气产生</w:t>
                  </w:r>
                  <w:r>
                    <w:rPr>
                      <w:rFonts w:hint="default" w:ascii="Times New Roman" w:hAnsi="Times New Roman" w:cs="Times New Roman"/>
                      <w:color w:val="auto"/>
                      <w:szCs w:val="21"/>
                      <w:highlight w:val="none"/>
                      <w:lang w:val="en-US" w:eastAsia="zh-CN"/>
                    </w:rPr>
                    <w:t>；</w:t>
                  </w:r>
                  <w:r>
                    <w:rPr>
                      <w:rFonts w:hint="default" w:ascii="Times New Roman" w:hAnsi="Times New Roman" w:eastAsia="宋体" w:cs="Times New Roman"/>
                      <w:bCs/>
                      <w:color w:val="auto"/>
                      <w:kern w:val="2"/>
                      <w:sz w:val="21"/>
                      <w:szCs w:val="21"/>
                      <w:highlight w:val="none"/>
                      <w:lang w:val="en-US" w:eastAsia="zh-CN" w:bidi="ar"/>
                    </w:rPr>
                    <w:t>厂区地面全部硬化，无成片裸露土地。</w:t>
                  </w:r>
                </w:p>
              </w:tc>
            </w:tr>
            <w:tr w14:paraId="1005D6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noWrap w:val="0"/>
                  <w:vAlign w:val="center"/>
                </w:tcPr>
                <w:p w14:paraId="6B0E3A07">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bidi="ar"/>
                    </w:rPr>
                  </w:pPr>
                  <w:r>
                    <w:rPr>
                      <w:rFonts w:hint="default" w:ascii="Times New Roman" w:hAnsi="Times New Roman" w:eastAsia="宋体" w:cs="Times New Roman"/>
                      <w:bCs/>
                      <w:color w:val="auto"/>
                      <w:kern w:val="2"/>
                      <w:sz w:val="21"/>
                      <w:szCs w:val="21"/>
                      <w:highlight w:val="none"/>
                      <w:lang w:val="en-US" w:eastAsia="zh-CN" w:bidi="ar"/>
                    </w:rPr>
                    <w:t>监测监控水平</w:t>
                  </w:r>
                </w:p>
              </w:tc>
              <w:tc>
                <w:tcPr>
                  <w:tcW w:w="2335" w:type="pct"/>
                  <w:gridSpan w:val="2"/>
                  <w:noWrap w:val="0"/>
                  <w:vAlign w:val="center"/>
                </w:tcPr>
                <w:p w14:paraId="7845D924">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1.有组织排放口按照排污许可证要求开展自行监测；2.涉气生产工序、生产装置及污染治理设施按生态环境部门要求安装用电监管设备（分表计电），与生态环境部门用电监管平台联网。</w:t>
                  </w:r>
                </w:p>
              </w:tc>
              <w:tc>
                <w:tcPr>
                  <w:tcW w:w="2100" w:type="pct"/>
                  <w:noWrap w:val="0"/>
                  <w:vAlign w:val="center"/>
                </w:tcPr>
                <w:p w14:paraId="2A20695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Cs/>
                      <w:color w:val="auto"/>
                      <w:szCs w:val="21"/>
                      <w:highlight w:val="none"/>
                      <w:lang w:val="en-US" w:eastAsia="zh-CN"/>
                    </w:rPr>
                    <w:t>项目建设完成后，严格按照</w:t>
                  </w:r>
                  <w:r>
                    <w:rPr>
                      <w:rFonts w:hint="default" w:ascii="Times New Roman" w:hAnsi="Times New Roman" w:eastAsia="宋体" w:cs="Times New Roman"/>
                      <w:bCs/>
                      <w:color w:val="auto"/>
                      <w:sz w:val="21"/>
                      <w:szCs w:val="21"/>
                      <w:highlight w:val="none"/>
                      <w:lang w:val="zh-CN"/>
                    </w:rPr>
                    <w:t>排污许可证</w:t>
                  </w:r>
                  <w:r>
                    <w:rPr>
                      <w:rFonts w:hint="default" w:ascii="Times New Roman" w:hAnsi="Times New Roman" w:eastAsia="宋体" w:cs="Times New Roman"/>
                      <w:bCs/>
                      <w:color w:val="auto"/>
                      <w:sz w:val="21"/>
                      <w:szCs w:val="21"/>
                      <w:highlight w:val="none"/>
                      <w:lang w:val="en-US" w:eastAsia="zh-CN"/>
                    </w:rPr>
                    <w:t>进行自行监测，并进行台账记录，并对数据进行保存</w:t>
                  </w:r>
                </w:p>
              </w:tc>
            </w:tr>
            <w:tr w14:paraId="74DEB8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vMerge w:val="restart"/>
                  <w:noWrap w:val="0"/>
                  <w:vAlign w:val="center"/>
                </w:tcPr>
                <w:p w14:paraId="519B6EDC">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环境管理水平</w:t>
                  </w:r>
                </w:p>
              </w:tc>
              <w:tc>
                <w:tcPr>
                  <w:tcW w:w="580" w:type="pct"/>
                  <w:noWrap w:val="0"/>
                  <w:vAlign w:val="center"/>
                </w:tcPr>
                <w:p w14:paraId="4023D928">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szCs w:val="21"/>
                      <w:highlight w:val="none"/>
                      <w:lang w:bidi="ar"/>
                    </w:rPr>
                    <w:t>环保档案</w:t>
                  </w:r>
                </w:p>
              </w:tc>
              <w:tc>
                <w:tcPr>
                  <w:tcW w:w="1755" w:type="pct"/>
                  <w:noWrap w:val="0"/>
                  <w:vAlign w:val="center"/>
                </w:tcPr>
                <w:p w14:paraId="5234A121">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1.环评批复文件和竣工环保验收文件或环境现状评估备案证明；2.国家版排污许可证及季度、年度执行报告；3.环境管理制度（有组织、无组织排放长效管理机制，主要包括岗位责任制度、达标公示制度和定期巡查维护制度等）；4.废气治理设施运行管理规程；5.一年内废气监测报告（符合排污许可证监测项目及频次要求）。</w:t>
                  </w:r>
                </w:p>
              </w:tc>
              <w:tc>
                <w:tcPr>
                  <w:tcW w:w="2100" w:type="pct"/>
                  <w:vMerge w:val="restart"/>
                  <w:noWrap w:val="0"/>
                  <w:vAlign w:val="center"/>
                </w:tcPr>
                <w:p w14:paraId="2FA50A4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Cs w:val="0"/>
                      <w:color w:val="auto"/>
                      <w:szCs w:val="21"/>
                      <w:highlight w:val="none"/>
                    </w:rPr>
                    <w:t>项目要求建设完成后进行申领排污许可证，进行</w:t>
                  </w:r>
                  <w:r>
                    <w:rPr>
                      <w:rFonts w:hint="default" w:ascii="Times New Roman" w:hAnsi="Times New Roman" w:eastAsia="宋体" w:cs="Times New Roman"/>
                      <w:color w:val="auto"/>
                      <w:szCs w:val="21"/>
                      <w:highlight w:val="none"/>
                    </w:rPr>
                    <w:t>竣工环保验收，并根据</w:t>
                  </w:r>
                  <w:r>
                    <w:rPr>
                      <w:rFonts w:hint="default" w:ascii="Times New Roman" w:hAnsi="Times New Roman" w:eastAsia="宋体" w:cs="Times New Roman"/>
                      <w:bCs w:val="0"/>
                      <w:color w:val="auto"/>
                      <w:szCs w:val="21"/>
                      <w:highlight w:val="none"/>
                    </w:rPr>
                    <w:t>要求制定</w:t>
                  </w:r>
                  <w:r>
                    <w:rPr>
                      <w:rFonts w:hint="default" w:ascii="Times New Roman" w:hAnsi="Times New Roman" w:eastAsia="宋体" w:cs="Times New Roman"/>
                      <w:color w:val="auto"/>
                      <w:szCs w:val="21"/>
                      <w:highlight w:val="none"/>
                    </w:rPr>
                    <w:t>环境管理制度、生产设施运行管理规程</w:t>
                  </w:r>
                  <w:r>
                    <w:rPr>
                      <w:rFonts w:hint="default" w:ascii="Times New Roman" w:hAnsi="Times New Roman" w:eastAsia="宋体" w:cs="Times New Roman"/>
                      <w:color w:val="auto"/>
                      <w:szCs w:val="21"/>
                      <w:highlight w:val="none"/>
                      <w:lang w:eastAsia="zh-CN"/>
                    </w:rPr>
                    <w:t>、</w:t>
                  </w:r>
                  <w:r>
                    <w:rPr>
                      <w:rFonts w:hint="default" w:ascii="Times New Roman" w:hAnsi="Times New Roman" w:eastAsia="宋体" w:cs="Times New Roman"/>
                      <w:color w:val="auto"/>
                      <w:szCs w:val="21"/>
                      <w:highlight w:val="none"/>
                    </w:rPr>
                    <w:t>废气污染治理设施运行管理规程、台账制度等，厂内配备具备相应的环境管理能力的专职环保人员，按要求进行污染源自行检测，并做好</w:t>
                  </w:r>
                  <w:r>
                    <w:rPr>
                      <w:rFonts w:hint="default" w:ascii="Times New Roman" w:hAnsi="Times New Roman" w:eastAsia="宋体" w:cs="Times New Roman"/>
                      <w:color w:val="auto"/>
                      <w:szCs w:val="21"/>
                      <w:highlight w:val="none"/>
                      <w:lang w:val="en-US" w:eastAsia="zh-CN"/>
                    </w:rPr>
                    <w:t>台账</w:t>
                  </w:r>
                  <w:r>
                    <w:rPr>
                      <w:rFonts w:hint="default" w:ascii="Times New Roman" w:hAnsi="Times New Roman" w:eastAsia="宋体" w:cs="Times New Roman"/>
                      <w:color w:val="auto"/>
                      <w:szCs w:val="21"/>
                      <w:highlight w:val="none"/>
                    </w:rPr>
                    <w:t>记录。</w:t>
                  </w:r>
                </w:p>
              </w:tc>
            </w:tr>
            <w:tr w14:paraId="275E0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96" w:hRule="atLeast"/>
                <w:jc w:val="center"/>
              </w:trPr>
              <w:tc>
                <w:tcPr>
                  <w:tcW w:w="564" w:type="pct"/>
                  <w:vMerge w:val="continue"/>
                  <w:noWrap w:val="0"/>
                  <w:vAlign w:val="center"/>
                </w:tcPr>
                <w:p w14:paraId="65AAE473">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p>
              </w:tc>
              <w:tc>
                <w:tcPr>
                  <w:tcW w:w="580" w:type="pct"/>
                  <w:noWrap w:val="0"/>
                  <w:vAlign w:val="center"/>
                </w:tcPr>
                <w:p w14:paraId="2C91B1A4">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szCs w:val="21"/>
                      <w:highlight w:val="none"/>
                      <w:lang w:bidi="ar"/>
                    </w:rPr>
                    <w:t>台账记录</w:t>
                  </w:r>
                </w:p>
              </w:tc>
              <w:tc>
                <w:tcPr>
                  <w:tcW w:w="1755" w:type="pct"/>
                  <w:noWrap w:val="0"/>
                  <w:vAlign w:val="center"/>
                </w:tcPr>
                <w:p w14:paraId="775FB910">
                  <w:pPr>
                    <w:keepNext w:val="0"/>
                    <w:keepLines w:val="0"/>
                    <w:widowControl/>
                    <w:suppressLineNumbers w:val="0"/>
                    <w:adjustRightInd w:val="0"/>
                    <w:snapToGrid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1.生产设施运行管理信息（生产时间、运行负荷、产品产量等）；2.废气污染治理设施运行管理信息；3.监测记录信息（主要污染排放口废气排放记录等）4.主要原辅材料消耗记录；5.燃料消耗记录；以上记录至少需保存一年。</w:t>
                  </w:r>
                </w:p>
              </w:tc>
              <w:tc>
                <w:tcPr>
                  <w:tcW w:w="2100" w:type="pct"/>
                  <w:vMerge w:val="continue"/>
                  <w:noWrap w:val="0"/>
                  <w:vAlign w:val="center"/>
                </w:tcPr>
                <w:p w14:paraId="38EE74B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p>
              </w:tc>
            </w:tr>
            <w:tr w14:paraId="002B5D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vMerge w:val="continue"/>
                  <w:noWrap w:val="0"/>
                  <w:vAlign w:val="center"/>
                </w:tcPr>
                <w:p w14:paraId="3BC88669">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color w:val="auto"/>
                      <w:kern w:val="0"/>
                      <w:sz w:val="20"/>
                      <w:szCs w:val="20"/>
                      <w:highlight w:val="none"/>
                      <w:lang w:val="en-US" w:eastAsia="zh-CN" w:bidi="ar"/>
                    </w:rPr>
                  </w:pPr>
                </w:p>
              </w:tc>
              <w:tc>
                <w:tcPr>
                  <w:tcW w:w="580" w:type="pct"/>
                  <w:noWrap w:val="0"/>
                  <w:vAlign w:val="center"/>
                </w:tcPr>
                <w:p w14:paraId="0435A5FE">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szCs w:val="21"/>
                      <w:highlight w:val="none"/>
                      <w:lang w:bidi="ar"/>
                    </w:rPr>
                    <w:t>人员配置</w:t>
                  </w:r>
                </w:p>
              </w:tc>
              <w:tc>
                <w:tcPr>
                  <w:tcW w:w="1755" w:type="pct"/>
                  <w:noWrap w:val="0"/>
                  <w:vAlign w:val="center"/>
                </w:tcPr>
                <w:p w14:paraId="240FBF0F">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配备专职环保人员，并具备相应的环境管理能力</w:t>
                  </w:r>
                </w:p>
              </w:tc>
              <w:tc>
                <w:tcPr>
                  <w:tcW w:w="2100" w:type="pct"/>
                  <w:vMerge w:val="continue"/>
                  <w:noWrap w:val="0"/>
                  <w:vAlign w:val="center"/>
                </w:tcPr>
                <w:p w14:paraId="2610CC3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p>
              </w:tc>
            </w:tr>
            <w:tr w14:paraId="1069BF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noWrap w:val="0"/>
                  <w:vAlign w:val="center"/>
                </w:tcPr>
                <w:p w14:paraId="46D0C4EC">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运输方式</w:t>
                  </w:r>
                </w:p>
              </w:tc>
              <w:tc>
                <w:tcPr>
                  <w:tcW w:w="2335" w:type="pct"/>
                  <w:gridSpan w:val="2"/>
                  <w:noWrap w:val="0"/>
                  <w:vAlign w:val="center"/>
                </w:tcPr>
                <w:p w14:paraId="44718FEE">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1.物料、产品公路运输采用国五及以上排放阶段的重型载货车辆（含燃气）或新能源汽车比例不低于80%，其余使用符合国四排放阶段的载货车辆。2.厂内运输车辆使用国五及以上排放阶段或新能源车辆比例不低于80%，其余达到国四排放标准运输车辆。3.厂内非道路移动机械使用国三及以上排放阶段或新能源机械比例不低于 80%，其余达到国二排放标准</w:t>
                  </w:r>
                </w:p>
              </w:tc>
              <w:tc>
                <w:tcPr>
                  <w:tcW w:w="2100" w:type="pct"/>
                  <w:noWrap w:val="0"/>
                  <w:vAlign w:val="center"/>
                </w:tcPr>
                <w:p w14:paraId="2AC77CA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bCs w:val="0"/>
                      <w:color w:val="auto"/>
                      <w:szCs w:val="21"/>
                      <w:highlight w:val="none"/>
                    </w:rPr>
                    <w:t>项目要求建设完成后</w:t>
                  </w:r>
                  <w:r>
                    <w:rPr>
                      <w:rFonts w:hint="default" w:ascii="Times New Roman" w:hAnsi="Times New Roman" w:eastAsia="宋体" w:cs="Times New Roman"/>
                      <w:color w:val="auto"/>
                      <w:szCs w:val="21"/>
                      <w:highlight w:val="none"/>
                    </w:rPr>
                    <w:t>物料、产品全部使用符合要求运输车辆及运输方式</w:t>
                  </w:r>
                </w:p>
              </w:tc>
            </w:tr>
            <w:tr w14:paraId="28A0B0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4" w:type="pct"/>
                  <w:noWrap w:val="0"/>
                  <w:vAlign w:val="center"/>
                </w:tcPr>
                <w:p w14:paraId="0F6267A9">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bidi="ar"/>
                    </w:rPr>
                  </w:pPr>
                  <w:r>
                    <w:rPr>
                      <w:rFonts w:hint="default" w:ascii="Times New Roman" w:hAnsi="Times New Roman" w:eastAsia="宋体" w:cs="Times New Roman"/>
                      <w:bCs/>
                      <w:color w:val="auto"/>
                      <w:kern w:val="2"/>
                      <w:sz w:val="21"/>
                      <w:szCs w:val="21"/>
                      <w:highlight w:val="none"/>
                      <w:lang w:val="en-US" w:eastAsia="zh-CN" w:bidi="ar"/>
                    </w:rPr>
                    <w:t>运输监管</w:t>
                  </w:r>
                </w:p>
              </w:tc>
              <w:tc>
                <w:tcPr>
                  <w:tcW w:w="2335" w:type="pct"/>
                  <w:gridSpan w:val="2"/>
                  <w:noWrap w:val="0"/>
                  <w:vAlign w:val="center"/>
                </w:tcPr>
                <w:p w14:paraId="747260DD">
                  <w:pPr>
                    <w:keepNext w:val="0"/>
                    <w:keepLines w:val="0"/>
                    <w:widowControl/>
                    <w:suppressLineNumbers w:val="0"/>
                    <w:spacing w:before="0" w:beforeAutospacing="0" w:after="0" w:afterAutospacing="0"/>
                    <w:ind w:left="0" w:right="0"/>
                    <w:jc w:val="center"/>
                    <w:textAlignment w:val="auto"/>
                    <w:rPr>
                      <w:rFonts w:hint="default" w:ascii="Times New Roman" w:hAnsi="Times New Roman" w:eastAsia="宋体" w:cs="Times New Roman"/>
                      <w:bCs/>
                      <w:color w:val="auto"/>
                      <w:kern w:val="2"/>
                      <w:sz w:val="21"/>
                      <w:szCs w:val="21"/>
                      <w:highlight w:val="none"/>
                      <w:lang w:val="en-US" w:eastAsia="zh-CN" w:bidi="ar"/>
                    </w:rPr>
                  </w:pPr>
                  <w:r>
                    <w:rPr>
                      <w:rFonts w:hint="default" w:ascii="Times New Roman" w:hAnsi="Times New Roman" w:eastAsia="宋体" w:cs="Times New Roman"/>
                      <w:bCs/>
                      <w:color w:val="auto"/>
                      <w:kern w:val="2"/>
                      <w:sz w:val="21"/>
                      <w:szCs w:val="21"/>
                      <w:highlight w:val="none"/>
                      <w:lang w:val="en-US" w:eastAsia="zh-CN" w:bidi="ar"/>
                    </w:rPr>
                    <w:t>参照《重污染天气重点行业移动源应急管理技术指南》建立门禁视频监控系统和电子台账</w:t>
                  </w:r>
                </w:p>
              </w:tc>
              <w:tc>
                <w:tcPr>
                  <w:tcW w:w="2100" w:type="pct"/>
                  <w:noWrap w:val="0"/>
                  <w:vAlign w:val="center"/>
                </w:tcPr>
                <w:p w14:paraId="05E7B3F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Cs w:val="21"/>
                      <w:highlight w:val="none"/>
                    </w:rPr>
                  </w:pPr>
                  <w:r>
                    <w:rPr>
                      <w:rFonts w:hint="default" w:ascii="Times New Roman" w:hAnsi="Times New Roman" w:cs="Times New Roman"/>
                      <w:bCs/>
                      <w:color w:val="auto"/>
                      <w:szCs w:val="21"/>
                      <w:highlight w:val="none"/>
                    </w:rPr>
                    <w:t>项目要求建设完成后按照相关要求</w:t>
                  </w:r>
                  <w:r>
                    <w:rPr>
                      <w:rFonts w:hint="default" w:ascii="Times New Roman" w:hAnsi="Times New Roman" w:cs="Times New Roman"/>
                      <w:color w:val="auto"/>
                      <w:szCs w:val="21"/>
                      <w:highlight w:val="none"/>
                    </w:rPr>
                    <w:t>建立门禁视频监控系统和电子台账</w:t>
                  </w:r>
                </w:p>
              </w:tc>
            </w:tr>
          </w:tbl>
          <w:p w14:paraId="7BF3819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本项目符合《河北省十一个行业重污染天气应急减排措施制定技术指南（试行）》（冀气领办〔2019〕92号文）中金属表面处理及热加工</w:t>
            </w:r>
            <w:r>
              <w:rPr>
                <w:rFonts w:hint="default" w:ascii="Times New Roman" w:hAnsi="Times New Roman" w:cs="Times New Roman"/>
                <w:smallCaps w:val="0"/>
                <w:color w:val="auto"/>
                <w:spacing w:val="0"/>
                <w:highlight w:val="none"/>
                <w:lang w:val="en-US" w:eastAsia="zh-CN"/>
              </w:rPr>
              <w:t>要求。</w:t>
            </w:r>
          </w:p>
          <w:p w14:paraId="5C462465">
            <w:pPr>
              <w:pStyle w:val="172"/>
              <w:keepNext w:val="0"/>
              <w:keepLines w:val="0"/>
              <w:suppressLineNumbers w:val="0"/>
              <w:spacing w:before="0" w:beforeAutospacing="0" w:after="0" w:afterAutospacing="0"/>
              <w:ind w:left="0" w:right="0" w:firstLine="480"/>
              <w:rPr>
                <w:rFonts w:hint="eastAsia"/>
                <w:smallCaps w:val="0"/>
                <w:color w:val="auto"/>
                <w:spacing w:val="0"/>
                <w:sz w:val="24"/>
                <w:szCs w:val="20"/>
                <w:highlight w:val="none"/>
                <w:lang w:val="en-US" w:eastAsia="zh-CN"/>
              </w:rPr>
            </w:pPr>
          </w:p>
          <w:p w14:paraId="42FB33C0">
            <w:pPr>
              <w:pStyle w:val="172"/>
              <w:keepNext w:val="0"/>
              <w:keepLines w:val="0"/>
              <w:suppressLineNumbers w:val="0"/>
              <w:spacing w:before="0" w:beforeAutospacing="0" w:after="0" w:afterAutospacing="0"/>
              <w:ind w:left="0" w:right="0" w:firstLine="480"/>
              <w:rPr>
                <w:rFonts w:hint="eastAsia"/>
                <w:smallCaps w:val="0"/>
                <w:color w:val="auto"/>
                <w:spacing w:val="0"/>
                <w:sz w:val="24"/>
                <w:szCs w:val="20"/>
                <w:highlight w:val="none"/>
                <w:lang w:val="en-US" w:eastAsia="zh-CN"/>
              </w:rPr>
            </w:pPr>
          </w:p>
          <w:p w14:paraId="25387D3C">
            <w:pPr>
              <w:pStyle w:val="172"/>
              <w:keepNext w:val="0"/>
              <w:keepLines w:val="0"/>
              <w:suppressLineNumbers w:val="0"/>
              <w:spacing w:before="0" w:beforeAutospacing="0" w:after="0" w:afterAutospacing="0"/>
              <w:ind w:left="0" w:right="0" w:firstLine="480"/>
              <w:rPr>
                <w:rFonts w:hint="eastAsia"/>
                <w:smallCaps w:val="0"/>
                <w:color w:val="auto"/>
                <w:spacing w:val="0"/>
                <w:sz w:val="24"/>
                <w:szCs w:val="20"/>
                <w:highlight w:val="none"/>
                <w:lang w:val="en-US" w:eastAsia="zh-CN"/>
              </w:rPr>
            </w:pPr>
          </w:p>
          <w:p w14:paraId="4415608F">
            <w:pPr>
              <w:pStyle w:val="172"/>
              <w:keepNext w:val="0"/>
              <w:keepLines w:val="0"/>
              <w:suppressLineNumbers w:val="0"/>
              <w:spacing w:before="0" w:beforeAutospacing="0" w:after="0" w:afterAutospacing="0"/>
              <w:ind w:left="0" w:right="0" w:firstLine="480"/>
              <w:rPr>
                <w:rFonts w:hint="eastAsia"/>
                <w:smallCaps w:val="0"/>
                <w:color w:val="auto"/>
                <w:spacing w:val="0"/>
                <w:sz w:val="24"/>
                <w:szCs w:val="20"/>
                <w:highlight w:val="none"/>
                <w:lang w:val="en-US" w:eastAsia="zh-CN"/>
              </w:rPr>
            </w:pPr>
            <w:r>
              <w:rPr>
                <w:rFonts w:hint="eastAsia"/>
                <w:smallCaps w:val="0"/>
                <w:color w:val="auto"/>
                <w:spacing w:val="0"/>
                <w:sz w:val="24"/>
                <w:szCs w:val="20"/>
                <w:highlight w:val="none"/>
                <w:lang w:val="en-US" w:eastAsia="zh-CN"/>
              </w:rPr>
              <w:t xml:space="preserve"> </w:t>
            </w:r>
          </w:p>
          <w:p w14:paraId="16155C04">
            <w:pPr>
              <w:pStyle w:val="172"/>
              <w:keepNext w:val="0"/>
              <w:keepLines w:val="0"/>
              <w:suppressLineNumbers w:val="0"/>
              <w:spacing w:before="0" w:beforeAutospacing="0" w:after="0" w:afterAutospacing="0"/>
              <w:ind w:left="0" w:right="0" w:firstLine="480"/>
              <w:rPr>
                <w:rFonts w:hint="eastAsia"/>
                <w:smallCaps w:val="0"/>
                <w:color w:val="auto"/>
                <w:spacing w:val="0"/>
                <w:sz w:val="24"/>
                <w:szCs w:val="20"/>
                <w:highlight w:val="none"/>
                <w:lang w:val="en-US" w:eastAsia="zh-CN"/>
              </w:rPr>
            </w:pPr>
          </w:p>
          <w:p w14:paraId="66894F99">
            <w:pPr>
              <w:pStyle w:val="172"/>
              <w:keepNext w:val="0"/>
              <w:keepLines w:val="0"/>
              <w:suppressLineNumbers w:val="0"/>
              <w:spacing w:before="0" w:beforeAutospacing="0" w:after="0" w:afterAutospacing="0"/>
              <w:ind w:left="0" w:right="0" w:firstLine="480"/>
              <w:rPr>
                <w:rFonts w:hint="eastAsia"/>
                <w:smallCaps w:val="0"/>
                <w:color w:val="auto"/>
                <w:spacing w:val="0"/>
                <w:sz w:val="24"/>
                <w:szCs w:val="20"/>
                <w:highlight w:val="none"/>
                <w:lang w:val="en-US" w:eastAsia="zh-CN"/>
              </w:rPr>
            </w:pPr>
          </w:p>
          <w:p w14:paraId="6CA45D30">
            <w:pPr>
              <w:pStyle w:val="172"/>
              <w:keepNext w:val="0"/>
              <w:keepLines w:val="0"/>
              <w:suppressLineNumbers w:val="0"/>
              <w:spacing w:before="0" w:beforeAutospacing="0" w:after="0" w:afterAutospacing="0"/>
              <w:ind w:left="0" w:right="0" w:firstLine="480"/>
              <w:rPr>
                <w:rFonts w:hint="eastAsia"/>
                <w:smallCaps w:val="0"/>
                <w:color w:val="auto"/>
                <w:spacing w:val="0"/>
                <w:sz w:val="24"/>
                <w:szCs w:val="20"/>
                <w:highlight w:val="none"/>
                <w:lang w:val="en-US" w:eastAsia="zh-CN"/>
              </w:rPr>
            </w:pPr>
          </w:p>
          <w:p w14:paraId="496B0775">
            <w:pPr>
              <w:pStyle w:val="172"/>
              <w:keepNext w:val="0"/>
              <w:keepLines w:val="0"/>
              <w:suppressLineNumbers w:val="0"/>
              <w:spacing w:before="0" w:beforeAutospacing="0" w:after="0" w:afterAutospacing="0"/>
              <w:ind w:left="0" w:right="0" w:firstLine="480"/>
              <w:rPr>
                <w:rFonts w:hint="eastAsia"/>
                <w:smallCaps w:val="0"/>
                <w:color w:val="auto"/>
                <w:spacing w:val="0"/>
                <w:sz w:val="24"/>
                <w:szCs w:val="20"/>
                <w:highlight w:val="none"/>
                <w:lang w:val="en-US" w:eastAsia="zh-CN"/>
              </w:rPr>
            </w:pPr>
          </w:p>
          <w:p w14:paraId="55840B08">
            <w:pPr>
              <w:pStyle w:val="172"/>
              <w:keepNext w:val="0"/>
              <w:keepLines w:val="0"/>
              <w:suppressLineNumbers w:val="0"/>
              <w:spacing w:before="0" w:beforeAutospacing="0" w:after="0" w:afterAutospacing="0"/>
              <w:ind w:left="0" w:right="0" w:firstLine="480"/>
              <w:rPr>
                <w:rFonts w:hint="eastAsia"/>
                <w:smallCaps w:val="0"/>
                <w:color w:val="auto"/>
                <w:spacing w:val="0"/>
                <w:sz w:val="24"/>
                <w:szCs w:val="20"/>
                <w:highlight w:val="none"/>
                <w:lang w:val="en-US" w:eastAsia="zh-CN"/>
              </w:rPr>
            </w:pPr>
          </w:p>
          <w:p w14:paraId="7B6A156B">
            <w:pPr>
              <w:pStyle w:val="172"/>
              <w:keepNext w:val="0"/>
              <w:keepLines w:val="0"/>
              <w:suppressLineNumbers w:val="0"/>
              <w:spacing w:before="0" w:beforeAutospacing="0" w:after="0" w:afterAutospacing="0"/>
              <w:ind w:left="0" w:right="0" w:firstLine="480"/>
              <w:rPr>
                <w:rFonts w:hint="eastAsia"/>
                <w:smallCaps w:val="0"/>
                <w:color w:val="auto"/>
                <w:spacing w:val="0"/>
                <w:sz w:val="24"/>
                <w:szCs w:val="20"/>
                <w:highlight w:val="none"/>
                <w:lang w:val="en-US" w:eastAsia="zh-CN"/>
              </w:rPr>
            </w:pPr>
          </w:p>
          <w:p w14:paraId="518F475A">
            <w:pPr>
              <w:pStyle w:val="172"/>
              <w:keepNext w:val="0"/>
              <w:keepLines w:val="0"/>
              <w:suppressLineNumbers w:val="0"/>
              <w:spacing w:before="0" w:beforeAutospacing="0" w:after="0" w:afterAutospacing="0"/>
              <w:ind w:left="0" w:right="0" w:firstLine="480"/>
              <w:rPr>
                <w:rFonts w:hint="eastAsia"/>
                <w:smallCaps w:val="0"/>
                <w:color w:val="auto"/>
                <w:spacing w:val="0"/>
                <w:sz w:val="24"/>
                <w:szCs w:val="20"/>
                <w:highlight w:val="none"/>
                <w:lang w:val="en-US" w:eastAsia="zh-CN"/>
              </w:rPr>
            </w:pPr>
          </w:p>
          <w:p w14:paraId="3D6DE157">
            <w:pPr>
              <w:pStyle w:val="172"/>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smallCaps w:val="0"/>
                <w:color w:val="auto"/>
                <w:spacing w:val="0"/>
                <w:szCs w:val="20"/>
                <w:highlight w:val="none"/>
                <w:lang w:eastAsia="zh-CN"/>
              </w:rPr>
            </w:pPr>
          </w:p>
        </w:tc>
      </w:tr>
    </w:tbl>
    <w:p w14:paraId="4E4A077A">
      <w:pPr>
        <w:rPr>
          <w:rFonts w:hint="default" w:ascii="Times New Roman" w:hAnsi="Times New Roman" w:eastAsia="黑体" w:cs="Times New Roman"/>
          <w:smallCaps w:val="0"/>
          <w:color w:val="auto"/>
          <w:spacing w:val="0"/>
          <w:sz w:val="30"/>
          <w:highlight w:val="none"/>
        </w:rPr>
        <w:sectPr>
          <w:footerReference r:id="rId5" w:type="default"/>
          <w:pgSz w:w="11906" w:h="16838"/>
          <w:pgMar w:top="1701" w:right="1531" w:bottom="1701" w:left="1531" w:header="851" w:footer="1077" w:gutter="0"/>
          <w:pgNumType w:start="1"/>
          <w:cols w:space="720" w:num="1"/>
          <w:docGrid w:linePitch="312" w:charSpace="0"/>
        </w:sectPr>
      </w:pPr>
    </w:p>
    <w:p w14:paraId="76DEFA05">
      <w:pPr>
        <w:pStyle w:val="41"/>
        <w:keepNext/>
        <w:keepLines w:val="0"/>
        <w:pageBreakBefore w:val="0"/>
        <w:kinsoku/>
        <w:wordWrap/>
        <w:overflowPunct/>
        <w:bidi w:val="0"/>
        <w:spacing w:beforeAutospacing="0" w:afterAutospacing="0"/>
        <w:jc w:val="center"/>
        <w:outlineLvl w:val="0"/>
        <w:rPr>
          <w:rFonts w:hint="default" w:ascii="Times New Roman" w:hAnsi="Times New Roman" w:eastAsia="黑体" w:cs="Times New Roman"/>
          <w:smallCaps w:val="0"/>
          <w:snapToGrid w:val="0"/>
          <w:color w:val="auto"/>
          <w:spacing w:val="0"/>
          <w:sz w:val="30"/>
          <w:szCs w:val="30"/>
          <w:highlight w:val="none"/>
          <w:vertAlign w:val="baseline"/>
        </w:rPr>
      </w:pPr>
      <w:bookmarkStart w:id="7" w:name="_Toc27745"/>
      <w:r>
        <w:rPr>
          <w:rFonts w:hint="default" w:ascii="Times New Roman" w:hAnsi="Times New Roman" w:eastAsia="黑体" w:cs="Times New Roman"/>
          <w:smallCaps w:val="0"/>
          <w:snapToGrid w:val="0"/>
          <w:color w:val="auto"/>
          <w:spacing w:val="0"/>
          <w:sz w:val="30"/>
          <w:szCs w:val="30"/>
          <w:highlight w:val="none"/>
        </w:rPr>
        <w:t>二、建设项目工程分析</w:t>
      </w:r>
      <w:bookmarkEnd w:id="7"/>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1"/>
        <w:gridCol w:w="8109"/>
      </w:tblGrid>
      <w:tr w14:paraId="74D8D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1" w:type="dxa"/>
            <w:vAlign w:val="center"/>
          </w:tcPr>
          <w:p w14:paraId="2021E0B3">
            <w:pPr>
              <w:pStyle w:val="41"/>
              <w:keepNext/>
              <w:keepLines w:val="0"/>
              <w:pageBreakBefore w:val="0"/>
              <w:suppressLineNumbers w:val="0"/>
              <w:kinsoku/>
              <w:wordWrap/>
              <w:overflowPunct/>
              <w:bidi w:val="0"/>
              <w:adjustRightInd w:val="0"/>
              <w:snapToGrid w:val="0"/>
              <w:spacing w:before="0" w:beforeAutospacing="0" w:after="0" w:afterAutospacing="0"/>
              <w:ind w:left="0" w:leftChars="0" w:right="0" w:rightChars="0"/>
              <w:jc w:val="center"/>
              <w:rPr>
                <w:rFonts w:hint="default" w:ascii="Times New Roman" w:hAnsi="Times New Roman" w:eastAsia="黑体" w:cs="Times New Roman"/>
                <w:smallCaps w:val="0"/>
                <w:snapToGrid w:val="0"/>
                <w:color w:val="auto"/>
                <w:spacing w:val="0"/>
                <w:sz w:val="30"/>
                <w:szCs w:val="30"/>
                <w:highlight w:val="none"/>
                <w:vertAlign w:val="baseline"/>
              </w:rPr>
            </w:pPr>
            <w:r>
              <w:rPr>
                <w:rFonts w:hint="default" w:ascii="Times New Roman" w:hAnsi="Times New Roman" w:cs="Times New Roman"/>
                <w:smallCaps w:val="0"/>
                <w:color w:val="auto"/>
                <w:spacing w:val="0"/>
                <w:szCs w:val="21"/>
                <w:highlight w:val="none"/>
              </w:rPr>
              <w:t>建设内容</w:t>
            </w:r>
          </w:p>
        </w:tc>
        <w:tc>
          <w:tcPr>
            <w:tcW w:w="8109" w:type="dxa"/>
            <w:vAlign w:val="top"/>
          </w:tcPr>
          <w:p w14:paraId="0271ED60">
            <w:pPr>
              <w:pStyle w:val="172"/>
              <w:keepNext/>
              <w:keepLines w:val="0"/>
              <w:pageBreakBefore w:val="0"/>
              <w:suppressLineNumbers w:val="0"/>
              <w:kinsoku/>
              <w:wordWrap/>
              <w:overflowPunct/>
              <w:bidi w:val="0"/>
              <w:spacing w:before="0" w:beforeAutospacing="0" w:after="0" w:afterAutospacing="0"/>
              <w:ind w:left="0" w:right="0" w:firstLine="482"/>
              <w:rPr>
                <w:rFonts w:hint="default" w:ascii="Times New Roman" w:hAnsi="Times New Roman" w:eastAsia="宋体" w:cs="Times New Roman"/>
                <w:b/>
                <w:bCs/>
                <w:smallCaps w:val="0"/>
                <w:color w:val="auto"/>
                <w:spacing w:val="0"/>
                <w:highlight w:val="none"/>
                <w:lang w:val="en-US" w:eastAsia="zh-CN"/>
              </w:rPr>
            </w:pPr>
            <w:r>
              <w:rPr>
                <w:rFonts w:hint="eastAsia" w:cs="Times New Roman"/>
                <w:b/>
                <w:bCs/>
                <w:smallCaps w:val="0"/>
                <w:color w:val="auto"/>
                <w:spacing w:val="0"/>
                <w:highlight w:val="none"/>
                <w:lang w:val="en-US" w:eastAsia="zh-CN"/>
              </w:rPr>
              <w:t>项目背景和由来</w:t>
            </w:r>
          </w:p>
          <w:p w14:paraId="630EAAAC">
            <w:pPr>
              <w:pStyle w:val="172"/>
              <w:keepNext/>
              <w:keepLines w:val="0"/>
              <w:pageBreakBefore w:val="0"/>
              <w:suppressLineNumbers w:val="0"/>
              <w:kinsoku/>
              <w:wordWrap/>
              <w:overflowPunct/>
              <w:bidi w:val="0"/>
              <w:spacing w:before="0" w:beforeAutospacing="0" w:after="0" w:afterAutospacing="0"/>
              <w:ind w:left="0" w:right="0" w:firstLine="482"/>
              <w:rPr>
                <w:rFonts w:hint="eastAsia" w:cs="Times New Roman"/>
                <w:b w:val="0"/>
                <w:bCs w:val="0"/>
                <w:smallCaps w:val="0"/>
                <w:color w:val="auto"/>
                <w:spacing w:val="0"/>
                <w:highlight w:val="none"/>
                <w:lang w:val="en-US" w:eastAsia="zh-CN"/>
              </w:rPr>
            </w:pPr>
            <w:r>
              <w:rPr>
                <w:rFonts w:hint="eastAsia" w:cs="Times New Roman"/>
                <w:b w:val="0"/>
                <w:bCs w:val="0"/>
                <w:smallCaps w:val="0"/>
                <w:color w:val="auto"/>
                <w:spacing w:val="0"/>
                <w:highlight w:val="none"/>
                <w:lang w:val="en-US" w:eastAsia="zh-CN"/>
              </w:rPr>
              <w:t>结合市场需求，石家庄市荣驰精密机械制造有限公司拟投资10050.14万元在</w:t>
            </w:r>
            <w:r>
              <w:rPr>
                <w:rFonts w:hint="default" w:ascii="Times New Roman" w:hAnsi="Times New Roman" w:cs="Times New Roman"/>
                <w:smallCaps w:val="0"/>
                <w:color w:val="auto"/>
                <w:spacing w:val="0"/>
                <w:highlight w:val="none"/>
                <w:lang w:eastAsia="zh-CN"/>
              </w:rPr>
              <w:t>河北省石家庄市</w:t>
            </w:r>
            <w:r>
              <w:rPr>
                <w:rFonts w:hint="eastAsia" w:cs="Times New Roman"/>
                <w:smallCaps w:val="0"/>
                <w:color w:val="auto"/>
                <w:spacing w:val="0"/>
                <w:highlight w:val="none"/>
                <w:lang w:eastAsia="zh-CN"/>
              </w:rPr>
              <w:t>井陉矿区世纪大道以北，石钢路以西</w:t>
            </w:r>
            <w:r>
              <w:rPr>
                <w:rFonts w:hint="eastAsia" w:cs="Times New Roman"/>
                <w:b w:val="0"/>
                <w:bCs w:val="0"/>
                <w:smallCaps w:val="0"/>
                <w:color w:val="auto"/>
                <w:spacing w:val="0"/>
                <w:highlight w:val="none"/>
                <w:lang w:val="en-US" w:eastAsia="zh-CN"/>
              </w:rPr>
              <w:t>建设“零部件加工制造项目”项目建成后年产钻杆25万吨、车轴37万吨。根据《建设项目环境影响评价分类管理名录》（2021年版），项目属于“三十一、通用设备制造业34-69锅炉及原动设备制造341；金属加工机械制造 342；物料搬运设备制造 343；泵、阀门、压缩机及类似机械制造 344；轴承、齿轮和传动部件制造345；烘炉、风机、包装等设备制造 346；文化、办公用机械制造 347；通用零部件制造 348；其他通用设备制造业 349-其他（仅分割、焊接、组装的除外；年用非溶剂型低VOCs含量涂料10吨以下的除外）”、“三十、金属制品业33-67金属表面处理及热处理加工-其他（年用非溶剂型低VOCs含量涂料10吨以下的除外）”应编制环境影响报告表。石家庄市荣驰精密机械制造有限公司委托我公司承担该项目的环境影响报告表的编制工作，接受委托后，我单位立即开展了现场踏勘资料收集等工作，并按照《建设项目环境影响报告表编制技术指南 污染影响类（试行）》的规定编制完成了本项目环境影响报告表。</w:t>
            </w:r>
          </w:p>
          <w:p w14:paraId="3CFFFA9D">
            <w:pPr>
              <w:pStyle w:val="172"/>
              <w:keepNext/>
              <w:keepLines w:val="0"/>
              <w:pageBreakBefore w:val="0"/>
              <w:suppressLineNumbers w:val="0"/>
              <w:kinsoku/>
              <w:wordWrap/>
              <w:overflowPunct/>
              <w:bidi w:val="0"/>
              <w:spacing w:before="0" w:beforeAutospacing="0" w:after="0" w:afterAutospacing="0"/>
              <w:ind w:left="0" w:right="0" w:firstLine="482"/>
              <w:rPr>
                <w:rFonts w:hint="default" w:ascii="Times New Roman" w:hAnsi="Times New Roman" w:cs="Times New Roman"/>
                <w:b/>
                <w:bCs/>
                <w:smallCaps w:val="0"/>
                <w:color w:val="auto"/>
                <w:spacing w:val="0"/>
                <w:highlight w:val="none"/>
              </w:rPr>
            </w:pPr>
            <w:r>
              <w:rPr>
                <w:rFonts w:hint="default" w:ascii="Times New Roman" w:hAnsi="Times New Roman" w:cs="Times New Roman"/>
                <w:b/>
                <w:bCs/>
                <w:smallCaps w:val="0"/>
                <w:color w:val="auto"/>
                <w:spacing w:val="0"/>
                <w:highlight w:val="none"/>
              </w:rPr>
              <w:t>1、项目基本情况</w:t>
            </w:r>
          </w:p>
          <w:p w14:paraId="7B4C6DB2">
            <w:pPr>
              <w:pStyle w:val="172"/>
              <w:keepNext/>
              <w:keepLines w:val="0"/>
              <w:pageBreakBefore w:val="0"/>
              <w:suppressLineNumbers w:val="0"/>
              <w:kinsoku/>
              <w:wordWrap/>
              <w:overflowPunct/>
              <w:bidi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（1）项目名称</w:t>
            </w:r>
            <w:r>
              <w:rPr>
                <w:rFonts w:hint="eastAsia" w:cs="Times New Roman"/>
                <w:smallCaps w:val="0"/>
                <w:color w:val="auto"/>
                <w:spacing w:val="0"/>
                <w:highlight w:val="none"/>
                <w:lang w:eastAsia="zh-CN"/>
              </w:rPr>
              <w:t>：零部件加工制造项目</w:t>
            </w:r>
          </w:p>
          <w:p w14:paraId="02CEF04F">
            <w:pPr>
              <w:pStyle w:val="172"/>
              <w:keepNext/>
              <w:keepLines w:val="0"/>
              <w:pageBreakBefore w:val="0"/>
              <w:suppressLineNumbers w:val="0"/>
              <w:kinsoku/>
              <w:wordWrap/>
              <w:overflowPunct/>
              <w:bidi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（2）建设单位</w:t>
            </w:r>
            <w:r>
              <w:rPr>
                <w:rFonts w:hint="eastAsia" w:cs="Times New Roman"/>
                <w:smallCaps w:val="0"/>
                <w:color w:val="auto"/>
                <w:spacing w:val="0"/>
                <w:highlight w:val="none"/>
                <w:lang w:eastAsia="zh-CN"/>
              </w:rPr>
              <w:t>：石家庄市荣驰精密机械制造有限公司</w:t>
            </w:r>
          </w:p>
          <w:p w14:paraId="53755920">
            <w:pPr>
              <w:pStyle w:val="172"/>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（3）</w:t>
            </w:r>
            <w:r>
              <w:rPr>
                <w:rFonts w:hint="default" w:ascii="Times New Roman" w:hAnsi="Times New Roman" w:cs="Times New Roman"/>
                <w:smallCaps w:val="0"/>
                <w:color w:val="auto"/>
                <w:spacing w:val="0"/>
                <w:highlight w:val="none"/>
                <w:lang w:val="en-US" w:eastAsia="zh-CN"/>
              </w:rPr>
              <w:t>项目性质</w:t>
            </w:r>
            <w:r>
              <w:rPr>
                <w:rFonts w:hint="eastAsia" w:cs="Times New Roman"/>
                <w:smallCaps w:val="0"/>
                <w:color w:val="auto"/>
                <w:spacing w:val="0"/>
                <w:highlight w:val="none"/>
                <w:lang w:eastAsia="zh-CN"/>
              </w:rPr>
              <w:t>：</w:t>
            </w:r>
            <w:r>
              <w:rPr>
                <w:rFonts w:hint="eastAsia" w:cs="Times New Roman"/>
                <w:smallCaps w:val="0"/>
                <w:color w:val="auto"/>
                <w:spacing w:val="0"/>
                <w:highlight w:val="none"/>
                <w:lang w:val="en-US" w:eastAsia="zh-CN"/>
              </w:rPr>
              <w:t>新建</w:t>
            </w:r>
          </w:p>
          <w:p w14:paraId="778CA8C2">
            <w:pPr>
              <w:pStyle w:val="172"/>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（4）建设地点及周边关系</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本项目位于</w:t>
            </w:r>
            <w:r>
              <w:rPr>
                <w:rFonts w:hint="default" w:ascii="Times New Roman" w:hAnsi="Times New Roman" w:cs="Times New Roman"/>
                <w:smallCaps w:val="0"/>
                <w:color w:val="auto"/>
                <w:spacing w:val="0"/>
                <w:highlight w:val="none"/>
                <w:lang w:eastAsia="zh-CN"/>
              </w:rPr>
              <w:t>河北省石家庄市</w:t>
            </w:r>
            <w:r>
              <w:rPr>
                <w:rFonts w:hint="eastAsia" w:cs="Times New Roman"/>
                <w:smallCaps w:val="0"/>
                <w:color w:val="auto"/>
                <w:spacing w:val="0"/>
                <w:highlight w:val="none"/>
                <w:lang w:eastAsia="zh-CN"/>
              </w:rPr>
              <w:t>井陉矿区世纪大道以北，石钢路以西</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占地为工业用地。项目中心地理</w:t>
            </w:r>
            <w:r>
              <w:rPr>
                <w:rFonts w:hint="default" w:ascii="Times New Roman" w:hAnsi="Times New Roman" w:cs="Times New Roman"/>
                <w:smallCaps w:val="0"/>
                <w:color w:val="auto"/>
                <w:spacing w:val="0"/>
                <w:highlight w:val="none"/>
                <w:lang w:eastAsia="zh-CN"/>
              </w:rPr>
              <w:t>坐标</w:t>
            </w:r>
            <w:r>
              <w:rPr>
                <w:rFonts w:hint="default" w:ascii="Times New Roman" w:hAnsi="Times New Roman" w:cs="Times New Roman"/>
                <w:smallCaps w:val="0"/>
                <w:color w:val="auto"/>
                <w:spacing w:val="0"/>
                <w:highlight w:val="none"/>
              </w:rPr>
              <w:t>为</w:t>
            </w:r>
            <w:r>
              <w:rPr>
                <w:rFonts w:hint="default" w:ascii="Times New Roman" w:hAnsi="Times New Roman" w:cs="Times New Roman"/>
                <w:smallCaps w:val="0"/>
                <w:color w:val="auto"/>
                <w:spacing w:val="0"/>
                <w:highlight w:val="none"/>
                <w:lang w:eastAsia="zh-CN"/>
              </w:rPr>
              <w:t>东经114°1′27.681″，北纬38°4′11.002″</w:t>
            </w:r>
            <w:r>
              <w:rPr>
                <w:rFonts w:hint="default" w:ascii="Times New Roman" w:hAnsi="Times New Roman" w:cs="Times New Roman"/>
                <w:smallCaps w:val="0"/>
                <w:color w:val="auto"/>
                <w:spacing w:val="0"/>
                <w:highlight w:val="none"/>
              </w:rPr>
              <w:t>。</w:t>
            </w:r>
            <w:r>
              <w:rPr>
                <w:rFonts w:hint="eastAsia" w:cs="Times New Roman"/>
                <w:smallCaps w:val="0"/>
                <w:color w:val="auto"/>
                <w:spacing w:val="0"/>
                <w:highlight w:val="none"/>
                <w:lang w:eastAsia="zh-CN"/>
              </w:rPr>
              <w:t>厂区东侧隔路为河北受成新材料科技有限公司，南侧为河北庆晟精密机械制造有限公司，西侧为空地和养殖场，北侧为防洪沟和空地</w:t>
            </w:r>
            <w:r>
              <w:rPr>
                <w:rFonts w:hint="default" w:ascii="Times New Roman" w:hAnsi="Times New Roman" w:cs="Times New Roman"/>
                <w:smallCaps w:val="0"/>
                <w:color w:val="auto"/>
                <w:spacing w:val="0"/>
                <w:highlight w:val="none"/>
              </w:rPr>
              <w:t>。</w:t>
            </w:r>
          </w:p>
          <w:p w14:paraId="2CB563EB">
            <w:pPr>
              <w:pStyle w:val="172"/>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项目地理位置见附图1</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周边关系见附图2</w:t>
            </w:r>
            <w:r>
              <w:rPr>
                <w:rFonts w:hint="default" w:ascii="Times New Roman" w:hAnsi="Times New Roman" w:cs="Times New Roman"/>
                <w:smallCaps w:val="0"/>
                <w:color w:val="auto"/>
                <w:spacing w:val="0"/>
                <w:highlight w:val="none"/>
                <w:lang w:eastAsia="zh-CN"/>
              </w:rPr>
              <w:t>；</w:t>
            </w:r>
          </w:p>
          <w:p w14:paraId="08E73F60">
            <w:pPr>
              <w:pStyle w:val="172"/>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vertAlign w:val="baseline"/>
                <w:lang w:val="en-US" w:eastAsia="zh-CN"/>
              </w:rPr>
            </w:pP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lang w:val="en-US" w:eastAsia="zh-CN"/>
              </w:rPr>
              <w:t>5</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lang w:val="en-US" w:eastAsia="zh-CN"/>
              </w:rPr>
              <w:t>项目占地</w:t>
            </w:r>
            <w:r>
              <w:rPr>
                <w:rFonts w:hint="eastAsia" w:cs="Times New Roman"/>
                <w:smallCaps w:val="0"/>
                <w:color w:val="auto"/>
                <w:spacing w:val="0"/>
                <w:highlight w:val="none"/>
                <w:lang w:val="en-US" w:eastAsia="zh-CN"/>
              </w:rPr>
              <w:t>：项目占地面积为20621.58</w:t>
            </w:r>
            <w:r>
              <w:rPr>
                <w:rFonts w:hint="default" w:ascii="Times New Roman" w:hAnsi="Times New Roman" w:cs="Times New Roman"/>
                <w:smallCaps w:val="0"/>
                <w:color w:val="auto"/>
                <w:spacing w:val="0"/>
                <w:highlight w:val="none"/>
                <w:lang w:val="en-US" w:eastAsia="zh-CN"/>
              </w:rPr>
              <w:t>m</w:t>
            </w:r>
            <w:r>
              <w:rPr>
                <w:rFonts w:hint="default" w:ascii="Times New Roman" w:hAnsi="Times New Roman" w:cs="Times New Roman"/>
                <w:smallCaps w:val="0"/>
                <w:color w:val="auto"/>
                <w:spacing w:val="0"/>
                <w:highlight w:val="none"/>
                <w:vertAlign w:val="superscript"/>
                <w:lang w:val="en-US" w:eastAsia="zh-CN"/>
              </w:rPr>
              <w:t>2</w:t>
            </w:r>
            <w:r>
              <w:rPr>
                <w:rFonts w:hint="eastAsia" w:cs="Times New Roman"/>
                <w:smallCaps w:val="0"/>
                <w:color w:val="auto"/>
                <w:spacing w:val="0"/>
                <w:highlight w:val="none"/>
                <w:lang w:val="en-US" w:eastAsia="zh-CN"/>
              </w:rPr>
              <w:t>，</w:t>
            </w:r>
            <w:r>
              <w:rPr>
                <w:rFonts w:hint="default" w:ascii="Times New Roman" w:hAnsi="Times New Roman" w:cs="Times New Roman"/>
                <w:smallCaps w:val="0"/>
                <w:color w:val="auto"/>
                <w:spacing w:val="0"/>
                <w:highlight w:val="none"/>
                <w:lang w:val="en-US" w:eastAsia="zh-CN"/>
              </w:rPr>
              <w:t>根据</w:t>
            </w:r>
            <w:r>
              <w:rPr>
                <w:rFonts w:hint="eastAsia" w:cs="Times New Roman"/>
                <w:smallCaps w:val="0"/>
                <w:color w:val="auto"/>
                <w:spacing w:val="0"/>
                <w:highlight w:val="none"/>
                <w:lang w:val="en-US" w:eastAsia="zh-CN"/>
              </w:rPr>
              <w:t>不动产权证书</w:t>
            </w:r>
            <w:r>
              <w:rPr>
                <w:rFonts w:hint="default" w:ascii="Times New Roman" w:hAnsi="Times New Roman" w:cs="Times New Roman"/>
                <w:smallCaps w:val="0"/>
                <w:color w:val="auto"/>
                <w:spacing w:val="0"/>
                <w:highlight w:val="none"/>
                <w:lang w:val="en-US" w:eastAsia="zh-CN"/>
              </w:rPr>
              <w:t>，项目土地属于工业用地</w:t>
            </w:r>
            <w:r>
              <w:rPr>
                <w:rFonts w:hint="eastAsia" w:cs="Times New Roman"/>
                <w:smallCaps w:val="0"/>
                <w:color w:val="auto"/>
                <w:spacing w:val="0"/>
                <w:highlight w:val="none"/>
                <w:vertAlign w:val="baseline"/>
                <w:lang w:val="en-US" w:eastAsia="zh-CN"/>
              </w:rPr>
              <w:t>。</w:t>
            </w:r>
          </w:p>
          <w:p w14:paraId="45510A00">
            <w:pPr>
              <w:pStyle w:val="172"/>
              <w:keepNext/>
              <w:keepLines w:val="0"/>
              <w:pageBreakBefore w:val="0"/>
              <w:suppressLineNumbers w:val="0"/>
              <w:kinsoku/>
              <w:wordWrap/>
              <w:overflowPunct/>
              <w:bidi w:val="0"/>
              <w:spacing w:before="0" w:beforeAutospacing="0" w:after="0" w:afterAutospacing="0"/>
              <w:ind w:left="0" w:right="0" w:firstLine="482"/>
              <w:rPr>
                <w:rFonts w:hint="default" w:ascii="Times New Roman" w:hAnsi="Times New Roman" w:cs="Times New Roman"/>
                <w:b/>
                <w:smallCaps w:val="0"/>
                <w:color w:val="auto"/>
                <w:spacing w:val="0"/>
                <w:highlight w:val="none"/>
                <w:lang w:val="en-US" w:eastAsia="zh-CN"/>
              </w:rPr>
            </w:pPr>
          </w:p>
          <w:p w14:paraId="63B563B7">
            <w:pPr>
              <w:pStyle w:val="172"/>
              <w:keepNext/>
              <w:keepLines w:val="0"/>
              <w:pageBreakBefore w:val="0"/>
              <w:suppressLineNumbers w:val="0"/>
              <w:kinsoku/>
              <w:wordWrap/>
              <w:overflowPunct/>
              <w:bidi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lang w:val="en-US" w:eastAsia="zh-CN"/>
              </w:rPr>
              <w:t>2</w:t>
            </w:r>
            <w:r>
              <w:rPr>
                <w:rFonts w:hint="default" w:ascii="Times New Roman" w:hAnsi="Times New Roman" w:cs="Times New Roman"/>
                <w:b/>
                <w:smallCaps w:val="0"/>
                <w:color w:val="auto"/>
                <w:spacing w:val="0"/>
                <w:highlight w:val="none"/>
              </w:rPr>
              <w:t>、主要产品及产能</w:t>
            </w:r>
          </w:p>
          <w:p w14:paraId="722EADF5">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eastAsia" w:cs="Times New Roman"/>
                <w:smallCaps w:val="0"/>
                <w:color w:val="auto"/>
                <w:spacing w:val="0"/>
                <w:highlight w:val="none"/>
                <w:lang w:val="en-US" w:eastAsia="zh-CN"/>
              </w:rPr>
              <w:t>项目建成后年产钻杆25万吨、车轴37万吨，</w:t>
            </w:r>
            <w:r>
              <w:rPr>
                <w:rFonts w:hint="default" w:ascii="Times New Roman" w:hAnsi="Times New Roman" w:cs="Times New Roman"/>
                <w:smallCaps w:val="0"/>
                <w:color w:val="auto"/>
                <w:spacing w:val="0"/>
                <w:highlight w:val="none"/>
              </w:rPr>
              <w:t>主要产品见下表</w:t>
            </w:r>
            <w:r>
              <w:rPr>
                <w:rFonts w:hint="eastAsia" w:cs="Times New Roman"/>
                <w:smallCaps w:val="0"/>
                <w:color w:val="auto"/>
                <w:spacing w:val="0"/>
                <w:highlight w:val="none"/>
                <w:lang w:eastAsia="zh-CN"/>
              </w:rPr>
              <w:t>：</w:t>
            </w:r>
          </w:p>
          <w:p w14:paraId="227AFE96">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表2-</w:t>
            </w:r>
            <w:r>
              <w:rPr>
                <w:rFonts w:hint="default" w:ascii="Times New Roman" w:hAnsi="Times New Roman" w:cs="Times New Roman"/>
                <w:smallCaps w:val="0"/>
                <w:color w:val="auto"/>
                <w:spacing w:val="0"/>
                <w:highlight w:val="none"/>
                <w:lang w:val="en-US" w:eastAsia="zh-CN"/>
              </w:rPr>
              <w:t>1</w:t>
            </w:r>
            <w:r>
              <w:rPr>
                <w:rFonts w:hint="default" w:ascii="Times New Roman" w:hAnsi="Times New Roman" w:cs="Times New Roman"/>
                <w:smallCaps w:val="0"/>
                <w:color w:val="auto"/>
                <w:spacing w:val="0"/>
                <w:highlight w:val="none"/>
              </w:rPr>
              <w:t xml:space="preserve">  主要产品一览表</w:t>
            </w:r>
          </w:p>
          <w:tbl>
            <w:tblPr>
              <w:tblStyle w:val="47"/>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70"/>
              <w:gridCol w:w="1496"/>
              <w:gridCol w:w="1497"/>
              <w:gridCol w:w="1497"/>
              <w:gridCol w:w="2520"/>
            </w:tblGrid>
            <w:tr w14:paraId="0474BC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9" w:hRule="atLeast"/>
                <w:jc w:val="center"/>
              </w:trPr>
              <w:tc>
                <w:tcPr>
                  <w:tcW w:w="552" w:type="pct"/>
                  <w:noWrap w:val="0"/>
                  <w:vAlign w:val="center"/>
                </w:tcPr>
                <w:p w14:paraId="2E554F97">
                  <w:pPr>
                    <w:keepNext w:val="0"/>
                    <w:keepLines w:val="0"/>
                    <w:suppressLineNumbers w:val="0"/>
                    <w:spacing w:before="0" w:beforeAutospacing="0" w:after="0" w:afterAutospacing="0" w:line="240" w:lineRule="auto"/>
                    <w:ind w:left="0" w:right="0"/>
                    <w:jc w:val="center"/>
                    <w:rPr>
                      <w:rFonts w:hint="eastAsia" w:eastAsia="宋体"/>
                      <w:color w:val="auto"/>
                      <w:szCs w:val="20"/>
                      <w:highlight w:val="none"/>
                      <w:lang w:val="en-US" w:eastAsia="zh-CN"/>
                    </w:rPr>
                  </w:pPr>
                  <w:r>
                    <w:rPr>
                      <w:rFonts w:hint="eastAsia"/>
                      <w:color w:val="auto"/>
                      <w:szCs w:val="20"/>
                      <w:highlight w:val="none"/>
                      <w:lang w:val="en-US" w:eastAsia="zh-CN"/>
                    </w:rPr>
                    <w:t>序号</w:t>
                  </w:r>
                </w:p>
              </w:tc>
              <w:tc>
                <w:tcPr>
                  <w:tcW w:w="949" w:type="pct"/>
                  <w:noWrap w:val="0"/>
                  <w:vAlign w:val="center"/>
                </w:tcPr>
                <w:p w14:paraId="2313C480">
                  <w:pPr>
                    <w:keepNext w:val="0"/>
                    <w:keepLines w:val="0"/>
                    <w:suppressLineNumbers w:val="0"/>
                    <w:spacing w:before="0" w:beforeAutospacing="0" w:after="0" w:afterAutospacing="0" w:line="240" w:lineRule="auto"/>
                    <w:ind w:left="0" w:right="0"/>
                    <w:jc w:val="center"/>
                    <w:rPr>
                      <w:rFonts w:hint="eastAsia" w:eastAsia="宋体"/>
                      <w:color w:val="auto"/>
                      <w:szCs w:val="20"/>
                      <w:highlight w:val="none"/>
                      <w:lang w:val="en-US" w:eastAsia="zh-CN"/>
                    </w:rPr>
                  </w:pPr>
                  <w:r>
                    <w:rPr>
                      <w:rFonts w:hint="default"/>
                      <w:color w:val="auto"/>
                      <w:szCs w:val="20"/>
                      <w:highlight w:val="none"/>
                    </w:rPr>
                    <w:t>产品</w:t>
                  </w:r>
                  <w:r>
                    <w:rPr>
                      <w:rFonts w:hint="eastAsia"/>
                      <w:color w:val="auto"/>
                      <w:szCs w:val="20"/>
                      <w:highlight w:val="none"/>
                      <w:lang w:val="en-US" w:eastAsia="zh-CN"/>
                    </w:rPr>
                    <w:t>名称</w:t>
                  </w:r>
                </w:p>
              </w:tc>
              <w:tc>
                <w:tcPr>
                  <w:tcW w:w="949" w:type="pct"/>
                  <w:tcBorders>
                    <w:bottom w:val="single" w:color="auto" w:sz="4" w:space="0"/>
                    <w:right w:val="single" w:color="auto" w:sz="4" w:space="0"/>
                  </w:tcBorders>
                  <w:noWrap w:val="0"/>
                  <w:vAlign w:val="center"/>
                </w:tcPr>
                <w:p w14:paraId="588607F7">
                  <w:pPr>
                    <w:keepNext w:val="0"/>
                    <w:keepLines w:val="0"/>
                    <w:suppressLineNumbers w:val="0"/>
                    <w:spacing w:before="0" w:beforeAutospacing="0" w:after="0" w:afterAutospacing="0" w:line="240" w:lineRule="auto"/>
                    <w:ind w:left="0" w:right="0"/>
                    <w:jc w:val="center"/>
                    <w:rPr>
                      <w:rFonts w:hint="default"/>
                      <w:color w:val="auto"/>
                      <w:szCs w:val="20"/>
                      <w:highlight w:val="none"/>
                    </w:rPr>
                  </w:pPr>
                  <w:r>
                    <w:rPr>
                      <w:rFonts w:hint="default"/>
                      <w:color w:val="auto"/>
                      <w:szCs w:val="20"/>
                      <w:highlight w:val="none"/>
                    </w:rPr>
                    <w:t>年产量</w:t>
                  </w:r>
                </w:p>
              </w:tc>
              <w:tc>
                <w:tcPr>
                  <w:tcW w:w="949" w:type="pct"/>
                  <w:tcBorders>
                    <w:left w:val="single" w:color="auto" w:sz="4" w:space="0"/>
                    <w:bottom w:val="single" w:color="auto" w:sz="4" w:space="0"/>
                    <w:right w:val="single" w:color="auto" w:sz="4" w:space="0"/>
                  </w:tcBorders>
                  <w:noWrap w:val="0"/>
                  <w:vAlign w:val="center"/>
                </w:tcPr>
                <w:p w14:paraId="11C97447">
                  <w:pPr>
                    <w:keepNext w:val="0"/>
                    <w:keepLines w:val="0"/>
                    <w:suppressLineNumbers w:val="0"/>
                    <w:spacing w:before="0" w:beforeAutospacing="0" w:after="0" w:afterAutospacing="0" w:line="240" w:lineRule="auto"/>
                    <w:ind w:left="0" w:right="0"/>
                    <w:jc w:val="center"/>
                    <w:rPr>
                      <w:rFonts w:hint="eastAsia" w:eastAsia="宋体"/>
                      <w:color w:val="auto"/>
                      <w:szCs w:val="20"/>
                      <w:highlight w:val="none"/>
                      <w:lang w:val="en-US" w:eastAsia="zh-CN"/>
                    </w:rPr>
                  </w:pPr>
                  <w:r>
                    <w:rPr>
                      <w:rFonts w:hint="eastAsia"/>
                      <w:color w:val="auto"/>
                      <w:szCs w:val="20"/>
                      <w:highlight w:val="none"/>
                      <w:lang w:val="en-US" w:eastAsia="zh-CN"/>
                    </w:rPr>
                    <w:t>单位</w:t>
                  </w:r>
                </w:p>
              </w:tc>
              <w:tc>
                <w:tcPr>
                  <w:tcW w:w="1598" w:type="pct"/>
                  <w:tcBorders>
                    <w:left w:val="single" w:color="auto" w:sz="4" w:space="0"/>
                    <w:bottom w:val="single" w:color="auto" w:sz="4" w:space="0"/>
                  </w:tcBorders>
                  <w:noWrap w:val="0"/>
                  <w:vAlign w:val="center"/>
                </w:tcPr>
                <w:p w14:paraId="12E11A5D">
                  <w:pPr>
                    <w:keepNext w:val="0"/>
                    <w:keepLines w:val="0"/>
                    <w:suppressLineNumbers w:val="0"/>
                    <w:spacing w:before="0" w:beforeAutospacing="0" w:after="0" w:afterAutospacing="0" w:line="240" w:lineRule="auto"/>
                    <w:ind w:left="0" w:right="0"/>
                    <w:jc w:val="center"/>
                    <w:rPr>
                      <w:rFonts w:hint="default"/>
                      <w:color w:val="auto"/>
                      <w:szCs w:val="20"/>
                      <w:highlight w:val="none"/>
                      <w:lang w:val="en-US" w:eastAsia="zh-CN"/>
                    </w:rPr>
                  </w:pPr>
                  <w:r>
                    <w:rPr>
                      <w:rFonts w:hint="eastAsia"/>
                      <w:color w:val="auto"/>
                      <w:szCs w:val="20"/>
                      <w:highlight w:val="none"/>
                      <w:lang w:val="en-US" w:eastAsia="zh-CN"/>
                    </w:rPr>
                    <w:t>备注</w:t>
                  </w:r>
                </w:p>
              </w:tc>
            </w:tr>
            <w:tr w14:paraId="778DDE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8" w:hRule="atLeast"/>
                <w:jc w:val="center"/>
              </w:trPr>
              <w:tc>
                <w:tcPr>
                  <w:tcW w:w="552" w:type="pct"/>
                  <w:noWrap w:val="0"/>
                  <w:vAlign w:val="center"/>
                </w:tcPr>
                <w:p w14:paraId="07B8D515">
                  <w:pPr>
                    <w:keepNext w:val="0"/>
                    <w:keepLines w:val="0"/>
                    <w:suppressLineNumbers w:val="0"/>
                    <w:spacing w:before="0" w:beforeAutospacing="0" w:after="0" w:afterAutospacing="0" w:line="240" w:lineRule="auto"/>
                    <w:ind w:left="0" w:right="0"/>
                    <w:jc w:val="center"/>
                    <w:rPr>
                      <w:rFonts w:hint="default" w:eastAsia="宋体"/>
                      <w:color w:val="auto"/>
                      <w:szCs w:val="20"/>
                      <w:highlight w:val="none"/>
                      <w:lang w:val="en-US" w:eastAsia="zh-CN"/>
                    </w:rPr>
                  </w:pPr>
                  <w:r>
                    <w:rPr>
                      <w:rFonts w:hint="eastAsia"/>
                      <w:color w:val="auto"/>
                      <w:szCs w:val="20"/>
                      <w:highlight w:val="none"/>
                      <w:lang w:val="en-US" w:eastAsia="zh-CN"/>
                    </w:rPr>
                    <w:t>1</w:t>
                  </w:r>
                </w:p>
              </w:tc>
              <w:tc>
                <w:tcPr>
                  <w:tcW w:w="949" w:type="pct"/>
                  <w:noWrap w:val="0"/>
                  <w:vAlign w:val="center"/>
                </w:tcPr>
                <w:p w14:paraId="5F162A36">
                  <w:pPr>
                    <w:keepNext w:val="0"/>
                    <w:keepLines w:val="0"/>
                    <w:suppressLineNumbers w:val="0"/>
                    <w:spacing w:before="0" w:beforeAutospacing="0" w:after="0" w:afterAutospacing="0" w:line="240" w:lineRule="auto"/>
                    <w:ind w:left="0" w:right="0"/>
                    <w:jc w:val="center"/>
                    <w:rPr>
                      <w:rFonts w:hint="default" w:eastAsia="宋体"/>
                      <w:color w:val="auto"/>
                      <w:szCs w:val="20"/>
                      <w:highlight w:val="none"/>
                      <w:lang w:val="en-US" w:eastAsia="zh-CN"/>
                    </w:rPr>
                  </w:pPr>
                  <w:r>
                    <w:rPr>
                      <w:rFonts w:hint="eastAsia"/>
                      <w:color w:val="auto"/>
                      <w:szCs w:val="20"/>
                      <w:highlight w:val="none"/>
                      <w:lang w:val="en-US" w:eastAsia="zh-CN"/>
                    </w:rPr>
                    <w:t>钻杆</w:t>
                  </w:r>
                </w:p>
              </w:tc>
              <w:tc>
                <w:tcPr>
                  <w:tcW w:w="949" w:type="pct"/>
                  <w:tcBorders>
                    <w:right w:val="single" w:color="auto" w:sz="4" w:space="0"/>
                  </w:tcBorders>
                  <w:noWrap w:val="0"/>
                  <w:vAlign w:val="center"/>
                </w:tcPr>
                <w:p w14:paraId="2153574B">
                  <w:pPr>
                    <w:keepNext w:val="0"/>
                    <w:keepLines w:val="0"/>
                    <w:suppressLineNumbers w:val="0"/>
                    <w:spacing w:before="0" w:beforeAutospacing="0" w:after="0" w:afterAutospacing="0" w:line="240" w:lineRule="auto"/>
                    <w:ind w:left="0" w:right="0"/>
                    <w:jc w:val="center"/>
                    <w:rPr>
                      <w:rFonts w:hint="default" w:eastAsia="宋体"/>
                      <w:color w:val="auto"/>
                      <w:szCs w:val="20"/>
                      <w:highlight w:val="none"/>
                      <w:lang w:val="en-US" w:eastAsia="zh-CN"/>
                    </w:rPr>
                  </w:pPr>
                  <w:r>
                    <w:rPr>
                      <w:rFonts w:hint="eastAsia"/>
                      <w:color w:val="auto"/>
                      <w:szCs w:val="20"/>
                      <w:highlight w:val="none"/>
                      <w:lang w:val="en-US" w:eastAsia="zh-CN"/>
                    </w:rPr>
                    <w:t>250000</w:t>
                  </w:r>
                </w:p>
              </w:tc>
              <w:tc>
                <w:tcPr>
                  <w:tcW w:w="949" w:type="pct"/>
                  <w:tcBorders>
                    <w:left w:val="single" w:color="auto" w:sz="4" w:space="0"/>
                    <w:right w:val="single" w:color="auto" w:sz="4" w:space="0"/>
                  </w:tcBorders>
                  <w:noWrap w:val="0"/>
                  <w:vAlign w:val="center"/>
                </w:tcPr>
                <w:p w14:paraId="3A452B17">
                  <w:pPr>
                    <w:keepNext w:val="0"/>
                    <w:keepLines w:val="0"/>
                    <w:suppressLineNumbers w:val="0"/>
                    <w:spacing w:before="0" w:beforeAutospacing="0" w:after="0" w:afterAutospacing="0" w:line="240" w:lineRule="auto"/>
                    <w:ind w:left="0" w:right="0"/>
                    <w:jc w:val="center"/>
                    <w:rPr>
                      <w:rFonts w:hint="default" w:eastAsia="宋体"/>
                      <w:color w:val="auto"/>
                      <w:szCs w:val="20"/>
                      <w:highlight w:val="none"/>
                      <w:lang w:val="en-US" w:eastAsia="zh-CN"/>
                    </w:rPr>
                  </w:pPr>
                  <w:r>
                    <w:rPr>
                      <w:rFonts w:hint="eastAsia"/>
                      <w:color w:val="auto"/>
                      <w:szCs w:val="20"/>
                      <w:highlight w:val="none"/>
                      <w:lang w:val="en-US" w:eastAsia="zh-CN"/>
                    </w:rPr>
                    <w:t>吨/年</w:t>
                  </w:r>
                </w:p>
              </w:tc>
              <w:tc>
                <w:tcPr>
                  <w:tcW w:w="1598" w:type="pct"/>
                  <w:tcBorders>
                    <w:left w:val="single" w:color="auto" w:sz="4" w:space="0"/>
                    <w:right w:val="single" w:color="auto" w:sz="4" w:space="0"/>
                  </w:tcBorders>
                  <w:noWrap w:val="0"/>
                  <w:vAlign w:val="center"/>
                </w:tcPr>
                <w:p w14:paraId="2DEB2454">
                  <w:pPr>
                    <w:keepNext w:val="0"/>
                    <w:keepLines w:val="0"/>
                    <w:suppressLineNumbers w:val="0"/>
                    <w:spacing w:before="0" w:beforeAutospacing="0" w:after="0" w:afterAutospacing="0" w:line="240" w:lineRule="auto"/>
                    <w:ind w:left="0" w:right="0"/>
                    <w:jc w:val="center"/>
                    <w:rPr>
                      <w:rFonts w:hint="default"/>
                      <w:color w:val="auto"/>
                      <w:szCs w:val="20"/>
                      <w:highlight w:val="none"/>
                      <w:lang w:val="en-US" w:eastAsia="zh-CN"/>
                    </w:rPr>
                  </w:pPr>
                  <w:r>
                    <w:rPr>
                      <w:rFonts w:hint="eastAsia"/>
                      <w:color w:val="auto"/>
                      <w:szCs w:val="20"/>
                      <w:highlight w:val="none"/>
                      <w:lang w:val="en-US" w:eastAsia="zh-CN"/>
                    </w:rPr>
                    <w:t>φ89～140 mm、长度4500～9200 mm，具体尺寸根据客户要求</w:t>
                  </w:r>
                </w:p>
              </w:tc>
            </w:tr>
            <w:tr w14:paraId="00E64B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8" w:hRule="atLeast"/>
                <w:jc w:val="center"/>
              </w:trPr>
              <w:tc>
                <w:tcPr>
                  <w:tcW w:w="552" w:type="pct"/>
                  <w:noWrap w:val="0"/>
                  <w:vAlign w:val="center"/>
                </w:tcPr>
                <w:p w14:paraId="1F995644">
                  <w:pPr>
                    <w:keepNext w:val="0"/>
                    <w:keepLines w:val="0"/>
                    <w:suppressLineNumbers w:val="0"/>
                    <w:spacing w:before="0" w:beforeAutospacing="0" w:after="0" w:afterAutospacing="0" w:line="240" w:lineRule="auto"/>
                    <w:ind w:left="0" w:right="0"/>
                    <w:jc w:val="center"/>
                    <w:rPr>
                      <w:rFonts w:hint="default"/>
                      <w:color w:val="auto"/>
                      <w:szCs w:val="20"/>
                      <w:highlight w:val="none"/>
                      <w:lang w:val="en-US" w:eastAsia="zh-CN"/>
                    </w:rPr>
                  </w:pPr>
                  <w:r>
                    <w:rPr>
                      <w:rFonts w:hint="eastAsia"/>
                      <w:color w:val="auto"/>
                      <w:szCs w:val="20"/>
                      <w:highlight w:val="none"/>
                      <w:lang w:val="en-US" w:eastAsia="zh-CN"/>
                    </w:rPr>
                    <w:t>2</w:t>
                  </w:r>
                </w:p>
              </w:tc>
              <w:tc>
                <w:tcPr>
                  <w:tcW w:w="949" w:type="pct"/>
                  <w:noWrap w:val="0"/>
                  <w:vAlign w:val="center"/>
                </w:tcPr>
                <w:p w14:paraId="7EDA8635">
                  <w:pPr>
                    <w:keepNext w:val="0"/>
                    <w:keepLines w:val="0"/>
                    <w:suppressLineNumbers w:val="0"/>
                    <w:spacing w:before="0" w:beforeAutospacing="0" w:after="0" w:afterAutospacing="0" w:line="240" w:lineRule="auto"/>
                    <w:ind w:left="0" w:right="0"/>
                    <w:jc w:val="center"/>
                    <w:rPr>
                      <w:rFonts w:hint="default"/>
                      <w:color w:val="auto"/>
                      <w:szCs w:val="20"/>
                      <w:highlight w:val="none"/>
                      <w:lang w:val="en-US" w:eastAsia="zh-CN"/>
                    </w:rPr>
                  </w:pPr>
                  <w:r>
                    <w:rPr>
                      <w:rFonts w:hint="eastAsia"/>
                      <w:color w:val="auto"/>
                      <w:szCs w:val="20"/>
                      <w:highlight w:val="none"/>
                      <w:lang w:val="en-US" w:eastAsia="zh-CN"/>
                    </w:rPr>
                    <w:t>车轴</w:t>
                  </w:r>
                </w:p>
              </w:tc>
              <w:tc>
                <w:tcPr>
                  <w:tcW w:w="949" w:type="pct"/>
                  <w:tcBorders>
                    <w:right w:val="single" w:color="auto" w:sz="4" w:space="0"/>
                  </w:tcBorders>
                  <w:noWrap w:val="0"/>
                  <w:vAlign w:val="center"/>
                </w:tcPr>
                <w:p w14:paraId="2315A11D">
                  <w:pPr>
                    <w:keepNext w:val="0"/>
                    <w:keepLines w:val="0"/>
                    <w:suppressLineNumbers w:val="0"/>
                    <w:spacing w:before="0" w:beforeAutospacing="0" w:after="0" w:afterAutospacing="0" w:line="240" w:lineRule="auto"/>
                    <w:ind w:left="0" w:right="0"/>
                    <w:jc w:val="center"/>
                    <w:rPr>
                      <w:rFonts w:hint="default"/>
                      <w:color w:val="auto"/>
                      <w:szCs w:val="20"/>
                      <w:highlight w:val="none"/>
                      <w:lang w:val="en-US" w:eastAsia="zh-CN"/>
                    </w:rPr>
                  </w:pPr>
                  <w:r>
                    <w:rPr>
                      <w:rFonts w:hint="eastAsia"/>
                      <w:color w:val="auto"/>
                      <w:szCs w:val="20"/>
                      <w:highlight w:val="none"/>
                      <w:lang w:val="en-US" w:eastAsia="zh-CN"/>
                    </w:rPr>
                    <w:t>370000</w:t>
                  </w:r>
                </w:p>
              </w:tc>
              <w:tc>
                <w:tcPr>
                  <w:tcW w:w="949" w:type="pct"/>
                  <w:tcBorders>
                    <w:left w:val="single" w:color="auto" w:sz="4" w:space="0"/>
                    <w:right w:val="single" w:color="auto" w:sz="4" w:space="0"/>
                  </w:tcBorders>
                  <w:noWrap w:val="0"/>
                  <w:vAlign w:val="center"/>
                </w:tcPr>
                <w:p w14:paraId="3451A5E7">
                  <w:pPr>
                    <w:keepNext w:val="0"/>
                    <w:keepLines w:val="0"/>
                    <w:suppressLineNumbers w:val="0"/>
                    <w:spacing w:before="0" w:beforeAutospacing="0" w:after="0" w:afterAutospacing="0" w:line="240" w:lineRule="auto"/>
                    <w:ind w:left="0" w:right="0"/>
                    <w:jc w:val="center"/>
                    <w:rPr>
                      <w:rFonts w:hint="eastAsia"/>
                      <w:color w:val="auto"/>
                      <w:szCs w:val="20"/>
                      <w:highlight w:val="none"/>
                      <w:lang w:val="en-US" w:eastAsia="zh-CN"/>
                    </w:rPr>
                  </w:pPr>
                  <w:r>
                    <w:rPr>
                      <w:rFonts w:hint="eastAsia"/>
                      <w:color w:val="auto"/>
                      <w:szCs w:val="20"/>
                      <w:highlight w:val="none"/>
                      <w:lang w:val="en-US" w:eastAsia="zh-CN"/>
                    </w:rPr>
                    <w:t>吨/年</w:t>
                  </w:r>
                </w:p>
              </w:tc>
              <w:tc>
                <w:tcPr>
                  <w:tcW w:w="1598" w:type="pct"/>
                  <w:tcBorders>
                    <w:left w:val="single" w:color="auto" w:sz="4" w:space="0"/>
                    <w:right w:val="single" w:color="auto" w:sz="4" w:space="0"/>
                  </w:tcBorders>
                  <w:noWrap w:val="0"/>
                  <w:vAlign w:val="center"/>
                </w:tcPr>
                <w:p w14:paraId="2AE20646">
                  <w:pPr>
                    <w:keepNext w:val="0"/>
                    <w:keepLines w:val="0"/>
                    <w:suppressLineNumbers w:val="0"/>
                    <w:spacing w:before="0" w:beforeAutospacing="0" w:after="0" w:afterAutospacing="0" w:line="240" w:lineRule="auto"/>
                    <w:ind w:left="0" w:right="0"/>
                    <w:jc w:val="center"/>
                    <w:rPr>
                      <w:rFonts w:hint="default"/>
                      <w:color w:val="auto"/>
                      <w:szCs w:val="20"/>
                      <w:highlight w:val="none"/>
                      <w:lang w:val="en-US" w:eastAsia="zh-CN"/>
                    </w:rPr>
                  </w:pPr>
                  <w:r>
                    <w:rPr>
                      <w:rFonts w:hint="eastAsia"/>
                      <w:color w:val="auto"/>
                      <w:szCs w:val="20"/>
                      <w:highlight w:val="none"/>
                      <w:lang w:val="en-US" w:eastAsia="zh-CN"/>
                    </w:rPr>
                    <w:t>φ120～280 mm、长度1600</w:t>
                  </w:r>
                  <w:r>
                    <w:rPr>
                      <w:rFonts w:hint="eastAsia"/>
                      <w:color w:val="auto"/>
                      <w:szCs w:val="20"/>
                      <w:highlight w:val="none"/>
                      <w:lang w:val="en-US" w:eastAsia="zh-CN"/>
                    </w:rPr>
                    <w:noBreakHyphen/>
                  </w:r>
                  <w:r>
                    <w:rPr>
                      <w:rFonts w:hint="eastAsia"/>
                      <w:color w:val="auto"/>
                      <w:szCs w:val="20"/>
                      <w:highlight w:val="none"/>
                      <w:lang w:val="en-US" w:eastAsia="zh-CN"/>
                    </w:rPr>
                    <w:t>2700 mm，具体尺寸根据客户要求</w:t>
                  </w:r>
                </w:p>
              </w:tc>
            </w:tr>
          </w:tbl>
          <w:p w14:paraId="2A569CE2">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lang w:val="en-US" w:eastAsia="zh-CN"/>
              </w:rPr>
              <w:t>项目</w:t>
            </w:r>
            <w:r>
              <w:rPr>
                <w:rFonts w:hint="eastAsia" w:cs="Times New Roman"/>
                <w:smallCaps w:val="0"/>
                <w:color w:val="auto"/>
                <w:spacing w:val="0"/>
                <w:highlight w:val="none"/>
                <w:lang w:val="en-US" w:eastAsia="zh-CN"/>
              </w:rPr>
              <w:t>钻杆</w:t>
            </w:r>
            <w:r>
              <w:rPr>
                <w:rFonts w:hint="default" w:ascii="Times New Roman" w:hAnsi="Times New Roman" w:cs="Times New Roman"/>
                <w:smallCaps w:val="0"/>
                <w:color w:val="auto"/>
                <w:spacing w:val="0"/>
                <w:highlight w:val="none"/>
                <w:lang w:val="en-US" w:eastAsia="zh-CN"/>
              </w:rPr>
              <w:t>产品质量指标执行《</w:t>
            </w:r>
            <w:r>
              <w:rPr>
                <w:rFonts w:hint="eastAsia" w:cs="Times New Roman"/>
                <w:smallCaps w:val="0"/>
                <w:color w:val="auto"/>
                <w:spacing w:val="0"/>
                <w:highlight w:val="none"/>
                <w:lang w:val="en-US" w:eastAsia="zh-CN"/>
              </w:rPr>
              <w:t>石油天然气工业 钢制钻杆</w:t>
            </w:r>
            <w:r>
              <w:rPr>
                <w:rFonts w:hint="default" w:ascii="Times New Roman" w:hAnsi="Times New Roman" w:cs="Times New Roman"/>
                <w:smallCaps w:val="0"/>
                <w:color w:val="auto"/>
                <w:spacing w:val="0"/>
                <w:highlight w:val="none"/>
                <w:lang w:val="en-US" w:eastAsia="zh-CN"/>
              </w:rPr>
              <w:t xml:space="preserve">》（GB/T </w:t>
            </w:r>
            <w:r>
              <w:rPr>
                <w:rFonts w:hint="eastAsia" w:cs="Times New Roman"/>
                <w:smallCaps w:val="0"/>
                <w:color w:val="auto"/>
                <w:spacing w:val="0"/>
                <w:highlight w:val="none"/>
                <w:lang w:val="en-US" w:eastAsia="zh-CN"/>
              </w:rPr>
              <w:t>29166-2021</w:t>
            </w:r>
            <w:r>
              <w:rPr>
                <w:rFonts w:hint="default" w:ascii="Times New Roman" w:hAnsi="Times New Roman" w:cs="Times New Roman"/>
                <w:smallCaps w:val="0"/>
                <w:color w:val="auto"/>
                <w:spacing w:val="0"/>
                <w:highlight w:val="none"/>
                <w:lang w:val="en-US" w:eastAsia="zh-CN"/>
              </w:rPr>
              <w:t>）要求</w:t>
            </w:r>
            <w:r>
              <w:rPr>
                <w:rFonts w:hint="eastAsia" w:cs="Times New Roman"/>
                <w:smallCaps w:val="0"/>
                <w:color w:val="auto"/>
                <w:spacing w:val="0"/>
                <w:highlight w:val="none"/>
                <w:lang w:val="en-US" w:eastAsia="zh-CN"/>
              </w:rPr>
              <w:t>。</w:t>
            </w:r>
            <w:r>
              <w:rPr>
                <w:rFonts w:hint="default" w:ascii="Times New Roman" w:hAnsi="Times New Roman" w:cs="Times New Roman"/>
                <w:smallCaps w:val="0"/>
                <w:color w:val="auto"/>
                <w:spacing w:val="0"/>
                <w:highlight w:val="none"/>
                <w:lang w:val="en-US" w:eastAsia="zh-CN"/>
              </w:rPr>
              <w:t>项目</w:t>
            </w:r>
            <w:r>
              <w:rPr>
                <w:rFonts w:hint="eastAsia" w:cs="Times New Roman"/>
                <w:smallCaps w:val="0"/>
                <w:color w:val="auto"/>
                <w:spacing w:val="0"/>
                <w:highlight w:val="none"/>
                <w:lang w:val="en-US" w:eastAsia="zh-CN"/>
              </w:rPr>
              <w:t>车轴</w:t>
            </w:r>
            <w:r>
              <w:rPr>
                <w:rFonts w:hint="default" w:ascii="Times New Roman" w:hAnsi="Times New Roman" w:cs="Times New Roman"/>
                <w:smallCaps w:val="0"/>
                <w:color w:val="auto"/>
                <w:spacing w:val="0"/>
                <w:highlight w:val="none"/>
                <w:lang w:val="en-US" w:eastAsia="zh-CN"/>
              </w:rPr>
              <w:t>产品质量指标执行《铁路机车、车辆车轴用钢》（GB/T 5068</w:t>
            </w:r>
            <w:r>
              <w:rPr>
                <w:rFonts w:hint="default" w:ascii="Times New Roman" w:hAnsi="Times New Roman" w:cs="Times New Roman"/>
                <w:smallCaps w:val="0"/>
                <w:color w:val="auto"/>
                <w:spacing w:val="0"/>
                <w:highlight w:val="none"/>
                <w:lang w:val="en-US" w:eastAsia="zh-CN"/>
              </w:rPr>
              <w:noBreakHyphen/>
            </w:r>
            <w:r>
              <w:rPr>
                <w:rFonts w:hint="default" w:ascii="Times New Roman" w:hAnsi="Times New Roman" w:cs="Times New Roman"/>
                <w:smallCaps w:val="0"/>
                <w:color w:val="auto"/>
                <w:spacing w:val="0"/>
                <w:highlight w:val="none"/>
                <w:lang w:val="en-US" w:eastAsia="zh-CN"/>
              </w:rPr>
              <w:t>2019）要求</w:t>
            </w:r>
            <w:r>
              <w:rPr>
                <w:rFonts w:hint="eastAsia" w:cs="Times New Roman"/>
                <w:smallCaps w:val="0"/>
                <w:color w:val="auto"/>
                <w:spacing w:val="0"/>
                <w:highlight w:val="none"/>
                <w:lang w:val="en-US" w:eastAsia="zh-CN"/>
              </w:rPr>
              <w:t>。</w:t>
            </w:r>
          </w:p>
          <w:p w14:paraId="48787750">
            <w:pPr>
              <w:pStyle w:val="172"/>
              <w:keepNext/>
              <w:keepLines w:val="0"/>
              <w:pageBreakBefore w:val="0"/>
              <w:suppressLineNumbers w:val="0"/>
              <w:kinsoku/>
              <w:wordWrap/>
              <w:overflowPunct/>
              <w:bidi w:val="0"/>
              <w:spacing w:before="0" w:beforeAutospacing="0" w:after="0" w:afterAutospacing="0"/>
              <w:ind w:left="0" w:right="0" w:firstLine="482"/>
              <w:rPr>
                <w:rFonts w:hint="default" w:ascii="Times New Roman" w:hAnsi="Times New Roman" w:cs="Times New Roman"/>
                <w:b/>
                <w:smallCaps w:val="0"/>
                <w:color w:val="auto"/>
                <w:spacing w:val="0"/>
                <w:highlight w:val="none"/>
                <w:lang w:val="en-US" w:eastAsia="zh-CN"/>
              </w:rPr>
            </w:pPr>
            <w:r>
              <w:rPr>
                <w:rFonts w:hint="default" w:ascii="Times New Roman" w:hAnsi="Times New Roman" w:cs="Times New Roman"/>
                <w:b/>
                <w:smallCaps w:val="0"/>
                <w:color w:val="auto"/>
                <w:spacing w:val="0"/>
                <w:highlight w:val="none"/>
                <w:lang w:val="en-US" w:eastAsia="zh-CN"/>
              </w:rPr>
              <w:t>3、工程内容及规模</w:t>
            </w:r>
          </w:p>
          <w:p w14:paraId="3267BD5F">
            <w:pPr>
              <w:pStyle w:val="172"/>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主要建设规模及内容</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总建筑面积约11571.40平方米，年生产钻杆25万吨、车轴37万吨。新建办公楼1座、生产车间3座、配置安装方坯修磨机、漏磁相控阵联合探伤超声检测线、无心车床、矫直机、调质、切削车床等生产加工设备，配套建设给排水、供电、消防、环保等附属设施。</w:t>
            </w:r>
          </w:p>
          <w:p w14:paraId="10DC3818">
            <w:pPr>
              <w:pStyle w:val="187"/>
              <w:keepNext/>
              <w:keepLines w:val="0"/>
              <w:pageBreakBefore w:val="0"/>
              <w:suppressLineNumbers w:val="0"/>
              <w:kinsoku/>
              <w:wordWrap/>
              <w:overflowPunct/>
              <w:bidi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表2-</w:t>
            </w:r>
            <w:r>
              <w:rPr>
                <w:rFonts w:hint="eastAsia" w:cs="Times New Roman"/>
                <w:smallCaps w:val="0"/>
                <w:color w:val="auto"/>
                <w:spacing w:val="0"/>
                <w:highlight w:val="none"/>
                <w:lang w:val="en-US" w:eastAsia="zh-CN"/>
              </w:rPr>
              <w:t>4</w:t>
            </w:r>
            <w:r>
              <w:rPr>
                <w:rFonts w:hint="default" w:ascii="Times New Roman" w:hAnsi="Times New Roman" w:cs="Times New Roman"/>
                <w:smallCaps w:val="0"/>
                <w:color w:val="auto"/>
                <w:spacing w:val="0"/>
                <w:highlight w:val="none"/>
              </w:rPr>
              <w:t xml:space="preserve">    项目主要建设内容组成一览表</w:t>
            </w:r>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1214"/>
              <w:gridCol w:w="5861"/>
            </w:tblGrid>
            <w:tr w14:paraId="15583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noWrap w:val="0"/>
                  <w:vAlign w:val="center"/>
                </w:tcPr>
                <w:p w14:paraId="2B30066F">
                  <w:pPr>
                    <w:keepNext w:val="0"/>
                    <w:keepLines w:val="0"/>
                    <w:suppressLineNumbers w:val="0"/>
                    <w:spacing w:before="0" w:beforeAutospacing="0" w:after="0" w:afterAutospacing="0"/>
                    <w:ind w:left="0" w:right="0"/>
                    <w:jc w:val="center"/>
                    <w:rPr>
                      <w:rFonts w:hint="default"/>
                      <w:b w:val="0"/>
                      <w:bCs w:val="0"/>
                      <w:color w:val="auto"/>
                      <w:szCs w:val="21"/>
                      <w:highlight w:val="none"/>
                    </w:rPr>
                  </w:pPr>
                  <w:r>
                    <w:rPr>
                      <w:rFonts w:hint="default"/>
                      <w:b w:val="0"/>
                      <w:bCs w:val="0"/>
                      <w:color w:val="auto"/>
                      <w:szCs w:val="21"/>
                      <w:highlight w:val="none"/>
                    </w:rPr>
                    <w:t>名称</w:t>
                  </w:r>
                </w:p>
              </w:tc>
              <w:tc>
                <w:tcPr>
                  <w:tcW w:w="770" w:type="pct"/>
                  <w:noWrap w:val="0"/>
                  <w:vAlign w:val="center"/>
                </w:tcPr>
                <w:p w14:paraId="6477C046">
                  <w:pPr>
                    <w:keepNext w:val="0"/>
                    <w:keepLines w:val="0"/>
                    <w:suppressLineNumbers w:val="0"/>
                    <w:spacing w:before="0" w:beforeAutospacing="0" w:after="0" w:afterAutospacing="0"/>
                    <w:ind w:left="0" w:right="0"/>
                    <w:jc w:val="center"/>
                    <w:rPr>
                      <w:rFonts w:hint="default"/>
                      <w:b w:val="0"/>
                      <w:bCs w:val="0"/>
                      <w:color w:val="auto"/>
                      <w:szCs w:val="21"/>
                      <w:highlight w:val="none"/>
                    </w:rPr>
                  </w:pPr>
                  <w:r>
                    <w:rPr>
                      <w:rFonts w:hint="eastAsia"/>
                      <w:b w:val="0"/>
                      <w:bCs w:val="0"/>
                      <w:color w:val="auto"/>
                      <w:szCs w:val="21"/>
                      <w:highlight w:val="none"/>
                    </w:rPr>
                    <w:t>建设</w:t>
                  </w:r>
                  <w:r>
                    <w:rPr>
                      <w:rFonts w:hint="default"/>
                      <w:b w:val="0"/>
                      <w:bCs w:val="0"/>
                      <w:color w:val="auto"/>
                      <w:szCs w:val="21"/>
                      <w:highlight w:val="none"/>
                    </w:rPr>
                    <w:t>内容</w:t>
                  </w:r>
                </w:p>
              </w:tc>
              <w:tc>
                <w:tcPr>
                  <w:tcW w:w="3718" w:type="pct"/>
                  <w:noWrap w:val="0"/>
                  <w:vAlign w:val="center"/>
                </w:tcPr>
                <w:p w14:paraId="566133EF">
                  <w:pPr>
                    <w:keepNext w:val="0"/>
                    <w:keepLines w:val="0"/>
                    <w:suppressLineNumbers w:val="0"/>
                    <w:spacing w:before="0" w:beforeAutospacing="0" w:after="0" w:afterAutospacing="0"/>
                    <w:ind w:left="0" w:right="0"/>
                    <w:jc w:val="center"/>
                    <w:rPr>
                      <w:rFonts w:hint="eastAsia"/>
                      <w:b w:val="0"/>
                      <w:bCs w:val="0"/>
                      <w:color w:val="auto"/>
                      <w:szCs w:val="21"/>
                      <w:highlight w:val="none"/>
                    </w:rPr>
                  </w:pPr>
                  <w:r>
                    <w:rPr>
                      <w:rFonts w:hint="default"/>
                      <w:b w:val="0"/>
                      <w:bCs w:val="0"/>
                      <w:color w:val="auto"/>
                      <w:szCs w:val="21"/>
                      <w:highlight w:val="none"/>
                    </w:rPr>
                    <w:t>建筑内容及规模</w:t>
                  </w:r>
                </w:p>
              </w:tc>
            </w:tr>
            <w:tr w14:paraId="4B80D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restart"/>
                  <w:noWrap w:val="0"/>
                  <w:vAlign w:val="center"/>
                </w:tcPr>
                <w:p w14:paraId="768AC44A">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主体工程</w:t>
                  </w:r>
                </w:p>
              </w:tc>
              <w:tc>
                <w:tcPr>
                  <w:tcW w:w="770" w:type="pct"/>
                  <w:noWrap w:val="0"/>
                  <w:vAlign w:val="center"/>
                </w:tcPr>
                <w:p w14:paraId="0C42915B">
                  <w:pPr>
                    <w:keepNext w:val="0"/>
                    <w:keepLines w:val="0"/>
                    <w:suppressLineNumbers w:val="0"/>
                    <w:spacing w:before="0" w:beforeAutospacing="0" w:after="0" w:afterAutospacing="0"/>
                    <w:ind w:left="0" w:right="0"/>
                    <w:jc w:val="center"/>
                    <w:rPr>
                      <w:rFonts w:hint="eastAsia"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1#生产车间</w:t>
                  </w:r>
                </w:p>
              </w:tc>
              <w:tc>
                <w:tcPr>
                  <w:tcW w:w="3718" w:type="pct"/>
                  <w:noWrap w:val="0"/>
                  <w:vAlign w:val="center"/>
                </w:tcPr>
                <w:p w14:paraId="29AA566A">
                  <w:pPr>
                    <w:keepNext w:val="0"/>
                    <w:keepLines w:val="0"/>
                    <w:suppressLineNumbers w:val="0"/>
                    <w:spacing w:before="0" w:beforeAutospacing="0" w:after="0" w:afterAutospacing="0"/>
                    <w:ind w:left="0" w:right="0"/>
                    <w:rPr>
                      <w:rFonts w:hint="eastAsia"/>
                      <w:color w:val="auto"/>
                      <w:spacing w:val="-4"/>
                      <w:szCs w:val="21"/>
                      <w:highlight w:val="none"/>
                    </w:rPr>
                  </w:pPr>
                  <w:r>
                    <w:rPr>
                      <w:rFonts w:hint="default"/>
                      <w:snapToGrid w:val="0"/>
                      <w:color w:val="auto"/>
                      <w:kern w:val="0"/>
                      <w:szCs w:val="21"/>
                      <w:highlight w:val="none"/>
                    </w:rPr>
                    <w:t>占地面积</w:t>
                  </w:r>
                  <w:r>
                    <w:rPr>
                      <w:rFonts w:hint="eastAsia"/>
                      <w:snapToGrid w:val="0"/>
                      <w:color w:val="auto"/>
                      <w:kern w:val="0"/>
                      <w:szCs w:val="21"/>
                      <w:highlight w:val="none"/>
                      <w:lang w:val="en-US" w:eastAsia="zh-CN"/>
                    </w:rPr>
                    <w:t>9195.4</w:t>
                  </w:r>
                  <w:r>
                    <w:rPr>
                      <w:rFonts w:hint="default"/>
                      <w:snapToGrid w:val="0"/>
                      <w:color w:val="auto"/>
                      <w:kern w:val="0"/>
                      <w:szCs w:val="21"/>
                      <w:highlight w:val="none"/>
                    </w:rPr>
                    <w:t>m</w:t>
                  </w:r>
                  <w:r>
                    <w:rPr>
                      <w:rFonts w:hint="default"/>
                      <w:snapToGrid w:val="0"/>
                      <w:color w:val="auto"/>
                      <w:kern w:val="0"/>
                      <w:szCs w:val="21"/>
                      <w:highlight w:val="none"/>
                      <w:vertAlign w:val="superscript"/>
                    </w:rPr>
                    <w:t>2</w:t>
                  </w:r>
                  <w:r>
                    <w:rPr>
                      <w:rFonts w:hint="default"/>
                      <w:snapToGrid w:val="0"/>
                      <w:color w:val="auto"/>
                      <w:kern w:val="0"/>
                      <w:szCs w:val="21"/>
                      <w:highlight w:val="none"/>
                    </w:rPr>
                    <w:t>，</w:t>
                  </w:r>
                  <w:r>
                    <w:rPr>
                      <w:rFonts w:hint="eastAsia"/>
                      <w:snapToGrid w:val="0"/>
                      <w:color w:val="auto"/>
                      <w:kern w:val="0"/>
                      <w:szCs w:val="21"/>
                      <w:highlight w:val="none"/>
                      <w:lang w:val="en-US" w:eastAsia="zh-CN"/>
                    </w:rPr>
                    <w:t>建筑面积9195.4</w:t>
                  </w:r>
                  <w:r>
                    <w:rPr>
                      <w:rFonts w:hint="default"/>
                      <w:snapToGrid w:val="0"/>
                      <w:color w:val="auto"/>
                      <w:kern w:val="0"/>
                      <w:szCs w:val="21"/>
                      <w:highlight w:val="none"/>
                    </w:rPr>
                    <w:t>m</w:t>
                  </w:r>
                  <w:r>
                    <w:rPr>
                      <w:rFonts w:hint="default"/>
                      <w:snapToGrid w:val="0"/>
                      <w:color w:val="auto"/>
                      <w:kern w:val="0"/>
                      <w:szCs w:val="21"/>
                      <w:highlight w:val="none"/>
                      <w:vertAlign w:val="superscript"/>
                    </w:rPr>
                    <w:t>2</w:t>
                  </w:r>
                  <w:r>
                    <w:rPr>
                      <w:rFonts w:hint="eastAsia"/>
                      <w:snapToGrid w:val="0"/>
                      <w:color w:val="auto"/>
                      <w:kern w:val="0"/>
                      <w:szCs w:val="21"/>
                      <w:highlight w:val="none"/>
                      <w:lang w:eastAsia="zh-CN"/>
                    </w:rPr>
                    <w:t>，</w:t>
                  </w:r>
                  <w:r>
                    <w:rPr>
                      <w:rFonts w:hint="eastAsia"/>
                      <w:snapToGrid w:val="0"/>
                      <w:color w:val="auto"/>
                      <w:kern w:val="0"/>
                      <w:szCs w:val="21"/>
                      <w:highlight w:val="none"/>
                    </w:rPr>
                    <w:t>高度</w:t>
                  </w:r>
                  <w:r>
                    <w:rPr>
                      <w:rFonts w:hint="eastAsia"/>
                      <w:snapToGrid w:val="0"/>
                      <w:color w:val="auto"/>
                      <w:kern w:val="0"/>
                      <w:szCs w:val="21"/>
                      <w:highlight w:val="none"/>
                      <w:lang w:val="en-US" w:eastAsia="zh-CN"/>
                    </w:rPr>
                    <w:t>10</w:t>
                  </w:r>
                  <w:r>
                    <w:rPr>
                      <w:rFonts w:hint="eastAsia"/>
                      <w:snapToGrid w:val="0"/>
                      <w:color w:val="auto"/>
                      <w:kern w:val="0"/>
                      <w:szCs w:val="21"/>
                      <w:highlight w:val="none"/>
                    </w:rPr>
                    <w:t>m</w:t>
                  </w:r>
                  <w:r>
                    <w:rPr>
                      <w:rFonts w:hint="eastAsia"/>
                      <w:snapToGrid w:val="0"/>
                      <w:color w:val="auto"/>
                      <w:kern w:val="0"/>
                      <w:szCs w:val="21"/>
                      <w:highlight w:val="none"/>
                      <w:lang w:eastAsia="zh-CN"/>
                    </w:rPr>
                    <w:t>，</w:t>
                  </w:r>
                  <w:r>
                    <w:rPr>
                      <w:rFonts w:hint="eastAsia"/>
                      <w:snapToGrid w:val="0"/>
                      <w:color w:val="auto"/>
                      <w:kern w:val="0"/>
                      <w:szCs w:val="21"/>
                      <w:highlight w:val="none"/>
                      <w:lang w:val="en-US" w:eastAsia="zh-CN"/>
                    </w:rPr>
                    <w:t>设置修磨机、无心车床、天车、矫直机、切削车床等设备，用于圆管、圆棒、方钢的剥皮、修磨、切削、矫直工序</w:t>
                  </w:r>
                  <w:r>
                    <w:rPr>
                      <w:rFonts w:hint="eastAsia"/>
                      <w:snapToGrid w:val="0"/>
                      <w:color w:val="auto"/>
                      <w:kern w:val="0"/>
                      <w:szCs w:val="21"/>
                      <w:highlight w:val="none"/>
                    </w:rPr>
                    <w:t>。</w:t>
                  </w:r>
                </w:p>
              </w:tc>
            </w:tr>
            <w:tr w14:paraId="1BEFB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11F88B4B">
                  <w:pPr>
                    <w:keepNext w:val="0"/>
                    <w:keepLines w:val="0"/>
                    <w:suppressLineNumbers w:val="0"/>
                    <w:spacing w:before="0" w:beforeAutospacing="0" w:after="0" w:afterAutospacing="0"/>
                    <w:ind w:left="0" w:right="0"/>
                    <w:jc w:val="center"/>
                    <w:rPr>
                      <w:rFonts w:hint="default"/>
                      <w:color w:val="auto"/>
                      <w:szCs w:val="21"/>
                      <w:highlight w:val="none"/>
                    </w:rPr>
                  </w:pPr>
                </w:p>
              </w:tc>
              <w:tc>
                <w:tcPr>
                  <w:tcW w:w="770" w:type="pct"/>
                  <w:noWrap w:val="0"/>
                  <w:vAlign w:val="center"/>
                </w:tcPr>
                <w:p w14:paraId="7C7EA744">
                  <w:pPr>
                    <w:keepNext w:val="0"/>
                    <w:keepLines w:val="0"/>
                    <w:suppressLineNumbers w:val="0"/>
                    <w:spacing w:before="0" w:beforeAutospacing="0" w:after="0" w:afterAutospacing="0"/>
                    <w:ind w:left="0" w:right="0"/>
                    <w:jc w:val="center"/>
                    <w:rPr>
                      <w:rFonts w:hint="eastAsia"/>
                      <w:snapToGrid w:val="0"/>
                      <w:color w:val="auto"/>
                      <w:kern w:val="0"/>
                      <w:szCs w:val="21"/>
                      <w:highlight w:val="none"/>
                      <w:lang w:val="en-US" w:eastAsia="zh-CN"/>
                    </w:rPr>
                  </w:pPr>
                  <w:r>
                    <w:rPr>
                      <w:rFonts w:hint="eastAsia"/>
                      <w:snapToGrid w:val="0"/>
                      <w:color w:val="auto"/>
                      <w:kern w:val="0"/>
                      <w:szCs w:val="21"/>
                      <w:highlight w:val="none"/>
                      <w:lang w:val="en-US" w:eastAsia="zh-CN"/>
                    </w:rPr>
                    <w:t>2#生产车间</w:t>
                  </w:r>
                </w:p>
              </w:tc>
              <w:tc>
                <w:tcPr>
                  <w:tcW w:w="3718" w:type="pct"/>
                  <w:noWrap w:val="0"/>
                  <w:vAlign w:val="center"/>
                </w:tcPr>
                <w:p w14:paraId="6BA7BBFE">
                  <w:pPr>
                    <w:keepNext w:val="0"/>
                    <w:keepLines w:val="0"/>
                    <w:suppressLineNumbers w:val="0"/>
                    <w:spacing w:before="0" w:beforeAutospacing="0" w:after="0" w:afterAutospacing="0"/>
                    <w:ind w:left="0" w:right="0"/>
                    <w:rPr>
                      <w:rFonts w:hint="default"/>
                      <w:snapToGrid w:val="0"/>
                      <w:color w:val="auto"/>
                      <w:kern w:val="0"/>
                      <w:szCs w:val="21"/>
                      <w:highlight w:val="none"/>
                    </w:rPr>
                  </w:pPr>
                  <w:r>
                    <w:rPr>
                      <w:rFonts w:hint="default"/>
                      <w:snapToGrid w:val="0"/>
                      <w:color w:val="auto"/>
                      <w:kern w:val="0"/>
                      <w:szCs w:val="21"/>
                      <w:highlight w:val="none"/>
                    </w:rPr>
                    <w:t>占地面积</w:t>
                  </w:r>
                  <w:r>
                    <w:rPr>
                      <w:rFonts w:hint="eastAsia"/>
                      <w:snapToGrid w:val="0"/>
                      <w:color w:val="auto"/>
                      <w:kern w:val="0"/>
                      <w:szCs w:val="21"/>
                      <w:highlight w:val="none"/>
                      <w:lang w:val="en-US" w:eastAsia="zh-CN"/>
                    </w:rPr>
                    <w:t>1729.00</w:t>
                  </w:r>
                  <w:r>
                    <w:rPr>
                      <w:rFonts w:hint="default"/>
                      <w:snapToGrid w:val="0"/>
                      <w:color w:val="auto"/>
                      <w:kern w:val="0"/>
                      <w:szCs w:val="21"/>
                      <w:highlight w:val="none"/>
                    </w:rPr>
                    <w:t>m</w:t>
                  </w:r>
                  <w:r>
                    <w:rPr>
                      <w:rFonts w:hint="default"/>
                      <w:snapToGrid w:val="0"/>
                      <w:color w:val="auto"/>
                      <w:kern w:val="0"/>
                      <w:szCs w:val="21"/>
                      <w:highlight w:val="none"/>
                      <w:vertAlign w:val="superscript"/>
                    </w:rPr>
                    <w:t>2</w:t>
                  </w:r>
                  <w:r>
                    <w:rPr>
                      <w:rFonts w:hint="default"/>
                      <w:snapToGrid w:val="0"/>
                      <w:color w:val="auto"/>
                      <w:kern w:val="0"/>
                      <w:szCs w:val="21"/>
                      <w:highlight w:val="none"/>
                    </w:rPr>
                    <w:t>，</w:t>
                  </w:r>
                  <w:r>
                    <w:rPr>
                      <w:rFonts w:hint="eastAsia"/>
                      <w:snapToGrid w:val="0"/>
                      <w:color w:val="auto"/>
                      <w:kern w:val="0"/>
                      <w:szCs w:val="21"/>
                      <w:highlight w:val="none"/>
                      <w:lang w:val="en-US" w:eastAsia="zh-CN"/>
                    </w:rPr>
                    <w:t>建筑面积1729.00</w:t>
                  </w:r>
                  <w:r>
                    <w:rPr>
                      <w:rFonts w:hint="default"/>
                      <w:snapToGrid w:val="0"/>
                      <w:color w:val="auto"/>
                      <w:kern w:val="0"/>
                      <w:szCs w:val="21"/>
                      <w:highlight w:val="none"/>
                    </w:rPr>
                    <w:t>m</w:t>
                  </w:r>
                  <w:r>
                    <w:rPr>
                      <w:rFonts w:hint="default"/>
                      <w:snapToGrid w:val="0"/>
                      <w:color w:val="auto"/>
                      <w:kern w:val="0"/>
                      <w:szCs w:val="21"/>
                      <w:highlight w:val="none"/>
                      <w:vertAlign w:val="superscript"/>
                    </w:rPr>
                    <w:t>2</w:t>
                  </w:r>
                  <w:r>
                    <w:rPr>
                      <w:rFonts w:hint="eastAsia"/>
                      <w:snapToGrid w:val="0"/>
                      <w:color w:val="auto"/>
                      <w:kern w:val="0"/>
                      <w:szCs w:val="21"/>
                      <w:highlight w:val="none"/>
                      <w:lang w:eastAsia="zh-CN"/>
                    </w:rPr>
                    <w:t>，</w:t>
                  </w:r>
                  <w:r>
                    <w:rPr>
                      <w:rFonts w:hint="eastAsia"/>
                      <w:snapToGrid w:val="0"/>
                      <w:color w:val="auto"/>
                      <w:kern w:val="0"/>
                      <w:szCs w:val="21"/>
                      <w:highlight w:val="none"/>
                    </w:rPr>
                    <w:t>高度</w:t>
                  </w:r>
                  <w:r>
                    <w:rPr>
                      <w:rFonts w:hint="eastAsia"/>
                      <w:snapToGrid w:val="0"/>
                      <w:color w:val="auto"/>
                      <w:kern w:val="0"/>
                      <w:szCs w:val="21"/>
                      <w:highlight w:val="none"/>
                      <w:lang w:val="en-US" w:eastAsia="zh-CN"/>
                    </w:rPr>
                    <w:t>10</w:t>
                  </w:r>
                  <w:r>
                    <w:rPr>
                      <w:rFonts w:hint="eastAsia"/>
                      <w:snapToGrid w:val="0"/>
                      <w:color w:val="auto"/>
                      <w:kern w:val="0"/>
                      <w:szCs w:val="21"/>
                      <w:highlight w:val="none"/>
                    </w:rPr>
                    <w:t>m</w:t>
                  </w:r>
                  <w:r>
                    <w:rPr>
                      <w:rFonts w:hint="eastAsia"/>
                      <w:snapToGrid w:val="0"/>
                      <w:color w:val="auto"/>
                      <w:kern w:val="0"/>
                      <w:szCs w:val="21"/>
                      <w:highlight w:val="none"/>
                      <w:lang w:eastAsia="zh-CN"/>
                    </w:rPr>
                    <w:t>，</w:t>
                  </w:r>
                  <w:r>
                    <w:rPr>
                      <w:rFonts w:hint="eastAsia"/>
                      <w:snapToGrid w:val="0"/>
                      <w:color w:val="auto"/>
                      <w:kern w:val="0"/>
                      <w:szCs w:val="21"/>
                      <w:highlight w:val="none"/>
                      <w:lang w:val="en-US" w:eastAsia="zh-CN"/>
                    </w:rPr>
                    <w:t>设置调质炉、天车，用于圆管、圆棒、方钢的调质工序</w:t>
                  </w:r>
                  <w:r>
                    <w:rPr>
                      <w:rFonts w:hint="eastAsia"/>
                      <w:snapToGrid w:val="0"/>
                      <w:color w:val="auto"/>
                      <w:kern w:val="0"/>
                      <w:szCs w:val="21"/>
                      <w:highlight w:val="none"/>
                    </w:rPr>
                    <w:t>。</w:t>
                  </w:r>
                </w:p>
              </w:tc>
            </w:tr>
            <w:tr w14:paraId="041E5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59504304">
                  <w:pPr>
                    <w:keepNext w:val="0"/>
                    <w:keepLines w:val="0"/>
                    <w:suppressLineNumbers w:val="0"/>
                    <w:spacing w:before="0" w:beforeAutospacing="0" w:after="0" w:afterAutospacing="0"/>
                    <w:ind w:left="0" w:right="0"/>
                    <w:jc w:val="center"/>
                    <w:rPr>
                      <w:rFonts w:hint="default"/>
                      <w:color w:val="auto"/>
                      <w:szCs w:val="21"/>
                      <w:highlight w:val="none"/>
                    </w:rPr>
                  </w:pPr>
                </w:p>
              </w:tc>
              <w:tc>
                <w:tcPr>
                  <w:tcW w:w="770" w:type="pct"/>
                  <w:noWrap w:val="0"/>
                  <w:vAlign w:val="center"/>
                </w:tcPr>
                <w:p w14:paraId="522CBB34">
                  <w:pPr>
                    <w:keepNext w:val="0"/>
                    <w:keepLines w:val="0"/>
                    <w:suppressLineNumbers w:val="0"/>
                    <w:spacing w:before="0" w:beforeAutospacing="0" w:after="0" w:afterAutospacing="0"/>
                    <w:ind w:left="0" w:right="0"/>
                    <w:jc w:val="center"/>
                    <w:rPr>
                      <w:rFonts w:hint="eastAsia"/>
                      <w:snapToGrid w:val="0"/>
                      <w:color w:val="auto"/>
                      <w:kern w:val="0"/>
                      <w:szCs w:val="21"/>
                      <w:highlight w:val="none"/>
                      <w:lang w:val="en-US" w:eastAsia="zh-CN"/>
                    </w:rPr>
                  </w:pPr>
                  <w:r>
                    <w:rPr>
                      <w:rFonts w:hint="eastAsia"/>
                      <w:snapToGrid w:val="0"/>
                      <w:color w:val="auto"/>
                      <w:kern w:val="0"/>
                      <w:szCs w:val="21"/>
                      <w:highlight w:val="none"/>
                      <w:lang w:val="en-US" w:eastAsia="zh-CN"/>
                    </w:rPr>
                    <w:t>3#生产车间</w:t>
                  </w:r>
                </w:p>
              </w:tc>
              <w:tc>
                <w:tcPr>
                  <w:tcW w:w="3718" w:type="pct"/>
                  <w:noWrap w:val="0"/>
                  <w:vAlign w:val="center"/>
                </w:tcPr>
                <w:p w14:paraId="4C8F91FD">
                  <w:pPr>
                    <w:keepNext w:val="0"/>
                    <w:keepLines w:val="0"/>
                    <w:suppressLineNumbers w:val="0"/>
                    <w:spacing w:before="0" w:beforeAutospacing="0" w:after="0" w:afterAutospacing="0"/>
                    <w:ind w:left="0" w:right="0"/>
                    <w:rPr>
                      <w:rFonts w:hint="default"/>
                      <w:snapToGrid w:val="0"/>
                      <w:color w:val="auto"/>
                      <w:kern w:val="0"/>
                      <w:szCs w:val="21"/>
                      <w:highlight w:val="none"/>
                    </w:rPr>
                  </w:pPr>
                  <w:r>
                    <w:rPr>
                      <w:rFonts w:hint="default"/>
                      <w:snapToGrid w:val="0"/>
                      <w:color w:val="auto"/>
                      <w:kern w:val="0"/>
                      <w:szCs w:val="21"/>
                      <w:highlight w:val="none"/>
                    </w:rPr>
                    <w:t>占地面积</w:t>
                  </w:r>
                  <w:r>
                    <w:rPr>
                      <w:rFonts w:hint="eastAsia"/>
                      <w:snapToGrid w:val="0"/>
                      <w:color w:val="auto"/>
                      <w:kern w:val="0"/>
                      <w:szCs w:val="21"/>
                      <w:highlight w:val="none"/>
                      <w:lang w:val="en-US" w:eastAsia="zh-CN"/>
                    </w:rPr>
                    <w:t>260</w:t>
                  </w:r>
                  <w:r>
                    <w:rPr>
                      <w:rFonts w:hint="default"/>
                      <w:snapToGrid w:val="0"/>
                      <w:color w:val="auto"/>
                      <w:kern w:val="0"/>
                      <w:szCs w:val="21"/>
                      <w:highlight w:val="none"/>
                    </w:rPr>
                    <w:t>m</w:t>
                  </w:r>
                  <w:r>
                    <w:rPr>
                      <w:rFonts w:hint="default"/>
                      <w:snapToGrid w:val="0"/>
                      <w:color w:val="auto"/>
                      <w:kern w:val="0"/>
                      <w:szCs w:val="21"/>
                      <w:highlight w:val="none"/>
                      <w:vertAlign w:val="superscript"/>
                    </w:rPr>
                    <w:t>2</w:t>
                  </w:r>
                  <w:r>
                    <w:rPr>
                      <w:rFonts w:hint="default"/>
                      <w:snapToGrid w:val="0"/>
                      <w:color w:val="auto"/>
                      <w:kern w:val="0"/>
                      <w:szCs w:val="21"/>
                      <w:highlight w:val="none"/>
                    </w:rPr>
                    <w:t>，</w:t>
                  </w:r>
                  <w:r>
                    <w:rPr>
                      <w:rFonts w:hint="eastAsia"/>
                      <w:snapToGrid w:val="0"/>
                      <w:color w:val="auto"/>
                      <w:kern w:val="0"/>
                      <w:szCs w:val="21"/>
                      <w:highlight w:val="none"/>
                      <w:lang w:val="en-US" w:eastAsia="zh-CN"/>
                    </w:rPr>
                    <w:t>建筑面积260</w:t>
                  </w:r>
                  <w:r>
                    <w:rPr>
                      <w:rFonts w:hint="default"/>
                      <w:snapToGrid w:val="0"/>
                      <w:color w:val="auto"/>
                      <w:kern w:val="0"/>
                      <w:szCs w:val="21"/>
                      <w:highlight w:val="none"/>
                    </w:rPr>
                    <w:t>m</w:t>
                  </w:r>
                  <w:r>
                    <w:rPr>
                      <w:rFonts w:hint="default"/>
                      <w:snapToGrid w:val="0"/>
                      <w:color w:val="auto"/>
                      <w:kern w:val="0"/>
                      <w:szCs w:val="21"/>
                      <w:highlight w:val="none"/>
                      <w:vertAlign w:val="superscript"/>
                    </w:rPr>
                    <w:t>2</w:t>
                  </w:r>
                  <w:r>
                    <w:rPr>
                      <w:rFonts w:hint="eastAsia"/>
                      <w:snapToGrid w:val="0"/>
                      <w:color w:val="auto"/>
                      <w:kern w:val="0"/>
                      <w:szCs w:val="21"/>
                      <w:highlight w:val="none"/>
                      <w:lang w:eastAsia="zh-CN"/>
                    </w:rPr>
                    <w:t>，</w:t>
                  </w:r>
                  <w:r>
                    <w:rPr>
                      <w:rFonts w:hint="eastAsia"/>
                      <w:snapToGrid w:val="0"/>
                      <w:color w:val="auto"/>
                      <w:kern w:val="0"/>
                      <w:szCs w:val="21"/>
                      <w:highlight w:val="none"/>
                    </w:rPr>
                    <w:t>高度</w:t>
                  </w:r>
                  <w:r>
                    <w:rPr>
                      <w:rFonts w:hint="eastAsia"/>
                      <w:snapToGrid w:val="0"/>
                      <w:color w:val="auto"/>
                      <w:kern w:val="0"/>
                      <w:szCs w:val="21"/>
                      <w:highlight w:val="none"/>
                      <w:lang w:val="en-US" w:eastAsia="zh-CN"/>
                    </w:rPr>
                    <w:t>10</w:t>
                  </w:r>
                  <w:r>
                    <w:rPr>
                      <w:rFonts w:hint="eastAsia"/>
                      <w:snapToGrid w:val="0"/>
                      <w:color w:val="auto"/>
                      <w:kern w:val="0"/>
                      <w:szCs w:val="21"/>
                      <w:highlight w:val="none"/>
                    </w:rPr>
                    <w:t>m</w:t>
                  </w:r>
                  <w:r>
                    <w:rPr>
                      <w:rFonts w:hint="eastAsia"/>
                      <w:snapToGrid w:val="0"/>
                      <w:color w:val="auto"/>
                      <w:kern w:val="0"/>
                      <w:szCs w:val="21"/>
                      <w:highlight w:val="none"/>
                      <w:lang w:eastAsia="zh-CN"/>
                    </w:rPr>
                    <w:t>，</w:t>
                  </w:r>
                  <w:r>
                    <w:rPr>
                      <w:rFonts w:hint="eastAsia"/>
                      <w:snapToGrid w:val="0"/>
                      <w:color w:val="auto"/>
                      <w:kern w:val="0"/>
                      <w:szCs w:val="21"/>
                      <w:highlight w:val="none"/>
                      <w:lang w:val="en-US" w:eastAsia="zh-CN"/>
                    </w:rPr>
                    <w:t>设置漏磁相控阵联合探伤超声检测线，用于圆管、圆棒、方钢的超声探伤</w:t>
                  </w:r>
                  <w:r>
                    <w:rPr>
                      <w:rFonts w:hint="eastAsia"/>
                      <w:snapToGrid w:val="0"/>
                      <w:color w:val="auto"/>
                      <w:kern w:val="0"/>
                      <w:szCs w:val="21"/>
                      <w:highlight w:val="none"/>
                    </w:rPr>
                    <w:t>。</w:t>
                  </w:r>
                </w:p>
              </w:tc>
            </w:tr>
            <w:tr w14:paraId="2E315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restart"/>
                  <w:noWrap w:val="0"/>
                  <w:vAlign w:val="center"/>
                </w:tcPr>
                <w:p w14:paraId="0234BB89">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储运工程</w:t>
                  </w:r>
                </w:p>
              </w:tc>
              <w:tc>
                <w:tcPr>
                  <w:tcW w:w="770" w:type="pct"/>
                  <w:shd w:val="clear" w:color="auto" w:fill="auto"/>
                  <w:noWrap w:val="0"/>
                  <w:vAlign w:val="center"/>
                </w:tcPr>
                <w:p w14:paraId="02FF675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cs="Times New Roman"/>
                      <w:snapToGrid w:val="0"/>
                      <w:color w:val="auto"/>
                      <w:kern w:val="0"/>
                      <w:szCs w:val="21"/>
                      <w:highlight w:val="none"/>
                      <w:lang w:val="en-US" w:eastAsia="zh-CN"/>
                    </w:rPr>
                    <w:t>原料区</w:t>
                  </w:r>
                </w:p>
              </w:tc>
              <w:tc>
                <w:tcPr>
                  <w:tcW w:w="3718" w:type="pct"/>
                  <w:shd w:val="clear" w:color="auto" w:fill="auto"/>
                  <w:noWrap w:val="0"/>
                  <w:vAlign w:val="center"/>
                </w:tcPr>
                <w:p w14:paraId="4CD5F341">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位于1#生产车间内划分区域，</w:t>
                  </w:r>
                  <w:r>
                    <w:rPr>
                      <w:rFonts w:hint="eastAsia"/>
                      <w:snapToGrid w:val="0"/>
                      <w:color w:val="auto"/>
                      <w:kern w:val="0"/>
                      <w:szCs w:val="21"/>
                      <w:highlight w:val="none"/>
                    </w:rPr>
                    <w:t>高度</w:t>
                  </w:r>
                  <w:r>
                    <w:rPr>
                      <w:rFonts w:hint="eastAsia"/>
                      <w:snapToGrid w:val="0"/>
                      <w:color w:val="auto"/>
                      <w:kern w:val="0"/>
                      <w:szCs w:val="21"/>
                      <w:highlight w:val="none"/>
                      <w:lang w:val="en-US" w:eastAsia="zh-CN"/>
                    </w:rPr>
                    <w:t>10</w:t>
                  </w:r>
                  <w:r>
                    <w:rPr>
                      <w:rFonts w:hint="eastAsia"/>
                      <w:snapToGrid w:val="0"/>
                      <w:color w:val="auto"/>
                      <w:kern w:val="0"/>
                      <w:szCs w:val="21"/>
                      <w:highlight w:val="none"/>
                    </w:rPr>
                    <w:t>m</w:t>
                  </w:r>
                  <w:r>
                    <w:rPr>
                      <w:rFonts w:hint="default"/>
                      <w:snapToGrid w:val="0"/>
                      <w:color w:val="auto"/>
                      <w:kern w:val="0"/>
                      <w:szCs w:val="21"/>
                      <w:highlight w:val="none"/>
                    </w:rPr>
                    <w:t>，</w:t>
                  </w:r>
                  <w:r>
                    <w:rPr>
                      <w:rFonts w:hint="eastAsia"/>
                      <w:snapToGrid w:val="0"/>
                      <w:color w:val="auto"/>
                      <w:kern w:val="0"/>
                      <w:szCs w:val="21"/>
                      <w:highlight w:val="none"/>
                      <w:lang w:val="en-US" w:eastAsia="zh-CN"/>
                    </w:rPr>
                    <w:t>用于所有原料的暂存。</w:t>
                  </w:r>
                </w:p>
              </w:tc>
            </w:tr>
            <w:tr w14:paraId="46D76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280A0D08">
                  <w:pPr>
                    <w:keepNext w:val="0"/>
                    <w:keepLines w:val="0"/>
                    <w:suppressLineNumbers w:val="0"/>
                    <w:spacing w:before="0" w:beforeAutospacing="0" w:after="0" w:afterAutospacing="0"/>
                    <w:ind w:left="0" w:right="0"/>
                    <w:jc w:val="center"/>
                    <w:rPr>
                      <w:rFonts w:hint="eastAsia"/>
                      <w:color w:val="auto"/>
                      <w:szCs w:val="21"/>
                      <w:highlight w:val="none"/>
                    </w:rPr>
                  </w:pPr>
                </w:p>
              </w:tc>
              <w:tc>
                <w:tcPr>
                  <w:tcW w:w="770" w:type="pct"/>
                  <w:shd w:val="clear" w:color="auto" w:fill="auto"/>
                  <w:noWrap w:val="0"/>
                  <w:vAlign w:val="center"/>
                </w:tcPr>
                <w:p w14:paraId="54FF9CE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napToGrid w:val="0"/>
                      <w:color w:val="auto"/>
                      <w:kern w:val="0"/>
                      <w:szCs w:val="21"/>
                      <w:highlight w:val="none"/>
                      <w:lang w:val="en-US" w:eastAsia="zh-CN"/>
                    </w:rPr>
                  </w:pPr>
                  <w:r>
                    <w:rPr>
                      <w:rFonts w:hint="eastAsia" w:cs="Times New Roman"/>
                      <w:snapToGrid w:val="0"/>
                      <w:color w:val="auto"/>
                      <w:kern w:val="0"/>
                      <w:szCs w:val="21"/>
                      <w:highlight w:val="none"/>
                      <w:lang w:val="en-US" w:eastAsia="zh-CN"/>
                    </w:rPr>
                    <w:t>成品区</w:t>
                  </w:r>
                </w:p>
              </w:tc>
              <w:tc>
                <w:tcPr>
                  <w:tcW w:w="3718" w:type="pct"/>
                  <w:shd w:val="clear" w:color="auto" w:fill="auto"/>
                  <w:noWrap w:val="0"/>
                  <w:vAlign w:val="center"/>
                </w:tcPr>
                <w:p w14:paraId="0DF59B80">
                  <w:pPr>
                    <w:keepNext w:val="0"/>
                    <w:keepLines w:val="0"/>
                    <w:suppressLineNumbers w:val="0"/>
                    <w:spacing w:before="0" w:beforeAutospacing="0" w:after="0" w:afterAutospacing="0"/>
                    <w:ind w:left="0" w:leftChars="0" w:right="0" w:rightChars="0"/>
                    <w:jc w:val="left"/>
                    <w:rPr>
                      <w:rFonts w:hint="default" w:ascii="Times New Roman" w:hAnsi="Times New Roman" w:eastAsia="宋体" w:cs="Times New Roman"/>
                      <w:snapToGrid w:val="0"/>
                      <w:color w:val="auto"/>
                      <w:kern w:val="0"/>
                      <w:szCs w:val="21"/>
                      <w:highlight w:val="none"/>
                      <w:lang w:val="en-US" w:eastAsia="zh-CN"/>
                    </w:rPr>
                  </w:pPr>
                  <w:r>
                    <w:rPr>
                      <w:rFonts w:hint="eastAsia"/>
                      <w:snapToGrid w:val="0"/>
                      <w:color w:val="auto"/>
                      <w:kern w:val="0"/>
                      <w:szCs w:val="21"/>
                      <w:highlight w:val="none"/>
                      <w:lang w:val="en-US" w:eastAsia="zh-CN"/>
                    </w:rPr>
                    <w:t>位于3#生产车间内划分区域</w:t>
                  </w:r>
                  <w:r>
                    <w:rPr>
                      <w:rFonts w:hint="eastAsia"/>
                      <w:snapToGrid w:val="0"/>
                      <w:color w:val="auto"/>
                      <w:kern w:val="0"/>
                      <w:szCs w:val="21"/>
                      <w:highlight w:val="none"/>
                      <w:lang w:eastAsia="zh-CN"/>
                    </w:rPr>
                    <w:t>，</w:t>
                  </w:r>
                  <w:r>
                    <w:rPr>
                      <w:rFonts w:hint="eastAsia"/>
                      <w:snapToGrid w:val="0"/>
                      <w:color w:val="auto"/>
                      <w:kern w:val="0"/>
                      <w:szCs w:val="21"/>
                      <w:highlight w:val="none"/>
                    </w:rPr>
                    <w:t>高度</w:t>
                  </w:r>
                  <w:r>
                    <w:rPr>
                      <w:rFonts w:hint="eastAsia"/>
                      <w:snapToGrid w:val="0"/>
                      <w:color w:val="auto"/>
                      <w:kern w:val="0"/>
                      <w:szCs w:val="21"/>
                      <w:highlight w:val="none"/>
                      <w:lang w:val="en-US" w:eastAsia="zh-CN"/>
                    </w:rPr>
                    <w:t>10</w:t>
                  </w:r>
                  <w:r>
                    <w:rPr>
                      <w:rFonts w:hint="eastAsia"/>
                      <w:snapToGrid w:val="0"/>
                      <w:color w:val="auto"/>
                      <w:kern w:val="0"/>
                      <w:szCs w:val="21"/>
                      <w:highlight w:val="none"/>
                    </w:rPr>
                    <w:t>m</w:t>
                  </w:r>
                  <w:r>
                    <w:rPr>
                      <w:rFonts w:hint="default"/>
                      <w:snapToGrid w:val="0"/>
                      <w:color w:val="auto"/>
                      <w:kern w:val="0"/>
                      <w:szCs w:val="21"/>
                      <w:highlight w:val="none"/>
                    </w:rPr>
                    <w:t>，</w:t>
                  </w:r>
                  <w:r>
                    <w:rPr>
                      <w:rFonts w:hint="eastAsia"/>
                      <w:snapToGrid w:val="0"/>
                      <w:color w:val="auto"/>
                      <w:kern w:val="0"/>
                      <w:szCs w:val="21"/>
                      <w:highlight w:val="none"/>
                      <w:lang w:val="en-US" w:eastAsia="zh-CN"/>
                    </w:rPr>
                    <w:t>用于成品暂存。</w:t>
                  </w:r>
                </w:p>
              </w:tc>
            </w:tr>
            <w:tr w14:paraId="17B53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1B6DBE07">
                  <w:pPr>
                    <w:keepNext w:val="0"/>
                    <w:keepLines w:val="0"/>
                    <w:suppressLineNumbers w:val="0"/>
                    <w:spacing w:before="0" w:beforeAutospacing="0" w:after="0" w:afterAutospacing="0"/>
                    <w:ind w:left="0" w:right="0"/>
                    <w:jc w:val="center"/>
                    <w:rPr>
                      <w:rFonts w:hint="default"/>
                      <w:color w:val="auto"/>
                      <w:szCs w:val="21"/>
                      <w:highlight w:val="none"/>
                    </w:rPr>
                  </w:pPr>
                </w:p>
              </w:tc>
              <w:tc>
                <w:tcPr>
                  <w:tcW w:w="770" w:type="pct"/>
                  <w:shd w:val="clear" w:color="auto" w:fill="auto"/>
                  <w:noWrap w:val="0"/>
                  <w:vAlign w:val="center"/>
                </w:tcPr>
                <w:p w14:paraId="783BEF6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rPr>
                    <w:t>一般固废暂存区</w:t>
                  </w:r>
                </w:p>
              </w:tc>
              <w:tc>
                <w:tcPr>
                  <w:tcW w:w="3718" w:type="pct"/>
                  <w:shd w:val="clear" w:color="auto" w:fill="auto"/>
                  <w:noWrap w:val="0"/>
                  <w:vAlign w:val="center"/>
                </w:tcPr>
                <w:p w14:paraId="45D7BD5F">
                  <w:pPr>
                    <w:keepNext w:val="0"/>
                    <w:keepLines w:val="0"/>
                    <w:suppressLineNumbers w:val="0"/>
                    <w:spacing w:before="0" w:beforeAutospacing="0" w:after="0" w:afterAutospacing="0"/>
                    <w:ind w:left="0" w:leftChars="0" w:right="0" w:rightChars="0"/>
                    <w:rPr>
                      <w:rFonts w:hint="eastAsia" w:ascii="Times New Roman" w:hAnsi="Times New Roman" w:eastAsia="宋体" w:cs="Times New Roman"/>
                      <w:snapToGrid w:val="0"/>
                      <w:color w:val="auto"/>
                      <w:kern w:val="0"/>
                      <w:sz w:val="21"/>
                      <w:szCs w:val="21"/>
                      <w:highlight w:val="none"/>
                      <w:lang w:val="en-US" w:eastAsia="zh-CN" w:bidi="ar-SA"/>
                    </w:rPr>
                  </w:pPr>
                  <w:r>
                    <w:rPr>
                      <w:rFonts w:hint="eastAsia"/>
                      <w:snapToGrid w:val="0"/>
                      <w:color w:val="auto"/>
                      <w:kern w:val="0"/>
                      <w:szCs w:val="21"/>
                      <w:highlight w:val="none"/>
                      <w:lang w:val="en-US" w:eastAsia="zh-CN"/>
                    </w:rPr>
                    <w:t>位于1#生产车间内划分区域，</w:t>
                  </w:r>
                  <w:r>
                    <w:rPr>
                      <w:rFonts w:hint="eastAsia"/>
                      <w:snapToGrid w:val="0"/>
                      <w:color w:val="auto"/>
                      <w:kern w:val="0"/>
                      <w:szCs w:val="21"/>
                      <w:highlight w:val="none"/>
                    </w:rPr>
                    <w:t>高度</w:t>
                  </w:r>
                  <w:r>
                    <w:rPr>
                      <w:rFonts w:hint="eastAsia"/>
                      <w:snapToGrid w:val="0"/>
                      <w:color w:val="auto"/>
                      <w:kern w:val="0"/>
                      <w:szCs w:val="21"/>
                      <w:highlight w:val="none"/>
                      <w:lang w:val="en-US" w:eastAsia="zh-CN"/>
                    </w:rPr>
                    <w:t>10</w:t>
                  </w:r>
                  <w:r>
                    <w:rPr>
                      <w:rFonts w:hint="eastAsia"/>
                      <w:snapToGrid w:val="0"/>
                      <w:color w:val="auto"/>
                      <w:kern w:val="0"/>
                      <w:szCs w:val="21"/>
                      <w:highlight w:val="none"/>
                    </w:rPr>
                    <w:t>m，用于一般固废暂存。</w:t>
                  </w:r>
                </w:p>
              </w:tc>
            </w:tr>
            <w:tr w14:paraId="3AAB2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3B068B1A">
                  <w:pPr>
                    <w:keepNext w:val="0"/>
                    <w:keepLines w:val="0"/>
                    <w:suppressLineNumbers w:val="0"/>
                    <w:spacing w:before="0" w:beforeAutospacing="0" w:after="0" w:afterAutospacing="0"/>
                    <w:ind w:left="0" w:right="0"/>
                    <w:jc w:val="center"/>
                    <w:rPr>
                      <w:rFonts w:hint="default"/>
                      <w:color w:val="auto"/>
                      <w:szCs w:val="21"/>
                      <w:highlight w:val="none"/>
                    </w:rPr>
                  </w:pPr>
                </w:p>
              </w:tc>
              <w:tc>
                <w:tcPr>
                  <w:tcW w:w="770" w:type="pct"/>
                  <w:noWrap w:val="0"/>
                  <w:vAlign w:val="center"/>
                </w:tcPr>
                <w:p w14:paraId="566AF2DA">
                  <w:pPr>
                    <w:keepNext w:val="0"/>
                    <w:keepLines w:val="0"/>
                    <w:suppressLineNumbers w:val="0"/>
                    <w:spacing w:before="0" w:beforeAutospacing="0" w:after="0" w:afterAutospacing="0"/>
                    <w:ind w:left="0" w:right="0"/>
                    <w:jc w:val="center"/>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输送系统</w:t>
                  </w:r>
                </w:p>
              </w:tc>
              <w:tc>
                <w:tcPr>
                  <w:tcW w:w="3718" w:type="pct"/>
                  <w:noWrap w:val="0"/>
                  <w:vAlign w:val="center"/>
                </w:tcPr>
                <w:p w14:paraId="4D4E79A7">
                  <w:pPr>
                    <w:keepNext w:val="0"/>
                    <w:keepLines w:val="0"/>
                    <w:suppressLineNumbers w:val="0"/>
                    <w:spacing w:before="0" w:beforeAutospacing="0" w:after="0" w:afterAutospacing="0"/>
                    <w:ind w:left="0" w:right="0"/>
                    <w:rPr>
                      <w:rFonts w:hint="default" w:eastAsia="宋体"/>
                      <w:snapToGrid w:val="0"/>
                      <w:color w:val="auto"/>
                      <w:kern w:val="0"/>
                      <w:szCs w:val="21"/>
                      <w:highlight w:val="none"/>
                      <w:lang w:val="en-US" w:eastAsia="zh-CN"/>
                    </w:rPr>
                  </w:pPr>
                  <w:r>
                    <w:rPr>
                      <w:rFonts w:hint="eastAsia"/>
                      <w:snapToGrid w:val="0"/>
                      <w:color w:val="auto"/>
                      <w:kern w:val="0"/>
                      <w:szCs w:val="21"/>
                      <w:highlight w:val="none"/>
                      <w:lang w:val="en-US" w:eastAsia="zh-CN"/>
                    </w:rPr>
                    <w:t>项目原料及产品厂外运输均采用汽车运输；厂内运输采用天车。</w:t>
                  </w:r>
                </w:p>
              </w:tc>
            </w:tr>
            <w:tr w14:paraId="5BBCE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noWrap w:val="0"/>
                  <w:vAlign w:val="center"/>
                </w:tcPr>
                <w:p w14:paraId="2E8709CB">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辅助工程</w:t>
                  </w:r>
                </w:p>
              </w:tc>
              <w:tc>
                <w:tcPr>
                  <w:tcW w:w="770" w:type="pct"/>
                  <w:noWrap w:val="0"/>
                  <w:vAlign w:val="center"/>
                </w:tcPr>
                <w:p w14:paraId="0EB5755A">
                  <w:pPr>
                    <w:keepNext w:val="0"/>
                    <w:keepLines w:val="0"/>
                    <w:suppressLineNumbers w:val="0"/>
                    <w:spacing w:before="0" w:beforeAutospacing="0" w:after="0" w:afterAutospacing="0"/>
                    <w:ind w:left="0" w:right="0"/>
                    <w:jc w:val="center"/>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办公室</w:t>
                  </w:r>
                </w:p>
              </w:tc>
              <w:tc>
                <w:tcPr>
                  <w:tcW w:w="3718" w:type="pct"/>
                  <w:noWrap w:val="0"/>
                  <w:vAlign w:val="center"/>
                </w:tcPr>
                <w:p w14:paraId="173D3B99">
                  <w:pPr>
                    <w:keepNext w:val="0"/>
                    <w:keepLines w:val="0"/>
                    <w:suppressLineNumbers w:val="0"/>
                    <w:spacing w:before="0" w:beforeAutospacing="0" w:after="0" w:afterAutospacing="0"/>
                    <w:ind w:left="0" w:right="0"/>
                    <w:rPr>
                      <w:rFonts w:hint="default"/>
                      <w:snapToGrid w:val="0"/>
                      <w:color w:val="auto"/>
                      <w:kern w:val="0"/>
                      <w:szCs w:val="21"/>
                      <w:highlight w:val="none"/>
                      <w:lang w:val="en-US" w:eastAsia="zh-CN"/>
                    </w:rPr>
                  </w:pPr>
                  <w:r>
                    <w:rPr>
                      <w:rFonts w:hint="eastAsia"/>
                      <w:snapToGrid w:val="0"/>
                      <w:color w:val="auto"/>
                      <w:kern w:val="0"/>
                      <w:szCs w:val="21"/>
                      <w:highlight w:val="none"/>
                      <w:lang w:val="en-US" w:eastAsia="zh-CN"/>
                    </w:rPr>
                    <w:t>占地面积387</w:t>
                  </w:r>
                  <w:r>
                    <w:rPr>
                      <w:rFonts w:hint="default"/>
                      <w:snapToGrid w:val="0"/>
                      <w:color w:val="auto"/>
                      <w:kern w:val="0"/>
                      <w:szCs w:val="21"/>
                      <w:highlight w:val="none"/>
                    </w:rPr>
                    <w:t>m</w:t>
                  </w:r>
                  <w:r>
                    <w:rPr>
                      <w:rFonts w:hint="default"/>
                      <w:snapToGrid w:val="0"/>
                      <w:color w:val="auto"/>
                      <w:kern w:val="0"/>
                      <w:szCs w:val="21"/>
                      <w:highlight w:val="none"/>
                      <w:vertAlign w:val="superscript"/>
                    </w:rPr>
                    <w:t>2</w:t>
                  </w:r>
                  <w:r>
                    <w:rPr>
                      <w:rFonts w:hint="default"/>
                      <w:snapToGrid w:val="0"/>
                      <w:color w:val="auto"/>
                      <w:kern w:val="0"/>
                      <w:szCs w:val="21"/>
                      <w:highlight w:val="none"/>
                    </w:rPr>
                    <w:t>，</w:t>
                  </w:r>
                  <w:r>
                    <w:rPr>
                      <w:rFonts w:hint="eastAsia"/>
                      <w:snapToGrid w:val="0"/>
                      <w:color w:val="auto"/>
                      <w:kern w:val="0"/>
                      <w:szCs w:val="21"/>
                      <w:highlight w:val="none"/>
                      <w:lang w:val="en-US" w:eastAsia="zh-CN"/>
                    </w:rPr>
                    <w:t>建筑面积387</w:t>
                  </w:r>
                  <w:r>
                    <w:rPr>
                      <w:rFonts w:hint="default"/>
                      <w:snapToGrid w:val="0"/>
                      <w:color w:val="auto"/>
                      <w:kern w:val="0"/>
                      <w:szCs w:val="21"/>
                      <w:highlight w:val="none"/>
                    </w:rPr>
                    <w:t>m</w:t>
                  </w:r>
                  <w:r>
                    <w:rPr>
                      <w:rFonts w:hint="default"/>
                      <w:snapToGrid w:val="0"/>
                      <w:color w:val="auto"/>
                      <w:kern w:val="0"/>
                      <w:szCs w:val="21"/>
                      <w:highlight w:val="none"/>
                      <w:vertAlign w:val="superscript"/>
                    </w:rPr>
                    <w:t>2</w:t>
                  </w:r>
                  <w:r>
                    <w:rPr>
                      <w:rFonts w:hint="eastAsia"/>
                      <w:snapToGrid w:val="0"/>
                      <w:color w:val="auto"/>
                      <w:kern w:val="0"/>
                      <w:szCs w:val="21"/>
                      <w:highlight w:val="none"/>
                      <w:lang w:eastAsia="zh-CN"/>
                    </w:rPr>
                    <w:t>，</w:t>
                  </w:r>
                  <w:r>
                    <w:rPr>
                      <w:rFonts w:hint="eastAsia"/>
                      <w:snapToGrid w:val="0"/>
                      <w:color w:val="auto"/>
                      <w:kern w:val="0"/>
                      <w:szCs w:val="21"/>
                      <w:highlight w:val="none"/>
                    </w:rPr>
                    <w:t>高度</w:t>
                  </w:r>
                  <w:r>
                    <w:rPr>
                      <w:rFonts w:hint="eastAsia"/>
                      <w:snapToGrid w:val="0"/>
                      <w:color w:val="auto"/>
                      <w:kern w:val="0"/>
                      <w:szCs w:val="21"/>
                      <w:highlight w:val="none"/>
                      <w:lang w:val="en-US" w:eastAsia="zh-CN"/>
                    </w:rPr>
                    <w:t>4.5</w:t>
                  </w:r>
                  <w:r>
                    <w:rPr>
                      <w:rFonts w:hint="eastAsia"/>
                      <w:snapToGrid w:val="0"/>
                      <w:color w:val="auto"/>
                      <w:kern w:val="0"/>
                      <w:szCs w:val="21"/>
                      <w:highlight w:val="none"/>
                    </w:rPr>
                    <w:t>m</w:t>
                  </w:r>
                  <w:r>
                    <w:rPr>
                      <w:rFonts w:hint="eastAsia"/>
                      <w:snapToGrid w:val="0"/>
                      <w:color w:val="auto"/>
                      <w:kern w:val="0"/>
                      <w:szCs w:val="21"/>
                      <w:highlight w:val="none"/>
                      <w:lang w:eastAsia="zh-CN"/>
                    </w:rPr>
                    <w:t>，</w:t>
                  </w:r>
                  <w:r>
                    <w:rPr>
                      <w:rFonts w:hint="eastAsia"/>
                      <w:snapToGrid w:val="0"/>
                      <w:color w:val="auto"/>
                      <w:kern w:val="0"/>
                      <w:szCs w:val="21"/>
                      <w:highlight w:val="none"/>
                      <w:lang w:val="en-US" w:eastAsia="zh-CN"/>
                    </w:rPr>
                    <w:t>用于职工办公。</w:t>
                  </w:r>
                </w:p>
              </w:tc>
            </w:tr>
            <w:tr w14:paraId="7FD43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restart"/>
                  <w:noWrap w:val="0"/>
                  <w:vAlign w:val="center"/>
                </w:tcPr>
                <w:p w14:paraId="74AF7A12">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公用工程</w:t>
                  </w:r>
                </w:p>
              </w:tc>
              <w:tc>
                <w:tcPr>
                  <w:tcW w:w="770" w:type="pct"/>
                  <w:noWrap w:val="0"/>
                  <w:vAlign w:val="center"/>
                </w:tcPr>
                <w:p w14:paraId="1401B22F">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给水</w:t>
                  </w:r>
                </w:p>
              </w:tc>
              <w:tc>
                <w:tcPr>
                  <w:tcW w:w="3718" w:type="pct"/>
                  <w:noWrap w:val="0"/>
                  <w:vAlign w:val="center"/>
                </w:tcPr>
                <w:p w14:paraId="66585943">
                  <w:pPr>
                    <w:keepNext w:val="0"/>
                    <w:keepLines w:val="0"/>
                    <w:suppressLineNumbers w:val="0"/>
                    <w:spacing w:before="0" w:beforeAutospacing="0" w:after="0" w:afterAutospacing="0"/>
                    <w:ind w:left="0" w:right="0"/>
                    <w:rPr>
                      <w:rFonts w:hint="eastAsia"/>
                      <w:snapToGrid w:val="0"/>
                      <w:color w:val="auto"/>
                      <w:kern w:val="0"/>
                      <w:szCs w:val="21"/>
                      <w:highlight w:val="none"/>
                    </w:rPr>
                  </w:pPr>
                  <w:r>
                    <w:rPr>
                      <w:rFonts w:hint="eastAsia"/>
                      <w:snapToGrid w:val="0"/>
                      <w:color w:val="auto"/>
                      <w:kern w:val="0"/>
                      <w:szCs w:val="21"/>
                      <w:highlight w:val="none"/>
                    </w:rPr>
                    <w:t>项目用水</w:t>
                  </w:r>
                  <w:r>
                    <w:rPr>
                      <w:rFonts w:hint="eastAsia"/>
                      <w:snapToGrid w:val="0"/>
                      <w:color w:val="auto"/>
                      <w:kern w:val="0"/>
                      <w:szCs w:val="21"/>
                      <w:highlight w:val="none"/>
                      <w:lang w:eastAsia="zh-CN"/>
                    </w:rPr>
                    <w:t>由园区供水管网提供</w:t>
                  </w:r>
                  <w:r>
                    <w:rPr>
                      <w:rFonts w:hint="eastAsia"/>
                      <w:snapToGrid w:val="0"/>
                      <w:color w:val="auto"/>
                      <w:kern w:val="0"/>
                      <w:szCs w:val="21"/>
                      <w:highlight w:val="none"/>
                    </w:rPr>
                    <w:t>。</w:t>
                  </w:r>
                </w:p>
              </w:tc>
            </w:tr>
            <w:tr w14:paraId="20040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339ED19B">
                  <w:pPr>
                    <w:keepNext w:val="0"/>
                    <w:keepLines w:val="0"/>
                    <w:suppressLineNumbers w:val="0"/>
                    <w:spacing w:before="0" w:beforeAutospacing="0" w:after="0" w:afterAutospacing="0"/>
                    <w:ind w:left="0" w:right="0"/>
                    <w:jc w:val="center"/>
                    <w:rPr>
                      <w:rFonts w:hint="default"/>
                      <w:color w:val="auto"/>
                      <w:szCs w:val="21"/>
                      <w:highlight w:val="none"/>
                    </w:rPr>
                  </w:pPr>
                </w:p>
              </w:tc>
              <w:tc>
                <w:tcPr>
                  <w:tcW w:w="770" w:type="pct"/>
                  <w:noWrap w:val="0"/>
                  <w:vAlign w:val="center"/>
                </w:tcPr>
                <w:p w14:paraId="44E385A6">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排水</w:t>
                  </w:r>
                </w:p>
              </w:tc>
              <w:tc>
                <w:tcPr>
                  <w:tcW w:w="3718" w:type="pct"/>
                  <w:noWrap w:val="0"/>
                  <w:vAlign w:val="center"/>
                </w:tcPr>
                <w:p w14:paraId="4CAB4421">
                  <w:pPr>
                    <w:keepNext w:val="0"/>
                    <w:keepLines w:val="0"/>
                    <w:suppressLineNumbers w:val="0"/>
                    <w:spacing w:before="0" w:beforeAutospacing="0" w:after="0" w:afterAutospacing="0"/>
                    <w:ind w:left="0" w:right="0"/>
                    <w:rPr>
                      <w:rFonts w:hint="eastAsia"/>
                      <w:color w:val="auto"/>
                      <w:szCs w:val="21"/>
                      <w:highlight w:val="none"/>
                    </w:rPr>
                  </w:pPr>
                  <w:r>
                    <w:rPr>
                      <w:rFonts w:hint="eastAsia"/>
                      <w:snapToGrid w:val="0"/>
                      <w:color w:val="auto"/>
                      <w:kern w:val="0"/>
                      <w:szCs w:val="21"/>
                      <w:highlight w:val="none"/>
                      <w:lang w:eastAsia="zh-CN"/>
                    </w:rPr>
                    <w:t>本项目生产废水全部回用不外排，生活污水经化粪池处理后定期由吸粪车抽走</w:t>
                  </w:r>
                  <w:r>
                    <w:rPr>
                      <w:rFonts w:hint="eastAsia"/>
                      <w:snapToGrid w:val="0"/>
                      <w:color w:val="auto"/>
                      <w:kern w:val="0"/>
                      <w:szCs w:val="21"/>
                      <w:highlight w:val="none"/>
                    </w:rPr>
                    <w:t>。</w:t>
                  </w:r>
                </w:p>
              </w:tc>
            </w:tr>
            <w:tr w14:paraId="6708C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75A6FBB4">
                  <w:pPr>
                    <w:keepNext w:val="0"/>
                    <w:keepLines w:val="0"/>
                    <w:suppressLineNumbers w:val="0"/>
                    <w:spacing w:before="0" w:beforeAutospacing="0" w:after="0" w:afterAutospacing="0"/>
                    <w:ind w:left="0" w:right="0"/>
                    <w:jc w:val="center"/>
                    <w:rPr>
                      <w:rFonts w:hint="default"/>
                      <w:color w:val="auto"/>
                      <w:szCs w:val="21"/>
                      <w:highlight w:val="none"/>
                    </w:rPr>
                  </w:pPr>
                </w:p>
              </w:tc>
              <w:tc>
                <w:tcPr>
                  <w:tcW w:w="770" w:type="pct"/>
                  <w:noWrap w:val="0"/>
                  <w:vAlign w:val="center"/>
                </w:tcPr>
                <w:p w14:paraId="0978F45C">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供电</w:t>
                  </w:r>
                </w:p>
              </w:tc>
              <w:tc>
                <w:tcPr>
                  <w:tcW w:w="3718" w:type="pct"/>
                  <w:noWrap w:val="0"/>
                  <w:vAlign w:val="center"/>
                </w:tcPr>
                <w:p w14:paraId="36845AF6">
                  <w:pPr>
                    <w:keepNext w:val="0"/>
                    <w:keepLines w:val="0"/>
                    <w:suppressLineNumbers w:val="0"/>
                    <w:spacing w:before="0" w:beforeAutospacing="0" w:after="0" w:afterAutospacing="0"/>
                    <w:ind w:left="0" w:right="0"/>
                    <w:rPr>
                      <w:rFonts w:hint="eastAsia"/>
                      <w:color w:val="auto"/>
                      <w:szCs w:val="21"/>
                      <w:highlight w:val="none"/>
                    </w:rPr>
                  </w:pPr>
                  <w:r>
                    <w:rPr>
                      <w:rFonts w:hint="eastAsia"/>
                      <w:color w:val="auto"/>
                      <w:szCs w:val="21"/>
                      <w:highlight w:val="none"/>
                    </w:rPr>
                    <w:t>项目用电</w:t>
                  </w:r>
                  <w:r>
                    <w:rPr>
                      <w:rFonts w:hint="eastAsia"/>
                      <w:color w:val="auto"/>
                      <w:szCs w:val="21"/>
                      <w:highlight w:val="none"/>
                      <w:lang w:eastAsia="zh-CN"/>
                    </w:rPr>
                    <w:t>由园区供电管网</w:t>
                  </w:r>
                  <w:r>
                    <w:rPr>
                      <w:rFonts w:hint="eastAsia"/>
                      <w:color w:val="auto"/>
                      <w:szCs w:val="21"/>
                      <w:highlight w:val="none"/>
                    </w:rPr>
                    <w:t>。</w:t>
                  </w:r>
                </w:p>
              </w:tc>
            </w:tr>
            <w:tr w14:paraId="05C26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25DF0F99">
                  <w:pPr>
                    <w:keepNext w:val="0"/>
                    <w:keepLines w:val="0"/>
                    <w:suppressLineNumbers w:val="0"/>
                    <w:spacing w:before="0" w:beforeAutospacing="0" w:after="0" w:afterAutospacing="0"/>
                    <w:ind w:left="0" w:right="0"/>
                    <w:jc w:val="center"/>
                    <w:rPr>
                      <w:rFonts w:hint="default"/>
                      <w:color w:val="auto"/>
                      <w:szCs w:val="21"/>
                      <w:highlight w:val="none"/>
                    </w:rPr>
                  </w:pPr>
                </w:p>
              </w:tc>
              <w:tc>
                <w:tcPr>
                  <w:tcW w:w="770" w:type="pct"/>
                  <w:noWrap w:val="0"/>
                  <w:vAlign w:val="center"/>
                </w:tcPr>
                <w:p w14:paraId="27F97CEC">
                  <w:pPr>
                    <w:keepNext w:val="0"/>
                    <w:keepLines w:val="0"/>
                    <w:suppressLineNumbers w:val="0"/>
                    <w:spacing w:before="0" w:beforeAutospacing="0" w:after="0" w:afterAutospacing="0"/>
                    <w:ind w:left="0" w:right="0"/>
                    <w:jc w:val="center"/>
                    <w:rPr>
                      <w:rFonts w:hint="eastAsia"/>
                      <w:color w:val="auto"/>
                      <w:szCs w:val="21"/>
                      <w:highlight w:val="none"/>
                    </w:rPr>
                  </w:pPr>
                  <w:r>
                    <w:rPr>
                      <w:rFonts w:hint="eastAsia"/>
                      <w:color w:val="auto"/>
                      <w:szCs w:val="21"/>
                      <w:highlight w:val="none"/>
                    </w:rPr>
                    <w:t>供热及制冷</w:t>
                  </w:r>
                </w:p>
              </w:tc>
              <w:tc>
                <w:tcPr>
                  <w:tcW w:w="3718" w:type="pct"/>
                  <w:noWrap w:val="0"/>
                  <w:vAlign w:val="center"/>
                </w:tcPr>
                <w:p w14:paraId="1B01FE65">
                  <w:pPr>
                    <w:keepNext w:val="0"/>
                    <w:keepLines w:val="0"/>
                    <w:suppressLineNumbers w:val="0"/>
                    <w:spacing w:before="0" w:beforeAutospacing="0" w:after="0" w:afterAutospacing="0"/>
                    <w:ind w:left="0" w:right="0"/>
                    <w:rPr>
                      <w:rFonts w:hint="eastAsia"/>
                      <w:color w:val="auto"/>
                      <w:szCs w:val="21"/>
                      <w:highlight w:val="none"/>
                    </w:rPr>
                  </w:pPr>
                  <w:r>
                    <w:rPr>
                      <w:rFonts w:hint="eastAsia"/>
                      <w:color w:val="auto"/>
                      <w:szCs w:val="21"/>
                      <w:highlight w:val="none"/>
                      <w:lang w:eastAsia="zh-CN"/>
                    </w:rPr>
                    <w:t>项目生产采用电加热</w:t>
                  </w:r>
                  <w:r>
                    <w:rPr>
                      <w:rFonts w:hint="eastAsia"/>
                      <w:color w:val="auto"/>
                      <w:szCs w:val="21"/>
                      <w:highlight w:val="none"/>
                    </w:rPr>
                    <w:t>，</w:t>
                  </w:r>
                  <w:r>
                    <w:rPr>
                      <w:rFonts w:hint="default"/>
                      <w:color w:val="auto"/>
                      <w:szCs w:val="21"/>
                      <w:highlight w:val="none"/>
                    </w:rPr>
                    <w:t>职工日常办公生活供暖</w:t>
                  </w:r>
                  <w:r>
                    <w:rPr>
                      <w:rFonts w:hint="eastAsia"/>
                      <w:color w:val="auto"/>
                      <w:szCs w:val="21"/>
                      <w:highlight w:val="none"/>
                    </w:rPr>
                    <w:t>、</w:t>
                  </w:r>
                  <w:r>
                    <w:rPr>
                      <w:rFonts w:hint="eastAsia"/>
                      <w:snapToGrid w:val="0"/>
                      <w:color w:val="auto"/>
                      <w:kern w:val="0"/>
                      <w:szCs w:val="21"/>
                      <w:highlight w:val="none"/>
                    </w:rPr>
                    <w:t>制冷均</w:t>
                  </w:r>
                  <w:r>
                    <w:rPr>
                      <w:rFonts w:hint="eastAsia"/>
                      <w:color w:val="auto"/>
                      <w:szCs w:val="21"/>
                      <w:highlight w:val="none"/>
                    </w:rPr>
                    <w:t>由</w:t>
                  </w:r>
                  <w:r>
                    <w:rPr>
                      <w:rFonts w:hint="default"/>
                      <w:color w:val="auto"/>
                      <w:szCs w:val="21"/>
                      <w:highlight w:val="none"/>
                    </w:rPr>
                    <w:t>空调</w:t>
                  </w:r>
                  <w:r>
                    <w:rPr>
                      <w:rFonts w:hint="eastAsia"/>
                      <w:color w:val="auto"/>
                      <w:szCs w:val="21"/>
                      <w:highlight w:val="none"/>
                    </w:rPr>
                    <w:t>提供。</w:t>
                  </w:r>
                </w:p>
              </w:tc>
            </w:tr>
            <w:tr w14:paraId="6D3CB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restart"/>
                  <w:noWrap w:val="0"/>
                  <w:vAlign w:val="center"/>
                </w:tcPr>
                <w:p w14:paraId="6998751A">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环保工程</w:t>
                  </w:r>
                </w:p>
              </w:tc>
              <w:tc>
                <w:tcPr>
                  <w:tcW w:w="770" w:type="pct"/>
                  <w:noWrap w:val="0"/>
                  <w:vAlign w:val="center"/>
                </w:tcPr>
                <w:p w14:paraId="2781A3F4">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废气治理</w:t>
                  </w:r>
                </w:p>
              </w:tc>
              <w:tc>
                <w:tcPr>
                  <w:tcW w:w="3718" w:type="pct"/>
                  <w:noWrap w:val="0"/>
                  <w:vAlign w:val="center"/>
                </w:tcPr>
                <w:p w14:paraId="23421FCC">
                  <w:pPr>
                    <w:keepNext w:val="0"/>
                    <w:keepLines w:val="0"/>
                    <w:suppressLineNumbers w:val="0"/>
                    <w:spacing w:before="0" w:beforeAutospacing="0" w:after="0" w:afterAutospacing="0"/>
                    <w:ind w:left="0" w:right="0"/>
                    <w:rPr>
                      <w:rFonts w:hint="eastAsia" w:eastAsia="宋体"/>
                      <w:b/>
                      <w:bCs/>
                      <w:color w:val="auto"/>
                      <w:szCs w:val="21"/>
                      <w:highlight w:val="none"/>
                      <w:lang w:eastAsia="zh-CN"/>
                    </w:rPr>
                  </w:pPr>
                  <w:r>
                    <w:rPr>
                      <w:rFonts w:hint="default"/>
                      <w:b/>
                      <w:bCs/>
                      <w:color w:val="auto"/>
                      <w:szCs w:val="21"/>
                      <w:highlight w:val="none"/>
                    </w:rPr>
                    <w:t>有组织</w:t>
                  </w:r>
                  <w:r>
                    <w:rPr>
                      <w:rFonts w:hint="eastAsia"/>
                      <w:b/>
                      <w:bCs/>
                      <w:color w:val="auto"/>
                      <w:szCs w:val="21"/>
                      <w:highlight w:val="none"/>
                      <w:lang w:eastAsia="zh-CN"/>
                    </w:rPr>
                    <w:t>：</w:t>
                  </w:r>
                </w:p>
                <w:p w14:paraId="5A1535B3">
                  <w:pPr>
                    <w:keepNext w:val="0"/>
                    <w:keepLines w:val="0"/>
                    <w:widowControl/>
                    <w:suppressLineNumbers w:val="0"/>
                    <w:adjustRightInd w:val="0"/>
                    <w:snapToGrid w:val="0"/>
                    <w:spacing w:before="0" w:beforeAutospacing="0" w:after="0" w:afterAutospacing="0"/>
                    <w:ind w:left="0" w:right="0"/>
                    <w:rPr>
                      <w:rFonts w:hint="eastAsia"/>
                      <w:color w:val="auto"/>
                      <w:szCs w:val="21"/>
                      <w:highlight w:val="none"/>
                    </w:rPr>
                  </w:pPr>
                  <w:r>
                    <w:rPr>
                      <w:rFonts w:hint="eastAsia"/>
                      <w:bCs/>
                      <w:color w:val="auto"/>
                      <w:kern w:val="0"/>
                      <w:szCs w:val="21"/>
                      <w:highlight w:val="none"/>
                      <w:lang w:eastAsia="zh-CN"/>
                    </w:rPr>
                    <w:t>修磨废气经</w:t>
                  </w:r>
                  <w:r>
                    <w:rPr>
                      <w:rFonts w:hint="eastAsia"/>
                      <w:bCs/>
                      <w:color w:val="auto"/>
                      <w:kern w:val="0"/>
                      <w:szCs w:val="21"/>
                      <w:highlight w:val="none"/>
                      <w:lang w:val="en-US" w:eastAsia="zh-CN"/>
                    </w:rPr>
                    <w:t>集气罩收集后由5套“脉冲布袋除尘器+15m高排气筒”排放</w:t>
                  </w:r>
                  <w:r>
                    <w:rPr>
                      <w:rFonts w:hint="eastAsia"/>
                      <w:color w:val="auto"/>
                      <w:szCs w:val="21"/>
                      <w:highlight w:val="none"/>
                    </w:rPr>
                    <w:t>；</w:t>
                  </w:r>
                </w:p>
                <w:p w14:paraId="03F27C0F">
                  <w:pPr>
                    <w:keepNext w:val="0"/>
                    <w:keepLines w:val="0"/>
                    <w:widowControl/>
                    <w:suppressLineNumbers w:val="0"/>
                    <w:adjustRightInd w:val="0"/>
                    <w:snapToGrid w:val="0"/>
                    <w:spacing w:before="0" w:beforeAutospacing="0" w:after="0" w:afterAutospacing="0"/>
                    <w:ind w:left="0" w:right="0"/>
                    <w:rPr>
                      <w:rFonts w:hint="eastAsia" w:eastAsia="宋体"/>
                      <w:b/>
                      <w:bCs/>
                      <w:snapToGrid w:val="0"/>
                      <w:color w:val="auto"/>
                      <w:kern w:val="0"/>
                      <w:szCs w:val="21"/>
                      <w:highlight w:val="none"/>
                      <w:lang w:eastAsia="zh-CN"/>
                    </w:rPr>
                  </w:pPr>
                  <w:r>
                    <w:rPr>
                      <w:rFonts w:hint="eastAsia"/>
                      <w:b/>
                      <w:bCs/>
                      <w:snapToGrid w:val="0"/>
                      <w:color w:val="auto"/>
                      <w:kern w:val="0"/>
                      <w:szCs w:val="21"/>
                      <w:highlight w:val="none"/>
                    </w:rPr>
                    <w:t>无组织</w:t>
                  </w:r>
                  <w:r>
                    <w:rPr>
                      <w:rFonts w:hint="eastAsia"/>
                      <w:b/>
                      <w:bCs/>
                      <w:snapToGrid w:val="0"/>
                      <w:color w:val="auto"/>
                      <w:kern w:val="0"/>
                      <w:szCs w:val="21"/>
                      <w:highlight w:val="none"/>
                      <w:lang w:eastAsia="zh-CN"/>
                    </w:rPr>
                    <w:t>：</w:t>
                  </w:r>
                </w:p>
                <w:p w14:paraId="27B22286">
                  <w:pPr>
                    <w:keepNext w:val="0"/>
                    <w:keepLines w:val="0"/>
                    <w:widowControl/>
                    <w:suppressLineNumbers w:val="0"/>
                    <w:adjustRightInd w:val="0"/>
                    <w:snapToGrid w:val="0"/>
                    <w:spacing w:before="0" w:beforeAutospacing="0" w:after="0" w:afterAutospacing="0"/>
                    <w:ind w:left="0" w:right="0"/>
                    <w:rPr>
                      <w:rFonts w:hint="eastAsia"/>
                      <w:color w:val="auto"/>
                      <w:szCs w:val="21"/>
                      <w:highlight w:val="none"/>
                    </w:rPr>
                  </w:pPr>
                  <w:r>
                    <w:rPr>
                      <w:rFonts w:hint="eastAsia" w:ascii="Calibri" w:hAnsi="Calibri"/>
                      <w:color w:val="auto"/>
                      <w:szCs w:val="21"/>
                      <w:highlight w:val="none"/>
                      <w:lang w:eastAsia="zh-CN"/>
                    </w:rPr>
                    <w:t>本项目未被收集废气经车间密闭后无组织逸散。</w:t>
                  </w:r>
                </w:p>
              </w:tc>
            </w:tr>
            <w:tr w14:paraId="5D852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1C72AB6A">
                  <w:pPr>
                    <w:keepNext w:val="0"/>
                    <w:keepLines w:val="0"/>
                    <w:suppressLineNumbers w:val="0"/>
                    <w:spacing w:before="0" w:beforeAutospacing="0" w:after="0" w:afterAutospacing="0"/>
                    <w:ind w:left="0" w:right="0"/>
                    <w:jc w:val="center"/>
                    <w:rPr>
                      <w:rFonts w:hint="default"/>
                      <w:color w:val="auto"/>
                      <w:szCs w:val="21"/>
                      <w:highlight w:val="none"/>
                    </w:rPr>
                  </w:pPr>
                </w:p>
              </w:tc>
              <w:tc>
                <w:tcPr>
                  <w:tcW w:w="770" w:type="pct"/>
                  <w:noWrap w:val="0"/>
                  <w:vAlign w:val="center"/>
                </w:tcPr>
                <w:p w14:paraId="42AD8822">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废水治理</w:t>
                  </w:r>
                </w:p>
              </w:tc>
              <w:tc>
                <w:tcPr>
                  <w:tcW w:w="3718" w:type="pct"/>
                  <w:noWrap w:val="0"/>
                  <w:vAlign w:val="center"/>
                </w:tcPr>
                <w:p w14:paraId="3A1EECCD">
                  <w:pPr>
                    <w:keepNext w:val="0"/>
                    <w:keepLines w:val="0"/>
                    <w:suppressLineNumbers w:val="0"/>
                    <w:spacing w:before="0" w:beforeAutospacing="0" w:after="0" w:afterAutospacing="0"/>
                    <w:ind w:left="0" w:right="0"/>
                    <w:rPr>
                      <w:rFonts w:hint="eastAsia"/>
                      <w:color w:val="auto"/>
                      <w:szCs w:val="21"/>
                      <w:highlight w:val="none"/>
                      <w:lang w:val="zh-CN"/>
                    </w:rPr>
                  </w:pPr>
                  <w:r>
                    <w:rPr>
                      <w:rFonts w:hint="eastAsia"/>
                      <w:snapToGrid w:val="0"/>
                      <w:color w:val="auto"/>
                      <w:kern w:val="0"/>
                      <w:szCs w:val="21"/>
                      <w:highlight w:val="none"/>
                      <w:lang w:eastAsia="zh-CN"/>
                    </w:rPr>
                    <w:t>职工生活污水，排入防渗旱厕，定期清掏</w:t>
                  </w:r>
                  <w:r>
                    <w:rPr>
                      <w:rFonts w:hint="eastAsia"/>
                      <w:snapToGrid w:val="0"/>
                      <w:color w:val="auto"/>
                      <w:kern w:val="0"/>
                      <w:szCs w:val="21"/>
                      <w:highlight w:val="none"/>
                    </w:rPr>
                    <w:t>。</w:t>
                  </w:r>
                </w:p>
              </w:tc>
            </w:tr>
            <w:tr w14:paraId="2E7B1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6EB01BC7">
                  <w:pPr>
                    <w:keepNext w:val="0"/>
                    <w:keepLines w:val="0"/>
                    <w:suppressLineNumbers w:val="0"/>
                    <w:spacing w:before="0" w:beforeAutospacing="0" w:after="0" w:afterAutospacing="0"/>
                    <w:ind w:left="0" w:right="0"/>
                    <w:jc w:val="center"/>
                    <w:rPr>
                      <w:rFonts w:hint="default"/>
                      <w:color w:val="auto"/>
                      <w:szCs w:val="21"/>
                      <w:highlight w:val="none"/>
                    </w:rPr>
                  </w:pPr>
                </w:p>
              </w:tc>
              <w:tc>
                <w:tcPr>
                  <w:tcW w:w="770" w:type="pct"/>
                  <w:noWrap w:val="0"/>
                  <w:vAlign w:val="center"/>
                </w:tcPr>
                <w:p w14:paraId="2DE0A2F1">
                  <w:pPr>
                    <w:keepNext w:val="0"/>
                    <w:keepLines w:val="0"/>
                    <w:suppressLineNumbers w:val="0"/>
                    <w:spacing w:before="0" w:beforeAutospacing="0" w:after="0" w:afterAutospacing="0"/>
                    <w:ind w:left="0" w:right="0"/>
                    <w:jc w:val="center"/>
                    <w:rPr>
                      <w:rFonts w:hint="default"/>
                      <w:color w:val="auto"/>
                      <w:szCs w:val="21"/>
                      <w:highlight w:val="none"/>
                      <w:lang w:val="zh-CN"/>
                    </w:rPr>
                  </w:pPr>
                  <w:r>
                    <w:rPr>
                      <w:rFonts w:hint="default"/>
                      <w:color w:val="auto"/>
                      <w:szCs w:val="21"/>
                      <w:highlight w:val="none"/>
                      <w:lang w:val="zh-CN"/>
                    </w:rPr>
                    <w:t>噪声治理</w:t>
                  </w:r>
                </w:p>
              </w:tc>
              <w:tc>
                <w:tcPr>
                  <w:tcW w:w="3718" w:type="pct"/>
                  <w:noWrap w:val="0"/>
                  <w:vAlign w:val="center"/>
                </w:tcPr>
                <w:p w14:paraId="54FE0C87">
                  <w:pPr>
                    <w:keepNext w:val="0"/>
                    <w:keepLines w:val="0"/>
                    <w:suppressLineNumbers w:val="0"/>
                    <w:spacing w:before="0" w:beforeAutospacing="0" w:after="0" w:afterAutospacing="0"/>
                    <w:ind w:left="0" w:right="0"/>
                    <w:rPr>
                      <w:rFonts w:hint="default"/>
                      <w:color w:val="auto"/>
                      <w:szCs w:val="21"/>
                      <w:highlight w:val="none"/>
                      <w:lang w:val="zh-CN"/>
                    </w:rPr>
                  </w:pPr>
                  <w:r>
                    <w:rPr>
                      <w:rFonts w:hint="default"/>
                      <w:color w:val="auto"/>
                      <w:szCs w:val="21"/>
                      <w:highlight w:val="none"/>
                      <w:lang w:val="zh-CN"/>
                    </w:rPr>
                    <w:t>选用低噪声设备，采取基础减</w:t>
                  </w:r>
                  <w:r>
                    <w:rPr>
                      <w:rFonts w:hint="eastAsia"/>
                      <w:color w:val="auto"/>
                      <w:szCs w:val="21"/>
                      <w:highlight w:val="none"/>
                      <w:lang w:val="zh-CN"/>
                    </w:rPr>
                    <w:t>振</w:t>
                  </w:r>
                  <w:r>
                    <w:rPr>
                      <w:rFonts w:hint="default"/>
                      <w:color w:val="auto"/>
                      <w:szCs w:val="21"/>
                      <w:highlight w:val="none"/>
                      <w:lang w:val="zh-CN"/>
                    </w:rPr>
                    <w:t>、厂房隔声</w:t>
                  </w:r>
                  <w:r>
                    <w:rPr>
                      <w:rFonts w:hint="eastAsia" w:cs="Times New Roman"/>
                      <w:smallCaps w:val="0"/>
                      <w:color w:val="auto"/>
                      <w:spacing w:val="0"/>
                      <w:szCs w:val="20"/>
                      <w:highlight w:val="none"/>
                      <w:lang w:eastAsia="zh-CN"/>
                    </w:rPr>
                    <w:t>，</w:t>
                  </w:r>
                  <w:r>
                    <w:rPr>
                      <w:rFonts w:hint="eastAsia" w:cs="Times New Roman"/>
                      <w:smallCaps w:val="0"/>
                      <w:color w:val="auto"/>
                      <w:spacing w:val="0"/>
                      <w:szCs w:val="20"/>
                      <w:highlight w:val="none"/>
                      <w:lang w:val="en-US" w:eastAsia="zh-CN"/>
                    </w:rPr>
                    <w:t>合理布局、夜间不生产、风机加装隔声罩等措施</w:t>
                  </w:r>
                  <w:r>
                    <w:rPr>
                      <w:rFonts w:hint="eastAsia"/>
                      <w:color w:val="auto"/>
                      <w:szCs w:val="21"/>
                      <w:highlight w:val="none"/>
                      <w:lang w:val="zh-CN"/>
                    </w:rPr>
                    <w:t>。</w:t>
                  </w:r>
                </w:p>
              </w:tc>
            </w:tr>
            <w:tr w14:paraId="3CAB0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511" w:type="pct"/>
                  <w:vMerge w:val="continue"/>
                  <w:noWrap w:val="0"/>
                  <w:vAlign w:val="center"/>
                </w:tcPr>
                <w:p w14:paraId="39ACB177">
                  <w:pPr>
                    <w:keepNext w:val="0"/>
                    <w:keepLines w:val="0"/>
                    <w:suppressLineNumbers w:val="0"/>
                    <w:spacing w:before="0" w:beforeAutospacing="0" w:after="0" w:afterAutospacing="0"/>
                    <w:ind w:left="0" w:right="0"/>
                    <w:rPr>
                      <w:rFonts w:hint="default"/>
                      <w:color w:val="auto"/>
                      <w:szCs w:val="21"/>
                      <w:highlight w:val="none"/>
                    </w:rPr>
                  </w:pPr>
                </w:p>
              </w:tc>
              <w:tc>
                <w:tcPr>
                  <w:tcW w:w="770" w:type="pct"/>
                  <w:noWrap w:val="0"/>
                  <w:vAlign w:val="center"/>
                </w:tcPr>
                <w:p w14:paraId="57DDB961">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固废治理</w:t>
                  </w:r>
                </w:p>
              </w:tc>
              <w:tc>
                <w:tcPr>
                  <w:tcW w:w="3718" w:type="pct"/>
                  <w:noWrap w:val="0"/>
                  <w:vAlign w:val="center"/>
                </w:tcPr>
                <w:p w14:paraId="38697CDE">
                  <w:pPr>
                    <w:keepNext w:val="0"/>
                    <w:keepLines w:val="0"/>
                    <w:suppressLineNumbers w:val="0"/>
                    <w:spacing w:before="0" w:beforeAutospacing="0" w:after="0" w:afterAutospacing="0"/>
                    <w:ind w:left="0" w:right="0"/>
                    <w:rPr>
                      <w:rFonts w:hint="default"/>
                      <w:color w:val="auto"/>
                      <w:szCs w:val="21"/>
                      <w:highlight w:val="none"/>
                      <w:lang w:val="zh-CN"/>
                    </w:rPr>
                  </w:pPr>
                  <w:r>
                    <w:rPr>
                      <w:rFonts w:hint="default"/>
                      <w:color w:val="auto"/>
                      <w:szCs w:val="21"/>
                      <w:highlight w:val="none"/>
                      <w:lang w:val="zh-CN"/>
                    </w:rPr>
                    <w:t>项目固体废物主要为一般固体废物</w:t>
                  </w:r>
                  <w:r>
                    <w:rPr>
                      <w:rFonts w:hint="eastAsia"/>
                      <w:color w:val="auto"/>
                      <w:szCs w:val="21"/>
                      <w:highlight w:val="none"/>
                      <w:lang w:val="zh-CN"/>
                    </w:rPr>
                    <w:t>、</w:t>
                  </w:r>
                  <w:r>
                    <w:rPr>
                      <w:rFonts w:hint="eastAsia"/>
                      <w:color w:val="auto"/>
                      <w:szCs w:val="21"/>
                      <w:highlight w:val="none"/>
                    </w:rPr>
                    <w:t>危险废物</w:t>
                  </w:r>
                  <w:r>
                    <w:rPr>
                      <w:rFonts w:hint="default"/>
                      <w:color w:val="auto"/>
                      <w:szCs w:val="21"/>
                      <w:highlight w:val="none"/>
                      <w:lang w:val="zh-CN"/>
                    </w:rPr>
                    <w:t>及职工生活垃圾。</w:t>
                  </w:r>
                </w:p>
                <w:p w14:paraId="54A525EB">
                  <w:pPr>
                    <w:keepNext w:val="0"/>
                    <w:keepLines w:val="0"/>
                    <w:suppressLineNumbers w:val="0"/>
                    <w:spacing w:before="0" w:beforeAutospacing="0" w:after="0" w:afterAutospacing="0"/>
                    <w:ind w:left="0" w:right="0"/>
                    <w:rPr>
                      <w:rFonts w:hint="default"/>
                      <w:color w:val="auto"/>
                      <w:szCs w:val="21"/>
                      <w:highlight w:val="none"/>
                      <w:lang w:val="zh-CN"/>
                    </w:rPr>
                  </w:pPr>
                  <w:r>
                    <w:rPr>
                      <w:rFonts w:hint="default"/>
                      <w:color w:val="auto"/>
                      <w:szCs w:val="21"/>
                      <w:highlight w:val="none"/>
                      <w:lang w:val="zh-CN"/>
                    </w:rPr>
                    <w:t>1）一般固体废物</w:t>
                  </w:r>
                </w:p>
                <w:p w14:paraId="005B384E">
                  <w:pPr>
                    <w:keepNext w:val="0"/>
                    <w:keepLines w:val="0"/>
                    <w:suppressLineNumbers w:val="0"/>
                    <w:spacing w:before="0" w:beforeAutospacing="0" w:after="0" w:afterAutospacing="0"/>
                    <w:ind w:left="0" w:right="0"/>
                    <w:rPr>
                      <w:rFonts w:hint="eastAsia"/>
                      <w:color w:val="auto"/>
                      <w:szCs w:val="21"/>
                      <w:highlight w:val="none"/>
                      <w:lang w:val="zh-CN"/>
                    </w:rPr>
                  </w:pPr>
                  <w:r>
                    <w:rPr>
                      <w:rFonts w:hint="eastAsia"/>
                      <w:color w:val="auto"/>
                      <w:szCs w:val="21"/>
                      <w:highlight w:val="none"/>
                      <w:lang w:val="zh-CN"/>
                    </w:rPr>
                    <w:t>废包装袋、废布袋、除尘灰、废铁屑、沉淀池底泥（氧化铁渣）、不合格品收集后外售；</w:t>
                  </w:r>
                </w:p>
                <w:p w14:paraId="27570D39">
                  <w:pPr>
                    <w:keepNext w:val="0"/>
                    <w:keepLines w:val="0"/>
                    <w:suppressLineNumbers w:val="0"/>
                    <w:spacing w:before="0" w:beforeAutospacing="0" w:after="0" w:afterAutospacing="0"/>
                    <w:ind w:left="0" w:right="0"/>
                    <w:rPr>
                      <w:rFonts w:hint="eastAsia"/>
                      <w:color w:val="auto"/>
                      <w:szCs w:val="21"/>
                      <w:highlight w:val="none"/>
                    </w:rPr>
                  </w:pPr>
                  <w:r>
                    <w:rPr>
                      <w:rFonts w:hint="eastAsia"/>
                      <w:color w:val="auto"/>
                      <w:szCs w:val="21"/>
                      <w:highlight w:val="none"/>
                    </w:rPr>
                    <w:t>2</w:t>
                  </w:r>
                  <w:r>
                    <w:rPr>
                      <w:rFonts w:hint="default"/>
                      <w:color w:val="auto"/>
                      <w:szCs w:val="21"/>
                      <w:highlight w:val="none"/>
                      <w:lang w:val="zh-CN"/>
                    </w:rPr>
                    <w:t>）</w:t>
                  </w:r>
                  <w:r>
                    <w:rPr>
                      <w:rFonts w:hint="eastAsia"/>
                      <w:color w:val="auto"/>
                      <w:szCs w:val="21"/>
                      <w:highlight w:val="none"/>
                    </w:rPr>
                    <w:t>危险废物</w:t>
                  </w:r>
                </w:p>
                <w:p w14:paraId="7B087567">
                  <w:pPr>
                    <w:keepNext w:val="0"/>
                    <w:keepLines w:val="0"/>
                    <w:suppressLineNumbers w:val="0"/>
                    <w:spacing w:before="0" w:beforeAutospacing="0" w:after="0" w:afterAutospacing="0"/>
                    <w:ind w:left="0" w:right="0"/>
                    <w:rPr>
                      <w:rFonts w:hint="eastAsia"/>
                      <w:color w:val="auto"/>
                      <w:szCs w:val="21"/>
                      <w:highlight w:val="none"/>
                      <w:lang w:val="zh-CN"/>
                    </w:rPr>
                  </w:pPr>
                  <w:r>
                    <w:rPr>
                      <w:rFonts w:hint="eastAsia"/>
                      <w:color w:val="auto"/>
                      <w:szCs w:val="21"/>
                      <w:highlight w:val="none"/>
                      <w:lang w:val="zh-CN"/>
                    </w:rPr>
                    <w:t>废润滑油、废润滑油桶、废切削液、废切削液桶、含油抹布及废劳保用品即产即清，交由有资质单位处理；</w:t>
                  </w:r>
                </w:p>
                <w:p w14:paraId="7FC95A8E">
                  <w:pPr>
                    <w:keepNext w:val="0"/>
                    <w:keepLines w:val="0"/>
                    <w:suppressLineNumbers w:val="0"/>
                    <w:spacing w:before="0" w:beforeAutospacing="0" w:after="0" w:afterAutospacing="0"/>
                    <w:ind w:left="0" w:right="0"/>
                    <w:rPr>
                      <w:rFonts w:hint="default"/>
                      <w:color w:val="auto"/>
                      <w:szCs w:val="21"/>
                      <w:highlight w:val="none"/>
                      <w:lang w:val="zh-CN"/>
                    </w:rPr>
                  </w:pPr>
                  <w:r>
                    <w:rPr>
                      <w:rFonts w:hint="eastAsia"/>
                      <w:color w:val="auto"/>
                      <w:szCs w:val="21"/>
                      <w:highlight w:val="none"/>
                    </w:rPr>
                    <w:t>3）</w:t>
                  </w:r>
                  <w:r>
                    <w:rPr>
                      <w:rFonts w:hint="default"/>
                      <w:color w:val="auto"/>
                      <w:szCs w:val="21"/>
                      <w:highlight w:val="none"/>
                      <w:lang w:val="zh-CN"/>
                    </w:rPr>
                    <w:t>生活垃圾</w:t>
                  </w:r>
                </w:p>
                <w:p w14:paraId="2D3B518C">
                  <w:pPr>
                    <w:keepNext w:val="0"/>
                    <w:keepLines w:val="0"/>
                    <w:suppressLineNumbers w:val="0"/>
                    <w:spacing w:before="0" w:beforeAutospacing="0" w:after="0" w:afterAutospacing="0"/>
                    <w:ind w:left="0" w:right="0"/>
                    <w:rPr>
                      <w:rFonts w:hint="eastAsia"/>
                      <w:color w:val="auto"/>
                      <w:szCs w:val="21"/>
                      <w:highlight w:val="none"/>
                    </w:rPr>
                  </w:pPr>
                  <w:r>
                    <w:rPr>
                      <w:rFonts w:hint="default"/>
                      <w:color w:val="auto"/>
                      <w:szCs w:val="21"/>
                      <w:highlight w:val="none"/>
                      <w:lang w:val="zh-CN"/>
                    </w:rPr>
                    <w:t>职工生活垃圾收集后由环卫部门统一处置。</w:t>
                  </w:r>
                </w:p>
              </w:tc>
            </w:tr>
          </w:tbl>
          <w:p w14:paraId="05D3234F">
            <w:pPr>
              <w:pStyle w:val="172"/>
              <w:keepNext/>
              <w:keepLines w:val="0"/>
              <w:pageBreakBefore w:val="0"/>
              <w:suppressLineNumbers w:val="0"/>
              <w:kinsoku/>
              <w:wordWrap/>
              <w:overflowPunct/>
              <w:bidi w:val="0"/>
              <w:spacing w:before="0" w:beforeAutospacing="0" w:after="0" w:afterAutospacing="0"/>
              <w:ind w:left="0" w:right="0" w:firstLine="439" w:firstLineChars="1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lang w:val="en-US" w:eastAsia="zh-CN"/>
              </w:rPr>
              <w:t>4</w:t>
            </w:r>
            <w:r>
              <w:rPr>
                <w:rFonts w:hint="default" w:ascii="Times New Roman" w:hAnsi="Times New Roman" w:cs="Times New Roman"/>
                <w:b/>
                <w:smallCaps w:val="0"/>
                <w:color w:val="auto"/>
                <w:spacing w:val="0"/>
                <w:highlight w:val="none"/>
              </w:rPr>
              <w:t>、主要设备</w:t>
            </w:r>
          </w:p>
          <w:p w14:paraId="55387C31">
            <w:pPr>
              <w:pStyle w:val="172"/>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项目主要设备见表2-</w:t>
            </w:r>
            <w:r>
              <w:rPr>
                <w:rFonts w:hint="eastAsia" w:cs="Times New Roman"/>
                <w:smallCaps w:val="0"/>
                <w:color w:val="auto"/>
                <w:spacing w:val="0"/>
                <w:highlight w:val="none"/>
                <w:lang w:val="en-US" w:eastAsia="zh-CN"/>
              </w:rPr>
              <w:t>5</w:t>
            </w:r>
            <w:r>
              <w:rPr>
                <w:rFonts w:hint="default" w:ascii="Times New Roman" w:hAnsi="Times New Roman" w:cs="Times New Roman"/>
                <w:smallCaps w:val="0"/>
                <w:color w:val="auto"/>
                <w:spacing w:val="0"/>
                <w:highlight w:val="none"/>
              </w:rPr>
              <w:t>。</w:t>
            </w:r>
          </w:p>
          <w:p w14:paraId="1746546C">
            <w:pPr>
              <w:pStyle w:val="187"/>
              <w:keepNext/>
              <w:keepLines w:val="0"/>
              <w:pageBreakBefore w:val="0"/>
              <w:suppressLineNumbers w:val="0"/>
              <w:kinsoku/>
              <w:wordWrap/>
              <w:overflowPunct/>
              <w:bidi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表2-</w:t>
            </w:r>
            <w:r>
              <w:rPr>
                <w:rFonts w:hint="eastAsia" w:cs="Times New Roman"/>
                <w:smallCaps w:val="0"/>
                <w:color w:val="auto"/>
                <w:spacing w:val="0"/>
                <w:highlight w:val="none"/>
                <w:lang w:val="en-US" w:eastAsia="zh-CN"/>
              </w:rPr>
              <w:t>5</w:t>
            </w:r>
            <w:r>
              <w:rPr>
                <w:rFonts w:hint="default" w:ascii="Times New Roman" w:hAnsi="Times New Roman" w:cs="Times New Roman"/>
                <w:smallCaps w:val="0"/>
                <w:color w:val="auto"/>
                <w:spacing w:val="0"/>
                <w:highlight w:val="none"/>
              </w:rPr>
              <w:t xml:space="preserve">   </w:t>
            </w:r>
            <w:r>
              <w:rPr>
                <w:rFonts w:hint="default" w:ascii="Times New Roman" w:hAnsi="Times New Roman" w:cs="Times New Roman"/>
                <w:smallCaps w:val="0"/>
                <w:color w:val="auto"/>
                <w:spacing w:val="0"/>
                <w:highlight w:val="none"/>
                <w:lang w:val="en-US" w:eastAsia="zh-CN"/>
              </w:rPr>
              <w:t>项目</w:t>
            </w:r>
            <w:r>
              <w:rPr>
                <w:rFonts w:hint="default" w:ascii="Times New Roman" w:hAnsi="Times New Roman" w:cs="Times New Roman"/>
                <w:smallCaps w:val="0"/>
                <w:color w:val="auto"/>
                <w:spacing w:val="0"/>
                <w:highlight w:val="none"/>
              </w:rPr>
              <w:t>设备一览表</w:t>
            </w:r>
          </w:p>
          <w:tbl>
            <w:tblPr>
              <w:tblStyle w:val="4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2198"/>
              <w:gridCol w:w="3410"/>
              <w:gridCol w:w="1493"/>
            </w:tblGrid>
            <w:tr w14:paraId="340B6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noWrap w:val="0"/>
                  <w:vAlign w:val="center"/>
                </w:tcPr>
                <w:p w14:paraId="4C9003F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序号</w:t>
                  </w:r>
                </w:p>
              </w:tc>
              <w:tc>
                <w:tcPr>
                  <w:tcW w:w="1394" w:type="pct"/>
                  <w:noWrap w:val="0"/>
                  <w:vAlign w:val="center"/>
                </w:tcPr>
                <w:p w14:paraId="51FB934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名称</w:t>
                  </w:r>
                </w:p>
              </w:tc>
              <w:tc>
                <w:tcPr>
                  <w:tcW w:w="2163" w:type="pct"/>
                  <w:noWrap w:val="0"/>
                  <w:vAlign w:val="center"/>
                </w:tcPr>
                <w:p w14:paraId="6A21245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型号</w:t>
                  </w:r>
                </w:p>
              </w:tc>
              <w:tc>
                <w:tcPr>
                  <w:tcW w:w="947" w:type="pct"/>
                  <w:noWrap w:val="0"/>
                  <w:vAlign w:val="center"/>
                </w:tcPr>
                <w:p w14:paraId="76A7E49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数量</w:t>
                  </w:r>
                </w:p>
              </w:tc>
            </w:tr>
            <w:tr w14:paraId="15A5B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noWrap w:val="0"/>
                  <w:vAlign w:val="center"/>
                </w:tcPr>
                <w:p w14:paraId="079BA2A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1</w:t>
                  </w:r>
                </w:p>
              </w:tc>
              <w:tc>
                <w:tcPr>
                  <w:tcW w:w="1394" w:type="pct"/>
                  <w:shd w:val="clear" w:color="auto" w:fill="auto"/>
                  <w:noWrap w:val="0"/>
                  <w:vAlign w:val="center"/>
                </w:tcPr>
                <w:p w14:paraId="7273DB5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修磨机</w:t>
                  </w:r>
                </w:p>
              </w:tc>
              <w:tc>
                <w:tcPr>
                  <w:tcW w:w="2163" w:type="pct"/>
                  <w:noWrap w:val="0"/>
                  <w:vAlign w:val="center"/>
                </w:tcPr>
                <w:p w14:paraId="7646DFF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MG200-H6-12/314</w:t>
                  </w:r>
                </w:p>
              </w:tc>
              <w:tc>
                <w:tcPr>
                  <w:tcW w:w="947" w:type="pct"/>
                  <w:shd w:val="clear" w:color="auto" w:fill="auto"/>
                  <w:noWrap w:val="0"/>
                  <w:vAlign w:val="center"/>
                </w:tcPr>
                <w:p w14:paraId="210A8AC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5套</w:t>
                  </w:r>
                </w:p>
              </w:tc>
            </w:tr>
            <w:tr w14:paraId="35588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noWrap w:val="0"/>
                  <w:vAlign w:val="center"/>
                </w:tcPr>
                <w:p w14:paraId="04D6200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2</w:t>
                  </w:r>
                </w:p>
              </w:tc>
              <w:tc>
                <w:tcPr>
                  <w:tcW w:w="1394" w:type="pct"/>
                  <w:shd w:val="clear" w:color="auto" w:fill="auto"/>
                  <w:noWrap w:val="0"/>
                  <w:vAlign w:val="center"/>
                </w:tcPr>
                <w:p w14:paraId="09FFC2E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漏磁相控阵联合探伤超声检测线</w:t>
                  </w:r>
                </w:p>
              </w:tc>
              <w:tc>
                <w:tcPr>
                  <w:tcW w:w="2163" w:type="pct"/>
                  <w:noWrap w:val="0"/>
                  <w:vAlign w:val="center"/>
                </w:tcPr>
                <w:p w14:paraId="5B7AB87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BUT-PA-100型</w:t>
                  </w:r>
                </w:p>
              </w:tc>
              <w:tc>
                <w:tcPr>
                  <w:tcW w:w="947" w:type="pct"/>
                  <w:shd w:val="clear" w:color="auto" w:fill="auto"/>
                  <w:noWrap w:val="0"/>
                  <w:vAlign w:val="center"/>
                </w:tcPr>
                <w:p w14:paraId="612B9F4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2套</w:t>
                  </w:r>
                </w:p>
              </w:tc>
            </w:tr>
            <w:tr w14:paraId="14993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noWrap w:val="0"/>
                  <w:vAlign w:val="center"/>
                </w:tcPr>
                <w:p w14:paraId="1AF3F9A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3</w:t>
                  </w:r>
                </w:p>
              </w:tc>
              <w:tc>
                <w:tcPr>
                  <w:tcW w:w="1394" w:type="pct"/>
                  <w:shd w:val="clear" w:color="auto" w:fill="auto"/>
                  <w:noWrap w:val="0"/>
                  <w:vAlign w:val="center"/>
                </w:tcPr>
                <w:p w14:paraId="3AB919C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无心车床</w:t>
                  </w:r>
                </w:p>
              </w:tc>
              <w:tc>
                <w:tcPr>
                  <w:tcW w:w="2163" w:type="pct"/>
                  <w:noWrap w:val="0"/>
                  <w:vAlign w:val="center"/>
                </w:tcPr>
                <w:p w14:paraId="31BEBAA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WXC系列265CA</w:t>
                  </w:r>
                </w:p>
              </w:tc>
              <w:tc>
                <w:tcPr>
                  <w:tcW w:w="947" w:type="pct"/>
                  <w:shd w:val="clear" w:color="auto" w:fill="auto"/>
                  <w:noWrap w:val="0"/>
                  <w:vAlign w:val="center"/>
                </w:tcPr>
                <w:p w14:paraId="6B26FF4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2套</w:t>
                  </w:r>
                </w:p>
              </w:tc>
            </w:tr>
            <w:tr w14:paraId="6173C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noWrap w:val="0"/>
                  <w:vAlign w:val="center"/>
                </w:tcPr>
                <w:p w14:paraId="4B7A63A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4</w:t>
                  </w:r>
                </w:p>
              </w:tc>
              <w:tc>
                <w:tcPr>
                  <w:tcW w:w="1394" w:type="pct"/>
                  <w:shd w:val="clear" w:color="auto" w:fill="auto"/>
                  <w:noWrap w:val="0"/>
                  <w:vAlign w:val="center"/>
                </w:tcPr>
                <w:p w14:paraId="11B010E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天车</w:t>
                  </w:r>
                </w:p>
              </w:tc>
              <w:tc>
                <w:tcPr>
                  <w:tcW w:w="2163" w:type="pct"/>
                  <w:noWrap w:val="0"/>
                  <w:vAlign w:val="center"/>
                </w:tcPr>
                <w:p w14:paraId="0690DB4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w:t>
                  </w:r>
                </w:p>
              </w:tc>
              <w:tc>
                <w:tcPr>
                  <w:tcW w:w="947" w:type="pct"/>
                  <w:shd w:val="clear" w:color="auto" w:fill="auto"/>
                  <w:noWrap w:val="0"/>
                  <w:vAlign w:val="center"/>
                </w:tcPr>
                <w:p w14:paraId="21D9527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7台</w:t>
                  </w:r>
                </w:p>
              </w:tc>
            </w:tr>
            <w:tr w14:paraId="2532C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noWrap w:val="0"/>
                  <w:vAlign w:val="center"/>
                </w:tcPr>
                <w:p w14:paraId="32FCC01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5</w:t>
                  </w:r>
                </w:p>
              </w:tc>
              <w:tc>
                <w:tcPr>
                  <w:tcW w:w="1394" w:type="pct"/>
                  <w:shd w:val="clear" w:color="auto" w:fill="auto"/>
                  <w:noWrap w:val="0"/>
                  <w:vAlign w:val="center"/>
                </w:tcPr>
                <w:p w14:paraId="6DA4D28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矫直机</w:t>
                  </w:r>
                </w:p>
              </w:tc>
              <w:tc>
                <w:tcPr>
                  <w:tcW w:w="2163" w:type="pct"/>
                  <w:noWrap w:val="0"/>
                  <w:vAlign w:val="center"/>
                </w:tcPr>
                <w:p w14:paraId="3A43EA6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700kw</w:t>
                  </w:r>
                </w:p>
              </w:tc>
              <w:tc>
                <w:tcPr>
                  <w:tcW w:w="947" w:type="pct"/>
                  <w:shd w:val="clear" w:color="auto" w:fill="auto"/>
                  <w:noWrap w:val="0"/>
                  <w:vAlign w:val="center"/>
                </w:tcPr>
                <w:p w14:paraId="2E507B4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1套</w:t>
                  </w:r>
                </w:p>
              </w:tc>
            </w:tr>
            <w:tr w14:paraId="17FCA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noWrap w:val="0"/>
                  <w:vAlign w:val="center"/>
                </w:tcPr>
                <w:p w14:paraId="34A56CB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6</w:t>
                  </w:r>
                </w:p>
              </w:tc>
              <w:tc>
                <w:tcPr>
                  <w:tcW w:w="1394" w:type="pct"/>
                  <w:shd w:val="clear" w:color="auto" w:fill="auto"/>
                  <w:noWrap w:val="0"/>
                  <w:vAlign w:val="center"/>
                </w:tcPr>
                <w:p w14:paraId="7A64DFE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脉冲布袋除尘器</w:t>
                  </w:r>
                </w:p>
              </w:tc>
              <w:tc>
                <w:tcPr>
                  <w:tcW w:w="2163" w:type="pct"/>
                  <w:shd w:val="clear" w:color="auto" w:fill="auto"/>
                  <w:noWrap w:val="0"/>
                  <w:vAlign w:val="center"/>
                </w:tcPr>
                <w:p w14:paraId="3E515B1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20000m</w:t>
                  </w:r>
                  <w:r>
                    <w:rPr>
                      <w:rFonts w:hint="eastAsia"/>
                      <w:color w:val="auto"/>
                      <w:sz w:val="21"/>
                      <w:szCs w:val="21"/>
                      <w:highlight w:val="none"/>
                      <w:vertAlign w:val="superscript"/>
                      <w:lang w:val="en-US" w:eastAsia="zh-CN"/>
                    </w:rPr>
                    <w:t>3</w:t>
                  </w:r>
                  <w:r>
                    <w:rPr>
                      <w:rFonts w:hint="eastAsia"/>
                      <w:color w:val="auto"/>
                      <w:sz w:val="21"/>
                      <w:szCs w:val="21"/>
                      <w:highlight w:val="none"/>
                      <w:vertAlign w:val="baseline"/>
                      <w:lang w:val="en-US" w:eastAsia="zh-CN"/>
                    </w:rPr>
                    <w:t>/h</w:t>
                  </w:r>
                </w:p>
              </w:tc>
              <w:tc>
                <w:tcPr>
                  <w:tcW w:w="947" w:type="pct"/>
                  <w:shd w:val="clear" w:color="auto" w:fill="auto"/>
                  <w:noWrap w:val="0"/>
                  <w:vAlign w:val="center"/>
                </w:tcPr>
                <w:p w14:paraId="5B5204C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5套</w:t>
                  </w:r>
                </w:p>
              </w:tc>
            </w:tr>
            <w:tr w14:paraId="1C512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noWrap w:val="0"/>
                  <w:vAlign w:val="center"/>
                </w:tcPr>
                <w:p w14:paraId="77A8048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7</w:t>
                  </w:r>
                </w:p>
              </w:tc>
              <w:tc>
                <w:tcPr>
                  <w:tcW w:w="1394" w:type="pct"/>
                  <w:shd w:val="clear" w:color="auto" w:fill="auto"/>
                  <w:noWrap w:val="0"/>
                  <w:vAlign w:val="center"/>
                </w:tcPr>
                <w:p w14:paraId="5274239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调质炉</w:t>
                  </w:r>
                </w:p>
              </w:tc>
              <w:tc>
                <w:tcPr>
                  <w:tcW w:w="2163" w:type="pct"/>
                  <w:shd w:val="clear" w:color="auto" w:fill="auto"/>
                  <w:noWrap w:val="0"/>
                  <w:vAlign w:val="center"/>
                </w:tcPr>
                <w:p w14:paraId="5B2E23D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w:t>
                  </w:r>
                </w:p>
              </w:tc>
              <w:tc>
                <w:tcPr>
                  <w:tcW w:w="947" w:type="pct"/>
                  <w:shd w:val="clear" w:color="auto" w:fill="auto"/>
                  <w:noWrap w:val="0"/>
                  <w:vAlign w:val="center"/>
                </w:tcPr>
                <w:p w14:paraId="3D41EB6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1套</w:t>
                  </w:r>
                </w:p>
              </w:tc>
            </w:tr>
            <w:tr w14:paraId="4FBBD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494" w:type="pct"/>
                  <w:vAlign w:val="center"/>
                </w:tcPr>
                <w:p w14:paraId="55F9249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8</w:t>
                  </w:r>
                </w:p>
              </w:tc>
              <w:tc>
                <w:tcPr>
                  <w:tcW w:w="1394" w:type="pct"/>
                  <w:shd w:val="clear" w:color="auto" w:fill="auto"/>
                  <w:vAlign w:val="center"/>
                </w:tcPr>
                <w:p w14:paraId="65E6E87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切削车床</w:t>
                  </w:r>
                </w:p>
              </w:tc>
              <w:tc>
                <w:tcPr>
                  <w:tcW w:w="2163" w:type="pct"/>
                  <w:shd w:val="clear" w:color="auto" w:fill="auto"/>
                  <w:vAlign w:val="center"/>
                </w:tcPr>
                <w:p w14:paraId="1D51211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w:t>
                  </w:r>
                </w:p>
              </w:tc>
              <w:tc>
                <w:tcPr>
                  <w:tcW w:w="947" w:type="pct"/>
                  <w:shd w:val="clear" w:color="auto" w:fill="auto"/>
                  <w:vAlign w:val="center"/>
                </w:tcPr>
                <w:p w14:paraId="6B403C4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1套</w:t>
                  </w:r>
                </w:p>
              </w:tc>
            </w:tr>
          </w:tbl>
          <w:p w14:paraId="2E70F746">
            <w:pPr>
              <w:pStyle w:val="172"/>
              <w:keepNext/>
              <w:keepLines w:val="0"/>
              <w:pageBreakBefore w:val="0"/>
              <w:suppressLineNumbers w:val="0"/>
              <w:kinsoku/>
              <w:wordWrap/>
              <w:overflowPunct/>
              <w:bidi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5、原辅材料及能源消耗</w:t>
            </w:r>
          </w:p>
          <w:p w14:paraId="48169044">
            <w:pPr>
              <w:pStyle w:val="172"/>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eastAsia" w:cs="Times New Roman"/>
                <w:smallCaps w:val="0"/>
                <w:color w:val="auto"/>
                <w:spacing w:val="0"/>
                <w:highlight w:val="none"/>
                <w:lang w:val="en-US" w:eastAsia="zh-CN"/>
              </w:rPr>
              <w:t>项目主要原辅材料及能耗消耗清单见表2-6。</w:t>
            </w:r>
          </w:p>
          <w:p w14:paraId="796830BA">
            <w:pPr>
              <w:pStyle w:val="187"/>
              <w:keepNext/>
              <w:keepLines w:val="0"/>
              <w:pageBreakBefore w:val="0"/>
              <w:suppressLineNumbers w:val="0"/>
              <w:kinsoku/>
              <w:wordWrap/>
              <w:overflowPunct/>
              <w:bidi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表2-</w:t>
            </w:r>
            <w:r>
              <w:rPr>
                <w:rFonts w:hint="eastAsia" w:cs="Times New Roman"/>
                <w:smallCaps w:val="0"/>
                <w:color w:val="auto"/>
                <w:spacing w:val="0"/>
                <w:highlight w:val="none"/>
                <w:lang w:val="en-US" w:eastAsia="zh-CN"/>
              </w:rPr>
              <w:t>6</w:t>
            </w:r>
            <w:r>
              <w:rPr>
                <w:rFonts w:hint="default" w:ascii="Times New Roman" w:hAnsi="Times New Roman" w:cs="Times New Roman"/>
                <w:smallCaps w:val="0"/>
                <w:color w:val="auto"/>
                <w:spacing w:val="0"/>
                <w:highlight w:val="none"/>
              </w:rPr>
              <w:t xml:space="preserve">    </w:t>
            </w:r>
            <w:r>
              <w:rPr>
                <w:rFonts w:hint="eastAsia" w:cs="Times New Roman"/>
                <w:smallCaps w:val="0"/>
                <w:color w:val="auto"/>
                <w:spacing w:val="0"/>
                <w:highlight w:val="none"/>
                <w:lang w:val="en-US" w:eastAsia="zh-CN"/>
              </w:rPr>
              <w:t>项目</w:t>
            </w:r>
            <w:r>
              <w:rPr>
                <w:rFonts w:hint="default" w:ascii="Times New Roman" w:hAnsi="Times New Roman" w:cs="Times New Roman"/>
                <w:smallCaps w:val="0"/>
                <w:color w:val="auto"/>
                <w:spacing w:val="0"/>
                <w:highlight w:val="none"/>
              </w:rPr>
              <w:t>主要原辅材料及能源消耗清单</w:t>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2"/>
              <w:gridCol w:w="1267"/>
              <w:gridCol w:w="1383"/>
              <w:gridCol w:w="1037"/>
              <w:gridCol w:w="1037"/>
              <w:gridCol w:w="1037"/>
              <w:gridCol w:w="1040"/>
            </w:tblGrid>
            <w:tr w14:paraId="07F38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82" w:type="dxa"/>
                  <w:noWrap w:val="0"/>
                  <w:vAlign w:val="center"/>
                </w:tcPr>
                <w:p w14:paraId="1B2A15E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产品</w:t>
                  </w:r>
                </w:p>
              </w:tc>
              <w:tc>
                <w:tcPr>
                  <w:tcW w:w="1267" w:type="dxa"/>
                  <w:noWrap w:val="0"/>
                  <w:vAlign w:val="center"/>
                </w:tcPr>
                <w:p w14:paraId="38157E5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原料名称</w:t>
                  </w:r>
                </w:p>
              </w:tc>
              <w:tc>
                <w:tcPr>
                  <w:tcW w:w="1383" w:type="dxa"/>
                  <w:noWrap w:val="0"/>
                  <w:vAlign w:val="center"/>
                </w:tcPr>
                <w:p w14:paraId="4618E21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年用量</w:t>
                  </w:r>
                </w:p>
              </w:tc>
              <w:tc>
                <w:tcPr>
                  <w:tcW w:w="1037" w:type="dxa"/>
                  <w:noWrap w:val="0"/>
                  <w:vAlign w:val="center"/>
                </w:tcPr>
                <w:p w14:paraId="25F2D7D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包装形式</w:t>
                  </w:r>
                </w:p>
              </w:tc>
              <w:tc>
                <w:tcPr>
                  <w:tcW w:w="1037" w:type="dxa"/>
                  <w:noWrap w:val="0"/>
                  <w:vAlign w:val="center"/>
                </w:tcPr>
                <w:p w14:paraId="19B20DA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形态</w:t>
                  </w:r>
                </w:p>
              </w:tc>
              <w:tc>
                <w:tcPr>
                  <w:tcW w:w="1037" w:type="dxa"/>
                  <w:noWrap w:val="0"/>
                  <w:vAlign w:val="center"/>
                </w:tcPr>
                <w:p w14:paraId="35AA9E1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储存位置</w:t>
                  </w:r>
                </w:p>
              </w:tc>
              <w:tc>
                <w:tcPr>
                  <w:tcW w:w="1040" w:type="dxa"/>
                  <w:noWrap w:val="0"/>
                  <w:vAlign w:val="center"/>
                </w:tcPr>
                <w:p w14:paraId="4D49D4B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最大储量</w:t>
                  </w:r>
                </w:p>
              </w:tc>
            </w:tr>
            <w:tr w14:paraId="5BC0D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82" w:type="dxa"/>
                  <w:shd w:val="clear" w:color="auto" w:fill="auto"/>
                  <w:noWrap w:val="0"/>
                  <w:vAlign w:val="center"/>
                </w:tcPr>
                <w:p w14:paraId="22D1563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钻杆</w:t>
                  </w:r>
                </w:p>
              </w:tc>
              <w:tc>
                <w:tcPr>
                  <w:tcW w:w="1267" w:type="dxa"/>
                  <w:shd w:val="clear" w:color="auto" w:fill="auto"/>
                  <w:noWrap w:val="0"/>
                  <w:vAlign w:val="center"/>
                </w:tcPr>
                <w:p w14:paraId="39AD9B8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圆管</w:t>
                  </w:r>
                </w:p>
              </w:tc>
              <w:tc>
                <w:tcPr>
                  <w:tcW w:w="1383" w:type="dxa"/>
                  <w:shd w:val="clear" w:color="auto" w:fill="auto"/>
                  <w:noWrap w:val="0"/>
                  <w:vAlign w:val="center"/>
                </w:tcPr>
                <w:p w14:paraId="2F1D7FB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25.38万t/a</w:t>
                  </w:r>
                </w:p>
              </w:tc>
              <w:tc>
                <w:tcPr>
                  <w:tcW w:w="1037" w:type="dxa"/>
                  <w:noWrap w:val="0"/>
                  <w:vAlign w:val="center"/>
                </w:tcPr>
                <w:p w14:paraId="1FD44BA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default" w:ascii="Times New Roman" w:hAnsi="Times New Roman" w:eastAsia="宋体" w:cs="Times New Roman"/>
                      <w:b w:val="0"/>
                      <w:bCs w:val="0"/>
                      <w:i w:val="0"/>
                      <w:iCs w:val="0"/>
                      <w:color w:val="auto"/>
                      <w:kern w:val="2"/>
                      <w:sz w:val="21"/>
                      <w:szCs w:val="21"/>
                      <w:highlight w:val="none"/>
                      <w:u w:val="none"/>
                      <w:lang w:val="en-US" w:eastAsia="zh-CN" w:bidi="ar-SA"/>
                    </w:rPr>
                    <w:t>1.5t/捆</w:t>
                  </w:r>
                </w:p>
              </w:tc>
              <w:tc>
                <w:tcPr>
                  <w:tcW w:w="1037" w:type="dxa"/>
                  <w:noWrap w:val="0"/>
                  <w:vAlign w:val="center"/>
                </w:tcPr>
                <w:p w14:paraId="1B6D328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固态</w:t>
                  </w:r>
                </w:p>
              </w:tc>
              <w:tc>
                <w:tcPr>
                  <w:tcW w:w="1037" w:type="dxa"/>
                  <w:noWrap w:val="0"/>
                  <w:vAlign w:val="center"/>
                </w:tcPr>
                <w:p w14:paraId="7F332E55">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原料区</w:t>
                  </w:r>
                </w:p>
              </w:tc>
              <w:tc>
                <w:tcPr>
                  <w:tcW w:w="1040" w:type="dxa"/>
                  <w:noWrap w:val="0"/>
                  <w:vAlign w:val="center"/>
                </w:tcPr>
                <w:p w14:paraId="29B48CD8">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8460</w:t>
                  </w:r>
                </w:p>
              </w:tc>
            </w:tr>
            <w:tr w14:paraId="3DADA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82" w:type="dxa"/>
                  <w:vMerge w:val="restart"/>
                  <w:shd w:val="clear" w:color="auto" w:fill="auto"/>
                  <w:noWrap w:val="0"/>
                  <w:vAlign w:val="center"/>
                </w:tcPr>
                <w:p w14:paraId="29D919A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车轴</w:t>
                  </w:r>
                </w:p>
              </w:tc>
              <w:tc>
                <w:tcPr>
                  <w:tcW w:w="1267" w:type="dxa"/>
                  <w:shd w:val="clear" w:color="auto" w:fill="auto"/>
                  <w:noWrap w:val="0"/>
                  <w:vAlign w:val="center"/>
                </w:tcPr>
                <w:p w14:paraId="2F479FA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方钢</w:t>
                  </w:r>
                </w:p>
              </w:tc>
              <w:tc>
                <w:tcPr>
                  <w:tcW w:w="1383" w:type="dxa"/>
                  <w:shd w:val="clear" w:color="auto" w:fill="auto"/>
                  <w:noWrap w:val="0"/>
                  <w:vAlign w:val="center"/>
                </w:tcPr>
                <w:p w14:paraId="6B81F9C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18.78</w:t>
                  </w:r>
                  <w:r>
                    <w:rPr>
                      <w:rFonts w:hint="eastAsia" w:cs="Times New Roman"/>
                      <w:color w:val="auto"/>
                      <w:kern w:val="2"/>
                      <w:sz w:val="21"/>
                      <w:szCs w:val="21"/>
                      <w:highlight w:val="none"/>
                      <w:vertAlign w:val="baseline"/>
                      <w:lang w:val="en-US" w:eastAsia="zh-CN" w:bidi="ar-SA"/>
                    </w:rPr>
                    <w:t>万t/a</w:t>
                  </w:r>
                </w:p>
              </w:tc>
              <w:tc>
                <w:tcPr>
                  <w:tcW w:w="1037" w:type="dxa"/>
                  <w:noWrap w:val="0"/>
                  <w:vAlign w:val="center"/>
                </w:tcPr>
                <w:p w14:paraId="0DC17EA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散装</w:t>
                  </w:r>
                </w:p>
              </w:tc>
              <w:tc>
                <w:tcPr>
                  <w:tcW w:w="1037" w:type="dxa"/>
                  <w:noWrap w:val="0"/>
                  <w:vAlign w:val="center"/>
                </w:tcPr>
                <w:p w14:paraId="568F55C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固态</w:t>
                  </w:r>
                </w:p>
              </w:tc>
              <w:tc>
                <w:tcPr>
                  <w:tcW w:w="1037" w:type="dxa"/>
                  <w:noWrap w:val="0"/>
                  <w:vAlign w:val="center"/>
                </w:tcPr>
                <w:p w14:paraId="6FF695D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原料区</w:t>
                  </w:r>
                </w:p>
              </w:tc>
              <w:tc>
                <w:tcPr>
                  <w:tcW w:w="1040" w:type="dxa"/>
                  <w:noWrap w:val="0"/>
                  <w:vAlign w:val="center"/>
                </w:tcPr>
                <w:p w14:paraId="66F6F6E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6260</w:t>
                  </w:r>
                </w:p>
              </w:tc>
            </w:tr>
            <w:tr w14:paraId="2B8B1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82" w:type="dxa"/>
                  <w:vMerge w:val="continue"/>
                  <w:noWrap w:val="0"/>
                  <w:vAlign w:val="center"/>
                </w:tcPr>
                <w:p w14:paraId="4E9FCED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p>
              </w:tc>
              <w:tc>
                <w:tcPr>
                  <w:tcW w:w="1267" w:type="dxa"/>
                  <w:shd w:val="clear" w:color="auto" w:fill="auto"/>
                  <w:noWrap w:val="0"/>
                  <w:vAlign w:val="center"/>
                </w:tcPr>
                <w:p w14:paraId="14DF0EB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圆棒</w:t>
                  </w:r>
                </w:p>
              </w:tc>
              <w:tc>
                <w:tcPr>
                  <w:tcW w:w="1383" w:type="dxa"/>
                  <w:shd w:val="clear" w:color="auto" w:fill="auto"/>
                  <w:noWrap w:val="0"/>
                  <w:vAlign w:val="center"/>
                </w:tcPr>
                <w:p w14:paraId="50BDDDA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18.78</w:t>
                  </w:r>
                  <w:r>
                    <w:rPr>
                      <w:rFonts w:hint="eastAsia" w:cs="Times New Roman"/>
                      <w:color w:val="auto"/>
                      <w:kern w:val="2"/>
                      <w:sz w:val="21"/>
                      <w:szCs w:val="21"/>
                      <w:highlight w:val="none"/>
                      <w:vertAlign w:val="baseline"/>
                      <w:lang w:val="en-US" w:eastAsia="zh-CN" w:bidi="ar-SA"/>
                    </w:rPr>
                    <w:t>万t/a</w:t>
                  </w:r>
                </w:p>
              </w:tc>
              <w:tc>
                <w:tcPr>
                  <w:tcW w:w="1037" w:type="dxa"/>
                  <w:noWrap w:val="0"/>
                  <w:vAlign w:val="center"/>
                </w:tcPr>
                <w:p w14:paraId="0B4E503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s="Times New Roman"/>
                      <w:b w:val="0"/>
                      <w:bCs w:val="0"/>
                      <w:i w:val="0"/>
                      <w:iCs w:val="0"/>
                      <w:color w:val="auto"/>
                      <w:kern w:val="2"/>
                      <w:sz w:val="21"/>
                      <w:szCs w:val="21"/>
                      <w:highlight w:val="none"/>
                      <w:u w:val="none"/>
                      <w:lang w:val="en-US" w:eastAsia="zh-CN" w:bidi="ar-SA"/>
                    </w:rPr>
                    <w:t>3</w:t>
                  </w:r>
                  <w:r>
                    <w:rPr>
                      <w:rFonts w:hint="default" w:ascii="Times New Roman" w:hAnsi="Times New Roman" w:eastAsia="宋体" w:cs="Times New Roman"/>
                      <w:b w:val="0"/>
                      <w:bCs w:val="0"/>
                      <w:i w:val="0"/>
                      <w:iCs w:val="0"/>
                      <w:color w:val="auto"/>
                      <w:kern w:val="2"/>
                      <w:sz w:val="21"/>
                      <w:szCs w:val="21"/>
                      <w:highlight w:val="none"/>
                      <w:u w:val="none"/>
                      <w:lang w:val="en-US" w:eastAsia="zh-CN" w:bidi="ar-SA"/>
                    </w:rPr>
                    <w:t>t/捆</w:t>
                  </w:r>
                </w:p>
              </w:tc>
              <w:tc>
                <w:tcPr>
                  <w:tcW w:w="1037" w:type="dxa"/>
                  <w:noWrap w:val="0"/>
                  <w:vAlign w:val="center"/>
                </w:tcPr>
                <w:p w14:paraId="39D2053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固态</w:t>
                  </w:r>
                </w:p>
              </w:tc>
              <w:tc>
                <w:tcPr>
                  <w:tcW w:w="1037" w:type="dxa"/>
                  <w:noWrap w:val="0"/>
                  <w:vAlign w:val="center"/>
                </w:tcPr>
                <w:p w14:paraId="3708EB0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原料区</w:t>
                  </w:r>
                </w:p>
              </w:tc>
              <w:tc>
                <w:tcPr>
                  <w:tcW w:w="1040" w:type="dxa"/>
                  <w:noWrap w:val="0"/>
                  <w:vAlign w:val="center"/>
                </w:tcPr>
                <w:p w14:paraId="4551EFE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6260</w:t>
                  </w:r>
                </w:p>
              </w:tc>
            </w:tr>
            <w:tr w14:paraId="4686A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82" w:type="dxa"/>
                  <w:vMerge w:val="restart"/>
                  <w:noWrap w:val="0"/>
                  <w:vAlign w:val="center"/>
                </w:tcPr>
                <w:p w14:paraId="4209D3B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公用工程</w:t>
                  </w:r>
                </w:p>
              </w:tc>
              <w:tc>
                <w:tcPr>
                  <w:tcW w:w="1267" w:type="dxa"/>
                  <w:noWrap w:val="0"/>
                  <w:vAlign w:val="center"/>
                </w:tcPr>
                <w:p w14:paraId="6E351A4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润滑油</w:t>
                  </w:r>
                </w:p>
              </w:tc>
              <w:tc>
                <w:tcPr>
                  <w:tcW w:w="1383" w:type="dxa"/>
                  <w:noWrap w:val="0"/>
                  <w:vAlign w:val="center"/>
                </w:tcPr>
                <w:p w14:paraId="734168F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eastAsia="宋体"/>
                      <w:color w:val="auto"/>
                      <w:sz w:val="21"/>
                      <w:szCs w:val="21"/>
                      <w:highlight w:val="none"/>
                      <w:vertAlign w:val="baseline"/>
                      <w:lang w:val="en-US" w:eastAsia="zh-CN"/>
                    </w:rPr>
                    <w:t>0.06</w:t>
                  </w:r>
                  <w:r>
                    <w:rPr>
                      <w:rFonts w:hint="eastAsia"/>
                      <w:color w:val="auto"/>
                      <w:sz w:val="21"/>
                      <w:szCs w:val="21"/>
                      <w:highlight w:val="none"/>
                      <w:vertAlign w:val="baseline"/>
                      <w:lang w:val="en-US" w:eastAsia="zh-CN"/>
                    </w:rPr>
                    <w:t>t/a</w:t>
                  </w:r>
                </w:p>
              </w:tc>
              <w:tc>
                <w:tcPr>
                  <w:tcW w:w="1037" w:type="dxa"/>
                  <w:noWrap w:val="0"/>
                  <w:vAlign w:val="center"/>
                </w:tcPr>
                <w:p w14:paraId="0E9F093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25kg/桶</w:t>
                  </w:r>
                </w:p>
              </w:tc>
              <w:tc>
                <w:tcPr>
                  <w:tcW w:w="1037" w:type="dxa"/>
                  <w:noWrap w:val="0"/>
                  <w:vAlign w:val="center"/>
                </w:tcPr>
                <w:p w14:paraId="7616096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液态</w:t>
                  </w:r>
                </w:p>
              </w:tc>
              <w:tc>
                <w:tcPr>
                  <w:tcW w:w="1037" w:type="dxa"/>
                  <w:noWrap w:val="0"/>
                  <w:vAlign w:val="center"/>
                </w:tcPr>
                <w:p w14:paraId="5950B6D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w:t>
                  </w:r>
                </w:p>
              </w:tc>
              <w:tc>
                <w:tcPr>
                  <w:tcW w:w="1040" w:type="dxa"/>
                  <w:noWrap w:val="0"/>
                  <w:vAlign w:val="center"/>
                </w:tcPr>
                <w:p w14:paraId="6BC427B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0.025t/a</w:t>
                  </w:r>
                </w:p>
              </w:tc>
            </w:tr>
            <w:tr w14:paraId="053F8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82" w:type="dxa"/>
                  <w:vMerge w:val="continue"/>
                  <w:noWrap w:val="0"/>
                  <w:vAlign w:val="center"/>
                </w:tcPr>
                <w:p w14:paraId="34D20ED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color w:val="auto"/>
                      <w:kern w:val="2"/>
                      <w:sz w:val="21"/>
                      <w:szCs w:val="21"/>
                      <w:highlight w:val="none"/>
                      <w:vertAlign w:val="baseline"/>
                      <w:lang w:val="en-US" w:eastAsia="zh-CN" w:bidi="ar-SA"/>
                    </w:rPr>
                  </w:pPr>
                </w:p>
              </w:tc>
              <w:tc>
                <w:tcPr>
                  <w:tcW w:w="1267" w:type="dxa"/>
                  <w:noWrap w:val="0"/>
                  <w:vAlign w:val="center"/>
                </w:tcPr>
                <w:p w14:paraId="36ED1DA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切削液</w:t>
                  </w:r>
                </w:p>
              </w:tc>
              <w:tc>
                <w:tcPr>
                  <w:tcW w:w="1383" w:type="dxa"/>
                  <w:noWrap w:val="0"/>
                  <w:vAlign w:val="center"/>
                </w:tcPr>
                <w:p w14:paraId="64FC62B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0.72t/a</w:t>
                  </w:r>
                </w:p>
              </w:tc>
              <w:tc>
                <w:tcPr>
                  <w:tcW w:w="1037" w:type="dxa"/>
                  <w:noWrap w:val="0"/>
                  <w:vAlign w:val="center"/>
                </w:tcPr>
                <w:p w14:paraId="49F1447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25kg/桶</w:t>
                  </w:r>
                </w:p>
              </w:tc>
              <w:tc>
                <w:tcPr>
                  <w:tcW w:w="1037" w:type="dxa"/>
                  <w:noWrap w:val="0"/>
                  <w:vAlign w:val="center"/>
                </w:tcPr>
                <w:p w14:paraId="5A738FC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液态</w:t>
                  </w:r>
                </w:p>
              </w:tc>
              <w:tc>
                <w:tcPr>
                  <w:tcW w:w="1037" w:type="dxa"/>
                  <w:noWrap w:val="0"/>
                  <w:vAlign w:val="center"/>
                </w:tcPr>
                <w:p w14:paraId="2DB0B4B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w:t>
                  </w:r>
                </w:p>
              </w:tc>
              <w:tc>
                <w:tcPr>
                  <w:tcW w:w="1040" w:type="dxa"/>
                  <w:noWrap w:val="0"/>
                  <w:vAlign w:val="center"/>
                </w:tcPr>
                <w:p w14:paraId="002E934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0.05t/a</w:t>
                  </w:r>
                </w:p>
              </w:tc>
            </w:tr>
            <w:tr w14:paraId="2C7FD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82" w:type="dxa"/>
                  <w:vMerge w:val="continue"/>
                  <w:noWrap w:val="0"/>
                  <w:vAlign w:val="center"/>
                </w:tcPr>
                <w:p w14:paraId="62E22D91">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p>
              </w:tc>
              <w:tc>
                <w:tcPr>
                  <w:tcW w:w="1267" w:type="dxa"/>
                  <w:noWrap w:val="0"/>
                  <w:vAlign w:val="center"/>
                </w:tcPr>
                <w:p w14:paraId="5947019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水</w:t>
                  </w:r>
                </w:p>
              </w:tc>
              <w:tc>
                <w:tcPr>
                  <w:tcW w:w="1383" w:type="dxa"/>
                  <w:noWrap w:val="0"/>
                  <w:vAlign w:val="center"/>
                </w:tcPr>
                <w:p w14:paraId="733B820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1719.9</w:t>
                  </w:r>
                  <w:r>
                    <w:rPr>
                      <w:rFonts w:hint="eastAsia" w:eastAsia="宋体"/>
                      <w:color w:val="auto"/>
                      <w:sz w:val="21"/>
                      <w:szCs w:val="21"/>
                      <w:highlight w:val="none"/>
                      <w:vertAlign w:val="baseline"/>
                      <w:lang w:val="en-US" w:eastAsia="zh-CN"/>
                    </w:rPr>
                    <w:t>m</w:t>
                  </w:r>
                  <w:r>
                    <w:rPr>
                      <w:rFonts w:hint="eastAsia" w:eastAsia="宋体"/>
                      <w:color w:val="auto"/>
                      <w:sz w:val="21"/>
                      <w:szCs w:val="21"/>
                      <w:highlight w:val="none"/>
                      <w:vertAlign w:val="superscript"/>
                      <w:lang w:val="en-US" w:eastAsia="zh-CN"/>
                    </w:rPr>
                    <w:t>3</w:t>
                  </w:r>
                  <w:r>
                    <w:rPr>
                      <w:rFonts w:hint="eastAsia" w:eastAsia="宋体"/>
                      <w:color w:val="auto"/>
                      <w:sz w:val="21"/>
                      <w:szCs w:val="21"/>
                      <w:highlight w:val="none"/>
                      <w:vertAlign w:val="baseline"/>
                      <w:lang w:val="en-US" w:eastAsia="zh-CN"/>
                    </w:rPr>
                    <w:t>/a</w:t>
                  </w:r>
                </w:p>
              </w:tc>
              <w:tc>
                <w:tcPr>
                  <w:tcW w:w="4151" w:type="dxa"/>
                  <w:gridSpan w:val="4"/>
                  <w:noWrap w:val="0"/>
                  <w:vAlign w:val="center"/>
                </w:tcPr>
                <w:p w14:paraId="4D67AA8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由园区供水管网提供</w:t>
                  </w:r>
                </w:p>
              </w:tc>
            </w:tr>
            <w:tr w14:paraId="3CEA4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082" w:type="dxa"/>
                  <w:vMerge w:val="continue"/>
                  <w:noWrap w:val="0"/>
                  <w:vAlign w:val="center"/>
                </w:tcPr>
                <w:p w14:paraId="73E2774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color w:val="auto"/>
                      <w:sz w:val="21"/>
                      <w:szCs w:val="21"/>
                      <w:highlight w:val="none"/>
                      <w:vertAlign w:val="baseline"/>
                      <w:lang w:val="en-US" w:eastAsia="zh-CN"/>
                    </w:rPr>
                  </w:pPr>
                </w:p>
              </w:tc>
              <w:tc>
                <w:tcPr>
                  <w:tcW w:w="1267" w:type="dxa"/>
                  <w:noWrap w:val="0"/>
                  <w:vAlign w:val="center"/>
                </w:tcPr>
                <w:p w14:paraId="32B3231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电</w:t>
                  </w:r>
                </w:p>
              </w:tc>
              <w:tc>
                <w:tcPr>
                  <w:tcW w:w="1383" w:type="dxa"/>
                  <w:noWrap w:val="0"/>
                  <w:vAlign w:val="center"/>
                </w:tcPr>
                <w:p w14:paraId="7A691BB7">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300</w:t>
                  </w:r>
                  <w:r>
                    <w:rPr>
                      <w:rFonts w:hint="eastAsia" w:eastAsia="宋体"/>
                      <w:color w:val="auto"/>
                      <w:sz w:val="21"/>
                      <w:szCs w:val="21"/>
                      <w:highlight w:val="none"/>
                      <w:vertAlign w:val="baseline"/>
                      <w:lang w:val="en-US" w:eastAsia="zh-CN"/>
                    </w:rPr>
                    <w:t>万KW•h</w:t>
                  </w:r>
                </w:p>
              </w:tc>
              <w:tc>
                <w:tcPr>
                  <w:tcW w:w="4151" w:type="dxa"/>
                  <w:gridSpan w:val="4"/>
                  <w:noWrap w:val="0"/>
                  <w:vAlign w:val="center"/>
                </w:tcPr>
                <w:p w14:paraId="1BDD280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由园区供电管网</w:t>
                  </w:r>
                </w:p>
              </w:tc>
            </w:tr>
          </w:tbl>
          <w:p w14:paraId="0BFCB9CE">
            <w:pPr>
              <w:pStyle w:val="172"/>
              <w:keepNext/>
              <w:keepLines w:val="0"/>
              <w:pageBreakBefore w:val="0"/>
              <w:suppressLineNumbers w:val="0"/>
              <w:kinsoku/>
              <w:wordWrap/>
              <w:overflowPunct/>
              <w:bidi w:val="0"/>
              <w:spacing w:before="0" w:beforeAutospacing="0" w:after="0" w:afterAutospacing="0"/>
              <w:ind w:left="0" w:right="0" w:firstLine="482"/>
              <w:rPr>
                <w:rFonts w:hint="eastAsia" w:ascii="Times New Roman" w:hAnsi="Times New Roman" w:eastAsia="宋体" w:cs="Times New Roman"/>
                <w:b/>
                <w:smallCaps w:val="0"/>
                <w:color w:val="auto"/>
                <w:spacing w:val="0"/>
                <w:highlight w:val="none"/>
                <w:lang w:val="en-US" w:eastAsia="zh-CN"/>
              </w:rPr>
            </w:pPr>
            <w:r>
              <w:rPr>
                <w:rFonts w:hint="eastAsia" w:cs="Times New Roman"/>
                <w:b/>
                <w:smallCaps w:val="0"/>
                <w:color w:val="auto"/>
                <w:spacing w:val="0"/>
                <w:highlight w:val="none"/>
                <w:lang w:val="en-US" w:eastAsia="zh-CN"/>
              </w:rPr>
              <w:t>6</w:t>
            </w:r>
            <w:r>
              <w:rPr>
                <w:rFonts w:hint="default" w:ascii="Times New Roman" w:hAnsi="Times New Roman" w:cs="Times New Roman"/>
                <w:b/>
                <w:smallCaps w:val="0"/>
                <w:color w:val="auto"/>
                <w:spacing w:val="0"/>
                <w:highlight w:val="none"/>
              </w:rPr>
              <w:t>、公用工程</w:t>
            </w:r>
          </w:p>
          <w:p w14:paraId="7DE86E5F">
            <w:pPr>
              <w:pStyle w:val="172"/>
              <w:keepNext w:val="0"/>
              <w:keepLines w:val="0"/>
              <w:suppressLineNumbers w:val="0"/>
              <w:spacing w:before="0" w:beforeAutospacing="0" w:after="0" w:afterAutospacing="0"/>
              <w:ind w:left="0" w:right="0" w:firstLine="482"/>
              <w:rPr>
                <w:rFonts w:hint="eastAsia" w:ascii="Times New Roman" w:hAnsi="Times New Roman" w:eastAsia="宋体" w:cs="Times New Roman"/>
                <w:b/>
                <w:smallCaps w:val="0"/>
                <w:color w:val="auto"/>
                <w:spacing w:val="0"/>
                <w:highlight w:val="none"/>
                <w:lang w:eastAsia="zh-CN"/>
              </w:rPr>
            </w:pPr>
            <w:r>
              <w:rPr>
                <w:rFonts w:hint="default" w:ascii="Times New Roman" w:hAnsi="Times New Roman" w:cs="Times New Roman"/>
                <w:b/>
                <w:smallCaps w:val="0"/>
                <w:color w:val="auto"/>
                <w:spacing w:val="0"/>
                <w:highlight w:val="none"/>
              </w:rPr>
              <w:t>给水</w:t>
            </w:r>
            <w:r>
              <w:rPr>
                <w:rFonts w:hint="eastAsia" w:cs="Times New Roman"/>
                <w:b/>
                <w:smallCaps w:val="0"/>
                <w:color w:val="auto"/>
                <w:spacing w:val="0"/>
                <w:highlight w:val="none"/>
                <w:lang w:eastAsia="zh-CN"/>
              </w:rPr>
              <w:t>：</w:t>
            </w:r>
          </w:p>
          <w:p w14:paraId="4B4BE811">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项目用水主要为职工生活用水、淬火、回火冷却用水。项目新鲜水量为1719.9</w:t>
            </w:r>
            <w:r>
              <w:rPr>
                <w:rFonts w:hint="default" w:ascii="Times New Roman" w:hAnsi="Times New Roman" w:cs="Times New Roman"/>
                <w:color w:val="auto"/>
                <w:sz w:val="24"/>
                <w:szCs w:val="24"/>
                <w:highlight w:val="none"/>
              </w:rPr>
              <w:t>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/a</w:t>
            </w:r>
            <w:r>
              <w:rPr>
                <w:rFonts w:hint="default" w:ascii="Times New Roman" w:hAnsi="Times New Roman" w:cs="Times New Roman"/>
                <w:smallCaps w:val="0"/>
                <w:color w:val="auto"/>
                <w:spacing w:val="0"/>
                <w:highlight w:val="none"/>
                <w:lang w:val="en-US" w:eastAsia="zh-CN"/>
              </w:rPr>
              <w:t>。</w:t>
            </w:r>
          </w:p>
          <w:p w14:paraId="2547F132">
            <w:pPr>
              <w:keepNext w:val="0"/>
              <w:keepLines w:val="0"/>
              <w:pageBreakBefore w:val="0"/>
              <w:widowControl w:val="0"/>
              <w:suppressLineNumbers w:val="0"/>
              <w:tabs>
                <w:tab w:val="left" w:pos="6521"/>
              </w:tabs>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cs="Times New Roman"/>
                <w:snapToGrid w:val="0"/>
                <w:color w:val="auto"/>
                <w:sz w:val="24"/>
                <w:szCs w:val="24"/>
                <w:highlight w:val="none"/>
                <w:lang w:eastAsia="zh-CN"/>
              </w:rPr>
            </w:pPr>
            <w:r>
              <w:rPr>
                <w:rFonts w:hint="eastAsia" w:ascii="Times New Roman" w:hAnsi="Times New Roman" w:cs="Times New Roman"/>
                <w:snapToGrid w:val="0"/>
                <w:color w:val="auto"/>
                <w:sz w:val="24"/>
                <w:szCs w:val="24"/>
                <w:highlight w:val="none"/>
                <w:lang w:val="en-US" w:eastAsia="zh-CN"/>
              </w:rPr>
              <w:t>职工生活用水</w:t>
            </w:r>
            <w:r>
              <w:rPr>
                <w:rFonts w:hint="eastAsia" w:cs="Times New Roman"/>
                <w:snapToGrid w:val="0"/>
                <w:color w:val="auto"/>
                <w:sz w:val="24"/>
                <w:szCs w:val="24"/>
                <w:highlight w:val="none"/>
                <w:lang w:val="en-US" w:eastAsia="zh-CN"/>
              </w:rPr>
              <w:t>：</w:t>
            </w:r>
            <w:r>
              <w:rPr>
                <w:rFonts w:hint="default" w:ascii="Times New Roman" w:hAnsi="Times New Roman" w:cs="Times New Roman"/>
                <w:snapToGrid w:val="0"/>
                <w:color w:val="auto"/>
                <w:sz w:val="24"/>
                <w:szCs w:val="24"/>
                <w:highlight w:val="none"/>
              </w:rPr>
              <w:t>本项目劳动定员</w:t>
            </w:r>
            <w:r>
              <w:rPr>
                <w:rFonts w:hint="eastAsia" w:cs="Times New Roman"/>
                <w:snapToGrid w:val="0"/>
                <w:color w:val="auto"/>
                <w:sz w:val="24"/>
                <w:szCs w:val="24"/>
                <w:highlight w:val="none"/>
                <w:lang w:val="en-US" w:eastAsia="zh-CN"/>
              </w:rPr>
              <w:t>10</w:t>
            </w:r>
            <w:r>
              <w:rPr>
                <w:rFonts w:hint="default" w:ascii="Times New Roman" w:hAnsi="Times New Roman" w:cs="Times New Roman"/>
                <w:snapToGrid w:val="0"/>
                <w:color w:val="auto"/>
                <w:sz w:val="24"/>
                <w:szCs w:val="24"/>
                <w:highlight w:val="none"/>
              </w:rPr>
              <w:t>人，</w:t>
            </w:r>
            <w:r>
              <w:rPr>
                <w:rFonts w:hint="eastAsia"/>
                <w:color w:val="auto"/>
                <w:sz w:val="24"/>
                <w:szCs w:val="24"/>
                <w:highlight w:val="none"/>
              </w:rPr>
              <w:t>参考《生活与服务业用水定额 第</w:t>
            </w:r>
            <w:r>
              <w:rPr>
                <w:rFonts w:hint="eastAsia"/>
                <w:color w:val="auto"/>
                <w:sz w:val="24"/>
                <w:szCs w:val="24"/>
                <w:highlight w:val="none"/>
                <w:lang w:val="en-US" w:eastAsia="zh-CN"/>
              </w:rPr>
              <w:t>1</w:t>
            </w:r>
            <w:r>
              <w:rPr>
                <w:rFonts w:hint="eastAsia"/>
                <w:color w:val="auto"/>
                <w:sz w:val="24"/>
                <w:szCs w:val="24"/>
                <w:highlight w:val="none"/>
              </w:rPr>
              <w:t>部分</w:t>
            </w:r>
            <w:r>
              <w:rPr>
                <w:rFonts w:hint="eastAsia"/>
                <w:color w:val="auto"/>
                <w:sz w:val="24"/>
                <w:szCs w:val="24"/>
                <w:highlight w:val="none"/>
                <w:lang w:eastAsia="zh-CN"/>
              </w:rPr>
              <w:t>：</w:t>
            </w:r>
            <w:r>
              <w:rPr>
                <w:rFonts w:hint="eastAsia"/>
                <w:color w:val="auto"/>
                <w:sz w:val="24"/>
                <w:szCs w:val="24"/>
                <w:highlight w:val="none"/>
                <w:lang w:val="en-US" w:eastAsia="zh-CN"/>
              </w:rPr>
              <w:t>居民生活</w:t>
            </w:r>
            <w:r>
              <w:rPr>
                <w:rFonts w:hint="eastAsia"/>
                <w:color w:val="auto"/>
                <w:sz w:val="24"/>
                <w:szCs w:val="24"/>
                <w:highlight w:val="none"/>
              </w:rPr>
              <w:t>》（DB 13/T 5450.</w:t>
            </w:r>
            <w:r>
              <w:rPr>
                <w:rFonts w:hint="eastAsia"/>
                <w:color w:val="auto"/>
                <w:sz w:val="24"/>
                <w:szCs w:val="24"/>
                <w:highlight w:val="none"/>
                <w:lang w:val="en-US" w:eastAsia="zh-CN"/>
              </w:rPr>
              <w:t>1</w:t>
            </w:r>
            <w:r>
              <w:rPr>
                <w:rFonts w:hint="eastAsia"/>
                <w:color w:val="auto"/>
                <w:sz w:val="24"/>
                <w:szCs w:val="24"/>
                <w:highlight w:val="none"/>
              </w:rPr>
              <w:t>-2021），</w:t>
            </w:r>
            <w:r>
              <w:rPr>
                <w:rFonts w:hint="eastAsia"/>
                <w:color w:val="auto"/>
                <w:sz w:val="24"/>
                <w:szCs w:val="24"/>
                <w:highlight w:val="none"/>
                <w:lang w:val="en-US" w:eastAsia="zh-CN"/>
              </w:rPr>
              <w:t>农村居民</w:t>
            </w:r>
            <w:r>
              <w:rPr>
                <w:rFonts w:hint="eastAsia"/>
                <w:color w:val="auto"/>
                <w:sz w:val="24"/>
                <w:szCs w:val="24"/>
                <w:highlight w:val="none"/>
              </w:rPr>
              <w:t>用水量按</w:t>
            </w:r>
            <w:r>
              <w:rPr>
                <w:rFonts w:hint="eastAsia"/>
                <w:color w:val="auto"/>
                <w:sz w:val="24"/>
                <w:szCs w:val="24"/>
                <w:highlight w:val="none"/>
                <w:lang w:val="en-US" w:eastAsia="zh-CN"/>
              </w:rPr>
              <w:t>22.0</w:t>
            </w:r>
            <w:r>
              <w:rPr>
                <w:rFonts w:hint="eastAsia"/>
                <w:color w:val="auto"/>
                <w:sz w:val="24"/>
                <w:szCs w:val="24"/>
                <w:highlight w:val="none"/>
              </w:rPr>
              <w:t>m</w:t>
            </w:r>
            <w:r>
              <w:rPr>
                <w:rFonts w:hint="eastAsia"/>
                <w:color w:val="auto"/>
                <w:sz w:val="24"/>
                <w:szCs w:val="24"/>
                <w:highlight w:val="none"/>
                <w:vertAlign w:val="superscript"/>
              </w:rPr>
              <w:t>3</w:t>
            </w:r>
            <w:r>
              <w:rPr>
                <w:rFonts w:hint="eastAsia"/>
                <w:color w:val="auto"/>
                <w:sz w:val="24"/>
                <w:szCs w:val="24"/>
                <w:highlight w:val="none"/>
              </w:rPr>
              <w:t>/人·a计，</w:t>
            </w:r>
            <w:r>
              <w:rPr>
                <w:rFonts w:hint="default" w:ascii="Times New Roman" w:hAnsi="Times New Roman" w:cs="Times New Roman"/>
                <w:snapToGrid w:val="0"/>
                <w:color w:val="auto"/>
                <w:sz w:val="24"/>
                <w:szCs w:val="24"/>
                <w:highlight w:val="none"/>
              </w:rPr>
              <w:t>生活用水量为</w:t>
            </w:r>
            <w:r>
              <w:rPr>
                <w:rFonts w:hint="eastAsia" w:cs="Times New Roman"/>
                <w:snapToGrid w:val="0"/>
                <w:color w:val="auto"/>
                <w:sz w:val="24"/>
                <w:szCs w:val="24"/>
                <w:highlight w:val="none"/>
                <w:lang w:val="en-US" w:eastAsia="zh-CN"/>
              </w:rPr>
              <w:t>0.733</w:t>
            </w:r>
            <w:r>
              <w:rPr>
                <w:rFonts w:hint="default" w:ascii="Times New Roman" w:hAnsi="Times New Roman" w:cs="Times New Roman"/>
                <w:snapToGrid w:val="0"/>
                <w:color w:val="auto"/>
                <w:sz w:val="24"/>
                <w:szCs w:val="24"/>
                <w:highlight w:val="none"/>
              </w:rPr>
              <w:t>m³/d（</w:t>
            </w:r>
            <w:r>
              <w:rPr>
                <w:rFonts w:hint="eastAsia" w:cs="Times New Roman"/>
                <w:snapToGrid w:val="0"/>
                <w:color w:val="auto"/>
                <w:sz w:val="24"/>
                <w:szCs w:val="24"/>
                <w:highlight w:val="none"/>
                <w:lang w:val="en-US" w:eastAsia="zh-CN"/>
              </w:rPr>
              <w:t>219.9</w:t>
            </w:r>
            <w:r>
              <w:rPr>
                <w:rFonts w:hint="default" w:ascii="Times New Roman" w:hAnsi="Times New Roman" w:cs="Times New Roman"/>
                <w:snapToGrid w:val="0"/>
                <w:color w:val="auto"/>
                <w:sz w:val="24"/>
                <w:szCs w:val="24"/>
                <w:highlight w:val="none"/>
              </w:rPr>
              <w:t>m³/a）</w:t>
            </w:r>
            <w:r>
              <w:rPr>
                <w:rFonts w:hint="eastAsia" w:cs="Times New Roman"/>
                <w:snapToGrid w:val="0"/>
                <w:color w:val="auto"/>
                <w:sz w:val="24"/>
                <w:szCs w:val="24"/>
                <w:highlight w:val="none"/>
                <w:lang w:eastAsia="zh-CN"/>
              </w:rPr>
              <w:t>；</w:t>
            </w:r>
          </w:p>
          <w:p w14:paraId="7BBC42A3">
            <w:pPr>
              <w:keepNext w:val="0"/>
              <w:keepLines w:val="0"/>
              <w:pageBreakBefore w:val="0"/>
              <w:widowControl w:val="0"/>
              <w:suppressLineNumbers w:val="0"/>
              <w:tabs>
                <w:tab w:val="left" w:pos="6521"/>
              </w:tabs>
              <w:kinsoku/>
              <w:wordWrap/>
              <w:overflowPunct/>
              <w:topLinePunct w:val="0"/>
              <w:autoSpaceDE/>
              <w:autoSpaceDN/>
              <w:bidi w:val="0"/>
              <w:adjustRightInd/>
              <w:snapToGrid/>
              <w:spacing w:before="0" w:beforeAutospacing="0" w:after="0" w:afterAutospacing="0" w:line="440" w:lineRule="exact"/>
              <w:ind w:left="0" w:right="0" w:firstLine="480" w:firstLineChars="200"/>
              <w:jc w:val="both"/>
              <w:textAlignment w:val="auto"/>
              <w:rPr>
                <w:rFonts w:hint="eastAsia" w:ascii="Times New Roman" w:hAnsi="Times New Roman" w:eastAsia="宋体" w:cs="Times New Roman"/>
                <w:snapToGrid w:val="0"/>
                <w:color w:val="auto"/>
                <w:sz w:val="24"/>
                <w:szCs w:val="24"/>
                <w:highlight w:val="none"/>
                <w:lang w:val="en-US" w:eastAsia="zh-CN"/>
              </w:rPr>
            </w:pPr>
            <w:r>
              <w:rPr>
                <w:rFonts w:hint="default" w:ascii="Times New Roman" w:hAnsi="Times New Roman" w:cs="Times New Roman"/>
                <w:smallCaps w:val="0"/>
                <w:color w:val="auto"/>
                <w:spacing w:val="0"/>
                <w:sz w:val="24"/>
                <w:szCs w:val="24"/>
                <w:highlight w:val="none"/>
              </w:rPr>
              <w:t>根据企业提供资料</w:t>
            </w:r>
            <w:r>
              <w:rPr>
                <w:rFonts w:hint="default" w:ascii="Times New Roman" w:hAnsi="Times New Roman" w:cs="Times New Roman"/>
                <w:smallCaps w:val="0"/>
                <w:color w:val="auto"/>
                <w:spacing w:val="0"/>
                <w:sz w:val="24"/>
                <w:szCs w:val="24"/>
                <w:highlight w:val="none"/>
                <w:lang w:eastAsia="zh-CN"/>
              </w:rPr>
              <w:t>，</w:t>
            </w:r>
            <w:r>
              <w:rPr>
                <w:rFonts w:hint="default" w:ascii="Times New Roman" w:hAnsi="Times New Roman" w:cs="Times New Roman"/>
                <w:smallCaps w:val="0"/>
                <w:color w:val="auto"/>
                <w:spacing w:val="0"/>
                <w:sz w:val="24"/>
                <w:szCs w:val="24"/>
                <w:highlight w:val="none"/>
              </w:rPr>
              <w:t>项目</w:t>
            </w:r>
            <w:r>
              <w:rPr>
                <w:rFonts w:hint="default" w:ascii="Times New Roman" w:hAnsi="Times New Roman" w:cs="Times New Roman"/>
                <w:smallCaps w:val="0"/>
                <w:color w:val="auto"/>
                <w:spacing w:val="0"/>
                <w:sz w:val="24"/>
                <w:szCs w:val="24"/>
                <w:highlight w:val="none"/>
                <w:lang w:val="en-US" w:eastAsia="zh-CN"/>
              </w:rPr>
              <w:t>冷却循环水</w:t>
            </w:r>
            <w:r>
              <w:rPr>
                <w:rFonts w:hint="eastAsia" w:cs="Times New Roman"/>
                <w:smallCaps w:val="0"/>
                <w:color w:val="auto"/>
                <w:spacing w:val="0"/>
                <w:sz w:val="24"/>
                <w:szCs w:val="24"/>
                <w:highlight w:val="none"/>
                <w:lang w:val="en-US" w:eastAsia="zh-CN"/>
              </w:rPr>
              <w:t>用水量为50m</w:t>
            </w:r>
            <w:r>
              <w:rPr>
                <w:rFonts w:hint="eastAsia" w:cs="Times New Roman"/>
                <w:smallCaps w:val="0"/>
                <w:color w:val="auto"/>
                <w:spacing w:val="0"/>
                <w:sz w:val="24"/>
                <w:szCs w:val="24"/>
                <w:highlight w:val="none"/>
                <w:vertAlign w:val="superscript"/>
                <w:lang w:val="en-US" w:eastAsia="zh-CN"/>
              </w:rPr>
              <w:t>3</w:t>
            </w:r>
            <w:r>
              <w:rPr>
                <w:rFonts w:hint="eastAsia" w:cs="Times New Roman"/>
                <w:smallCaps w:val="0"/>
                <w:color w:val="auto"/>
                <w:spacing w:val="0"/>
                <w:sz w:val="24"/>
                <w:szCs w:val="24"/>
                <w:highlight w:val="none"/>
                <w:lang w:val="en-US" w:eastAsia="zh-CN"/>
              </w:rPr>
              <w:t>/d，其中循环水量45m</w:t>
            </w:r>
            <w:r>
              <w:rPr>
                <w:rFonts w:hint="eastAsia" w:cs="Times New Roman"/>
                <w:smallCaps w:val="0"/>
                <w:color w:val="auto"/>
                <w:spacing w:val="0"/>
                <w:sz w:val="24"/>
                <w:szCs w:val="24"/>
                <w:highlight w:val="none"/>
                <w:vertAlign w:val="superscript"/>
                <w:lang w:val="en-US" w:eastAsia="zh-CN"/>
              </w:rPr>
              <w:t>3</w:t>
            </w:r>
            <w:r>
              <w:rPr>
                <w:rFonts w:hint="eastAsia" w:cs="Times New Roman"/>
                <w:smallCaps w:val="0"/>
                <w:color w:val="auto"/>
                <w:spacing w:val="0"/>
                <w:sz w:val="24"/>
                <w:szCs w:val="24"/>
                <w:highlight w:val="none"/>
                <w:lang w:val="en-US" w:eastAsia="zh-CN"/>
              </w:rPr>
              <w:t>/d，新鲜水补水量为5m</w:t>
            </w:r>
            <w:r>
              <w:rPr>
                <w:rFonts w:hint="eastAsia" w:cs="Times New Roman"/>
                <w:smallCaps w:val="0"/>
                <w:color w:val="auto"/>
                <w:spacing w:val="0"/>
                <w:sz w:val="24"/>
                <w:szCs w:val="24"/>
                <w:highlight w:val="none"/>
                <w:vertAlign w:val="superscript"/>
                <w:lang w:val="en-US" w:eastAsia="zh-CN"/>
              </w:rPr>
              <w:t>3</w:t>
            </w:r>
            <w:r>
              <w:rPr>
                <w:rFonts w:hint="eastAsia" w:cs="Times New Roman"/>
                <w:smallCaps w:val="0"/>
                <w:color w:val="auto"/>
                <w:spacing w:val="0"/>
                <w:sz w:val="24"/>
                <w:szCs w:val="24"/>
                <w:highlight w:val="none"/>
                <w:lang w:val="en-US" w:eastAsia="zh-CN"/>
              </w:rPr>
              <w:t>/d（1500</w:t>
            </w:r>
            <w:r>
              <w:rPr>
                <w:rFonts w:hint="default" w:ascii="Times New Roman" w:hAnsi="Times New Roman" w:cs="Times New Roman"/>
                <w:smallCaps w:val="0"/>
                <w:color w:val="auto"/>
                <w:spacing w:val="0"/>
                <w:sz w:val="24"/>
                <w:szCs w:val="24"/>
                <w:highlight w:val="none"/>
              </w:rPr>
              <w:t>m³/</w:t>
            </w:r>
            <w:r>
              <w:rPr>
                <w:rFonts w:hint="default" w:ascii="Times New Roman" w:hAnsi="Times New Roman" w:cs="Times New Roman"/>
                <w:smallCaps w:val="0"/>
                <w:color w:val="auto"/>
                <w:spacing w:val="0"/>
                <w:sz w:val="24"/>
                <w:szCs w:val="24"/>
                <w:highlight w:val="none"/>
                <w:lang w:val="en-US" w:eastAsia="zh-CN"/>
              </w:rPr>
              <w:t>a</w:t>
            </w:r>
            <w:r>
              <w:rPr>
                <w:rFonts w:hint="eastAsia" w:cs="Times New Roman"/>
                <w:smallCaps w:val="0"/>
                <w:color w:val="auto"/>
                <w:spacing w:val="0"/>
                <w:sz w:val="24"/>
                <w:szCs w:val="24"/>
                <w:highlight w:val="none"/>
                <w:lang w:val="en-US" w:eastAsia="zh-CN"/>
              </w:rPr>
              <w:t>）</w:t>
            </w:r>
            <w:r>
              <w:rPr>
                <w:rFonts w:hint="eastAsia" w:cs="Times New Roman"/>
                <w:snapToGrid w:val="0"/>
                <w:color w:val="auto"/>
                <w:sz w:val="24"/>
                <w:szCs w:val="24"/>
                <w:highlight w:val="none"/>
                <w:lang w:val="en-US" w:eastAsia="zh-CN"/>
              </w:rPr>
              <w:t>。</w:t>
            </w:r>
          </w:p>
          <w:p w14:paraId="2F1EC2C3">
            <w:pPr>
              <w:pStyle w:val="172"/>
              <w:keepNext w:val="0"/>
              <w:keepLines w:val="0"/>
              <w:suppressLineNumbers w:val="0"/>
              <w:spacing w:before="0" w:beforeAutospacing="0" w:after="0" w:afterAutospacing="0"/>
              <w:ind w:left="0" w:right="0" w:firstLine="482"/>
              <w:rPr>
                <w:rFonts w:hint="default" w:ascii="Times New Roman" w:hAnsi="Times New Roman" w:cs="Times New Roman"/>
                <w:b/>
                <w:bCs/>
                <w:smallCaps w:val="0"/>
                <w:color w:val="auto"/>
                <w:spacing w:val="0"/>
                <w:highlight w:val="none"/>
              </w:rPr>
            </w:pPr>
            <w:r>
              <w:rPr>
                <w:rFonts w:hint="default" w:ascii="Times New Roman" w:hAnsi="Times New Roman" w:cs="Times New Roman"/>
                <w:b/>
                <w:bCs/>
                <w:smallCaps w:val="0"/>
                <w:color w:val="auto"/>
                <w:spacing w:val="0"/>
                <w:highlight w:val="none"/>
              </w:rPr>
              <w:t>排水</w:t>
            </w:r>
          </w:p>
          <w:p w14:paraId="3C90CB9A">
            <w:pPr>
              <w:pStyle w:val="172"/>
              <w:keepNext w:val="0"/>
              <w:keepLines w:val="0"/>
              <w:suppressLineNumbers w:val="0"/>
              <w:spacing w:before="0" w:beforeAutospacing="0" w:after="0" w:afterAutospacing="0"/>
              <w:ind w:left="0" w:right="0" w:firstLine="480"/>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本项目生产废水全部回用不外排，生活污水经化粪池处理后定期由吸粪车抽走，</w:t>
            </w:r>
            <w:r>
              <w:rPr>
                <w:rFonts w:hint="default" w:ascii="Times New Roman" w:hAnsi="Times New Roman" w:cs="Times New Roman"/>
                <w:smallCaps w:val="0"/>
                <w:color w:val="auto"/>
                <w:spacing w:val="0"/>
                <w:highlight w:val="none"/>
                <w:lang w:val="en-US" w:eastAsia="zh-CN"/>
              </w:rPr>
              <w:t>职工生活污水产生量</w:t>
            </w:r>
            <w:r>
              <w:rPr>
                <w:rFonts w:hint="eastAsia" w:cs="Times New Roman"/>
                <w:smallCaps w:val="0"/>
                <w:color w:val="auto"/>
                <w:spacing w:val="0"/>
                <w:highlight w:val="none"/>
                <w:lang w:val="en-US" w:eastAsia="zh-CN"/>
              </w:rPr>
              <w:t>0.586</w:t>
            </w:r>
            <w:r>
              <w:rPr>
                <w:rFonts w:hint="default" w:ascii="Times New Roman" w:hAnsi="Times New Roman" w:cs="Times New Roman"/>
                <w:smallCaps w:val="0"/>
                <w:color w:val="auto"/>
                <w:spacing w:val="0"/>
                <w:highlight w:val="none"/>
                <w:lang w:val="en-US" w:eastAsia="zh-CN"/>
              </w:rPr>
              <w:t>m</w:t>
            </w:r>
            <w:r>
              <w:rPr>
                <w:rFonts w:hint="default" w:ascii="Times New Roman" w:hAnsi="Times New Roman" w:cs="Times New Roman"/>
                <w:smallCaps w:val="0"/>
                <w:color w:val="auto"/>
                <w:spacing w:val="0"/>
                <w:highlight w:val="none"/>
                <w:vertAlign w:val="superscript"/>
                <w:lang w:val="en-US" w:eastAsia="zh-CN"/>
              </w:rPr>
              <w:t>3</w:t>
            </w:r>
            <w:r>
              <w:rPr>
                <w:rFonts w:hint="default" w:ascii="Times New Roman" w:hAnsi="Times New Roman" w:cs="Times New Roman"/>
                <w:smallCaps w:val="0"/>
                <w:color w:val="auto"/>
                <w:spacing w:val="0"/>
                <w:highlight w:val="none"/>
                <w:lang w:val="en-US" w:eastAsia="zh-CN"/>
              </w:rPr>
              <w:t>/d</w:t>
            </w:r>
            <w:r>
              <w:rPr>
                <w:rFonts w:hint="eastAsia" w:cs="Times New Roman"/>
                <w:smallCaps w:val="0"/>
                <w:color w:val="auto"/>
                <w:spacing w:val="0"/>
                <w:highlight w:val="none"/>
                <w:lang w:val="en-US" w:eastAsia="zh-CN"/>
              </w:rPr>
              <w:t>。</w:t>
            </w:r>
          </w:p>
          <w:p w14:paraId="174562D0">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项目给排水平衡见下表</w:t>
            </w:r>
            <w:r>
              <w:rPr>
                <w:rFonts w:hint="eastAsia" w:cs="Times New Roman"/>
                <w:smallCaps w:val="0"/>
                <w:color w:val="auto"/>
                <w:spacing w:val="0"/>
                <w:highlight w:val="none"/>
                <w:lang w:eastAsia="zh-CN"/>
              </w:rPr>
              <w:t>：</w:t>
            </w:r>
          </w:p>
          <w:p w14:paraId="43182EFD">
            <w:pPr>
              <w:pStyle w:val="187"/>
              <w:keepNext/>
              <w:keepLines w:val="0"/>
              <w:pageBreakBefore w:val="0"/>
              <w:suppressLineNumbers w:val="0"/>
              <w:kinsoku/>
              <w:wordWrap/>
              <w:overflowPunct/>
              <w:bidi w:val="0"/>
              <w:spacing w:before="0" w:beforeAutospacing="0" w:after="0" w:afterAutospacing="0"/>
              <w:ind w:left="0" w:right="0"/>
              <w:rPr>
                <w:rFonts w:hint="eastAsia" w:ascii="Times New Roman" w:hAnsi="Times New Roman" w:eastAsia="宋体"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表2-</w:t>
            </w:r>
            <w:r>
              <w:rPr>
                <w:rFonts w:hint="eastAsia" w:cs="Times New Roman"/>
                <w:smallCaps w:val="0"/>
                <w:color w:val="auto"/>
                <w:spacing w:val="0"/>
                <w:highlight w:val="none"/>
                <w:lang w:val="en-US" w:eastAsia="zh-CN"/>
              </w:rPr>
              <w:t>7</w:t>
            </w:r>
            <w:r>
              <w:rPr>
                <w:rFonts w:hint="default" w:ascii="Times New Roman" w:hAnsi="Times New Roman" w:cs="Times New Roman"/>
                <w:smallCaps w:val="0"/>
                <w:color w:val="auto"/>
                <w:spacing w:val="0"/>
                <w:highlight w:val="none"/>
              </w:rPr>
              <w:t xml:space="preserve">    本项目给排水平衡表   单位</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m³/</w:t>
            </w:r>
            <w:r>
              <w:rPr>
                <w:rFonts w:hint="eastAsia" w:cs="Times New Roman"/>
                <w:smallCaps w:val="0"/>
                <w:color w:val="auto"/>
                <w:spacing w:val="0"/>
                <w:highlight w:val="none"/>
                <w:lang w:val="en-US" w:eastAsia="zh-CN"/>
              </w:rPr>
              <w:t>a</w:t>
            </w:r>
          </w:p>
          <w:tbl>
            <w:tblPr>
              <w:tblStyle w:val="4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0"/>
              <w:gridCol w:w="1258"/>
              <w:gridCol w:w="994"/>
              <w:gridCol w:w="989"/>
              <w:gridCol w:w="994"/>
              <w:gridCol w:w="994"/>
              <w:gridCol w:w="1381"/>
            </w:tblGrid>
            <w:tr w14:paraId="7C343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06" w:type="pct"/>
                  <w:vAlign w:val="center"/>
                </w:tcPr>
                <w:p w14:paraId="3AA1DB75">
                  <w:pPr>
                    <w:pStyle w:val="67"/>
                    <w:keepNext w:val="0"/>
                    <w:keepLines w:val="0"/>
                    <w:suppressLineNumbers w:val="0"/>
                    <w:spacing w:before="0" w:beforeAutospacing="0" w:after="0" w:afterAutospacing="0"/>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用水工序</w:t>
                  </w:r>
                </w:p>
              </w:tc>
              <w:tc>
                <w:tcPr>
                  <w:tcW w:w="798" w:type="pct"/>
                  <w:vAlign w:val="center"/>
                </w:tcPr>
                <w:p w14:paraId="7E62D1A3">
                  <w:pPr>
                    <w:pStyle w:val="67"/>
                    <w:keepNext w:val="0"/>
                    <w:keepLines w:val="0"/>
                    <w:suppressLineNumbers w:val="0"/>
                    <w:spacing w:before="0" w:beforeAutospacing="0" w:after="0" w:afterAutospacing="0"/>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总用水量</w:t>
                  </w:r>
                </w:p>
              </w:tc>
              <w:tc>
                <w:tcPr>
                  <w:tcW w:w="630" w:type="pct"/>
                  <w:vAlign w:val="center"/>
                </w:tcPr>
                <w:p w14:paraId="7217E0FB">
                  <w:pPr>
                    <w:pStyle w:val="67"/>
                    <w:keepNext w:val="0"/>
                    <w:keepLines w:val="0"/>
                    <w:suppressLineNumbers w:val="0"/>
                    <w:spacing w:before="0" w:beforeAutospacing="0" w:after="0" w:afterAutospacing="0"/>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新鲜水量</w:t>
                  </w:r>
                </w:p>
              </w:tc>
              <w:tc>
                <w:tcPr>
                  <w:tcW w:w="627" w:type="pct"/>
                  <w:vAlign w:val="center"/>
                </w:tcPr>
                <w:p w14:paraId="11AFE6D4">
                  <w:pPr>
                    <w:pStyle w:val="67"/>
                    <w:keepNext w:val="0"/>
                    <w:keepLines w:val="0"/>
                    <w:suppressLineNumbers w:val="0"/>
                    <w:spacing w:before="0" w:beforeAutospacing="0" w:after="0" w:afterAutospacing="0"/>
                    <w:ind w:left="0" w:right="0"/>
                    <w:jc w:val="center"/>
                    <w:rPr>
                      <w:rFonts w:hint="eastAsia"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回用水量</w:t>
                  </w:r>
                </w:p>
              </w:tc>
              <w:tc>
                <w:tcPr>
                  <w:tcW w:w="630" w:type="pct"/>
                  <w:shd w:val="clear" w:color="auto" w:fill="auto"/>
                  <w:vAlign w:val="center"/>
                </w:tcPr>
                <w:p w14:paraId="5F9E535A">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rPr>
                    <w:t>损耗水量</w:t>
                  </w:r>
                </w:p>
              </w:tc>
              <w:tc>
                <w:tcPr>
                  <w:tcW w:w="630" w:type="pct"/>
                  <w:vAlign w:val="center"/>
                </w:tcPr>
                <w:p w14:paraId="6808AAF5">
                  <w:pPr>
                    <w:pStyle w:val="67"/>
                    <w:keepNext w:val="0"/>
                    <w:keepLines w:val="0"/>
                    <w:suppressLineNumbers w:val="0"/>
                    <w:spacing w:before="0" w:beforeAutospacing="0" w:after="0" w:afterAutospacing="0"/>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废水产生量</w:t>
                  </w:r>
                </w:p>
              </w:tc>
              <w:tc>
                <w:tcPr>
                  <w:tcW w:w="876" w:type="pct"/>
                  <w:vAlign w:val="center"/>
                </w:tcPr>
                <w:p w14:paraId="3DB81BD9">
                  <w:pPr>
                    <w:pStyle w:val="67"/>
                    <w:keepNext w:val="0"/>
                    <w:keepLines w:val="0"/>
                    <w:suppressLineNumbers w:val="0"/>
                    <w:spacing w:before="0" w:beforeAutospacing="0" w:after="0" w:afterAutospacing="0"/>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废水去向</w:t>
                  </w:r>
                </w:p>
              </w:tc>
            </w:tr>
            <w:tr w14:paraId="6C324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06" w:type="pct"/>
                  <w:shd w:val="clear" w:color="auto" w:fill="auto"/>
                  <w:vAlign w:val="center"/>
                </w:tcPr>
                <w:p w14:paraId="64CE39F8">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职工生活用水</w:t>
                  </w:r>
                </w:p>
              </w:tc>
              <w:tc>
                <w:tcPr>
                  <w:tcW w:w="798" w:type="pct"/>
                  <w:shd w:val="clear" w:color="auto" w:fill="auto"/>
                  <w:vAlign w:val="center"/>
                </w:tcPr>
                <w:p w14:paraId="0136661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0.733</w:t>
                  </w:r>
                </w:p>
              </w:tc>
              <w:tc>
                <w:tcPr>
                  <w:tcW w:w="630" w:type="pct"/>
                  <w:shd w:val="clear" w:color="auto" w:fill="auto"/>
                  <w:vAlign w:val="center"/>
                </w:tcPr>
                <w:p w14:paraId="39F9D72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0.733</w:t>
                  </w:r>
                </w:p>
              </w:tc>
              <w:tc>
                <w:tcPr>
                  <w:tcW w:w="627" w:type="pct"/>
                  <w:shd w:val="clear" w:color="auto" w:fill="auto"/>
                  <w:vAlign w:val="center"/>
                </w:tcPr>
                <w:p w14:paraId="35D001E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0</w:t>
                  </w:r>
                </w:p>
              </w:tc>
              <w:tc>
                <w:tcPr>
                  <w:tcW w:w="630" w:type="pct"/>
                  <w:shd w:val="clear" w:color="auto" w:fill="auto"/>
                  <w:vAlign w:val="center"/>
                </w:tcPr>
                <w:p w14:paraId="241F2AE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0.147</w:t>
                  </w:r>
                </w:p>
              </w:tc>
              <w:tc>
                <w:tcPr>
                  <w:tcW w:w="630" w:type="pct"/>
                  <w:shd w:val="clear" w:color="auto" w:fill="auto"/>
                  <w:vAlign w:val="center"/>
                </w:tcPr>
                <w:p w14:paraId="171674D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color w:val="auto"/>
                      <w:spacing w:val="-12"/>
                      <w:kern w:val="0"/>
                      <w:sz w:val="21"/>
                      <w:szCs w:val="20"/>
                      <w:highlight w:val="none"/>
                      <w:lang w:val="en-US" w:eastAsia="zh-CN" w:bidi="ar-SA"/>
                    </w:rPr>
                  </w:pPr>
                  <w:r>
                    <w:rPr>
                      <w:rFonts w:hint="eastAsia" w:cs="Times New Roman"/>
                      <w:bCs/>
                      <w:color w:val="auto"/>
                      <w:spacing w:val="-12"/>
                      <w:kern w:val="0"/>
                      <w:sz w:val="21"/>
                      <w:szCs w:val="20"/>
                      <w:highlight w:val="none"/>
                      <w:lang w:val="en-US" w:eastAsia="zh-CN" w:bidi="ar-SA"/>
                    </w:rPr>
                    <w:t>0.586</w:t>
                  </w:r>
                </w:p>
              </w:tc>
              <w:tc>
                <w:tcPr>
                  <w:tcW w:w="876" w:type="pct"/>
                  <w:shd w:val="clear" w:color="auto" w:fill="auto"/>
                  <w:vAlign w:val="center"/>
                </w:tcPr>
                <w:p w14:paraId="6BEB518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0"/>
                      <w:highlight w:val="none"/>
                      <w:lang w:val="en-US" w:eastAsia="zh-CN" w:bidi="ar-SA"/>
                    </w:rPr>
                  </w:pPr>
                  <w:r>
                    <w:rPr>
                      <w:rFonts w:hint="eastAsia"/>
                      <w:color w:val="auto"/>
                      <w:szCs w:val="20"/>
                      <w:highlight w:val="none"/>
                      <w:lang w:eastAsia="zh-CN"/>
                    </w:rPr>
                    <w:t>生活污水经化粪池处理后定期由吸粪车抽走</w:t>
                  </w:r>
                </w:p>
              </w:tc>
            </w:tr>
            <w:tr w14:paraId="025AA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06" w:type="pct"/>
                  <w:vAlign w:val="center"/>
                </w:tcPr>
                <w:p w14:paraId="3DD8F6E0">
                  <w:pPr>
                    <w:pStyle w:val="67"/>
                    <w:keepNext w:val="0"/>
                    <w:keepLines w:val="0"/>
                    <w:suppressLineNumbers w:val="0"/>
                    <w:spacing w:before="0" w:beforeAutospacing="0" w:after="0" w:afterAutospacing="0"/>
                    <w:ind w:left="0" w:leftChars="0" w:right="0" w:rightChars="0"/>
                    <w:jc w:val="center"/>
                    <w:rPr>
                      <w:rFonts w:hint="default" w:cs="Times New Roman"/>
                      <w:bCs/>
                      <w:smallCaps w:val="0"/>
                      <w:color w:val="auto"/>
                      <w:spacing w:val="0"/>
                      <w:kern w:val="0"/>
                      <w:sz w:val="21"/>
                      <w:szCs w:val="20"/>
                      <w:highlight w:val="none"/>
                      <w:lang w:val="en-US" w:eastAsia="zh-CN" w:bidi="ar-SA"/>
                    </w:rPr>
                  </w:pPr>
                  <w:r>
                    <w:rPr>
                      <w:rFonts w:hint="default" w:cs="Times New Roman"/>
                      <w:bCs/>
                      <w:smallCaps w:val="0"/>
                      <w:color w:val="auto"/>
                      <w:spacing w:val="0"/>
                      <w:kern w:val="0"/>
                      <w:sz w:val="21"/>
                      <w:szCs w:val="20"/>
                      <w:highlight w:val="none"/>
                      <w:lang w:val="en-US" w:eastAsia="zh-CN" w:bidi="ar-SA"/>
                    </w:rPr>
                    <w:t>淬火、回火冷却用水</w:t>
                  </w:r>
                </w:p>
              </w:tc>
              <w:tc>
                <w:tcPr>
                  <w:tcW w:w="798" w:type="pct"/>
                  <w:vAlign w:val="center"/>
                </w:tcPr>
                <w:p w14:paraId="61C2F667">
                  <w:pPr>
                    <w:keepNext w:val="0"/>
                    <w:keepLines w:val="0"/>
                    <w:widowControl/>
                    <w:suppressLineNumbers w:val="0"/>
                    <w:spacing w:before="0" w:beforeAutospacing="0" w:after="0" w:afterAutospacing="0"/>
                    <w:ind w:left="0" w:right="0"/>
                    <w:jc w:val="center"/>
                    <w:textAlignment w:val="center"/>
                    <w:rPr>
                      <w:rFonts w:hint="default"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50</w:t>
                  </w:r>
                </w:p>
              </w:tc>
              <w:tc>
                <w:tcPr>
                  <w:tcW w:w="630" w:type="pct"/>
                  <w:vAlign w:val="center"/>
                </w:tcPr>
                <w:p w14:paraId="54C51EB5">
                  <w:pPr>
                    <w:keepNext w:val="0"/>
                    <w:keepLines w:val="0"/>
                    <w:widowControl/>
                    <w:suppressLineNumbers w:val="0"/>
                    <w:spacing w:before="0" w:beforeAutospacing="0" w:after="0" w:afterAutospacing="0"/>
                    <w:ind w:left="0" w:right="0"/>
                    <w:jc w:val="center"/>
                    <w:textAlignment w:val="center"/>
                    <w:rPr>
                      <w:rFonts w:hint="default"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5</w:t>
                  </w:r>
                </w:p>
              </w:tc>
              <w:tc>
                <w:tcPr>
                  <w:tcW w:w="627" w:type="pct"/>
                  <w:vAlign w:val="center"/>
                </w:tcPr>
                <w:p w14:paraId="3328C742">
                  <w:pPr>
                    <w:keepNext w:val="0"/>
                    <w:keepLines w:val="0"/>
                    <w:widowControl/>
                    <w:suppressLineNumbers w:val="0"/>
                    <w:spacing w:before="0" w:beforeAutospacing="0" w:after="0" w:afterAutospacing="0"/>
                    <w:ind w:left="0" w:right="0"/>
                    <w:jc w:val="center"/>
                    <w:textAlignment w:val="center"/>
                    <w:rPr>
                      <w:rFonts w:hint="default"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45</w:t>
                  </w:r>
                </w:p>
              </w:tc>
              <w:tc>
                <w:tcPr>
                  <w:tcW w:w="630" w:type="pct"/>
                  <w:vAlign w:val="center"/>
                </w:tcPr>
                <w:p w14:paraId="3FCF19DE">
                  <w:pPr>
                    <w:keepNext w:val="0"/>
                    <w:keepLines w:val="0"/>
                    <w:widowControl/>
                    <w:suppressLineNumbers w:val="0"/>
                    <w:spacing w:before="0" w:beforeAutospacing="0" w:after="0" w:afterAutospacing="0"/>
                    <w:ind w:left="0" w:right="0"/>
                    <w:jc w:val="center"/>
                    <w:textAlignment w:val="center"/>
                    <w:rPr>
                      <w:rFonts w:hint="default"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5</w:t>
                  </w:r>
                </w:p>
              </w:tc>
              <w:tc>
                <w:tcPr>
                  <w:tcW w:w="630" w:type="pct"/>
                  <w:vAlign w:val="center"/>
                </w:tcPr>
                <w:p w14:paraId="64342544">
                  <w:pPr>
                    <w:keepNext w:val="0"/>
                    <w:keepLines w:val="0"/>
                    <w:widowControl/>
                    <w:suppressLineNumbers w:val="0"/>
                    <w:spacing w:before="0" w:beforeAutospacing="0" w:after="0" w:afterAutospacing="0"/>
                    <w:ind w:left="0" w:right="0"/>
                    <w:jc w:val="center"/>
                    <w:textAlignment w:val="center"/>
                    <w:rPr>
                      <w:rFonts w:hint="default"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0</w:t>
                  </w:r>
                </w:p>
              </w:tc>
              <w:tc>
                <w:tcPr>
                  <w:tcW w:w="876" w:type="pct"/>
                  <w:vAlign w:val="center"/>
                </w:tcPr>
                <w:p w14:paraId="0E336E67">
                  <w:pPr>
                    <w:keepNext w:val="0"/>
                    <w:keepLines w:val="0"/>
                    <w:suppressLineNumbers w:val="0"/>
                    <w:spacing w:before="0" w:beforeAutospacing="0" w:after="0" w:afterAutospacing="0"/>
                    <w:ind w:left="0" w:right="0"/>
                    <w:jc w:val="center"/>
                    <w:rPr>
                      <w:rFonts w:hint="default"/>
                      <w:color w:val="auto"/>
                      <w:szCs w:val="20"/>
                      <w:highlight w:val="none"/>
                      <w:lang w:val="en-US" w:eastAsia="zh-CN"/>
                    </w:rPr>
                  </w:pPr>
                  <w:r>
                    <w:rPr>
                      <w:rFonts w:hint="eastAsia"/>
                      <w:color w:val="auto"/>
                      <w:szCs w:val="20"/>
                      <w:highlight w:val="none"/>
                      <w:lang w:val="en-US" w:eastAsia="zh-CN"/>
                    </w:rPr>
                    <w:t>--</w:t>
                  </w:r>
                </w:p>
              </w:tc>
            </w:tr>
            <w:tr w14:paraId="79A55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806" w:type="pct"/>
                  <w:vAlign w:val="center"/>
                </w:tcPr>
                <w:p w14:paraId="6BEBD375">
                  <w:pPr>
                    <w:pStyle w:val="67"/>
                    <w:keepNext w:val="0"/>
                    <w:keepLines w:val="0"/>
                    <w:suppressLineNumbers w:val="0"/>
                    <w:spacing w:before="0" w:beforeAutospacing="0" w:after="0" w:afterAutospacing="0"/>
                    <w:ind w:left="0" w:leftChars="0" w:right="0" w:rightChars="0"/>
                    <w:jc w:val="center"/>
                    <w:rPr>
                      <w:rFonts w:hint="default"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合计</w:t>
                  </w:r>
                </w:p>
              </w:tc>
              <w:tc>
                <w:tcPr>
                  <w:tcW w:w="1258" w:type="dxa"/>
                  <w:vAlign w:val="center"/>
                </w:tcPr>
                <w:p w14:paraId="64E8666A">
                  <w:pPr>
                    <w:keepNext w:val="0"/>
                    <w:keepLines w:val="0"/>
                    <w:widowControl/>
                    <w:suppressLineNumbers w:val="0"/>
                    <w:spacing w:before="0" w:beforeAutospacing="0" w:after="0" w:afterAutospacing="0"/>
                    <w:ind w:left="0" w:right="0"/>
                    <w:jc w:val="center"/>
                    <w:textAlignment w:val="center"/>
                    <w:rPr>
                      <w:rFonts w:hint="eastAsia"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50.733</w:t>
                  </w:r>
                </w:p>
              </w:tc>
              <w:tc>
                <w:tcPr>
                  <w:tcW w:w="994" w:type="dxa"/>
                  <w:vAlign w:val="center"/>
                </w:tcPr>
                <w:p w14:paraId="1F622E4C">
                  <w:pPr>
                    <w:keepNext w:val="0"/>
                    <w:keepLines w:val="0"/>
                    <w:widowControl/>
                    <w:suppressLineNumbers w:val="0"/>
                    <w:spacing w:before="0" w:beforeAutospacing="0" w:after="0" w:afterAutospacing="0"/>
                    <w:ind w:left="0" w:right="0"/>
                    <w:jc w:val="center"/>
                    <w:textAlignment w:val="center"/>
                    <w:rPr>
                      <w:rFonts w:hint="eastAsia"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5.733</w:t>
                  </w:r>
                </w:p>
              </w:tc>
              <w:tc>
                <w:tcPr>
                  <w:tcW w:w="989" w:type="dxa"/>
                  <w:vAlign w:val="center"/>
                </w:tcPr>
                <w:p w14:paraId="3413DFC0">
                  <w:pPr>
                    <w:keepNext w:val="0"/>
                    <w:keepLines w:val="0"/>
                    <w:widowControl/>
                    <w:suppressLineNumbers w:val="0"/>
                    <w:spacing w:before="0" w:beforeAutospacing="0" w:after="0" w:afterAutospacing="0"/>
                    <w:ind w:left="0" w:right="0"/>
                    <w:jc w:val="center"/>
                    <w:textAlignment w:val="center"/>
                    <w:rPr>
                      <w:rFonts w:hint="eastAsia"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45</w:t>
                  </w:r>
                </w:p>
              </w:tc>
              <w:tc>
                <w:tcPr>
                  <w:tcW w:w="994" w:type="dxa"/>
                  <w:vAlign w:val="center"/>
                </w:tcPr>
                <w:p w14:paraId="07A00F33">
                  <w:pPr>
                    <w:keepNext w:val="0"/>
                    <w:keepLines w:val="0"/>
                    <w:widowControl/>
                    <w:suppressLineNumbers w:val="0"/>
                    <w:spacing w:before="0" w:beforeAutospacing="0" w:after="0" w:afterAutospacing="0"/>
                    <w:ind w:left="0" w:right="0"/>
                    <w:jc w:val="center"/>
                    <w:textAlignment w:val="center"/>
                    <w:rPr>
                      <w:rFonts w:hint="eastAsia"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5.147</w:t>
                  </w:r>
                </w:p>
              </w:tc>
              <w:tc>
                <w:tcPr>
                  <w:tcW w:w="994" w:type="dxa"/>
                  <w:vAlign w:val="center"/>
                </w:tcPr>
                <w:p w14:paraId="7EEC7D64">
                  <w:pPr>
                    <w:keepNext w:val="0"/>
                    <w:keepLines w:val="0"/>
                    <w:widowControl/>
                    <w:suppressLineNumbers w:val="0"/>
                    <w:spacing w:before="0" w:beforeAutospacing="0" w:after="0" w:afterAutospacing="0"/>
                    <w:ind w:left="0" w:right="0"/>
                    <w:jc w:val="center"/>
                    <w:textAlignment w:val="center"/>
                    <w:rPr>
                      <w:rFonts w:hint="eastAsia"/>
                      <w:color w:val="auto"/>
                      <w:szCs w:val="20"/>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0.586</w:t>
                  </w:r>
                </w:p>
              </w:tc>
              <w:tc>
                <w:tcPr>
                  <w:tcW w:w="876" w:type="pct"/>
                  <w:vAlign w:val="center"/>
                </w:tcPr>
                <w:p w14:paraId="1DFDF7CF">
                  <w:pPr>
                    <w:keepNext w:val="0"/>
                    <w:keepLines w:val="0"/>
                    <w:suppressLineNumbers w:val="0"/>
                    <w:spacing w:before="0" w:beforeAutospacing="0" w:after="0" w:afterAutospacing="0"/>
                    <w:ind w:left="0" w:right="0"/>
                    <w:jc w:val="center"/>
                    <w:rPr>
                      <w:rFonts w:hint="default"/>
                      <w:color w:val="auto"/>
                      <w:szCs w:val="20"/>
                      <w:highlight w:val="none"/>
                      <w:lang w:val="en-US" w:eastAsia="zh-CN"/>
                    </w:rPr>
                  </w:pPr>
                  <w:r>
                    <w:rPr>
                      <w:rFonts w:hint="eastAsia"/>
                      <w:color w:val="auto"/>
                      <w:szCs w:val="20"/>
                      <w:highlight w:val="none"/>
                      <w:lang w:val="en-US" w:eastAsia="zh-CN"/>
                    </w:rPr>
                    <w:t>--</w:t>
                  </w:r>
                </w:p>
              </w:tc>
            </w:tr>
          </w:tbl>
          <w:p w14:paraId="56821E2F">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49A63E29">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56359280">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5C15F267">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65E98ED8">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40148E35">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2B454D3F">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299A1D7B">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7BEBC1D7">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5278336B">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r>
              <w:rPr>
                <w:rFonts w:hint="default"/>
                <w:color w:val="auto"/>
                <w:sz w:val="24"/>
                <w:szCs w:val="20"/>
                <w:highlight w:val="none"/>
              </w:rPr>
              <mc:AlternateContent>
                <mc:Choice Requires="wpg">
                  <w:drawing>
                    <wp:anchor distT="0" distB="0" distL="114300" distR="114300" simplePos="0" relativeHeight="251664384" behindDoc="0" locked="0" layoutInCell="1" allowOverlap="1">
                      <wp:simplePos x="0" y="0"/>
                      <wp:positionH relativeFrom="column">
                        <wp:posOffset>290830</wp:posOffset>
                      </wp:positionH>
                      <wp:positionV relativeFrom="paragraph">
                        <wp:posOffset>34290</wp:posOffset>
                      </wp:positionV>
                      <wp:extent cx="4709795" cy="1417320"/>
                      <wp:effectExtent l="0" t="0" r="0" b="0"/>
                      <wp:wrapNone/>
                      <wp:docPr id="31" name="组合 31"/>
                      <wp:cNvGraphicFramePr/>
                      <a:graphic xmlns:a="http://schemas.openxmlformats.org/drawingml/2006/main">
                        <a:graphicData uri="http://schemas.microsoft.com/office/word/2010/wordprocessingGroup">
                          <wpg:wgp>
                            <wpg:cNvGrpSpPr/>
                            <wpg:grpSpPr>
                              <a:xfrm>
                                <a:off x="0" y="0"/>
                                <a:ext cx="4709795" cy="1417320"/>
                                <a:chOff x="4653" y="919992"/>
                                <a:chExt cx="7417" cy="2232"/>
                              </a:xfrm>
                            </wpg:grpSpPr>
                            <wps:wsp>
                              <wps:cNvPr id="22" name="矩形 22"/>
                              <wps:cNvSpPr/>
                              <wps:spPr>
                                <a:xfrm>
                                  <a:off x="6454" y="921565"/>
                                  <a:ext cx="1201" cy="467"/>
                                </a:xfrm>
                                <a:prstGeom prst="rect">
                                  <a:avLst/>
                                </a:prstGeom>
                                <a:noFill/>
                                <a:ln w="9525" cap="flat" cmpd="sng">
                                  <a:solidFill>
                                    <a:srgbClr val="000000"/>
                                  </a:solidFill>
                                  <a:prstDash val="solid"/>
                                  <a:miter/>
                                  <a:headEnd type="none" w="med" len="med"/>
                                  <a:tailEnd type="none" w="med" len="med"/>
                                </a:ln>
                              </wps:spPr>
                              <wps:txbx>
                                <w:txbxContent>
                                  <w:p w14:paraId="02181D64">
                                    <w:pPr>
                                      <w:jc w:val="center"/>
                                      <w:rPr>
                                        <w:rFonts w:hint="eastAsia" w:eastAsia="宋体"/>
                                        <w:lang w:eastAsia="zh-CN"/>
                                      </w:rPr>
                                    </w:pPr>
                                    <w:r>
                                      <w:rPr>
                                        <w:rFonts w:hint="eastAsia"/>
                                        <w:lang w:eastAsia="zh-CN"/>
                                      </w:rPr>
                                      <w:t>生活用水</w:t>
                                    </w:r>
                                  </w:p>
                                </w:txbxContent>
                              </wps:txbx>
                              <wps:bodyPr upright="1"/>
                            </wps:wsp>
                            <wps:wsp>
                              <wps:cNvPr id="29" name="文本框 29"/>
                              <wps:cNvSpPr txBox="1"/>
                              <wps:spPr>
                                <a:xfrm>
                                  <a:off x="4653" y="920567"/>
                                  <a:ext cx="1096" cy="989"/>
                                </a:xfrm>
                                <a:prstGeom prst="rect">
                                  <a:avLst/>
                                </a:prstGeom>
                                <a:noFill/>
                                <a:ln>
                                  <a:noFill/>
                                </a:ln>
                              </wps:spPr>
                              <wps:txbx>
                                <w:txbxContent>
                                  <w:p w14:paraId="1E6C0413">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eastAsia="宋体"/>
                                        <w:sz w:val="21"/>
                                        <w:szCs w:val="21"/>
                                        <w:lang w:val="en-US" w:eastAsia="zh-CN"/>
                                      </w:rPr>
                                    </w:pPr>
                                    <w:r>
                                      <w:rPr>
                                        <w:rFonts w:hint="eastAsia"/>
                                        <w:sz w:val="21"/>
                                        <w:szCs w:val="21"/>
                                      </w:rPr>
                                      <w:t>新鲜水</w:t>
                                    </w:r>
                                    <w:r>
                                      <w:rPr>
                                        <w:rFonts w:hint="eastAsia"/>
                                        <w:sz w:val="21"/>
                                        <w:szCs w:val="21"/>
                                        <w:lang w:val="en-US" w:eastAsia="zh-CN"/>
                                      </w:rPr>
                                      <w:t>5.733</w:t>
                                    </w:r>
                                  </w:p>
                                </w:txbxContent>
                              </wps:txbx>
                              <wps:bodyPr upright="1"/>
                            </wps:wsp>
                            <wps:wsp>
                              <wps:cNvPr id="34" name="直接箭头连接符 34"/>
                              <wps:cNvCnPr/>
                              <wps:spPr>
                                <a:xfrm>
                                  <a:off x="5719" y="921796"/>
                                  <a:ext cx="726" cy="0"/>
                                </a:xfrm>
                                <a:prstGeom prst="straightConnector1">
                                  <a:avLst/>
                                </a:prstGeom>
                                <a:ln w="9525" cap="flat" cmpd="sng">
                                  <a:solidFill>
                                    <a:srgbClr val="000000"/>
                                  </a:solidFill>
                                  <a:prstDash val="solid"/>
                                  <a:round/>
                                  <a:headEnd type="none" w="med" len="med"/>
                                  <a:tailEnd type="triangle" w="med" len="med"/>
                                </a:ln>
                              </wps:spPr>
                              <wps:bodyPr/>
                            </wps:wsp>
                            <wps:wsp>
                              <wps:cNvPr id="43" name="文本框 43"/>
                              <wps:cNvSpPr txBox="1"/>
                              <wps:spPr>
                                <a:xfrm>
                                  <a:off x="5740" y="921397"/>
                                  <a:ext cx="818" cy="435"/>
                                </a:xfrm>
                                <a:prstGeom prst="rect">
                                  <a:avLst/>
                                </a:prstGeom>
                                <a:noFill/>
                                <a:ln>
                                  <a:noFill/>
                                </a:ln>
                              </wps:spPr>
                              <wps:txbx>
                                <w:txbxContent>
                                  <w:p w14:paraId="2471AD97">
                                    <w:pPr>
                                      <w:rPr>
                                        <w:rFonts w:hint="default" w:ascii="Times New Roman" w:hAnsi="Times New Roman" w:eastAsia="宋体" w:cs="Times New Roman"/>
                                        <w:sz w:val="21"/>
                                        <w:szCs w:val="21"/>
                                        <w:lang w:val="en-US" w:eastAsia="zh-CN"/>
                                      </w:rPr>
                                    </w:pPr>
                                    <w:r>
                                      <w:rPr>
                                        <w:rFonts w:hint="eastAsia" w:cs="Times New Roman"/>
                                        <w:sz w:val="21"/>
                                        <w:szCs w:val="21"/>
                                        <w:lang w:val="en-US" w:eastAsia="zh-CN"/>
                                      </w:rPr>
                                      <w:t>0.733</w:t>
                                    </w:r>
                                  </w:p>
                                </w:txbxContent>
                              </wps:txbx>
                              <wps:bodyPr upright="1"/>
                            </wps:wsp>
                            <wps:wsp>
                              <wps:cNvPr id="44" name="文本框 44"/>
                              <wps:cNvSpPr txBox="1"/>
                              <wps:spPr>
                                <a:xfrm>
                                  <a:off x="7950" y="921447"/>
                                  <a:ext cx="812" cy="411"/>
                                </a:xfrm>
                                <a:prstGeom prst="rect">
                                  <a:avLst/>
                                </a:prstGeom>
                                <a:noFill/>
                                <a:ln>
                                  <a:noFill/>
                                </a:ln>
                              </wps:spPr>
                              <wps:txbx>
                                <w:txbxContent>
                                  <w:p w14:paraId="138FF4C2">
                                    <w:pPr>
                                      <w:rPr>
                                        <w:rFonts w:hint="default" w:eastAsia="宋体"/>
                                        <w:sz w:val="21"/>
                                        <w:szCs w:val="21"/>
                                        <w:lang w:val="en-US" w:eastAsia="zh-CN"/>
                                      </w:rPr>
                                    </w:pPr>
                                    <w:r>
                                      <w:rPr>
                                        <w:rFonts w:hint="eastAsia"/>
                                        <w:sz w:val="21"/>
                                        <w:szCs w:val="21"/>
                                        <w:lang w:val="en-US" w:eastAsia="zh-CN"/>
                                      </w:rPr>
                                      <w:t>0.586</w:t>
                                    </w:r>
                                  </w:p>
                                </w:txbxContent>
                              </wps:txbx>
                              <wps:bodyPr upright="1"/>
                            </wps:wsp>
                            <wps:wsp>
                              <wps:cNvPr id="69" name="直接连接符 69"/>
                              <wps:cNvCnPr/>
                              <wps:spPr>
                                <a:xfrm>
                                  <a:off x="7667" y="921794"/>
                                  <a:ext cx="1067" cy="1"/>
                                </a:xfrm>
                                <a:prstGeom prst="line">
                                  <a:avLst/>
                                </a:prstGeom>
                                <a:ln w="6350" cap="flat" cmpd="sng">
                                  <a:solidFill>
                                    <a:srgbClr val="000000"/>
                                  </a:solidFill>
                                  <a:prstDash val="solid"/>
                                  <a:miter/>
                                  <a:headEnd type="none" w="med" len="med"/>
                                  <a:tailEnd type="triangle" w="med" len="med"/>
                                </a:ln>
                              </wps:spPr>
                              <wps:bodyPr upright="1"/>
                            </wps:wsp>
                            <wps:wsp>
                              <wps:cNvPr id="70" name="矩形 70"/>
                              <wps:cNvSpPr/>
                              <wps:spPr>
                                <a:xfrm>
                                  <a:off x="8591" y="921474"/>
                                  <a:ext cx="3479" cy="750"/>
                                </a:xfrm>
                                <a:prstGeom prst="rect">
                                  <a:avLst/>
                                </a:prstGeom>
                                <a:noFill/>
                                <a:ln>
                                  <a:noFill/>
                                </a:ln>
                              </wps:spPr>
                              <wps:txbx>
                                <w:txbxContent>
                                  <w:p w14:paraId="1E15E45D">
                                    <w:pPr>
                                      <w:jc w:val="center"/>
                                      <w:rPr>
                                        <w:rFonts w:hint="eastAsia"/>
                                        <w:lang w:eastAsia="zh-CN"/>
                                      </w:rPr>
                                    </w:pPr>
                                    <w:r>
                                      <w:rPr>
                                        <w:rFonts w:hint="eastAsia"/>
                                        <w:lang w:eastAsia="zh-CN"/>
                                      </w:rPr>
                                      <w:t>生活污水经化粪池处理后定期由吸粪车抽走</w:t>
                                    </w:r>
                                  </w:p>
                                </w:txbxContent>
                              </wps:txbx>
                              <wps:bodyPr upright="1"/>
                            </wps:wsp>
                            <wps:wsp>
                              <wps:cNvPr id="65" name="矩形 65"/>
                              <wps:cNvSpPr/>
                              <wps:spPr>
                                <a:xfrm>
                                  <a:off x="6444" y="920329"/>
                                  <a:ext cx="2181" cy="483"/>
                                </a:xfrm>
                                <a:prstGeom prst="rect">
                                  <a:avLst/>
                                </a:prstGeom>
                                <a:noFill/>
                                <a:ln w="9525" cap="flat" cmpd="sng">
                                  <a:solidFill>
                                    <a:srgbClr val="000000"/>
                                  </a:solidFill>
                                  <a:prstDash val="solid"/>
                                  <a:miter/>
                                  <a:headEnd type="none" w="med" len="med"/>
                                  <a:tailEnd type="none" w="med" len="med"/>
                                </a:ln>
                              </wps:spPr>
                              <wps:txbx>
                                <w:txbxContent>
                                  <w:p w14:paraId="371A8856">
                                    <w:pPr>
                                      <w:rPr>
                                        <w:rFonts w:hint="eastAsia"/>
                                        <w:lang w:val="en-US" w:eastAsia="zh-CN"/>
                                      </w:rPr>
                                    </w:pPr>
                                    <w:r>
                                      <w:rPr>
                                        <w:rFonts w:hint="eastAsia"/>
                                        <w:lang w:val="en-US" w:eastAsia="zh-CN"/>
                                      </w:rPr>
                                      <w:t>淬火、回火冷却用水</w:t>
                                    </w:r>
                                  </w:p>
                                </w:txbxContent>
                              </wps:txbx>
                              <wps:bodyPr upright="1"/>
                            </wps:wsp>
                            <wps:wsp>
                              <wps:cNvPr id="67" name="直接箭头连接符 67"/>
                              <wps:cNvCnPr/>
                              <wps:spPr>
                                <a:xfrm>
                                  <a:off x="5709" y="920560"/>
                                  <a:ext cx="726" cy="0"/>
                                </a:xfrm>
                                <a:prstGeom prst="straightConnector1">
                                  <a:avLst/>
                                </a:prstGeom>
                                <a:ln w="9525" cap="flat" cmpd="sng">
                                  <a:solidFill>
                                    <a:srgbClr val="000000"/>
                                  </a:solidFill>
                                  <a:prstDash val="solid"/>
                                  <a:round/>
                                  <a:headEnd type="none" w="med" len="med"/>
                                  <a:tailEnd type="triangle" w="med" len="med"/>
                                </a:ln>
                              </wps:spPr>
                              <wps:bodyPr/>
                            </wps:wsp>
                            <wps:wsp>
                              <wps:cNvPr id="55" name="文本框 55"/>
                              <wps:cNvSpPr txBox="1"/>
                              <wps:spPr>
                                <a:xfrm>
                                  <a:off x="5730" y="920161"/>
                                  <a:ext cx="779" cy="435"/>
                                </a:xfrm>
                                <a:prstGeom prst="rect">
                                  <a:avLst/>
                                </a:prstGeom>
                                <a:noFill/>
                                <a:ln>
                                  <a:noFill/>
                                </a:ln>
                              </wps:spPr>
                              <wps:txbx>
                                <w:txbxContent>
                                  <w:p w14:paraId="6DAA5ABA">
                                    <w:pPr>
                                      <w:rPr>
                                        <w:rFonts w:hint="default" w:ascii="Times New Roman" w:hAnsi="Times New Roman" w:eastAsia="宋体" w:cs="Times New Roman"/>
                                        <w:sz w:val="21"/>
                                        <w:szCs w:val="21"/>
                                        <w:lang w:val="en-US" w:eastAsia="zh-CN"/>
                                      </w:rPr>
                                    </w:pPr>
                                    <w:r>
                                      <w:rPr>
                                        <w:rFonts w:hint="eastAsia" w:cs="Times New Roman"/>
                                        <w:sz w:val="21"/>
                                        <w:szCs w:val="21"/>
                                        <w:lang w:val="en-US" w:eastAsia="zh-CN"/>
                                      </w:rPr>
                                      <w:t>5</w:t>
                                    </w:r>
                                  </w:p>
                                </w:txbxContent>
                              </wps:txbx>
                              <wps:bodyPr upright="1"/>
                            </wps:wsp>
                            <wps:wsp>
                              <wps:cNvPr id="71" name="直接连接符 71"/>
                              <wps:cNvCnPr/>
                              <wps:spPr>
                                <a:xfrm flipV="1">
                                  <a:off x="7941" y="920183"/>
                                  <a:ext cx="556" cy="117"/>
                                </a:xfrm>
                                <a:prstGeom prst="line">
                                  <a:avLst/>
                                </a:prstGeom>
                                <a:ln w="9525" cap="flat" cmpd="sng">
                                  <a:solidFill>
                                    <a:srgbClr val="000000"/>
                                  </a:solidFill>
                                  <a:prstDash val="dash"/>
                                  <a:headEnd type="none" w="med" len="med"/>
                                  <a:tailEnd type="triangle" w="med" len="med"/>
                                </a:ln>
                              </wps:spPr>
                              <wps:bodyPr upright="1"/>
                            </wps:wsp>
                            <wps:wsp>
                              <wps:cNvPr id="74" name="直接连接符 74"/>
                              <wps:cNvCnPr>
                                <a:endCxn id="76" idx="1"/>
                              </wps:cNvCnPr>
                              <wps:spPr>
                                <a:xfrm flipV="1">
                                  <a:off x="6623" y="921457"/>
                                  <a:ext cx="556" cy="117"/>
                                </a:xfrm>
                                <a:prstGeom prst="line">
                                  <a:avLst/>
                                </a:prstGeom>
                                <a:ln w="9525" cap="flat" cmpd="sng">
                                  <a:solidFill>
                                    <a:srgbClr val="000000"/>
                                  </a:solidFill>
                                  <a:prstDash val="dash"/>
                                  <a:headEnd type="none" w="med" len="med"/>
                                  <a:tailEnd type="triangle" w="med" len="med"/>
                                </a:ln>
                              </wps:spPr>
                              <wps:bodyPr upright="1"/>
                            </wps:wsp>
                            <wps:wsp>
                              <wps:cNvPr id="76" name="文本框 76"/>
                              <wps:cNvSpPr txBox="1"/>
                              <wps:spPr>
                                <a:xfrm>
                                  <a:off x="7179" y="921256"/>
                                  <a:ext cx="971" cy="402"/>
                                </a:xfrm>
                                <a:prstGeom prst="rect">
                                  <a:avLst/>
                                </a:prstGeom>
                                <a:noFill/>
                                <a:ln>
                                  <a:noFill/>
                                </a:ln>
                              </wps:spPr>
                              <wps:txbx>
                                <w:txbxContent>
                                  <w:p w14:paraId="5D50D262">
                                    <w:pPr>
                                      <w:rPr>
                                        <w:rFonts w:hint="default" w:eastAsia="宋体"/>
                                        <w:sz w:val="21"/>
                                        <w:szCs w:val="21"/>
                                        <w:lang w:val="en-US" w:eastAsia="zh-CN"/>
                                      </w:rPr>
                                    </w:pPr>
                                    <w:r>
                                      <w:rPr>
                                        <w:rFonts w:hint="eastAsia"/>
                                        <w:sz w:val="21"/>
                                        <w:szCs w:val="21"/>
                                        <w:lang w:val="en-US" w:eastAsia="zh-CN"/>
                                      </w:rPr>
                                      <w:t>0.147</w:t>
                                    </w:r>
                                  </w:p>
                                </w:txbxContent>
                              </wps:txbx>
                              <wps:bodyPr upright="1"/>
                            </wps:wsp>
                            <wps:wsp>
                              <wps:cNvPr id="77" name="直接连接符 77"/>
                              <wps:cNvCnPr/>
                              <wps:spPr>
                                <a:xfrm>
                                  <a:off x="5696" y="920552"/>
                                  <a:ext cx="0" cy="1246"/>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78" name="直接箭头连接符 78"/>
                              <wps:cNvCnPr/>
                              <wps:spPr>
                                <a:xfrm>
                                  <a:off x="4971" y="921058"/>
                                  <a:ext cx="726" cy="0"/>
                                </a:xfrm>
                                <a:prstGeom prst="straightConnector1">
                                  <a:avLst/>
                                </a:prstGeom>
                                <a:ln w="9525" cap="flat" cmpd="sng">
                                  <a:solidFill>
                                    <a:srgbClr val="000000"/>
                                  </a:solidFill>
                                  <a:prstDash val="solid"/>
                                  <a:round/>
                                  <a:headEnd type="none" w="med" len="med"/>
                                  <a:tailEnd type="triangle" w="med" len="med"/>
                                </a:ln>
                              </wps:spPr>
                              <wps:bodyPr/>
                            </wps:wsp>
                            <wps:wsp>
                              <wps:cNvPr id="79" name="任意多边形 79"/>
                              <wps:cNvSpPr/>
                              <wps:spPr>
                                <a:xfrm>
                                  <a:off x="7665" y="920533"/>
                                  <a:ext cx="1645" cy="562"/>
                                </a:xfrm>
                                <a:custGeom>
                                  <a:avLst/>
                                  <a:gdLst>
                                    <a:gd name="connisteX0" fmla="*/ 622935 w 1044575"/>
                                    <a:gd name="connsiteY0" fmla="*/ 0 h 356870"/>
                                    <a:gd name="connisteX1" fmla="*/ 1044575 w 1044575"/>
                                    <a:gd name="connsiteY1" fmla="*/ 0 h 356870"/>
                                    <a:gd name="connisteX2" fmla="*/ 1044575 w 1044575"/>
                                    <a:gd name="connsiteY2" fmla="*/ 356870 h 356870"/>
                                    <a:gd name="connisteX3" fmla="*/ 9525 w 1044575"/>
                                    <a:gd name="connsiteY3" fmla="*/ 356870 h 356870"/>
                                    <a:gd name="connisteX4" fmla="*/ 9525 w 1044575"/>
                                    <a:gd name="connsiteY4" fmla="*/ 165100 h 356870"/>
                                    <a:gd name="connisteX5" fmla="*/ 0 w 1044575"/>
                                    <a:gd name="connsiteY5" fmla="*/ 165100 h 35687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Lst>
                                  <a:rect l="l" t="t" r="r" b="b"/>
                                  <a:pathLst>
                                    <a:path w="1044575" h="356870">
                                      <a:moveTo>
                                        <a:pt x="622935" y="0"/>
                                      </a:moveTo>
                                      <a:lnTo>
                                        <a:pt x="1044575" y="0"/>
                                      </a:lnTo>
                                      <a:lnTo>
                                        <a:pt x="1044575" y="356870"/>
                                      </a:lnTo>
                                      <a:lnTo>
                                        <a:pt x="9525" y="356870"/>
                                      </a:lnTo>
                                      <a:lnTo>
                                        <a:pt x="9525" y="165100"/>
                                      </a:lnTo>
                                      <a:lnTo>
                                        <a:pt x="0" y="165100"/>
                                      </a:lnTo>
                                    </a:path>
                                  </a:pathLst>
                                </a:custGeom>
                                <a:noFill/>
                                <a:ln>
                                  <a:solidFill>
                                    <a:schemeClr val="tx1"/>
                                  </a:solidFill>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bodyPr/>
                            </wps:wsp>
                            <wps:wsp>
                              <wps:cNvPr id="80" name="文本框 80"/>
                              <wps:cNvSpPr txBox="1"/>
                              <wps:spPr>
                                <a:xfrm>
                                  <a:off x="8502" y="920780"/>
                                  <a:ext cx="748" cy="402"/>
                                </a:xfrm>
                                <a:prstGeom prst="rect">
                                  <a:avLst/>
                                </a:prstGeom>
                                <a:noFill/>
                                <a:ln>
                                  <a:noFill/>
                                </a:ln>
                              </wps:spPr>
                              <wps:txbx>
                                <w:txbxContent>
                                  <w:p w14:paraId="13C8AC60">
                                    <w:pPr>
                                      <w:rPr>
                                        <w:rFonts w:hint="default" w:eastAsia="宋体"/>
                                        <w:sz w:val="21"/>
                                        <w:szCs w:val="21"/>
                                        <w:lang w:val="en-US" w:eastAsia="zh-CN"/>
                                      </w:rPr>
                                    </w:pPr>
                                    <w:r>
                                      <w:rPr>
                                        <w:rFonts w:hint="eastAsia"/>
                                        <w:sz w:val="21"/>
                                        <w:szCs w:val="21"/>
                                        <w:lang w:val="en-US" w:eastAsia="zh-CN"/>
                                      </w:rPr>
                                      <w:t>45</w:t>
                                    </w:r>
                                  </w:p>
                                </w:txbxContent>
                              </wps:txbx>
                              <wps:bodyPr upright="1"/>
                            </wps:wsp>
                            <wps:wsp>
                              <wps:cNvPr id="91" name="文本框 72"/>
                              <wps:cNvSpPr txBox="1"/>
                              <wps:spPr>
                                <a:xfrm>
                                  <a:off x="8410" y="919992"/>
                                  <a:ext cx="925" cy="402"/>
                                </a:xfrm>
                                <a:prstGeom prst="rect">
                                  <a:avLst/>
                                </a:prstGeom>
                                <a:noFill/>
                                <a:ln>
                                  <a:noFill/>
                                </a:ln>
                              </wps:spPr>
                              <wps:txbx>
                                <w:txbxContent>
                                  <w:p w14:paraId="6E6CEDB1">
                                    <w:pPr>
                                      <w:rPr>
                                        <w:rFonts w:hint="default" w:eastAsia="宋体"/>
                                        <w:sz w:val="21"/>
                                        <w:szCs w:val="21"/>
                                        <w:lang w:val="en-US" w:eastAsia="zh-CN"/>
                                      </w:rPr>
                                    </w:pPr>
                                    <w:r>
                                      <w:rPr>
                                        <w:rFonts w:hint="eastAsia"/>
                                        <w:sz w:val="21"/>
                                        <w:szCs w:val="21"/>
                                        <w:lang w:val="en-US" w:eastAsia="zh-CN"/>
                                      </w:rPr>
                                      <w:t>5</w:t>
                                    </w:r>
                                  </w:p>
                                </w:txbxContent>
                              </wps:txbx>
                              <wps:bodyPr upright="1"/>
                            </wps:wsp>
                          </wpg:wgp>
                        </a:graphicData>
                      </a:graphic>
                    </wp:anchor>
                  </w:drawing>
                </mc:Choice>
                <mc:Fallback>
                  <w:pict>
                    <v:group id="_x0000_s1026" o:spid="_x0000_s1026" o:spt="203" style="position:absolute;left:0pt;margin-left:22.9pt;margin-top:2.7pt;height:111.6pt;width:370.85pt;z-index:251664384;mso-width-relative:page;mso-height-relative:page;" coordorigin="4653,919992" coordsize="7417,2232" o:gfxdata="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">
                      <o:lock v:ext="edit" aspectratio="f"/>
                      <v:rect id="_x0000_s1026" o:spid="_x0000_s1026" o:spt="1" style="position:absolute;left:6454;top:921565;height:467;width:1201;" filled="f" stroked="t" coordsize="21600,21600" o:gfxdata="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eHNsO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02181D64">
                              <w:pPr>
                                <w:jc w:val="center"/>
                                <w:rPr>
                                  <w:rFonts w:hint="eastAsia" w:eastAsia="宋体"/>
                                  <w:lang w:eastAsia="zh-CN"/>
                                </w:rPr>
                              </w:pPr>
                              <w:r>
                                <w:rPr>
                                  <w:rFonts w:hint="eastAsia"/>
                                  <w:lang w:eastAsia="zh-CN"/>
                                </w:rPr>
                                <w:t>生活用水</w:t>
                              </w:r>
                            </w:p>
                          </w:txbxContent>
                        </v:textbox>
                      </v:rect>
                      <v:shape id="_x0000_s1026" o:spid="_x0000_s1026" o:spt="202" type="#_x0000_t202" style="position:absolute;left:4653;top:920567;height:989;width:1096;" filled="f" stroked="f" coordsize="21600,21600" o:gfxdata="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OXl1r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1E6C0413">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eastAsia="宋体"/>
                                  <w:sz w:val="21"/>
                                  <w:szCs w:val="21"/>
                                  <w:lang w:val="en-US" w:eastAsia="zh-CN"/>
                                </w:rPr>
                              </w:pPr>
                              <w:r>
                                <w:rPr>
                                  <w:rFonts w:hint="eastAsia"/>
                                  <w:sz w:val="21"/>
                                  <w:szCs w:val="21"/>
                                </w:rPr>
                                <w:t>新鲜水</w:t>
                              </w:r>
                              <w:r>
                                <w:rPr>
                                  <w:rFonts w:hint="eastAsia"/>
                                  <w:sz w:val="21"/>
                                  <w:szCs w:val="21"/>
                                  <w:lang w:val="en-US" w:eastAsia="zh-CN"/>
                                </w:rPr>
                                <w:t>5.733</w:t>
                              </w:r>
                            </w:p>
                          </w:txbxContent>
                        </v:textbox>
                      </v:shape>
                      <v:shape id="_x0000_s1026" o:spid="_x0000_s1026" o:spt="32" type="#_x0000_t32" style="position:absolute;left:5719;top:921796;height:0;width:726;" filled="f" stroked="t" coordsize="21600,21600" o:gfxdata="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wKzm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_x0000_s1026" o:spid="_x0000_s1026" o:spt="202" type="#_x0000_t202" style="position:absolute;left:5740;top:921397;height:435;width:818;" filled="f" stroked="f" coordsize="21600,21600" o:gfxdata="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g0jec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471AD97">
                              <w:pPr>
                                <w:rPr>
                                  <w:rFonts w:hint="default" w:ascii="Times New Roman" w:hAnsi="Times New Roman" w:eastAsia="宋体" w:cs="Times New Roman"/>
                                  <w:sz w:val="21"/>
                                  <w:szCs w:val="21"/>
                                  <w:lang w:val="en-US" w:eastAsia="zh-CN"/>
                                </w:rPr>
                              </w:pPr>
                              <w:r>
                                <w:rPr>
                                  <w:rFonts w:hint="eastAsia" w:cs="Times New Roman"/>
                                  <w:sz w:val="21"/>
                                  <w:szCs w:val="21"/>
                                  <w:lang w:val="en-US" w:eastAsia="zh-CN"/>
                                </w:rPr>
                                <w:t>0.733</w:t>
                              </w:r>
                            </w:p>
                          </w:txbxContent>
                        </v:textbox>
                      </v:shape>
                      <v:shape id="_x0000_s1026" o:spid="_x0000_s1026" o:spt="202" type="#_x0000_t202" style="position:absolute;left:7950;top:921447;height:411;width:812;" filled="f" stroked="f" coordsize="21600,21600" o:gfxdata="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O6/o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138FF4C2">
                              <w:pPr>
                                <w:rPr>
                                  <w:rFonts w:hint="default" w:eastAsia="宋体"/>
                                  <w:sz w:val="21"/>
                                  <w:szCs w:val="21"/>
                                  <w:lang w:val="en-US" w:eastAsia="zh-CN"/>
                                </w:rPr>
                              </w:pPr>
                              <w:r>
                                <w:rPr>
                                  <w:rFonts w:hint="eastAsia"/>
                                  <w:sz w:val="21"/>
                                  <w:szCs w:val="21"/>
                                  <w:lang w:val="en-US" w:eastAsia="zh-CN"/>
                                </w:rPr>
                                <w:t>0.586</w:t>
                              </w:r>
                            </w:p>
                          </w:txbxContent>
                        </v:textbox>
                      </v:shape>
                      <v:line id="_x0000_s1026" o:spid="_x0000_s1026" o:spt="20" style="position:absolute;left:7667;top:921794;height:1;width:1067;" filled="f" stroked="t" coordsize="21600,21600" o:gfxdata="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nH6LsAAADb&#10;AAAADwAAAAAAAAABACAAAAAiAAAAZHJzL2Rvd25yZXYueG1sUEsBAhQAFAAAAAgAh07iQDMvBZ47&#10;AAAAOQAAABAAAAAAAAAAAQAgAAAACgEAAGRycy9zaGFwZXhtbC54bWxQSwUGAAAAAAYABgBbAQAA&#10;tAMAAAAA&#10;">
                        <v:fill on="f" focussize="0,0"/>
                        <v:stroke weight="0.5pt" color="#000000" joinstyle="miter" endarrow="block"/>
                        <v:imagedata o:title=""/>
                        <o:lock v:ext="edit" aspectratio="f"/>
                      </v:line>
                      <v:rect id="_x0000_s1026" o:spid="_x0000_s1026" o:spt="1" style="position:absolute;left:8591;top:921474;height:750;width:3479;" filled="f" stroked="f" coordsize="21600,21600" o:gfxdata="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eBBsL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1E15E45D">
                              <w:pPr>
                                <w:jc w:val="center"/>
                                <w:rPr>
                                  <w:rFonts w:hint="eastAsia"/>
                                  <w:lang w:eastAsia="zh-CN"/>
                                </w:rPr>
                              </w:pPr>
                              <w:r>
                                <w:rPr>
                                  <w:rFonts w:hint="eastAsia"/>
                                  <w:lang w:eastAsia="zh-CN"/>
                                </w:rPr>
                                <w:t>生活污水经化粪池处理后定期由吸粪车抽走</w:t>
                              </w:r>
                            </w:p>
                          </w:txbxContent>
                        </v:textbox>
                      </v:rect>
                      <v:rect id="_x0000_s1026" o:spid="_x0000_s1026" o:spt="1" style="position:absolute;left:6444;top:920329;height:483;width:2181;" filled="f" stroked="t" coordsize="21600,21600" o:gfxdata="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Hn/q6vQAA&#10;ANsAAAAPAAAAAAAAAAEAIAAAACIAAABkcnMvZG93bnJldi54bWxQSwECFAAUAAAACACHTuJAMy8F&#10;njsAAAA5AAAAEAAAAAAAAAABACAAAAAMAQAAZHJzL3NoYXBleG1sLnhtbFBLBQYAAAAABgAGAFsB&#10;AAC2AwAAAAA=&#10;">
                        <v:fill on="f" focussize="0,0"/>
                        <v:stroke color="#000000" joinstyle="miter"/>
                        <v:imagedata o:title=""/>
                        <o:lock v:ext="edit" aspectratio="f"/>
                        <v:textbox>
                          <w:txbxContent>
                            <w:p w14:paraId="371A8856">
                              <w:pPr>
                                <w:rPr>
                                  <w:rFonts w:hint="eastAsia"/>
                                  <w:lang w:val="en-US" w:eastAsia="zh-CN"/>
                                </w:rPr>
                              </w:pPr>
                              <w:r>
                                <w:rPr>
                                  <w:rFonts w:hint="eastAsia"/>
                                  <w:lang w:val="en-US" w:eastAsia="zh-CN"/>
                                </w:rPr>
                                <w:t>淬火、回火冷却用水</w:t>
                              </w:r>
                            </w:p>
                          </w:txbxContent>
                        </v:textbox>
                      </v:rect>
                      <v:shape id="_x0000_s1026" o:spid="_x0000_s1026" o:spt="32" type="#_x0000_t32" style="position:absolute;left:5709;top:920560;height:0;width:726;" filled="f" stroked="t" coordsize="21600,21600" o:gfxdata="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hjAvO/&#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shape id="_x0000_s1026" o:spid="_x0000_s1026" o:spt="202" type="#_x0000_t202" style="position:absolute;left:5730;top:920161;height:435;width:779;" filled="f" stroked="f" coordsize="21600,21600" o:gfxdata="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rpyu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DAA5ABA">
                              <w:pPr>
                                <w:rPr>
                                  <w:rFonts w:hint="default" w:ascii="Times New Roman" w:hAnsi="Times New Roman" w:eastAsia="宋体" w:cs="Times New Roman"/>
                                  <w:sz w:val="21"/>
                                  <w:szCs w:val="21"/>
                                  <w:lang w:val="en-US" w:eastAsia="zh-CN"/>
                                </w:rPr>
                              </w:pPr>
                              <w:r>
                                <w:rPr>
                                  <w:rFonts w:hint="eastAsia" w:cs="Times New Roman"/>
                                  <w:sz w:val="21"/>
                                  <w:szCs w:val="21"/>
                                  <w:lang w:val="en-US" w:eastAsia="zh-CN"/>
                                </w:rPr>
                                <w:t>5</w:t>
                              </w:r>
                            </w:p>
                          </w:txbxContent>
                        </v:textbox>
                      </v:shape>
                      <v:line id="_x0000_s1026" o:spid="_x0000_s1026" o:spt="20" style="position:absolute;left:7941;top:920183;flip:y;height:117;width:556;" filled="f" stroked="t" coordsize="21600,21600" o:gfxdata="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jXhRG5AAAA2wAA&#10;AA8AAAAAAAAAAQAgAAAAIgAAAGRycy9kb3ducmV2LnhtbFBLAQIUABQAAAAIAIdO4kAzLwWeOwAA&#10;ADkAAAAQAAAAAAAAAAEAIAAAAAgBAABkcnMvc2hhcGV4bWwueG1sUEsFBgAAAAAGAAYAWwEAALID&#10;AAAAAA==&#10;">
                        <v:fill on="f" focussize="0,0"/>
                        <v:stroke color="#000000" joinstyle="round" dashstyle="dash" endarrow="block"/>
                        <v:imagedata o:title=""/>
                        <o:lock v:ext="edit" aspectratio="f"/>
                      </v:line>
                      <v:line id="_x0000_s1026" o:spid="_x0000_s1026" o:spt="20" style="position:absolute;left:6623;top:921457;flip:y;height:117;width:556;" filled="f" stroked="t" coordsize="21600,21600" o:gfxdata="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IoCaJugAAANsA&#10;AAAPAAAAAAAAAAEAIAAAACIAAABkcnMvZG93bnJldi54bWxQSwECFAAUAAAACACHTuJAMy8FnjsA&#10;AAA5AAAAEAAAAAAAAAABACAAAAAJAQAAZHJzL3NoYXBleG1sLnhtbFBLBQYAAAAABgAGAFsBAACz&#10;AwAAAAA=&#10;">
                        <v:fill on="f" focussize="0,0"/>
                        <v:stroke color="#000000" joinstyle="round" dashstyle="dash" endarrow="block"/>
                        <v:imagedata o:title=""/>
                        <o:lock v:ext="edit" aspectratio="f"/>
                      </v:line>
                      <v:shape id="_x0000_s1026" o:spid="_x0000_s1026" o:spt="202" type="#_x0000_t202" style="position:absolute;left:7179;top:921256;height:402;width:971;" filled="f" stroked="f" coordsize="21600,21600" o:gfxdata="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yV65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5D50D262">
                              <w:pPr>
                                <w:rPr>
                                  <w:rFonts w:hint="default" w:eastAsia="宋体"/>
                                  <w:sz w:val="21"/>
                                  <w:szCs w:val="21"/>
                                  <w:lang w:val="en-US" w:eastAsia="zh-CN"/>
                                </w:rPr>
                              </w:pPr>
                              <w:r>
                                <w:rPr>
                                  <w:rFonts w:hint="eastAsia"/>
                                  <w:sz w:val="21"/>
                                  <w:szCs w:val="21"/>
                                  <w:lang w:val="en-US" w:eastAsia="zh-CN"/>
                                </w:rPr>
                                <w:t>0.147</w:t>
                              </w:r>
                            </w:p>
                          </w:txbxContent>
                        </v:textbox>
                      </v:shape>
                      <v:line id="_x0000_s1026" o:spid="_x0000_s1026" o:spt="20" style="position:absolute;left:5696;top:920552;height:1246;width:0;" filled="f" stroked="t" coordsize="21600,21600" o:gfxdata="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4kxJbvQAA&#10;ANs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line>
                      <v:shape id="_x0000_s1026" o:spid="_x0000_s1026" o:spt="32" type="#_x0000_t32" style="position:absolute;left:4971;top:921058;height:0;width:726;" filled="f" stroked="t" coordsize="21600,21600" o:gfxdata="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wlAFy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shape>
                      <v:shape id="_x0000_s1026" o:spid="_x0000_s1026" o:spt="100" style="position:absolute;left:7665;top:920533;height:562;width:1645;" filled="f" stroked="t" coordsize="1044575,356870" o:gfxdata="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3/TPvQAA&#10;ANsAAAAPAAAAAAAAAAEAIAAAACIAAABkcnMvZG93bnJldi54bWxQSwECFAAUAAAACACHTuJAMy8F&#10;njsAAAA5AAAAEAAAAAAAAAABACAAAAAMAQAAZHJzL3NoYXBleG1sLnhtbFBLBQYAAAAABgAGAFsB&#10;AAC2AwAAAAA=&#10;" path="m622935,0l1044575,0,1044575,356870,9525,356870,9525,165100,0,165100e">
                        <v:path o:connectlocs="981,0;1645,0;1645,562;15,562;15,260;0,260" o:connectangles="0,0,0,0,0,0"/>
                        <v:fill on="f" focussize="0,0"/>
                        <v:stroke weight="1pt" color="#000000 [3213]" miterlimit="8" joinstyle="miter" endarrow="block"/>
                        <v:imagedata o:title=""/>
                        <o:lock v:ext="edit" aspectratio="f"/>
                      </v:shape>
                      <v:shape id="_x0000_s1026" o:spid="_x0000_s1026" o:spt="202" type="#_x0000_t202" style="position:absolute;left:8502;top:920780;height:402;width:748;" filled="f" stroked="f" coordsize="21600,21600" o:gfxdata="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u5E3G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13C8AC60">
                              <w:pPr>
                                <w:rPr>
                                  <w:rFonts w:hint="default" w:eastAsia="宋体"/>
                                  <w:sz w:val="21"/>
                                  <w:szCs w:val="21"/>
                                  <w:lang w:val="en-US" w:eastAsia="zh-CN"/>
                                </w:rPr>
                              </w:pPr>
                              <w:r>
                                <w:rPr>
                                  <w:rFonts w:hint="eastAsia"/>
                                  <w:sz w:val="21"/>
                                  <w:szCs w:val="21"/>
                                  <w:lang w:val="en-US" w:eastAsia="zh-CN"/>
                                </w:rPr>
                                <w:t>45</w:t>
                              </w:r>
                            </w:p>
                          </w:txbxContent>
                        </v:textbox>
                      </v:shape>
                      <v:shape id="文本框 72" o:spid="_x0000_s1026" o:spt="202" type="#_x0000_t202" style="position:absolute;left:8410;top:919992;height:402;width:925;" filled="f" stroked="f" coordsize="21600,21600" o:gfxdata="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SwgN7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6E6CEDB1">
                              <w:pPr>
                                <w:rPr>
                                  <w:rFonts w:hint="default" w:eastAsia="宋体"/>
                                  <w:sz w:val="21"/>
                                  <w:szCs w:val="21"/>
                                  <w:lang w:val="en-US" w:eastAsia="zh-CN"/>
                                </w:rPr>
                              </w:pPr>
                              <w:r>
                                <w:rPr>
                                  <w:rFonts w:hint="eastAsia"/>
                                  <w:sz w:val="21"/>
                                  <w:szCs w:val="21"/>
                                  <w:lang w:val="en-US" w:eastAsia="zh-CN"/>
                                </w:rPr>
                                <w:t>5</w:t>
                              </w:r>
                            </w:p>
                          </w:txbxContent>
                        </v:textbox>
                      </v:shape>
                    </v:group>
                  </w:pict>
                </mc:Fallback>
              </mc:AlternateContent>
            </w:r>
          </w:p>
          <w:p w14:paraId="2332BFF2">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57B24E30">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548FC2B1">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1232F77F">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1F2BB346">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0A7D1C36">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0374F375">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3CD7ED65">
            <w:pPr>
              <w:pStyle w:val="34"/>
              <w:keepNext w:val="0"/>
              <w:keepLines w:val="0"/>
              <w:suppressLineNumbers w:val="0"/>
              <w:tabs>
                <w:tab w:val="left" w:pos="1399"/>
              </w:tabs>
              <w:spacing w:before="0" w:beforeAutospacing="0" w:after="0" w:afterAutospacing="0"/>
              <w:ind w:left="0" w:right="0"/>
              <w:jc w:val="center"/>
              <w:rPr>
                <w:rStyle w:val="193"/>
                <w:rFonts w:hint="default" w:ascii="Times New Roman" w:hAnsi="Times New Roman" w:cs="Times New Roman"/>
                <w:b/>
                <w:smallCaps w:val="0"/>
                <w:snapToGrid/>
                <w:color w:val="auto"/>
                <w:spacing w:val="0"/>
                <w:kern w:val="0"/>
                <w:highlight w:val="none"/>
              </w:rPr>
            </w:pPr>
          </w:p>
          <w:p w14:paraId="6D2569EC">
            <w:pPr>
              <w:pStyle w:val="34"/>
              <w:keepNext w:val="0"/>
              <w:keepLines w:val="0"/>
              <w:suppressLineNumbers w:val="0"/>
              <w:tabs>
                <w:tab w:val="left" w:pos="1399"/>
              </w:tabs>
              <w:spacing w:before="0" w:beforeAutospacing="0" w:after="0" w:afterAutospacing="0"/>
              <w:ind w:left="0" w:right="0"/>
              <w:jc w:val="center"/>
              <w:rPr>
                <w:rStyle w:val="193"/>
                <w:rFonts w:hint="eastAsia" w:cs="Times New Roman"/>
                <w:b/>
                <w:smallCaps w:val="0"/>
                <w:snapToGrid/>
                <w:color w:val="auto"/>
                <w:spacing w:val="0"/>
                <w:kern w:val="0"/>
                <w:highlight w:val="none"/>
                <w:lang w:val="en-US" w:eastAsia="zh-CN"/>
              </w:rPr>
            </w:pPr>
            <w:r>
              <w:rPr>
                <w:rStyle w:val="193"/>
                <w:rFonts w:hint="default" w:ascii="Times New Roman" w:hAnsi="Times New Roman" w:cs="Times New Roman"/>
                <w:b/>
                <w:smallCaps w:val="0"/>
                <w:snapToGrid/>
                <w:color w:val="auto"/>
                <w:spacing w:val="0"/>
                <w:kern w:val="0"/>
                <w:highlight w:val="none"/>
              </w:rPr>
              <w:t>图2-</w:t>
            </w:r>
            <w:r>
              <w:rPr>
                <w:rStyle w:val="193"/>
                <w:rFonts w:hint="eastAsia" w:cs="Times New Roman"/>
                <w:b/>
                <w:smallCaps w:val="0"/>
                <w:snapToGrid/>
                <w:color w:val="auto"/>
                <w:spacing w:val="0"/>
                <w:kern w:val="0"/>
                <w:highlight w:val="none"/>
                <w:lang w:val="en-US" w:eastAsia="zh-CN"/>
              </w:rPr>
              <w:t>1</w:t>
            </w:r>
            <w:r>
              <w:rPr>
                <w:rStyle w:val="193"/>
                <w:rFonts w:hint="default" w:ascii="Times New Roman" w:hAnsi="Times New Roman" w:cs="Times New Roman"/>
                <w:b/>
                <w:smallCaps w:val="0"/>
                <w:snapToGrid/>
                <w:color w:val="auto"/>
                <w:spacing w:val="0"/>
                <w:kern w:val="0"/>
                <w:highlight w:val="none"/>
              </w:rPr>
              <w:t xml:space="preserve">    本项目</w:t>
            </w:r>
            <w:r>
              <w:rPr>
                <w:rStyle w:val="193"/>
                <w:rFonts w:hint="eastAsia" w:cs="Times New Roman"/>
                <w:b/>
                <w:smallCaps w:val="0"/>
                <w:snapToGrid/>
                <w:color w:val="auto"/>
                <w:spacing w:val="0"/>
                <w:kern w:val="0"/>
                <w:highlight w:val="none"/>
                <w:lang w:val="en-US" w:eastAsia="zh-CN"/>
              </w:rPr>
              <w:t>给排水</w:t>
            </w:r>
            <w:r>
              <w:rPr>
                <w:rStyle w:val="193"/>
                <w:rFonts w:hint="default" w:ascii="Times New Roman" w:hAnsi="Times New Roman" w:cs="Times New Roman"/>
                <w:b/>
                <w:smallCaps w:val="0"/>
                <w:snapToGrid/>
                <w:color w:val="auto"/>
                <w:spacing w:val="0"/>
                <w:kern w:val="0"/>
                <w:highlight w:val="none"/>
              </w:rPr>
              <w:t>平衡图 单位</w:t>
            </w:r>
            <w:r>
              <w:rPr>
                <w:rStyle w:val="193"/>
                <w:rFonts w:hint="eastAsia" w:cs="Times New Roman"/>
                <w:b/>
                <w:smallCaps w:val="0"/>
                <w:snapToGrid/>
                <w:color w:val="auto"/>
                <w:spacing w:val="0"/>
                <w:kern w:val="0"/>
                <w:highlight w:val="none"/>
                <w:lang w:eastAsia="zh-CN"/>
              </w:rPr>
              <w:t>：</w:t>
            </w:r>
            <w:r>
              <w:rPr>
                <w:rStyle w:val="193"/>
                <w:rFonts w:hint="default" w:ascii="Times New Roman" w:hAnsi="Times New Roman" w:cs="Times New Roman"/>
                <w:b/>
                <w:smallCaps w:val="0"/>
                <w:snapToGrid/>
                <w:color w:val="auto"/>
                <w:spacing w:val="0"/>
                <w:kern w:val="0"/>
                <w:highlight w:val="none"/>
              </w:rPr>
              <w:t>m³/</w:t>
            </w:r>
            <w:r>
              <w:rPr>
                <w:rStyle w:val="193"/>
                <w:rFonts w:hint="eastAsia" w:cs="Times New Roman"/>
                <w:b/>
                <w:smallCaps w:val="0"/>
                <w:snapToGrid/>
                <w:color w:val="auto"/>
                <w:spacing w:val="0"/>
                <w:kern w:val="0"/>
                <w:highlight w:val="none"/>
                <w:lang w:val="en-US" w:eastAsia="zh-CN"/>
              </w:rPr>
              <w:t>d</w:t>
            </w:r>
          </w:p>
          <w:p w14:paraId="60DE35D3">
            <w:pPr>
              <w:pStyle w:val="33"/>
              <w:keepNext/>
              <w:keepLines w:val="0"/>
              <w:pageBreakBefore w:val="0"/>
              <w:suppressLineNumbers w:val="0"/>
              <w:kinsoku/>
              <w:wordWrap/>
              <w:overflowPunct/>
              <w:bidi w:val="0"/>
              <w:spacing w:before="0" w:beforeAutospacing="0" w:after="0" w:afterAutospacing="0"/>
              <w:ind w:left="0" w:right="0" w:firstLine="482"/>
              <w:rPr>
                <w:rFonts w:hint="default" w:ascii="Times New Roman" w:hAnsi="Times New Roman" w:cs="Times New Roman"/>
                <w:b/>
                <w:bCs/>
                <w:smallCaps w:val="0"/>
                <w:color w:val="auto"/>
                <w:spacing w:val="0"/>
                <w:szCs w:val="20"/>
                <w:highlight w:val="none"/>
              </w:rPr>
            </w:pPr>
            <w:r>
              <w:rPr>
                <w:rFonts w:hint="default" w:ascii="Times New Roman" w:hAnsi="Times New Roman" w:cs="Times New Roman"/>
                <w:b/>
                <w:bCs/>
                <w:smallCaps w:val="0"/>
                <w:color w:val="auto"/>
                <w:spacing w:val="0"/>
                <w:szCs w:val="20"/>
                <w:highlight w:val="none"/>
              </w:rPr>
              <w:t>（</w:t>
            </w:r>
            <w:r>
              <w:rPr>
                <w:rFonts w:hint="eastAsia" w:cs="Times New Roman"/>
                <w:b/>
                <w:bCs/>
                <w:smallCaps w:val="0"/>
                <w:color w:val="auto"/>
                <w:spacing w:val="0"/>
                <w:szCs w:val="20"/>
                <w:highlight w:val="none"/>
                <w:lang w:val="en-US" w:eastAsia="zh-CN"/>
              </w:rPr>
              <w:t>3</w:t>
            </w:r>
            <w:r>
              <w:rPr>
                <w:rFonts w:hint="default" w:ascii="Times New Roman" w:hAnsi="Times New Roman" w:cs="Times New Roman"/>
                <w:b/>
                <w:bCs/>
                <w:smallCaps w:val="0"/>
                <w:color w:val="auto"/>
                <w:spacing w:val="0"/>
                <w:szCs w:val="20"/>
                <w:highlight w:val="none"/>
              </w:rPr>
              <w:t>）供电</w:t>
            </w:r>
          </w:p>
          <w:p w14:paraId="286EC4A8">
            <w:pPr>
              <w:pStyle w:val="33"/>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szCs w:val="20"/>
                <w:highlight w:val="none"/>
              </w:rPr>
            </w:pPr>
            <w:r>
              <w:rPr>
                <w:rFonts w:hint="eastAsia" w:cs="Times New Roman"/>
                <w:smallCaps w:val="0"/>
                <w:color w:val="auto"/>
                <w:spacing w:val="0"/>
                <w:szCs w:val="20"/>
                <w:highlight w:val="none"/>
                <w:lang w:eastAsia="zh-CN"/>
              </w:rPr>
              <w:t>项目用电由园区供电管网</w:t>
            </w:r>
            <w:r>
              <w:rPr>
                <w:rFonts w:hint="default" w:ascii="Times New Roman" w:hAnsi="Times New Roman" w:cs="Times New Roman"/>
                <w:smallCaps w:val="0"/>
                <w:color w:val="auto"/>
                <w:spacing w:val="0"/>
                <w:szCs w:val="20"/>
                <w:highlight w:val="none"/>
                <w:lang w:eastAsia="zh-CN"/>
              </w:rPr>
              <w:t>，</w:t>
            </w:r>
            <w:r>
              <w:rPr>
                <w:rFonts w:hint="default" w:ascii="Times New Roman" w:hAnsi="Times New Roman" w:cs="Times New Roman"/>
                <w:smallCaps w:val="0"/>
                <w:color w:val="auto"/>
                <w:spacing w:val="0"/>
                <w:szCs w:val="20"/>
                <w:highlight w:val="none"/>
                <w:lang w:val="en-US" w:eastAsia="zh-CN"/>
              </w:rPr>
              <w:t>本项目</w:t>
            </w:r>
            <w:r>
              <w:rPr>
                <w:rFonts w:hint="eastAsia" w:cs="Times New Roman"/>
                <w:smallCaps w:val="0"/>
                <w:color w:val="auto"/>
                <w:spacing w:val="0"/>
                <w:szCs w:val="20"/>
                <w:highlight w:val="none"/>
                <w:lang w:val="en-US" w:eastAsia="zh-CN"/>
              </w:rPr>
              <w:t>用电量为300万kW·h/a</w:t>
            </w:r>
            <w:r>
              <w:rPr>
                <w:rFonts w:hint="default" w:ascii="Times New Roman" w:hAnsi="Times New Roman" w:cs="Times New Roman"/>
                <w:smallCaps w:val="0"/>
                <w:color w:val="auto"/>
                <w:spacing w:val="0"/>
                <w:szCs w:val="20"/>
                <w:highlight w:val="none"/>
                <w:lang w:eastAsia="zh-CN"/>
              </w:rPr>
              <w:t>，</w:t>
            </w:r>
            <w:r>
              <w:rPr>
                <w:rFonts w:hint="eastAsia" w:cs="Times New Roman"/>
                <w:smallCaps w:val="0"/>
                <w:color w:val="auto"/>
                <w:spacing w:val="0"/>
                <w:szCs w:val="20"/>
                <w:highlight w:val="none"/>
                <w:lang w:val="en-US" w:eastAsia="zh-CN"/>
              </w:rPr>
              <w:t>能够满足项目用电需求</w:t>
            </w:r>
            <w:r>
              <w:rPr>
                <w:rFonts w:hint="default" w:ascii="Times New Roman" w:hAnsi="Times New Roman" w:cs="Times New Roman"/>
                <w:smallCaps w:val="0"/>
                <w:color w:val="auto"/>
                <w:spacing w:val="0"/>
                <w:szCs w:val="20"/>
                <w:highlight w:val="none"/>
              </w:rPr>
              <w:t>。</w:t>
            </w:r>
          </w:p>
          <w:p w14:paraId="4B7DA1A7">
            <w:pPr>
              <w:pStyle w:val="33"/>
              <w:keepNext/>
              <w:keepLines w:val="0"/>
              <w:pageBreakBefore w:val="0"/>
              <w:suppressLineNumbers w:val="0"/>
              <w:kinsoku/>
              <w:wordWrap/>
              <w:overflowPunct/>
              <w:bidi w:val="0"/>
              <w:spacing w:before="0" w:beforeAutospacing="0" w:after="0" w:afterAutospacing="0"/>
              <w:ind w:left="0" w:right="0" w:firstLine="482"/>
              <w:rPr>
                <w:rFonts w:hint="eastAsia" w:ascii="Times New Roman" w:hAnsi="Times New Roman" w:eastAsia="宋体" w:cs="Times New Roman"/>
                <w:b/>
                <w:bCs/>
                <w:smallCaps w:val="0"/>
                <w:color w:val="auto"/>
                <w:spacing w:val="0"/>
                <w:szCs w:val="20"/>
                <w:highlight w:val="none"/>
                <w:lang w:eastAsia="zh-CN"/>
              </w:rPr>
            </w:pPr>
            <w:r>
              <w:rPr>
                <w:rFonts w:hint="default" w:ascii="Times New Roman" w:hAnsi="Times New Roman" w:cs="Times New Roman"/>
                <w:b/>
                <w:bCs/>
                <w:smallCaps w:val="0"/>
                <w:color w:val="auto"/>
                <w:spacing w:val="0"/>
                <w:szCs w:val="20"/>
                <w:highlight w:val="none"/>
              </w:rPr>
              <w:t>（</w:t>
            </w:r>
            <w:r>
              <w:rPr>
                <w:rFonts w:hint="eastAsia" w:cs="Times New Roman"/>
                <w:b/>
                <w:bCs/>
                <w:smallCaps w:val="0"/>
                <w:color w:val="auto"/>
                <w:spacing w:val="0"/>
                <w:szCs w:val="20"/>
                <w:highlight w:val="none"/>
                <w:lang w:val="en-US" w:eastAsia="zh-CN"/>
              </w:rPr>
              <w:t>4</w:t>
            </w:r>
            <w:r>
              <w:rPr>
                <w:rFonts w:hint="default" w:ascii="Times New Roman" w:hAnsi="Times New Roman" w:cs="Times New Roman"/>
                <w:b/>
                <w:bCs/>
                <w:smallCaps w:val="0"/>
                <w:color w:val="auto"/>
                <w:spacing w:val="0"/>
                <w:szCs w:val="20"/>
                <w:highlight w:val="none"/>
              </w:rPr>
              <w:t>）</w:t>
            </w:r>
            <w:r>
              <w:rPr>
                <w:rFonts w:hint="eastAsia" w:cs="Times New Roman"/>
                <w:b/>
                <w:bCs/>
                <w:smallCaps w:val="0"/>
                <w:color w:val="auto"/>
                <w:spacing w:val="0"/>
                <w:szCs w:val="20"/>
                <w:highlight w:val="none"/>
                <w:lang w:val="en-US" w:eastAsia="zh-CN"/>
              </w:rPr>
              <w:t>供气</w:t>
            </w:r>
          </w:p>
          <w:p w14:paraId="59C45A54">
            <w:pPr>
              <w:pStyle w:val="33"/>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szCs w:val="20"/>
                <w:highlight w:val="none"/>
              </w:rPr>
            </w:pPr>
            <w:r>
              <w:rPr>
                <w:rFonts w:hint="eastAsia" w:cs="Times New Roman"/>
                <w:smallCaps w:val="0"/>
                <w:color w:val="auto"/>
                <w:spacing w:val="0"/>
                <w:szCs w:val="20"/>
                <w:highlight w:val="none"/>
                <w:lang w:val="en-US" w:eastAsia="zh-CN"/>
              </w:rPr>
              <w:t>项目供暖采用单体空调，不涉及使用天然气</w:t>
            </w:r>
            <w:r>
              <w:rPr>
                <w:rFonts w:hint="default" w:ascii="Times New Roman" w:hAnsi="Times New Roman" w:cs="Times New Roman"/>
                <w:smallCaps w:val="0"/>
                <w:color w:val="auto"/>
                <w:spacing w:val="0"/>
                <w:szCs w:val="20"/>
                <w:highlight w:val="none"/>
              </w:rPr>
              <w:t>。</w:t>
            </w:r>
          </w:p>
          <w:p w14:paraId="00E3D898">
            <w:pPr>
              <w:pStyle w:val="33"/>
              <w:keepNext/>
              <w:keepLines w:val="0"/>
              <w:pageBreakBefore w:val="0"/>
              <w:suppressLineNumbers w:val="0"/>
              <w:kinsoku/>
              <w:wordWrap/>
              <w:overflowPunct/>
              <w:bidi w:val="0"/>
              <w:spacing w:before="0" w:beforeAutospacing="0" w:after="0" w:afterAutospacing="0"/>
              <w:ind w:left="0" w:right="0" w:firstLine="482"/>
              <w:rPr>
                <w:rFonts w:hint="default" w:ascii="Times New Roman" w:hAnsi="Times New Roman" w:cs="Times New Roman"/>
                <w:b/>
                <w:bCs/>
                <w:smallCaps w:val="0"/>
                <w:color w:val="auto"/>
                <w:spacing w:val="0"/>
                <w:szCs w:val="20"/>
                <w:highlight w:val="none"/>
              </w:rPr>
            </w:pPr>
            <w:r>
              <w:rPr>
                <w:rFonts w:hint="default" w:ascii="Times New Roman" w:hAnsi="Times New Roman" w:cs="Times New Roman"/>
                <w:b/>
                <w:bCs/>
                <w:smallCaps w:val="0"/>
                <w:color w:val="auto"/>
                <w:spacing w:val="0"/>
                <w:szCs w:val="20"/>
                <w:highlight w:val="none"/>
              </w:rPr>
              <w:t>（</w:t>
            </w:r>
            <w:r>
              <w:rPr>
                <w:rFonts w:hint="eastAsia" w:cs="Times New Roman"/>
                <w:b/>
                <w:bCs/>
                <w:smallCaps w:val="0"/>
                <w:color w:val="auto"/>
                <w:spacing w:val="0"/>
                <w:szCs w:val="20"/>
                <w:highlight w:val="none"/>
                <w:lang w:val="en-US" w:eastAsia="zh-CN"/>
              </w:rPr>
              <w:t>5</w:t>
            </w:r>
            <w:r>
              <w:rPr>
                <w:rFonts w:hint="default" w:ascii="Times New Roman" w:hAnsi="Times New Roman" w:cs="Times New Roman"/>
                <w:b/>
                <w:bCs/>
                <w:smallCaps w:val="0"/>
                <w:color w:val="auto"/>
                <w:spacing w:val="0"/>
                <w:szCs w:val="20"/>
                <w:highlight w:val="none"/>
              </w:rPr>
              <w:t>）供暖及制冷</w:t>
            </w:r>
          </w:p>
          <w:p w14:paraId="34A3A2BA">
            <w:pPr>
              <w:pStyle w:val="33"/>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szCs w:val="20"/>
                <w:highlight w:val="none"/>
                <w:lang w:eastAsia="zh-CN"/>
              </w:rPr>
            </w:pPr>
            <w:r>
              <w:rPr>
                <w:rFonts w:hint="eastAsia" w:cs="Times New Roman"/>
                <w:smallCaps w:val="0"/>
                <w:color w:val="auto"/>
                <w:spacing w:val="0"/>
                <w:szCs w:val="20"/>
                <w:highlight w:val="none"/>
                <w:lang w:eastAsia="zh-CN"/>
              </w:rPr>
              <w:t>项目生产采用电加热，职工日常办公生活供暖、制冷均由空调提供</w:t>
            </w:r>
            <w:r>
              <w:rPr>
                <w:rFonts w:hint="default" w:ascii="Times New Roman" w:hAnsi="Times New Roman" w:cs="Times New Roman"/>
                <w:smallCaps w:val="0"/>
                <w:color w:val="auto"/>
                <w:spacing w:val="0"/>
                <w:szCs w:val="20"/>
                <w:highlight w:val="none"/>
                <w:lang w:eastAsia="zh-CN"/>
              </w:rPr>
              <w:t>。</w:t>
            </w:r>
          </w:p>
          <w:p w14:paraId="7960D8CF">
            <w:pPr>
              <w:pStyle w:val="33"/>
              <w:keepNext/>
              <w:keepLines w:val="0"/>
              <w:pageBreakBefore w:val="0"/>
              <w:numPr>
                <w:ilvl w:val="0"/>
                <w:numId w:val="0"/>
              </w:numPr>
              <w:suppressLineNumbers w:val="0"/>
              <w:kinsoku/>
              <w:wordWrap/>
              <w:overflowPunct/>
              <w:bidi w:val="0"/>
              <w:spacing w:before="0" w:beforeAutospacing="0" w:after="0" w:afterAutospacing="0"/>
              <w:ind w:left="0" w:right="0" w:firstLine="482" w:firstLineChars="200"/>
              <w:rPr>
                <w:rFonts w:hint="default" w:ascii="Times New Roman" w:hAnsi="Times New Roman" w:cs="Times New Roman"/>
                <w:b/>
                <w:bCs/>
                <w:smallCaps w:val="0"/>
                <w:color w:val="auto"/>
                <w:spacing w:val="0"/>
                <w:szCs w:val="20"/>
                <w:highlight w:val="none"/>
                <w:lang w:val="en-US" w:eastAsia="zh-CN"/>
              </w:rPr>
            </w:pPr>
            <w:r>
              <w:rPr>
                <w:rFonts w:hint="eastAsia" w:cs="Times New Roman"/>
                <w:b/>
                <w:bCs/>
                <w:smallCaps w:val="0"/>
                <w:color w:val="auto"/>
                <w:spacing w:val="0"/>
                <w:szCs w:val="20"/>
                <w:highlight w:val="none"/>
                <w:lang w:val="en-US" w:eastAsia="zh-CN"/>
              </w:rPr>
              <w:t>7</w:t>
            </w:r>
            <w:r>
              <w:rPr>
                <w:rFonts w:hint="default" w:ascii="Times New Roman" w:hAnsi="Times New Roman" w:cs="Times New Roman"/>
                <w:b/>
                <w:bCs/>
                <w:smallCaps w:val="0"/>
                <w:color w:val="auto"/>
                <w:spacing w:val="0"/>
                <w:szCs w:val="20"/>
                <w:highlight w:val="none"/>
                <w:lang w:val="en-US" w:eastAsia="zh-CN"/>
              </w:rPr>
              <w:t>、劳动定员及工作制度</w:t>
            </w:r>
          </w:p>
          <w:p w14:paraId="33DA9AAD">
            <w:pPr>
              <w:pStyle w:val="33"/>
              <w:keepNext/>
              <w:keepLines w:val="0"/>
              <w:pageBreakBefore w:val="0"/>
              <w:widowControl w:val="0"/>
              <w:numPr>
                <w:ilvl w:val="0"/>
                <w:numId w:val="0"/>
              </w:numPr>
              <w:suppressLineNumbers w:val="0"/>
              <w:kinsoku/>
              <w:wordWrap/>
              <w:overflowPunct/>
              <w:topLinePunct/>
              <w:autoSpaceDE/>
              <w:autoSpaceDN/>
              <w:bidi w:val="0"/>
              <w:adjustRightInd w:val="0"/>
              <w:snapToGrid w:val="0"/>
              <w:spacing w:before="0" w:beforeAutospacing="0" w:after="0" w:afterAutospacing="0"/>
              <w:ind w:left="0" w:right="0" w:firstLine="480" w:firstLineChars="200"/>
              <w:textAlignment w:val="auto"/>
              <w:rPr>
                <w:rFonts w:hint="default" w:ascii="Times New Roman" w:hAnsi="Times New Roman" w:cs="Times New Roman"/>
                <w:smallCaps w:val="0"/>
                <w:color w:val="auto"/>
                <w:spacing w:val="0"/>
                <w:szCs w:val="20"/>
                <w:highlight w:val="none"/>
                <w:lang w:eastAsia="zh-CN"/>
              </w:rPr>
            </w:pPr>
            <w:r>
              <w:rPr>
                <w:rFonts w:hint="default" w:ascii="Times New Roman" w:hAnsi="Times New Roman" w:cs="Times New Roman"/>
                <w:smallCaps w:val="0"/>
                <w:color w:val="auto"/>
                <w:spacing w:val="0"/>
                <w:szCs w:val="20"/>
                <w:highlight w:val="none"/>
                <w:lang w:eastAsia="zh-CN"/>
              </w:rPr>
              <w:t>本项目</w:t>
            </w:r>
            <w:r>
              <w:rPr>
                <w:rFonts w:hint="eastAsia" w:cs="Times New Roman"/>
                <w:smallCaps w:val="0"/>
                <w:color w:val="auto"/>
                <w:spacing w:val="0"/>
                <w:szCs w:val="20"/>
                <w:highlight w:val="none"/>
                <w:lang w:val="en-US" w:eastAsia="zh-CN"/>
              </w:rPr>
              <w:t>劳动定员10人</w:t>
            </w:r>
            <w:r>
              <w:rPr>
                <w:rFonts w:hint="eastAsia" w:cs="Times New Roman"/>
                <w:smallCaps w:val="0"/>
                <w:color w:val="auto"/>
                <w:spacing w:val="0"/>
                <w:szCs w:val="20"/>
                <w:highlight w:val="none"/>
                <w:lang w:eastAsia="zh-CN"/>
              </w:rPr>
              <w:t>，</w:t>
            </w:r>
            <w:r>
              <w:rPr>
                <w:rFonts w:hint="eastAsia" w:cs="Times New Roman"/>
                <w:smallCaps w:val="0"/>
                <w:color w:val="auto"/>
                <w:spacing w:val="0"/>
                <w:szCs w:val="20"/>
                <w:highlight w:val="none"/>
                <w:lang w:val="en-US" w:eastAsia="zh-CN"/>
              </w:rPr>
              <w:t>三班8小时</w:t>
            </w:r>
            <w:r>
              <w:rPr>
                <w:rFonts w:hint="default" w:ascii="Times New Roman" w:hAnsi="Times New Roman" w:cs="Times New Roman"/>
                <w:smallCaps w:val="0"/>
                <w:color w:val="auto"/>
                <w:spacing w:val="0"/>
                <w:szCs w:val="20"/>
                <w:highlight w:val="none"/>
                <w:lang w:eastAsia="zh-CN"/>
              </w:rPr>
              <w:t>工作制，</w:t>
            </w:r>
            <w:r>
              <w:rPr>
                <w:rFonts w:hint="eastAsia" w:cs="Times New Roman"/>
                <w:smallCaps w:val="0"/>
                <w:color w:val="auto"/>
                <w:spacing w:val="0"/>
                <w:szCs w:val="20"/>
                <w:highlight w:val="none"/>
                <w:lang w:eastAsia="zh-CN"/>
              </w:rPr>
              <w:t>年工作300天</w:t>
            </w:r>
            <w:r>
              <w:rPr>
                <w:rFonts w:hint="default" w:ascii="Times New Roman" w:hAnsi="Times New Roman" w:cs="Times New Roman"/>
                <w:smallCaps w:val="0"/>
                <w:color w:val="auto"/>
                <w:spacing w:val="0"/>
                <w:szCs w:val="20"/>
                <w:highlight w:val="none"/>
                <w:lang w:eastAsia="zh-CN"/>
              </w:rPr>
              <w:t>。</w:t>
            </w:r>
          </w:p>
          <w:p w14:paraId="0D50A127">
            <w:pPr>
              <w:pStyle w:val="33"/>
              <w:keepNext/>
              <w:keepLines w:val="0"/>
              <w:pageBreakBefore w:val="0"/>
              <w:numPr>
                <w:ilvl w:val="0"/>
                <w:numId w:val="0"/>
              </w:numPr>
              <w:suppressLineNumbers w:val="0"/>
              <w:kinsoku/>
              <w:wordWrap/>
              <w:overflowPunct/>
              <w:bidi w:val="0"/>
              <w:spacing w:before="0" w:beforeAutospacing="0" w:after="0" w:afterAutospacing="0"/>
              <w:ind w:left="0" w:right="0" w:firstLine="482" w:firstLineChars="200"/>
              <w:rPr>
                <w:rFonts w:hint="default" w:ascii="Times New Roman" w:hAnsi="Times New Roman" w:cs="Times New Roman"/>
                <w:b/>
                <w:bCs/>
                <w:smallCaps w:val="0"/>
                <w:color w:val="auto"/>
                <w:spacing w:val="0"/>
                <w:szCs w:val="20"/>
                <w:highlight w:val="none"/>
                <w:lang w:val="en-US" w:eastAsia="zh-CN"/>
              </w:rPr>
            </w:pPr>
            <w:r>
              <w:rPr>
                <w:rFonts w:hint="eastAsia" w:cs="Times New Roman"/>
                <w:b/>
                <w:bCs/>
                <w:smallCaps w:val="0"/>
                <w:snapToGrid w:val="0"/>
                <w:color w:val="auto"/>
                <w:spacing w:val="0"/>
                <w:kern w:val="0"/>
                <w:sz w:val="24"/>
                <w:szCs w:val="20"/>
                <w:highlight w:val="none"/>
                <w:lang w:val="en-US" w:eastAsia="zh-CN" w:bidi="ar-SA"/>
              </w:rPr>
              <w:t>8</w:t>
            </w:r>
            <w:r>
              <w:rPr>
                <w:rFonts w:hint="default" w:ascii="Times New Roman" w:hAnsi="Times New Roman" w:eastAsia="宋体" w:cs="Times New Roman"/>
                <w:b/>
                <w:bCs/>
                <w:smallCaps w:val="0"/>
                <w:snapToGrid w:val="0"/>
                <w:color w:val="auto"/>
                <w:spacing w:val="0"/>
                <w:kern w:val="0"/>
                <w:sz w:val="24"/>
                <w:szCs w:val="20"/>
                <w:highlight w:val="none"/>
                <w:lang w:val="en-US" w:eastAsia="zh-CN" w:bidi="ar-SA"/>
              </w:rPr>
              <w:t>、</w:t>
            </w:r>
            <w:r>
              <w:rPr>
                <w:rFonts w:hint="default" w:ascii="Times New Roman" w:hAnsi="Times New Roman" w:cs="Times New Roman"/>
                <w:b/>
                <w:bCs/>
                <w:smallCaps w:val="0"/>
                <w:color w:val="auto"/>
                <w:spacing w:val="0"/>
                <w:szCs w:val="20"/>
                <w:highlight w:val="none"/>
                <w:lang w:val="en-US" w:eastAsia="zh-CN"/>
              </w:rPr>
              <w:t>平面布置</w:t>
            </w:r>
          </w:p>
          <w:p w14:paraId="471AAFF6">
            <w:pPr>
              <w:pStyle w:val="172"/>
              <w:keepNext/>
              <w:keepLines w:val="0"/>
              <w:pageBreakBefore w:val="0"/>
              <w:suppressLineNumbers w:val="0"/>
              <w:kinsoku/>
              <w:wordWrap/>
              <w:overflowPunct/>
              <w:bidi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eastAsia" w:cs="Times New Roman"/>
                <w:smallCaps w:val="0"/>
                <w:color w:val="auto"/>
                <w:spacing w:val="0"/>
                <w:highlight w:val="none"/>
                <w:lang w:val="en-US" w:eastAsia="zh-CN"/>
              </w:rPr>
              <w:t>项目大门位于东侧，厂区由西向东依次为3#生产车间、2#生产车间、1#生产车间、办公室，原料区位于1#生产车间东侧，一般固废暂存区位于2#生产车间东南角，成品区位于3#生产车间北侧</w:t>
            </w:r>
            <w:r>
              <w:rPr>
                <w:rFonts w:hint="default" w:ascii="Times New Roman" w:hAnsi="Times New Roman" w:cs="Times New Roman"/>
                <w:smallCaps w:val="0"/>
                <w:color w:val="auto"/>
                <w:spacing w:val="0"/>
                <w:highlight w:val="none"/>
              </w:rPr>
              <w:t>。项目主要构筑物布局紧凑</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便于物料的转运。</w:t>
            </w:r>
          </w:p>
          <w:p w14:paraId="2E9E664A">
            <w:pPr>
              <w:pStyle w:val="172"/>
              <w:keepNext/>
              <w:keepLines w:val="0"/>
              <w:pageBreakBefore w:val="0"/>
              <w:suppressLineNumbers w:val="0"/>
              <w:kinsoku/>
              <w:wordWrap/>
              <w:overflowPunct/>
              <w:bidi w:val="0"/>
              <w:spacing w:before="0" w:beforeAutospacing="0" w:after="0" w:afterAutospacing="0"/>
              <w:ind w:left="0" w:right="0" w:firstLine="480"/>
              <w:rPr>
                <w:rFonts w:hint="eastAsia"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项目平面布置图见附图3</w:t>
            </w:r>
            <w:r>
              <w:rPr>
                <w:rFonts w:hint="eastAsia" w:cs="Times New Roman"/>
                <w:smallCaps w:val="0"/>
                <w:color w:val="auto"/>
                <w:spacing w:val="0"/>
                <w:highlight w:val="none"/>
                <w:lang w:eastAsia="zh-CN"/>
              </w:rPr>
              <w:t>。</w:t>
            </w:r>
          </w:p>
          <w:p w14:paraId="78160ECB">
            <w:pPr>
              <w:pStyle w:val="172"/>
              <w:keepNext/>
              <w:keepLines w:val="0"/>
              <w:pageBreakBefore w:val="0"/>
              <w:suppressLineNumbers w:val="0"/>
              <w:kinsoku/>
              <w:wordWrap/>
              <w:overflowPunct/>
              <w:bidi w:val="0"/>
              <w:spacing w:before="0" w:beforeAutospacing="0" w:after="0" w:afterAutospacing="0"/>
              <w:ind w:left="0" w:right="0" w:firstLine="480"/>
              <w:rPr>
                <w:rFonts w:hint="eastAsia" w:cs="Times New Roman"/>
                <w:smallCaps w:val="0"/>
                <w:color w:val="auto"/>
                <w:spacing w:val="0"/>
                <w:highlight w:val="none"/>
                <w:lang w:eastAsia="zh-CN"/>
              </w:rPr>
            </w:pPr>
          </w:p>
          <w:p w14:paraId="146953FF">
            <w:pPr>
              <w:pStyle w:val="172"/>
              <w:keepNext/>
              <w:keepLines w:val="0"/>
              <w:pageBreakBefore w:val="0"/>
              <w:suppressLineNumbers w:val="0"/>
              <w:kinsoku/>
              <w:wordWrap/>
              <w:overflowPunct/>
              <w:bidi w:val="0"/>
              <w:spacing w:before="0" w:beforeAutospacing="0" w:after="0" w:afterAutospacing="0"/>
              <w:ind w:left="0" w:leftChars="0" w:right="0" w:firstLine="0" w:firstLineChars="0"/>
              <w:rPr>
                <w:rFonts w:hint="eastAsia" w:cs="Times New Roman"/>
                <w:smallCaps w:val="0"/>
                <w:color w:val="auto"/>
                <w:spacing w:val="0"/>
                <w:highlight w:val="none"/>
                <w:lang w:val="en-US" w:eastAsia="zh-CN"/>
              </w:rPr>
            </w:pPr>
          </w:p>
          <w:p w14:paraId="0D9A0CC2">
            <w:pPr>
              <w:pStyle w:val="172"/>
              <w:keepNext/>
              <w:keepLines w:val="0"/>
              <w:pageBreakBefore w:val="0"/>
              <w:suppressLineNumbers w:val="0"/>
              <w:kinsoku/>
              <w:wordWrap/>
              <w:overflowPunct/>
              <w:bidi w:val="0"/>
              <w:spacing w:before="0" w:beforeAutospacing="0" w:after="0" w:afterAutospacing="0"/>
              <w:ind w:left="0" w:leftChars="0" w:right="0" w:firstLine="0" w:firstLineChars="0"/>
              <w:rPr>
                <w:rFonts w:hint="eastAsia" w:cs="Times New Roman"/>
                <w:smallCaps w:val="0"/>
                <w:color w:val="auto"/>
                <w:spacing w:val="0"/>
                <w:highlight w:val="none"/>
                <w:lang w:val="en-US" w:eastAsia="zh-CN"/>
              </w:rPr>
            </w:pPr>
          </w:p>
          <w:p w14:paraId="0261FAC7">
            <w:pPr>
              <w:pStyle w:val="172"/>
              <w:keepNext/>
              <w:keepLines w:val="0"/>
              <w:pageBreakBefore w:val="0"/>
              <w:suppressLineNumbers w:val="0"/>
              <w:kinsoku/>
              <w:wordWrap/>
              <w:overflowPunct/>
              <w:bidi w:val="0"/>
              <w:spacing w:before="0" w:beforeAutospacing="0" w:after="0" w:afterAutospacing="0"/>
              <w:ind w:left="0" w:leftChars="0" w:right="0" w:rightChars="0" w:firstLine="0" w:firstLineChars="0"/>
              <w:rPr>
                <w:rFonts w:hint="eastAsia" w:eastAsia="黑体" w:cs="Times New Roman"/>
                <w:smallCaps w:val="0"/>
                <w:snapToGrid w:val="0"/>
                <w:color w:val="auto"/>
                <w:spacing w:val="0"/>
                <w:sz w:val="30"/>
                <w:szCs w:val="30"/>
                <w:highlight w:val="none"/>
                <w:vertAlign w:val="baseline"/>
                <w:lang w:eastAsia="zh-CN"/>
              </w:rPr>
            </w:pPr>
          </w:p>
          <w:p w14:paraId="382D5C38">
            <w:pPr>
              <w:pStyle w:val="172"/>
              <w:keepNext/>
              <w:keepLines w:val="0"/>
              <w:pageBreakBefore w:val="0"/>
              <w:suppressLineNumbers w:val="0"/>
              <w:kinsoku/>
              <w:wordWrap/>
              <w:overflowPunct/>
              <w:bidi w:val="0"/>
              <w:spacing w:before="0" w:beforeAutospacing="0" w:after="0" w:afterAutospacing="0"/>
              <w:ind w:left="0" w:leftChars="0" w:right="0" w:rightChars="0" w:firstLine="0" w:firstLineChars="0"/>
              <w:rPr>
                <w:rFonts w:hint="eastAsia" w:eastAsia="黑体" w:cs="Times New Roman"/>
                <w:smallCaps w:val="0"/>
                <w:snapToGrid w:val="0"/>
                <w:color w:val="auto"/>
                <w:spacing w:val="0"/>
                <w:sz w:val="30"/>
                <w:szCs w:val="30"/>
                <w:highlight w:val="none"/>
                <w:vertAlign w:val="baseline"/>
                <w:lang w:eastAsia="zh-CN"/>
              </w:rPr>
            </w:pPr>
          </w:p>
          <w:p w14:paraId="2099534D">
            <w:pPr>
              <w:pStyle w:val="172"/>
              <w:keepNext/>
              <w:keepLines w:val="0"/>
              <w:pageBreakBefore w:val="0"/>
              <w:suppressLineNumbers w:val="0"/>
              <w:kinsoku/>
              <w:wordWrap/>
              <w:overflowPunct/>
              <w:bidi w:val="0"/>
              <w:spacing w:before="0" w:beforeAutospacing="0" w:after="0" w:afterAutospacing="0"/>
              <w:ind w:left="0" w:leftChars="0" w:right="0" w:rightChars="0" w:firstLine="0" w:firstLineChars="0"/>
              <w:rPr>
                <w:rFonts w:hint="eastAsia" w:eastAsia="黑体" w:cs="Times New Roman"/>
                <w:smallCaps w:val="0"/>
                <w:snapToGrid w:val="0"/>
                <w:color w:val="auto"/>
                <w:spacing w:val="0"/>
                <w:sz w:val="30"/>
                <w:szCs w:val="30"/>
                <w:highlight w:val="none"/>
                <w:vertAlign w:val="baseline"/>
                <w:lang w:eastAsia="zh-CN"/>
              </w:rPr>
            </w:pPr>
          </w:p>
          <w:p w14:paraId="15DCA835">
            <w:pPr>
              <w:pStyle w:val="172"/>
              <w:keepNext/>
              <w:keepLines w:val="0"/>
              <w:pageBreakBefore w:val="0"/>
              <w:suppressLineNumbers w:val="0"/>
              <w:kinsoku/>
              <w:wordWrap/>
              <w:overflowPunct/>
              <w:bidi w:val="0"/>
              <w:spacing w:before="0" w:beforeAutospacing="0" w:after="0" w:afterAutospacing="0"/>
              <w:ind w:left="0" w:leftChars="0" w:right="0" w:rightChars="0" w:firstLine="0" w:firstLineChars="0"/>
              <w:rPr>
                <w:rFonts w:hint="eastAsia" w:eastAsia="黑体" w:cs="Times New Roman"/>
                <w:smallCaps w:val="0"/>
                <w:snapToGrid w:val="0"/>
                <w:color w:val="auto"/>
                <w:spacing w:val="0"/>
                <w:sz w:val="30"/>
                <w:szCs w:val="30"/>
                <w:highlight w:val="none"/>
                <w:vertAlign w:val="baseline"/>
                <w:lang w:eastAsia="zh-CN"/>
              </w:rPr>
            </w:pPr>
          </w:p>
          <w:p w14:paraId="3BD12515">
            <w:pPr>
              <w:pStyle w:val="172"/>
              <w:keepNext/>
              <w:keepLines w:val="0"/>
              <w:pageBreakBefore w:val="0"/>
              <w:suppressLineNumbers w:val="0"/>
              <w:kinsoku/>
              <w:wordWrap/>
              <w:overflowPunct/>
              <w:bidi w:val="0"/>
              <w:spacing w:before="0" w:beforeAutospacing="0" w:after="0" w:afterAutospacing="0"/>
              <w:ind w:left="0" w:leftChars="0" w:right="0" w:rightChars="0" w:firstLine="0" w:firstLineChars="0"/>
              <w:rPr>
                <w:rFonts w:hint="eastAsia" w:eastAsia="黑体" w:cs="Times New Roman"/>
                <w:smallCaps w:val="0"/>
                <w:snapToGrid w:val="0"/>
                <w:color w:val="auto"/>
                <w:spacing w:val="0"/>
                <w:sz w:val="30"/>
                <w:szCs w:val="30"/>
                <w:highlight w:val="none"/>
                <w:vertAlign w:val="baseline"/>
                <w:lang w:eastAsia="zh-CN"/>
              </w:rPr>
            </w:pPr>
          </w:p>
          <w:p w14:paraId="2A1392EB">
            <w:pPr>
              <w:pStyle w:val="172"/>
              <w:keepNext/>
              <w:keepLines w:val="0"/>
              <w:pageBreakBefore w:val="0"/>
              <w:suppressLineNumbers w:val="0"/>
              <w:kinsoku/>
              <w:wordWrap/>
              <w:overflowPunct/>
              <w:bidi w:val="0"/>
              <w:spacing w:before="0" w:beforeAutospacing="0" w:after="0" w:afterAutospacing="0"/>
              <w:ind w:left="0" w:leftChars="0" w:right="0" w:rightChars="0" w:firstLine="0" w:firstLineChars="0"/>
              <w:rPr>
                <w:rFonts w:hint="eastAsia" w:ascii="Times New Roman" w:hAnsi="Times New Roman" w:eastAsia="黑体" w:cs="Times New Roman"/>
                <w:smallCaps w:val="0"/>
                <w:snapToGrid w:val="0"/>
                <w:color w:val="auto"/>
                <w:spacing w:val="0"/>
                <w:sz w:val="30"/>
                <w:szCs w:val="30"/>
                <w:highlight w:val="none"/>
                <w:vertAlign w:val="baseline"/>
                <w:lang w:eastAsia="zh-CN"/>
              </w:rPr>
            </w:pPr>
          </w:p>
        </w:tc>
      </w:tr>
    </w:tbl>
    <w:p w14:paraId="40B7083D">
      <w:pPr>
        <w:pStyle w:val="41"/>
        <w:adjustRightInd w:val="0"/>
        <w:snapToGrid w:val="0"/>
        <w:spacing w:before="0" w:beforeAutospacing="0" w:after="0" w:afterAutospacing="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br w:type="page"/>
      </w:r>
    </w:p>
    <w:tbl>
      <w:tblPr>
        <w:tblStyle w:val="4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8385"/>
      </w:tblGrid>
      <w:tr w14:paraId="4C014B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restart"/>
            <w:vAlign w:val="center"/>
          </w:tcPr>
          <w:p w14:paraId="46389013">
            <w:pPr>
              <w:pStyle w:val="41"/>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工艺流程和产排污环节</w:t>
            </w:r>
          </w:p>
        </w:tc>
        <w:tc>
          <w:tcPr>
            <w:tcW w:w="8385" w:type="dxa"/>
          </w:tcPr>
          <w:p w14:paraId="7CCD1D60">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1、施工期实施工艺</w:t>
            </w:r>
          </w:p>
          <w:p w14:paraId="44091A2A">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drawing>
                <wp:anchor distT="0" distB="0" distL="114300" distR="114300" simplePos="0" relativeHeight="251665408" behindDoc="1" locked="0" layoutInCell="1" allowOverlap="1">
                  <wp:simplePos x="0" y="0"/>
                  <wp:positionH relativeFrom="column">
                    <wp:posOffset>312420</wp:posOffset>
                  </wp:positionH>
                  <wp:positionV relativeFrom="paragraph">
                    <wp:posOffset>818515</wp:posOffset>
                  </wp:positionV>
                  <wp:extent cx="4838065" cy="1332865"/>
                  <wp:effectExtent l="0" t="0" r="635" b="635"/>
                  <wp:wrapNone/>
                  <wp:docPr id="40"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11"/>
                          <pic:cNvPicPr>
                            <a:picLocks noChangeAspect="1"/>
                          </pic:cNvPicPr>
                        </pic:nvPicPr>
                        <pic:blipFill>
                          <a:blip r:embed="rId9"/>
                          <a:stretch>
                            <a:fillRect/>
                          </a:stretch>
                        </pic:blipFill>
                        <pic:spPr>
                          <a:xfrm>
                            <a:off x="0" y="0"/>
                            <a:ext cx="4838065" cy="1332865"/>
                          </a:xfrm>
                          <a:prstGeom prst="rect">
                            <a:avLst/>
                          </a:prstGeom>
                          <a:noFill/>
                          <a:ln>
                            <a:noFill/>
                          </a:ln>
                        </pic:spPr>
                      </pic:pic>
                    </a:graphicData>
                  </a:graphic>
                </wp:anchor>
              </w:drawing>
            </w:r>
            <w:r>
              <w:rPr>
                <w:rFonts w:hint="default" w:ascii="Times New Roman" w:hAnsi="Times New Roman" w:eastAsia="宋体" w:cs="Times New Roman"/>
                <w:smallCaps w:val="0"/>
                <w:color w:val="auto"/>
                <w:spacing w:val="0"/>
                <w:highlight w:val="none"/>
              </w:rPr>
              <w:t>本项目为</w:t>
            </w:r>
            <w:r>
              <w:rPr>
                <w:rFonts w:hint="default" w:ascii="Times New Roman" w:hAnsi="Times New Roman" w:eastAsia="宋体" w:cs="Times New Roman"/>
                <w:smallCaps w:val="0"/>
                <w:color w:val="auto"/>
                <w:spacing w:val="0"/>
                <w:highlight w:val="none"/>
                <w:lang w:val="en-US" w:eastAsia="zh-CN"/>
              </w:rPr>
              <w:t>新建项目</w:t>
            </w:r>
            <w:r>
              <w:rPr>
                <w:rFonts w:hint="default" w:ascii="Times New Roman" w:hAnsi="Times New Roman" w:eastAsia="宋体" w:cs="Times New Roman"/>
                <w:smallCaps w:val="0"/>
                <w:color w:val="auto"/>
                <w:spacing w:val="0"/>
                <w:highlight w:val="none"/>
              </w:rPr>
              <w:t>，施工期主要包括基础工程施工、主体工程施工、设备安装、调试运行等。施工过程中产生施工废气、废水、噪声及施工固体废弃物。施工期工艺流程图及产污环节见图2-</w:t>
            </w:r>
            <w:r>
              <w:rPr>
                <w:rFonts w:hint="default" w:ascii="Times New Roman" w:hAnsi="Times New Roman" w:eastAsia="宋体" w:cs="Times New Roman"/>
                <w:smallCaps w:val="0"/>
                <w:color w:val="auto"/>
                <w:spacing w:val="0"/>
                <w:highlight w:val="none"/>
                <w:lang w:val="en-US" w:eastAsia="zh-CN"/>
              </w:rPr>
              <w:t>2</w:t>
            </w:r>
            <w:r>
              <w:rPr>
                <w:rFonts w:hint="default" w:ascii="Times New Roman" w:hAnsi="Times New Roman" w:eastAsia="宋体" w:cs="Times New Roman"/>
                <w:smallCaps w:val="0"/>
                <w:color w:val="auto"/>
                <w:spacing w:val="0"/>
                <w:highlight w:val="none"/>
              </w:rPr>
              <w:t>。</w:t>
            </w:r>
          </w:p>
          <w:p w14:paraId="34F099E1">
            <w:pPr>
              <w:keepNext w:val="0"/>
              <w:keepLines w:val="0"/>
              <w:suppressLineNumbers w:val="0"/>
              <w:spacing w:before="0" w:beforeAutospacing="0" w:after="0" w:afterAutospacing="0" w:line="360" w:lineRule="auto"/>
              <w:ind w:left="0" w:right="0" w:firstLine="482"/>
              <w:rPr>
                <w:rFonts w:hint="default" w:ascii="Times New Roman" w:hAnsi="Times New Roman" w:eastAsia="宋体" w:cs="Times New Roman"/>
                <w:smallCaps w:val="0"/>
                <w:color w:val="auto"/>
                <w:spacing w:val="0"/>
                <w:sz w:val="24"/>
                <w:szCs w:val="20"/>
                <w:highlight w:val="none"/>
              </w:rPr>
            </w:pPr>
          </w:p>
          <w:p w14:paraId="758A2E5C">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rPr>
            </w:pPr>
          </w:p>
          <w:p w14:paraId="67799A72">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rPr>
            </w:pPr>
          </w:p>
          <w:p w14:paraId="0A38D645">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rPr>
            </w:pPr>
          </w:p>
          <w:p w14:paraId="4E1AF26C">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rPr>
            </w:pPr>
          </w:p>
          <w:p w14:paraId="5D138674">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rPr>
            </w:pPr>
          </w:p>
          <w:p w14:paraId="6361A086">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rPr>
            </w:pPr>
          </w:p>
          <w:p w14:paraId="7AD709A9">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rPr>
            </w:pPr>
          </w:p>
          <w:p w14:paraId="7F5502E4">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图2-</w:t>
            </w:r>
            <w:r>
              <w:rPr>
                <w:rFonts w:hint="default" w:ascii="Times New Roman" w:hAnsi="Times New Roman" w:eastAsia="宋体" w:cs="Times New Roman"/>
                <w:smallCaps w:val="0"/>
                <w:color w:val="auto"/>
                <w:spacing w:val="0"/>
                <w:highlight w:val="none"/>
                <w:lang w:val="en-US" w:eastAsia="zh-CN"/>
              </w:rPr>
              <w:t>2</w:t>
            </w:r>
            <w:r>
              <w:rPr>
                <w:rFonts w:hint="default" w:ascii="Times New Roman" w:hAnsi="Times New Roman" w:eastAsia="宋体" w:cs="Times New Roman"/>
                <w:smallCaps w:val="0"/>
                <w:color w:val="auto"/>
                <w:spacing w:val="0"/>
                <w:highlight w:val="none"/>
              </w:rPr>
              <w:t xml:space="preserve">   施工期工艺流程</w:t>
            </w:r>
            <w:r>
              <w:rPr>
                <w:rFonts w:hint="default" w:ascii="Times New Roman" w:hAnsi="Times New Roman" w:eastAsia="宋体" w:cs="Times New Roman"/>
                <w:smallCaps w:val="0"/>
                <w:color w:val="auto"/>
                <w:spacing w:val="0"/>
                <w:szCs w:val="22"/>
                <w:highlight w:val="none"/>
              </w:rPr>
              <w:t>图及产污环节</w:t>
            </w:r>
          </w:p>
          <w:p w14:paraId="4BFDA0B3">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1CD9DF81">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7A7D2096">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754214CB">
            <w:pPr>
              <w:pStyle w:val="172"/>
              <w:keepNext w:val="0"/>
              <w:keepLines w:val="0"/>
              <w:suppressLineNumbers w:val="0"/>
              <w:tabs>
                <w:tab w:val="left" w:pos="6077"/>
              </w:tabs>
              <w:spacing w:before="0" w:beforeAutospacing="0" w:after="0" w:afterAutospacing="0"/>
              <w:ind w:left="0" w:right="0" w:firstLine="482"/>
              <w:rPr>
                <w:rFonts w:hint="eastAsia" w:ascii="Times New Roman" w:hAnsi="Times New Roman" w:eastAsia="宋体" w:cs="Times New Roman"/>
                <w:b/>
                <w:smallCaps w:val="0"/>
                <w:color w:val="auto"/>
                <w:spacing w:val="0"/>
                <w:highlight w:val="none"/>
                <w:lang w:eastAsia="zh-CN"/>
              </w:rPr>
            </w:pPr>
            <w:r>
              <w:rPr>
                <w:rFonts w:hint="eastAsia" w:cs="Times New Roman"/>
                <w:b/>
                <w:smallCaps w:val="0"/>
                <w:color w:val="auto"/>
                <w:spacing w:val="0"/>
                <w:highlight w:val="none"/>
                <w:lang w:eastAsia="zh-CN"/>
              </w:rPr>
              <w:tab/>
            </w:r>
          </w:p>
          <w:p w14:paraId="26945D93">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52D314C5">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42470DAA">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5B98A1A8">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46CF8B67">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5838FC0F">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610CB07C">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59E0BC74">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59CF17A7">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089A1BC4">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589A7F0C">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6118CF45">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77E62D49">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75F3D943">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321E7687">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p>
          <w:p w14:paraId="6A9B551F">
            <w:pPr>
              <w:keepNext w:val="0"/>
              <w:keepLines w:val="0"/>
              <w:suppressLineNumbers w:val="0"/>
              <w:spacing w:before="0" w:beforeAutospacing="0" w:after="0" w:afterAutospacing="0"/>
              <w:ind w:left="0" w:right="0"/>
              <w:rPr>
                <w:rFonts w:hint="eastAsia" w:ascii="Times New Roman" w:hAnsi="Times New Roman" w:eastAsia="宋体" w:cs="Times New Roman"/>
                <w:smallCaps w:val="0"/>
                <w:color w:val="auto"/>
                <w:spacing w:val="0"/>
                <w:szCs w:val="20"/>
                <w:highlight w:val="none"/>
                <w:lang w:eastAsia="zh-CN"/>
              </w:rPr>
            </w:pPr>
          </w:p>
        </w:tc>
      </w:tr>
      <w:tr w14:paraId="7E46F4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377" w:hRule="atLeast"/>
          <w:jc w:val="center"/>
        </w:trPr>
        <w:tc>
          <w:tcPr>
            <w:tcW w:w="675" w:type="dxa"/>
            <w:vMerge w:val="continue"/>
            <w:vAlign w:val="center"/>
          </w:tcPr>
          <w:p w14:paraId="5304DC0B">
            <w:pPr>
              <w:pStyle w:val="26"/>
              <w:keepNext w:val="0"/>
              <w:keepLines w:val="0"/>
              <w:suppressLineNumbers w:val="0"/>
              <w:spacing w:before="0" w:beforeAutospacing="0" w:after="0" w:afterAutospacing="0"/>
              <w:ind w:right="0"/>
              <w:rPr>
                <w:rFonts w:hint="default"/>
                <w:color w:val="auto"/>
                <w:szCs w:val="20"/>
                <w:highlight w:val="none"/>
              </w:rPr>
            </w:pPr>
          </w:p>
        </w:tc>
        <w:tc>
          <w:tcPr>
            <w:tcW w:w="8385" w:type="dxa"/>
            <w:vAlign w:val="center"/>
          </w:tcPr>
          <w:p w14:paraId="53A7B612">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2、运营期工艺流程及排污节点</w:t>
            </w:r>
          </w:p>
          <w:p w14:paraId="706F702B">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cs="Times New Roman"/>
                <w:smallCaps w:val="0"/>
                <w:color w:val="auto"/>
                <w:spacing w:val="0"/>
                <w:highlight w:val="none"/>
                <w:lang w:val="en-US"/>
              </w:rPr>
            </w:pPr>
            <w:r>
              <w:rPr>
                <w:rFonts w:hint="eastAsia" w:cs="Times New Roman"/>
                <w:smallCaps w:val="0"/>
                <w:snapToGrid w:val="0"/>
                <w:color w:val="auto"/>
                <w:spacing w:val="0"/>
                <w:kern w:val="2"/>
                <w:sz w:val="24"/>
                <w:szCs w:val="24"/>
                <w:highlight w:val="none"/>
                <w:lang w:val="en-US" w:eastAsia="zh-CN" w:bidi="ar-SA"/>
              </w:rPr>
              <w:t>（1）本项目两种产品钻杆、车轴工艺相同，仅原辅材料不同，工艺流程及排污节点见下：</w:t>
            </w:r>
          </w:p>
          <w:p w14:paraId="3D8133E5">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sz w:val="24"/>
              </w:rPr>
              <mc:AlternateContent>
                <mc:Choice Requires="wpg">
                  <w:drawing>
                    <wp:anchor distT="0" distB="0" distL="114300" distR="114300" simplePos="0" relativeHeight="251665408" behindDoc="0" locked="0" layoutInCell="1" allowOverlap="1">
                      <wp:simplePos x="0" y="0"/>
                      <wp:positionH relativeFrom="column">
                        <wp:posOffset>-46990</wp:posOffset>
                      </wp:positionH>
                      <wp:positionV relativeFrom="paragraph">
                        <wp:posOffset>5080</wp:posOffset>
                      </wp:positionV>
                      <wp:extent cx="5403850" cy="1642745"/>
                      <wp:effectExtent l="0" t="0" r="0" b="17145"/>
                      <wp:wrapNone/>
                      <wp:docPr id="4" name="组合 4"/>
                      <wp:cNvGraphicFramePr/>
                      <a:graphic xmlns:a="http://schemas.openxmlformats.org/drawingml/2006/main">
                        <a:graphicData uri="http://schemas.microsoft.com/office/word/2010/wordprocessingGroup">
                          <wpg:wgp>
                            <wpg:cNvGrpSpPr/>
                            <wpg:grpSpPr>
                              <a:xfrm>
                                <a:off x="0" y="0"/>
                                <a:ext cx="5403850" cy="1642745"/>
                                <a:chOff x="3595" y="979229"/>
                                <a:chExt cx="8510" cy="2587"/>
                              </a:xfrm>
                            </wpg:grpSpPr>
                            <wps:wsp>
                              <wps:cNvPr id="15" name="文本框 8"/>
                              <wps:cNvSpPr txBox="1"/>
                              <wps:spPr>
                                <a:xfrm>
                                  <a:off x="3595" y="979858"/>
                                  <a:ext cx="1252" cy="574"/>
                                </a:xfrm>
                                <a:prstGeom prst="rect">
                                  <a:avLst/>
                                </a:prstGeom>
                                <a:noFill/>
                                <a:ln>
                                  <a:noFill/>
                                </a:ln>
                              </wps:spPr>
                              <wps:txbx>
                                <w:txbxContent>
                                  <w:p w14:paraId="2239C574">
                                    <w:pPr>
                                      <w:jc w:val="center"/>
                                      <w:rPr>
                                        <w:rFonts w:hint="default"/>
                                        <w:lang w:val="en-US" w:eastAsia="zh-CN"/>
                                      </w:rPr>
                                    </w:pPr>
                                    <w:r>
                                      <w:rPr>
                                        <w:rFonts w:hint="eastAsia"/>
                                        <w:lang w:val="en-US" w:eastAsia="zh-CN"/>
                                      </w:rPr>
                                      <w:t>原料</w:t>
                                    </w:r>
                                  </w:p>
                                </w:txbxContent>
                              </wps:txbx>
                              <wps:bodyPr wrap="square" upright="1">
                                <a:noAutofit/>
                              </wps:bodyPr>
                            </wps:wsp>
                            <wps:wsp>
                              <wps:cNvPr id="16" name="文本框 9"/>
                              <wps:cNvSpPr txBox="1"/>
                              <wps:spPr>
                                <a:xfrm>
                                  <a:off x="6997" y="979903"/>
                                  <a:ext cx="1085" cy="43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705A77F">
                                    <w:pPr>
                                      <w:jc w:val="center"/>
                                      <w:rPr>
                                        <w:rFonts w:hint="default" w:eastAsia="宋体"/>
                                        <w:lang w:val="en-US" w:eastAsia="zh-CN"/>
                                      </w:rPr>
                                    </w:pPr>
                                    <w:r>
                                      <w:rPr>
                                        <w:rFonts w:hint="eastAsia"/>
                                        <w:lang w:val="en-US" w:eastAsia="zh-CN"/>
                                      </w:rPr>
                                      <w:t>剥皮</w:t>
                                    </w:r>
                                  </w:p>
                                </w:txbxContent>
                              </wps:txbx>
                              <wps:bodyPr upright="1">
                                <a:spAutoFit/>
                              </wps:bodyPr>
                            </wps:wsp>
                            <wps:wsp>
                              <wps:cNvPr id="17" name="直接连接符 10"/>
                              <wps:cNvCnPr/>
                              <wps:spPr>
                                <a:xfrm>
                                  <a:off x="4661" y="980122"/>
                                  <a:ext cx="545" cy="1"/>
                                </a:xfrm>
                                <a:prstGeom prst="line">
                                  <a:avLst/>
                                </a:prstGeom>
                                <a:ln w="9525" cap="flat" cmpd="sng">
                                  <a:solidFill>
                                    <a:srgbClr val="000000"/>
                                  </a:solidFill>
                                  <a:prstDash val="solid"/>
                                  <a:headEnd type="none" w="med" len="med"/>
                                  <a:tailEnd type="triangle" w="med" len="med"/>
                                </a:ln>
                              </wps:spPr>
                              <wps:bodyPr upright="1"/>
                            </wps:wsp>
                            <wps:wsp>
                              <wps:cNvPr id="18" name="文本框 12"/>
                              <wps:cNvSpPr txBox="1"/>
                              <wps:spPr>
                                <a:xfrm>
                                  <a:off x="8614" y="979903"/>
                                  <a:ext cx="1085" cy="43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811CAF">
                                    <w:pPr>
                                      <w:jc w:val="center"/>
                                      <w:rPr>
                                        <w:rFonts w:hint="default" w:eastAsia="宋体"/>
                                        <w:lang w:val="en-US" w:eastAsia="zh-CN"/>
                                      </w:rPr>
                                    </w:pPr>
                                    <w:r>
                                      <w:rPr>
                                        <w:rFonts w:hint="eastAsia"/>
                                        <w:lang w:val="en-US" w:eastAsia="zh-CN"/>
                                      </w:rPr>
                                      <w:t>修磨</w:t>
                                    </w:r>
                                  </w:p>
                                </w:txbxContent>
                              </wps:txbx>
                              <wps:bodyPr upright="1">
                                <a:spAutoFit/>
                              </wps:bodyPr>
                            </wps:wsp>
                            <wps:wsp>
                              <wps:cNvPr id="20" name="直接连接符 13"/>
                              <wps:cNvCnPr/>
                              <wps:spPr>
                                <a:xfrm>
                                  <a:off x="8077" y="980138"/>
                                  <a:ext cx="545" cy="1"/>
                                </a:xfrm>
                                <a:prstGeom prst="line">
                                  <a:avLst/>
                                </a:prstGeom>
                                <a:ln w="9525" cap="flat" cmpd="sng">
                                  <a:solidFill>
                                    <a:srgbClr val="000000"/>
                                  </a:solidFill>
                                  <a:prstDash val="solid"/>
                                  <a:headEnd type="none" w="med" len="med"/>
                                  <a:tailEnd type="triangle" w="med" len="med"/>
                                </a:ln>
                              </wps:spPr>
                              <wps:bodyPr upright="1"/>
                            </wps:wsp>
                            <wps:wsp>
                              <wps:cNvPr id="21" name="文本框 14"/>
                              <wps:cNvSpPr txBox="1"/>
                              <wps:spPr>
                                <a:xfrm>
                                  <a:off x="10264" y="979903"/>
                                  <a:ext cx="1085" cy="43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AF2299C">
                                    <w:pPr>
                                      <w:jc w:val="center"/>
                                      <w:rPr>
                                        <w:rFonts w:hint="default" w:eastAsia="宋体"/>
                                        <w:lang w:val="en-US" w:eastAsia="zh-CN"/>
                                      </w:rPr>
                                    </w:pPr>
                                    <w:r>
                                      <w:rPr>
                                        <w:rFonts w:hint="eastAsia"/>
                                        <w:lang w:val="en-US" w:eastAsia="zh-CN"/>
                                      </w:rPr>
                                      <w:t>切削</w:t>
                                    </w:r>
                                  </w:p>
                                </w:txbxContent>
                              </wps:txbx>
                              <wps:bodyPr upright="1">
                                <a:spAutoFit/>
                              </wps:bodyPr>
                            </wps:wsp>
                            <wps:wsp>
                              <wps:cNvPr id="24" name="直接连接符 15"/>
                              <wps:cNvCnPr/>
                              <wps:spPr>
                                <a:xfrm>
                                  <a:off x="9712" y="980138"/>
                                  <a:ext cx="545" cy="1"/>
                                </a:xfrm>
                                <a:prstGeom prst="line">
                                  <a:avLst/>
                                </a:prstGeom>
                                <a:ln w="9525" cap="flat" cmpd="sng">
                                  <a:solidFill>
                                    <a:srgbClr val="000000"/>
                                  </a:solidFill>
                                  <a:prstDash val="solid"/>
                                  <a:headEnd type="none" w="med" len="med"/>
                                  <a:tailEnd type="triangle" w="med" len="med"/>
                                </a:ln>
                              </wps:spPr>
                              <wps:bodyPr upright="1"/>
                            </wps:wsp>
                            <wps:wsp>
                              <wps:cNvPr id="25" name="文本框 16"/>
                              <wps:cNvSpPr txBox="1"/>
                              <wps:spPr>
                                <a:xfrm>
                                  <a:off x="5197" y="979904"/>
                                  <a:ext cx="1229" cy="43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48A15D5">
                                    <w:pPr>
                                      <w:jc w:val="center"/>
                                      <w:rPr>
                                        <w:rFonts w:hint="default" w:eastAsia="宋体"/>
                                        <w:lang w:val="en-US" w:eastAsia="zh-CN"/>
                                      </w:rPr>
                                    </w:pPr>
                                    <w:r>
                                      <w:rPr>
                                        <w:rFonts w:hint="eastAsia"/>
                                        <w:lang w:val="en-US" w:eastAsia="zh-CN"/>
                                      </w:rPr>
                                      <w:t>矫直</w:t>
                                    </w:r>
                                  </w:p>
                                </w:txbxContent>
                              </wps:txbx>
                              <wps:bodyPr wrap="square" upright="1">
                                <a:spAutoFit/>
                              </wps:bodyPr>
                            </wps:wsp>
                            <wps:wsp>
                              <wps:cNvPr id="26" name="直接连接符 17"/>
                              <wps:cNvCnPr/>
                              <wps:spPr>
                                <a:xfrm>
                                  <a:off x="6445" y="980122"/>
                                  <a:ext cx="545" cy="1"/>
                                </a:xfrm>
                                <a:prstGeom prst="line">
                                  <a:avLst/>
                                </a:prstGeom>
                                <a:ln w="9525" cap="flat" cmpd="sng">
                                  <a:solidFill>
                                    <a:srgbClr val="000000"/>
                                  </a:solidFill>
                                  <a:prstDash val="solid"/>
                                  <a:headEnd type="none" w="med" len="med"/>
                                  <a:tailEnd type="triangle" w="med" len="med"/>
                                </a:ln>
                              </wps:spPr>
                              <wps:bodyPr upright="1"/>
                            </wps:wsp>
                            <wps:wsp>
                              <wps:cNvPr id="27" name="直接连接符 18"/>
                              <wps:cNvCnPr/>
                              <wps:spPr>
                                <a:xfrm>
                                  <a:off x="10840" y="980342"/>
                                  <a:ext cx="1" cy="1091"/>
                                </a:xfrm>
                                <a:prstGeom prst="line">
                                  <a:avLst/>
                                </a:prstGeom>
                                <a:ln w="9525" cap="flat" cmpd="sng">
                                  <a:solidFill>
                                    <a:srgbClr val="000000"/>
                                  </a:solidFill>
                                  <a:prstDash val="solid"/>
                                  <a:headEnd type="none" w="med" len="med"/>
                                  <a:tailEnd type="triangle" w="med" len="med"/>
                                </a:ln>
                              </wps:spPr>
                              <wps:bodyPr upright="1"/>
                            </wps:wsp>
                            <wps:wsp>
                              <wps:cNvPr id="32" name="文本框 24"/>
                              <wps:cNvSpPr txBox="1"/>
                              <wps:spPr>
                                <a:xfrm>
                                  <a:off x="10247" y="981383"/>
                                  <a:ext cx="1085" cy="43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9157B3F">
                                    <w:pPr>
                                      <w:jc w:val="center"/>
                                      <w:rPr>
                                        <w:rFonts w:hint="default" w:eastAsia="宋体"/>
                                        <w:lang w:val="en-US" w:eastAsia="zh-CN"/>
                                      </w:rPr>
                                    </w:pPr>
                                    <w:r>
                                      <w:rPr>
                                        <w:rFonts w:hint="eastAsia"/>
                                        <w:lang w:val="en-US" w:eastAsia="zh-CN"/>
                                      </w:rPr>
                                      <w:t>调质</w:t>
                                    </w:r>
                                  </w:p>
                                </w:txbxContent>
                              </wps:txbx>
                              <wps:bodyPr upright="1">
                                <a:spAutoFit/>
                              </wps:bodyPr>
                            </wps:wsp>
                            <wps:wsp>
                              <wps:cNvPr id="36" name="文本框 36"/>
                              <wps:cNvSpPr txBox="1"/>
                              <wps:spPr>
                                <a:xfrm>
                                  <a:off x="6766" y="979537"/>
                                  <a:ext cx="1448" cy="385"/>
                                </a:xfrm>
                                <a:prstGeom prst="rect">
                                  <a:avLst/>
                                </a:prstGeom>
                                <a:noFill/>
                                <a:ln>
                                  <a:noFill/>
                                </a:ln>
                              </wps:spPr>
                              <wps:txbx>
                                <w:txbxContent>
                                  <w:p w14:paraId="2EA596D1">
                                    <w:pPr>
                                      <w:jc w:val="center"/>
                                      <w:rPr>
                                        <w:rFonts w:hint="default" w:eastAsia="宋体"/>
                                        <w:lang w:val="en-US" w:eastAsia="zh-CN"/>
                                      </w:rPr>
                                    </w:pPr>
                                    <w:r>
                                      <w:rPr>
                                        <w:rFonts w:hint="eastAsia"/>
                                        <w:lang w:val="en-US" w:eastAsia="zh-CN"/>
                                      </w:rPr>
                                      <w:t>N2 S2-S4</w:t>
                                    </w:r>
                                  </w:p>
                                </w:txbxContent>
                              </wps:txbx>
                              <wps:bodyPr wrap="square" upright="1">
                                <a:spAutoFit/>
                              </wps:bodyPr>
                            </wps:wsp>
                            <wps:wsp>
                              <wps:cNvPr id="37" name="文本框 37"/>
                              <wps:cNvSpPr txBox="1"/>
                              <wps:spPr>
                                <a:xfrm>
                                  <a:off x="8381" y="979229"/>
                                  <a:ext cx="1500" cy="797"/>
                                </a:xfrm>
                                <a:prstGeom prst="rect">
                                  <a:avLst/>
                                </a:prstGeom>
                                <a:noFill/>
                                <a:ln>
                                  <a:noFill/>
                                </a:ln>
                              </wps:spPr>
                              <wps:txbx>
                                <w:txbxContent>
                                  <w:p w14:paraId="56083355">
                                    <w:pPr>
                                      <w:jc w:val="center"/>
                                      <w:rPr>
                                        <w:rFonts w:hint="default" w:eastAsia="宋体"/>
                                        <w:lang w:val="en-US" w:eastAsia="zh-CN"/>
                                      </w:rPr>
                                    </w:pPr>
                                    <w:r>
                                      <w:rPr>
                                        <w:rFonts w:hint="eastAsia"/>
                                        <w:lang w:val="en-US" w:eastAsia="zh-CN"/>
                                      </w:rPr>
                                      <w:t>G1 N3 S2、S5-S6</w:t>
                                    </w:r>
                                  </w:p>
                                </w:txbxContent>
                              </wps:txbx>
                              <wps:bodyPr wrap="square" upright="1">
                                <a:noAutofit/>
                              </wps:bodyPr>
                            </wps:wsp>
                            <wps:wsp>
                              <wps:cNvPr id="82" name="文本框 82"/>
                              <wps:cNvSpPr txBox="1"/>
                              <wps:spPr>
                                <a:xfrm>
                                  <a:off x="10045" y="979546"/>
                                  <a:ext cx="1500" cy="503"/>
                                </a:xfrm>
                                <a:prstGeom prst="rect">
                                  <a:avLst/>
                                </a:prstGeom>
                                <a:noFill/>
                                <a:ln>
                                  <a:noFill/>
                                </a:ln>
                              </wps:spPr>
                              <wps:txbx>
                                <w:txbxContent>
                                  <w:p w14:paraId="45D2B014">
                                    <w:pPr>
                                      <w:jc w:val="center"/>
                                      <w:rPr>
                                        <w:rFonts w:hint="default" w:eastAsia="宋体"/>
                                        <w:lang w:val="en-US" w:eastAsia="zh-CN"/>
                                      </w:rPr>
                                    </w:pPr>
                                    <w:r>
                                      <w:rPr>
                                        <w:rFonts w:hint="eastAsia"/>
                                        <w:lang w:val="en-US" w:eastAsia="zh-CN"/>
                                      </w:rPr>
                                      <w:t>N4 S2-S4</w:t>
                                    </w:r>
                                  </w:p>
                                </w:txbxContent>
                              </wps:txbx>
                              <wps:bodyPr wrap="square" upright="1">
                                <a:noAutofit/>
                              </wps:bodyPr>
                            </wps:wsp>
                            <wps:wsp>
                              <wps:cNvPr id="38" name="文本框 32"/>
                              <wps:cNvSpPr txBox="1"/>
                              <wps:spPr>
                                <a:xfrm>
                                  <a:off x="8631" y="981385"/>
                                  <a:ext cx="1085" cy="43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2BF66B4">
                                    <w:pPr>
                                      <w:jc w:val="center"/>
                                      <w:rPr>
                                        <w:rFonts w:hint="default" w:eastAsia="宋体"/>
                                        <w:lang w:val="en-US" w:eastAsia="zh-CN"/>
                                      </w:rPr>
                                    </w:pPr>
                                    <w:r>
                                      <w:rPr>
                                        <w:rFonts w:hint="eastAsia"/>
                                        <w:lang w:val="en-US" w:eastAsia="zh-CN"/>
                                      </w:rPr>
                                      <w:t>检测</w:t>
                                    </w:r>
                                  </w:p>
                                </w:txbxContent>
                              </wps:txbx>
                              <wps:bodyPr upright="1">
                                <a:spAutoFit/>
                              </wps:bodyPr>
                            </wps:wsp>
                            <wps:wsp>
                              <wps:cNvPr id="39" name="直接连接符 28"/>
                              <wps:cNvCnPr/>
                              <wps:spPr>
                                <a:xfrm>
                                  <a:off x="9709" y="981594"/>
                                  <a:ext cx="545" cy="1"/>
                                </a:xfrm>
                                <a:prstGeom prst="line">
                                  <a:avLst/>
                                </a:prstGeom>
                                <a:ln w="9525" cap="flat" cmpd="sng">
                                  <a:solidFill>
                                    <a:srgbClr val="000000"/>
                                  </a:solidFill>
                                  <a:prstDash val="solid"/>
                                  <a:headEnd type="triangle" w="med" len="med"/>
                                  <a:tailEnd type="none" w="med" len="med"/>
                                </a:ln>
                              </wps:spPr>
                              <wps:bodyPr upright="1"/>
                            </wps:wsp>
                            <wps:wsp>
                              <wps:cNvPr id="46" name="直接连接符 38"/>
                              <wps:cNvCnPr/>
                              <wps:spPr>
                                <a:xfrm>
                                  <a:off x="8084" y="981584"/>
                                  <a:ext cx="545" cy="1"/>
                                </a:xfrm>
                                <a:prstGeom prst="line">
                                  <a:avLst/>
                                </a:prstGeom>
                                <a:ln w="9525" cap="flat" cmpd="sng">
                                  <a:solidFill>
                                    <a:srgbClr val="000000"/>
                                  </a:solidFill>
                                  <a:prstDash val="solid"/>
                                  <a:headEnd type="triangle" w="med" len="med"/>
                                  <a:tailEnd type="none" w="med" len="med"/>
                                </a:ln>
                              </wps:spPr>
                              <wps:bodyPr upright="1"/>
                            </wps:wsp>
                            <wps:wsp>
                              <wps:cNvPr id="51" name="文本框 46"/>
                              <wps:cNvSpPr txBox="1"/>
                              <wps:spPr>
                                <a:xfrm>
                                  <a:off x="7177" y="981355"/>
                                  <a:ext cx="1030" cy="416"/>
                                </a:xfrm>
                                <a:prstGeom prst="rect">
                                  <a:avLst/>
                                </a:prstGeom>
                                <a:noFill/>
                                <a:ln>
                                  <a:noFill/>
                                </a:ln>
                              </wps:spPr>
                              <wps:txbx>
                                <w:txbxContent>
                                  <w:p w14:paraId="00526A89">
                                    <w:pPr>
                                      <w:jc w:val="center"/>
                                      <w:rPr>
                                        <w:rFonts w:hint="default" w:eastAsia="宋体"/>
                                        <w:lang w:val="en-US" w:eastAsia="zh-CN"/>
                                      </w:rPr>
                                    </w:pPr>
                                    <w:r>
                                      <w:rPr>
                                        <w:rFonts w:hint="eastAsia"/>
                                        <w:lang w:val="en-US" w:eastAsia="zh-CN"/>
                                      </w:rPr>
                                      <w:t>成品</w:t>
                                    </w:r>
                                  </w:p>
                                </w:txbxContent>
                              </wps:txbx>
                              <wps:bodyPr wrap="square" upright="1">
                                <a:spAutoFit/>
                              </wps:bodyPr>
                            </wps:wsp>
                            <wps:wsp>
                              <wps:cNvPr id="84" name="文本框 73"/>
                              <wps:cNvSpPr txBox="1"/>
                              <wps:spPr>
                                <a:xfrm>
                                  <a:off x="5320" y="979550"/>
                                  <a:ext cx="1139" cy="487"/>
                                </a:xfrm>
                                <a:prstGeom prst="rect">
                                  <a:avLst/>
                                </a:prstGeom>
                                <a:noFill/>
                                <a:ln>
                                  <a:noFill/>
                                </a:ln>
                              </wps:spPr>
                              <wps:txbx>
                                <w:txbxContent>
                                  <w:p w14:paraId="31072205">
                                    <w:pPr>
                                      <w:jc w:val="center"/>
                                      <w:rPr>
                                        <w:rFonts w:hint="default" w:eastAsia="宋体"/>
                                        <w:lang w:val="en-US" w:eastAsia="zh-CN"/>
                                      </w:rPr>
                                    </w:pPr>
                                    <w:r>
                                      <w:rPr>
                                        <w:rFonts w:hint="eastAsia"/>
                                        <w:lang w:val="en-US" w:eastAsia="zh-CN"/>
                                      </w:rPr>
                                      <w:t>N1 S1</w:t>
                                    </w:r>
                                  </w:p>
                                </w:txbxContent>
                              </wps:txbx>
                              <wps:bodyPr wrap="square" upright="1">
                                <a:noAutofit/>
                              </wps:bodyPr>
                            </wps:wsp>
                            <wps:wsp>
                              <wps:cNvPr id="85" name="文本框 81"/>
                              <wps:cNvSpPr txBox="1"/>
                              <wps:spPr>
                                <a:xfrm>
                                  <a:off x="10605" y="980985"/>
                                  <a:ext cx="1500" cy="503"/>
                                </a:xfrm>
                                <a:prstGeom prst="rect">
                                  <a:avLst/>
                                </a:prstGeom>
                                <a:noFill/>
                                <a:ln>
                                  <a:noFill/>
                                </a:ln>
                              </wps:spPr>
                              <wps:txbx>
                                <w:txbxContent>
                                  <w:p w14:paraId="28CAED44">
                                    <w:pPr>
                                      <w:jc w:val="center"/>
                                      <w:rPr>
                                        <w:rFonts w:hint="default" w:eastAsia="宋体"/>
                                        <w:lang w:val="en-US" w:eastAsia="zh-CN"/>
                                      </w:rPr>
                                    </w:pPr>
                                    <w:r>
                                      <w:rPr>
                                        <w:rFonts w:hint="eastAsia"/>
                                        <w:lang w:val="en-US" w:eastAsia="zh-CN"/>
                                      </w:rPr>
                                      <w:t>N5 W1 S7</w:t>
                                    </w:r>
                                  </w:p>
                                </w:txbxContent>
                              </wps:txbx>
                              <wps:bodyPr wrap="square" upright="1">
                                <a:noAutofit/>
                              </wps:bodyPr>
                            </wps:wsp>
                            <wps:wsp>
                              <wps:cNvPr id="87" name="文本框 87"/>
                              <wps:cNvSpPr txBox="1"/>
                              <wps:spPr>
                                <a:xfrm>
                                  <a:off x="8708" y="980991"/>
                                  <a:ext cx="1038" cy="453"/>
                                </a:xfrm>
                                <a:prstGeom prst="rect">
                                  <a:avLst/>
                                </a:prstGeom>
                                <a:noFill/>
                                <a:ln>
                                  <a:noFill/>
                                </a:ln>
                              </wps:spPr>
                              <wps:txbx>
                                <w:txbxContent>
                                  <w:p w14:paraId="6468396E">
                                    <w:pPr>
                                      <w:jc w:val="center"/>
                                      <w:rPr>
                                        <w:rFonts w:hint="default" w:eastAsia="宋体"/>
                                        <w:lang w:val="en-US" w:eastAsia="zh-CN"/>
                                      </w:rPr>
                                    </w:pPr>
                                    <w:r>
                                      <w:rPr>
                                        <w:rFonts w:hint="eastAsia"/>
                                        <w:lang w:val="en-US" w:eastAsia="zh-CN"/>
                                      </w:rPr>
                                      <w:t>S8</w:t>
                                    </w:r>
                                  </w:p>
                                </w:txbxContent>
                              </wps:txbx>
                              <wps:bodyPr wrap="square" upright="1">
                                <a:noAutofit/>
                              </wps:bodyPr>
                            </wps:wsp>
                          </wpg:wgp>
                        </a:graphicData>
                      </a:graphic>
                    </wp:anchor>
                  </w:drawing>
                </mc:Choice>
                <mc:Fallback>
                  <w:pict>
                    <v:group id="_x0000_s1026" o:spid="_x0000_s1026" o:spt="203" style="position:absolute;left:0pt;margin-left:-3.7pt;margin-top:0.4pt;height:129.35pt;width:425.5pt;z-index:251665408;mso-width-relative:page;mso-height-relative:page;" coordorigin="3595,979229" coordsize="8510,2587" o:gfxdata="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">
                      <o:lock v:ext="edit" aspectratio="f"/>
                      <v:shape id="文本框 8" o:spid="_x0000_s1026" o:spt="202" type="#_x0000_t202" style="position:absolute;left:3595;top:979858;height:574;width:1252;" filled="f" stroked="f" coordsize="21600,21600" o:gfxdata="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PEJW6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14:paraId="2239C574">
                              <w:pPr>
                                <w:jc w:val="center"/>
                                <w:rPr>
                                  <w:rFonts w:hint="default"/>
                                  <w:lang w:val="en-US" w:eastAsia="zh-CN"/>
                                </w:rPr>
                              </w:pPr>
                              <w:r>
                                <w:rPr>
                                  <w:rFonts w:hint="eastAsia"/>
                                  <w:lang w:val="en-US" w:eastAsia="zh-CN"/>
                                </w:rPr>
                                <w:t>原料</w:t>
                              </w:r>
                            </w:p>
                          </w:txbxContent>
                        </v:textbox>
                      </v:shape>
                      <v:shape id="文本框 9" o:spid="_x0000_s1026" o:spt="202" type="#_x0000_t202" style="position:absolute;left:6997;top:979903;height:431;width:1085;" fillcolor="#FFFFFF" filled="t" stroked="t" coordsize="21600,21600" o:gfxdata="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fa4a4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style="mso-fit-shape-to-text:t;">
                          <w:txbxContent>
                            <w:p w14:paraId="2705A77F">
                              <w:pPr>
                                <w:jc w:val="center"/>
                                <w:rPr>
                                  <w:rFonts w:hint="default" w:eastAsia="宋体"/>
                                  <w:lang w:val="en-US" w:eastAsia="zh-CN"/>
                                </w:rPr>
                              </w:pPr>
                              <w:r>
                                <w:rPr>
                                  <w:rFonts w:hint="eastAsia"/>
                                  <w:lang w:val="en-US" w:eastAsia="zh-CN"/>
                                </w:rPr>
                                <w:t>剥皮</w:t>
                              </w:r>
                            </w:p>
                          </w:txbxContent>
                        </v:textbox>
                      </v:shape>
                      <v:line id="直接连接符 10" o:spid="_x0000_s1026" o:spt="20" style="position:absolute;left:4661;top:980122;height:1;width:545;" filled="f" stroked="t" coordsize="21600,21600" o:gfxdata="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ZAZN+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shape id="文本框 12" o:spid="_x0000_s1026" o:spt="202" type="#_x0000_t202" style="position:absolute;left:8614;top:979903;height:431;width:1085;" fillcolor="#FFFFFF" filled="t" stroked="t" coordsize="21600,21600" o:gfxdata="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bi3Ub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style="mso-fit-shape-to-text:t;">
                          <w:txbxContent>
                            <w:p w14:paraId="13811CAF">
                              <w:pPr>
                                <w:jc w:val="center"/>
                                <w:rPr>
                                  <w:rFonts w:hint="default" w:eastAsia="宋体"/>
                                  <w:lang w:val="en-US" w:eastAsia="zh-CN"/>
                                </w:rPr>
                              </w:pPr>
                              <w:r>
                                <w:rPr>
                                  <w:rFonts w:hint="eastAsia"/>
                                  <w:lang w:val="en-US" w:eastAsia="zh-CN"/>
                                </w:rPr>
                                <w:t>修磨</w:t>
                              </w:r>
                            </w:p>
                          </w:txbxContent>
                        </v:textbox>
                      </v:shape>
                      <v:line id="直接连接符 13" o:spid="_x0000_s1026" o:spt="20" style="position:absolute;left:8077;top:980138;height:1;width:545;" filled="f" stroked="t" coordsize="21600,21600" o:gfxdata="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fFNha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shape id="文本框 14" o:spid="_x0000_s1026" o:spt="202" type="#_x0000_t202" style="position:absolute;left:10264;top:979903;height:431;width:1085;" fillcolor="#FFFFFF" filled="t" stroked="t" coordsize="21600,21600" o:gfxdata="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u7Ucb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style="mso-fit-shape-to-text:t;">
                          <w:txbxContent>
                            <w:p w14:paraId="0AF2299C">
                              <w:pPr>
                                <w:jc w:val="center"/>
                                <w:rPr>
                                  <w:rFonts w:hint="default" w:eastAsia="宋体"/>
                                  <w:lang w:val="en-US" w:eastAsia="zh-CN"/>
                                </w:rPr>
                              </w:pPr>
                              <w:r>
                                <w:rPr>
                                  <w:rFonts w:hint="eastAsia"/>
                                  <w:lang w:val="en-US" w:eastAsia="zh-CN"/>
                                </w:rPr>
                                <w:t>切削</w:t>
                              </w:r>
                            </w:p>
                          </w:txbxContent>
                        </v:textbox>
                      </v:shape>
                      <v:line id="直接连接符 15" o:spid="_x0000_s1026" o:spt="20" style="position:absolute;left:9712;top:980138;height:1;width:545;" filled="f" stroked="t" coordsize="21600,21600" o:gfxdata="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j+MBW/&#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文本框 16" o:spid="_x0000_s1026" o:spt="202" type="#_x0000_t202" style="position:absolute;left:5197;top:979904;height:431;width:1229;" fillcolor="#FFFFFF" filled="t" stroked="t" coordsize="21600,21600" o:gfxdata="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1dJy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style="mso-fit-shape-to-text:t;">
                          <w:txbxContent>
                            <w:p w14:paraId="648A15D5">
                              <w:pPr>
                                <w:jc w:val="center"/>
                                <w:rPr>
                                  <w:rFonts w:hint="default" w:eastAsia="宋体"/>
                                  <w:lang w:val="en-US" w:eastAsia="zh-CN"/>
                                </w:rPr>
                              </w:pPr>
                              <w:r>
                                <w:rPr>
                                  <w:rFonts w:hint="eastAsia"/>
                                  <w:lang w:val="en-US" w:eastAsia="zh-CN"/>
                                </w:rPr>
                                <w:t>矫直</w:t>
                              </w:r>
                            </w:p>
                          </w:txbxContent>
                        </v:textbox>
                      </v:shape>
                      <v:line id="直接连接符 17" o:spid="_x0000_s1026" o:spt="20" style="position:absolute;left:6445;top:980122;height:1;width:545;" filled="f" stroked="t" coordsize="21600,21600" o:gfxdata="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2AL+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接连接符 18" o:spid="_x0000_s1026" o:spt="20" style="position:absolute;left:10840;top:980342;height:1091;width:1;" filled="f" stroked="t" coordsize="21600,21600" o:gfxdata="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gsrmK/&#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文本框 24" o:spid="_x0000_s1026" o:spt="202" type="#_x0000_t202" style="position:absolute;left:10247;top:981383;height:431;width:1085;" fillcolor="#FFFFFF" filled="t" stroked="t" coordsize="21600,21600" o:gfxdata="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6+Xc2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style="mso-fit-shape-to-text:t;">
                          <w:txbxContent>
                            <w:p w14:paraId="59157B3F">
                              <w:pPr>
                                <w:jc w:val="center"/>
                                <w:rPr>
                                  <w:rFonts w:hint="default" w:eastAsia="宋体"/>
                                  <w:lang w:val="en-US" w:eastAsia="zh-CN"/>
                                </w:rPr>
                              </w:pPr>
                              <w:r>
                                <w:rPr>
                                  <w:rFonts w:hint="eastAsia"/>
                                  <w:lang w:val="en-US" w:eastAsia="zh-CN"/>
                                </w:rPr>
                                <w:t>调质</w:t>
                              </w:r>
                            </w:p>
                          </w:txbxContent>
                        </v:textbox>
                      </v:shape>
                      <v:shape id="_x0000_s1026" o:spid="_x0000_s1026" o:spt="202" type="#_x0000_t202" style="position:absolute;left:6766;top:979537;height:385;width:1448;" filled="f" stroked="f" coordsize="21600,21600" o:gfxdata="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qBVuL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2EA596D1">
                              <w:pPr>
                                <w:jc w:val="center"/>
                                <w:rPr>
                                  <w:rFonts w:hint="default" w:eastAsia="宋体"/>
                                  <w:lang w:val="en-US" w:eastAsia="zh-CN"/>
                                </w:rPr>
                              </w:pPr>
                              <w:r>
                                <w:rPr>
                                  <w:rFonts w:hint="eastAsia"/>
                                  <w:lang w:val="en-US" w:eastAsia="zh-CN"/>
                                </w:rPr>
                                <w:t>N2 S2-S4</w:t>
                              </w:r>
                            </w:p>
                          </w:txbxContent>
                        </v:textbox>
                      </v:shape>
                      <v:shape id="_x0000_s1026" o:spid="_x0000_s1026" o:spt="202" type="#_x0000_t202" style="position:absolute;left:8381;top:979229;height:797;width:1500;" filled="f" stroked="f" coordsize="21600,21600" o:gfxdata="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fvQuK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56083355">
                              <w:pPr>
                                <w:jc w:val="center"/>
                                <w:rPr>
                                  <w:rFonts w:hint="default" w:eastAsia="宋体"/>
                                  <w:lang w:val="en-US" w:eastAsia="zh-CN"/>
                                </w:rPr>
                              </w:pPr>
                              <w:r>
                                <w:rPr>
                                  <w:rFonts w:hint="eastAsia"/>
                                  <w:lang w:val="en-US" w:eastAsia="zh-CN"/>
                                </w:rPr>
                                <w:t>G1 N3 S2、S5-S6</w:t>
                              </w:r>
                            </w:p>
                          </w:txbxContent>
                        </v:textbox>
                      </v:shape>
                      <v:shape id="_x0000_s1026" o:spid="_x0000_s1026" o:spt="202" type="#_x0000_t202" style="position:absolute;left:10045;top:979546;height:503;width:1500;" filled="f" stroked="f" coordsize="21600,21600" o:gfxdata="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Cconb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45D2B014">
                              <w:pPr>
                                <w:jc w:val="center"/>
                                <w:rPr>
                                  <w:rFonts w:hint="default" w:eastAsia="宋体"/>
                                  <w:lang w:val="en-US" w:eastAsia="zh-CN"/>
                                </w:rPr>
                              </w:pPr>
                              <w:r>
                                <w:rPr>
                                  <w:rFonts w:hint="eastAsia"/>
                                  <w:lang w:val="en-US" w:eastAsia="zh-CN"/>
                                </w:rPr>
                                <w:t>N4 S2-S4</w:t>
                              </w:r>
                            </w:p>
                          </w:txbxContent>
                        </v:textbox>
                      </v:shape>
                      <v:shape id="文本框 32" o:spid="_x0000_s1026" o:spt="202" type="#_x0000_t202" style="position:absolute;left:8631;top:981385;height:431;width:1085;" fillcolor="#FFFFFF" filled="t" stroked="t" coordsize="21600,21600" o:gfxdata="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g3rM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style="mso-fit-shape-to-text:t;">
                          <w:txbxContent>
                            <w:p w14:paraId="42BF66B4">
                              <w:pPr>
                                <w:jc w:val="center"/>
                                <w:rPr>
                                  <w:rFonts w:hint="default" w:eastAsia="宋体"/>
                                  <w:lang w:val="en-US" w:eastAsia="zh-CN"/>
                                </w:rPr>
                              </w:pPr>
                              <w:r>
                                <w:rPr>
                                  <w:rFonts w:hint="eastAsia"/>
                                  <w:lang w:val="en-US" w:eastAsia="zh-CN"/>
                                </w:rPr>
                                <w:t>检测</w:t>
                              </w:r>
                            </w:p>
                          </w:txbxContent>
                        </v:textbox>
                      </v:shape>
                      <v:line id="直接连接符 28" o:spid="_x0000_s1026" o:spt="20" style="position:absolute;left:9709;top:981594;height:1;width:545;" filled="f" stroked="t" coordsize="21600,21600" o:gfxdata="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BTlULvQAA&#10;ANsAAAAPAAAAAAAAAAEAIAAAACIAAABkcnMvZG93bnJldi54bWxQSwECFAAUAAAACACHTuJAMy8F&#10;njsAAAA5AAAAEAAAAAAAAAABACAAAAAMAQAAZHJzL3NoYXBleG1sLnhtbFBLBQYAAAAABgAGAFsB&#10;AAC2AwAAAAA=&#10;">
                        <v:fill on="f" focussize="0,0"/>
                        <v:stroke color="#000000" joinstyle="round" startarrow="block"/>
                        <v:imagedata o:title=""/>
                        <o:lock v:ext="edit" aspectratio="f"/>
                      </v:line>
                      <v:line id="直接连接符 38" o:spid="_x0000_s1026" o:spt="20" style="position:absolute;left:8084;top:981584;height:1;width:545;" filled="f" stroked="t" coordsize="21600,21600" o:gfxdata="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NeyBL4A&#10;AADbAAAADwAAAAAAAAABACAAAAAiAAAAZHJzL2Rvd25yZXYueG1sUEsBAhQAFAAAAAgAh07iQDMv&#10;BZ47AAAAOQAAABAAAAAAAAAAAQAgAAAADQEAAGRycy9zaGFwZXhtbC54bWxQSwUGAAAAAAYABgBb&#10;AQAAtwMAAAAA&#10;">
                        <v:fill on="f" focussize="0,0"/>
                        <v:stroke color="#000000" joinstyle="round" startarrow="block"/>
                        <v:imagedata o:title=""/>
                        <o:lock v:ext="edit" aspectratio="f"/>
                      </v:line>
                      <v:shape id="文本框 46" o:spid="_x0000_s1026" o:spt="202" type="#_x0000_t202" style="position:absolute;left:7177;top:981355;height:416;width:1030;" filled="f" stroked="f" coordsize="21600,21600" o:gfxdata="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JYobL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00526A89">
                              <w:pPr>
                                <w:jc w:val="center"/>
                                <w:rPr>
                                  <w:rFonts w:hint="default" w:eastAsia="宋体"/>
                                  <w:lang w:val="en-US" w:eastAsia="zh-CN"/>
                                </w:rPr>
                              </w:pPr>
                              <w:r>
                                <w:rPr>
                                  <w:rFonts w:hint="eastAsia"/>
                                  <w:lang w:val="en-US" w:eastAsia="zh-CN"/>
                                </w:rPr>
                                <w:t>成品</w:t>
                              </w:r>
                            </w:p>
                          </w:txbxContent>
                        </v:textbox>
                      </v:shape>
                      <v:shape id="文本框 73" o:spid="_x0000_s1026" o:spt="202" type="#_x0000_t202" style="position:absolute;left:5320;top:979550;height:487;width:1139;" filled="f" stroked="f" coordsize="21600,21600" o:gfxdata="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IIVcr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14:paraId="31072205">
                              <w:pPr>
                                <w:jc w:val="center"/>
                                <w:rPr>
                                  <w:rFonts w:hint="default" w:eastAsia="宋体"/>
                                  <w:lang w:val="en-US" w:eastAsia="zh-CN"/>
                                </w:rPr>
                              </w:pPr>
                              <w:r>
                                <w:rPr>
                                  <w:rFonts w:hint="eastAsia"/>
                                  <w:lang w:val="en-US" w:eastAsia="zh-CN"/>
                                </w:rPr>
                                <w:t>N1 S1</w:t>
                              </w:r>
                            </w:p>
                          </w:txbxContent>
                        </v:textbox>
                      </v:shape>
                      <v:shape id="文本框 81" o:spid="_x0000_s1026" o:spt="202" type="#_x0000_t202" style="position:absolute;left:10605;top:980985;height:503;width:1500;" filled="f" stroked="f" coordsize="21600,21600" o:gfxdata="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7zrDp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28CAED44">
                              <w:pPr>
                                <w:jc w:val="center"/>
                                <w:rPr>
                                  <w:rFonts w:hint="default" w:eastAsia="宋体"/>
                                  <w:lang w:val="en-US" w:eastAsia="zh-CN"/>
                                </w:rPr>
                              </w:pPr>
                              <w:r>
                                <w:rPr>
                                  <w:rFonts w:hint="eastAsia"/>
                                  <w:lang w:val="en-US" w:eastAsia="zh-CN"/>
                                </w:rPr>
                                <w:t>N5 W1 S7</w:t>
                              </w:r>
                            </w:p>
                          </w:txbxContent>
                        </v:textbox>
                      </v:shape>
                      <v:shape id="_x0000_s1026" o:spid="_x0000_s1026" o:spt="202" type="#_x0000_t202" style="position:absolute;left:8708;top:980991;height:453;width:1038;" filled="f" stroked="f" coordsize="21600,21600" o:gfxdata="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RQiwW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6468396E">
                              <w:pPr>
                                <w:jc w:val="center"/>
                                <w:rPr>
                                  <w:rFonts w:hint="default" w:eastAsia="宋体"/>
                                  <w:lang w:val="en-US" w:eastAsia="zh-CN"/>
                                </w:rPr>
                              </w:pPr>
                              <w:r>
                                <w:rPr>
                                  <w:rFonts w:hint="eastAsia"/>
                                  <w:lang w:val="en-US" w:eastAsia="zh-CN"/>
                                </w:rPr>
                                <w:t>S8</w:t>
                              </w:r>
                            </w:p>
                          </w:txbxContent>
                        </v:textbox>
                      </v:shape>
                    </v:group>
                  </w:pict>
                </mc:Fallback>
              </mc:AlternateContent>
            </w:r>
          </w:p>
          <w:p w14:paraId="0A74A975">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p w14:paraId="42844D82">
            <w:pPr>
              <w:pStyle w:val="187"/>
              <w:keepNext w:val="0"/>
              <w:keepLines w:val="0"/>
              <w:suppressLineNumbers w:val="0"/>
              <w:spacing w:before="0" w:beforeAutospacing="0" w:after="0" w:afterAutospacing="0"/>
              <w:ind w:left="0" w:right="0"/>
              <w:jc w:val="right"/>
              <w:rPr>
                <w:rFonts w:hint="default" w:ascii="Times New Roman" w:hAnsi="Times New Roman" w:cs="Times New Roman"/>
                <w:b w:val="0"/>
                <w:bCs/>
                <w:smallCaps w:val="0"/>
                <w:color w:val="auto"/>
                <w:spacing w:val="0"/>
                <w:sz w:val="21"/>
                <w:szCs w:val="21"/>
                <w:highlight w:val="none"/>
                <w:lang w:val="en-US" w:eastAsia="zh-CN"/>
              </w:rPr>
            </w:pPr>
          </w:p>
          <w:p w14:paraId="301E6426">
            <w:pPr>
              <w:pStyle w:val="187"/>
              <w:keepNext w:val="0"/>
              <w:keepLines w:val="0"/>
              <w:suppressLineNumbers w:val="0"/>
              <w:spacing w:before="0" w:beforeAutospacing="0" w:after="0" w:afterAutospacing="0"/>
              <w:ind w:left="0" w:right="0"/>
              <w:jc w:val="right"/>
              <w:rPr>
                <w:rFonts w:hint="default" w:ascii="Times New Roman" w:hAnsi="Times New Roman" w:cs="Times New Roman"/>
                <w:b w:val="0"/>
                <w:bCs/>
                <w:smallCaps w:val="0"/>
                <w:color w:val="auto"/>
                <w:spacing w:val="0"/>
                <w:sz w:val="21"/>
                <w:szCs w:val="21"/>
                <w:highlight w:val="none"/>
                <w:lang w:val="en-US" w:eastAsia="zh-CN"/>
              </w:rPr>
            </w:pPr>
          </w:p>
          <w:p w14:paraId="19F325F8">
            <w:pPr>
              <w:pStyle w:val="187"/>
              <w:keepNext w:val="0"/>
              <w:keepLines w:val="0"/>
              <w:suppressLineNumbers w:val="0"/>
              <w:spacing w:before="0" w:beforeAutospacing="0" w:after="0" w:afterAutospacing="0"/>
              <w:ind w:left="0" w:right="0"/>
              <w:jc w:val="right"/>
              <w:rPr>
                <w:rFonts w:hint="default" w:ascii="Times New Roman" w:hAnsi="Times New Roman" w:cs="Times New Roman"/>
                <w:b w:val="0"/>
                <w:bCs/>
                <w:smallCaps w:val="0"/>
                <w:color w:val="auto"/>
                <w:spacing w:val="0"/>
                <w:sz w:val="21"/>
                <w:szCs w:val="21"/>
                <w:highlight w:val="none"/>
                <w:lang w:val="en-US" w:eastAsia="zh-CN"/>
              </w:rPr>
            </w:pPr>
          </w:p>
          <w:p w14:paraId="0ED8604D">
            <w:pPr>
              <w:pStyle w:val="187"/>
              <w:keepNext w:val="0"/>
              <w:keepLines w:val="0"/>
              <w:suppressLineNumbers w:val="0"/>
              <w:spacing w:before="0" w:beforeAutospacing="0" w:after="0" w:afterAutospacing="0"/>
              <w:ind w:left="0" w:right="0"/>
              <w:jc w:val="right"/>
              <w:rPr>
                <w:rFonts w:hint="default" w:ascii="Times New Roman" w:hAnsi="Times New Roman" w:cs="Times New Roman"/>
                <w:b w:val="0"/>
                <w:bCs/>
                <w:smallCaps w:val="0"/>
                <w:color w:val="auto"/>
                <w:spacing w:val="0"/>
                <w:sz w:val="21"/>
                <w:szCs w:val="21"/>
                <w:highlight w:val="none"/>
                <w:lang w:val="en-US" w:eastAsia="zh-CN"/>
              </w:rPr>
            </w:pPr>
          </w:p>
          <w:p w14:paraId="73C8FECE">
            <w:pPr>
              <w:pStyle w:val="187"/>
              <w:keepNext w:val="0"/>
              <w:keepLines w:val="0"/>
              <w:suppressLineNumbers w:val="0"/>
              <w:spacing w:before="0" w:beforeAutospacing="0" w:after="0" w:afterAutospacing="0"/>
              <w:ind w:left="0" w:right="0"/>
              <w:jc w:val="right"/>
              <w:rPr>
                <w:rFonts w:hint="default" w:ascii="Times New Roman" w:hAnsi="Times New Roman" w:eastAsia="宋体" w:cs="Times New Roman"/>
                <w:b w:val="0"/>
                <w:bCs/>
                <w:smallCaps w:val="0"/>
                <w:color w:val="auto"/>
                <w:spacing w:val="0"/>
                <w:highlight w:val="none"/>
                <w:lang w:val="en-US" w:eastAsia="zh-CN"/>
              </w:rPr>
            </w:pPr>
          </w:p>
          <w:p w14:paraId="2E75846A">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p w14:paraId="2A276C66">
            <w:pPr>
              <w:pStyle w:val="187"/>
              <w:keepNext w:val="0"/>
              <w:keepLines w:val="0"/>
              <w:suppressLineNumbers w:val="0"/>
              <w:spacing w:before="0" w:beforeAutospacing="0" w:after="0" w:afterAutospacing="0"/>
              <w:ind w:left="0" w:right="0"/>
              <w:jc w:val="right"/>
              <w:rPr>
                <w:rFonts w:hint="default" w:ascii="Times New Roman" w:hAnsi="Times New Roman" w:cs="Times New Roman"/>
                <w:b w:val="0"/>
                <w:bCs/>
                <w:smallCaps w:val="0"/>
                <w:color w:val="auto"/>
                <w:spacing w:val="0"/>
                <w:sz w:val="21"/>
                <w:szCs w:val="21"/>
                <w:highlight w:val="none"/>
                <w:lang w:val="en-US" w:eastAsia="zh-CN"/>
              </w:rPr>
            </w:pPr>
          </w:p>
          <w:p w14:paraId="6CE1F50A">
            <w:pPr>
              <w:pStyle w:val="187"/>
              <w:keepNext w:val="0"/>
              <w:keepLines w:val="0"/>
              <w:suppressLineNumbers w:val="0"/>
              <w:spacing w:before="0" w:beforeAutospacing="0" w:after="0" w:afterAutospacing="0"/>
              <w:ind w:left="0" w:right="0"/>
              <w:jc w:val="right"/>
              <w:rPr>
                <w:rFonts w:hint="default" w:ascii="Times New Roman" w:hAnsi="Times New Roman" w:cs="Times New Roman"/>
                <w:b w:val="0"/>
                <w:bCs/>
                <w:smallCaps w:val="0"/>
                <w:color w:val="auto"/>
                <w:spacing w:val="0"/>
                <w:sz w:val="21"/>
                <w:szCs w:val="21"/>
                <w:highlight w:val="none"/>
                <w:lang w:val="en-US" w:eastAsia="zh-CN"/>
              </w:rPr>
            </w:pPr>
          </w:p>
          <w:p w14:paraId="6465BDBF">
            <w:pPr>
              <w:pStyle w:val="187"/>
              <w:keepNext w:val="0"/>
              <w:keepLines w:val="0"/>
              <w:suppressLineNumbers w:val="0"/>
              <w:spacing w:before="0" w:beforeAutospacing="0" w:after="0" w:afterAutospacing="0"/>
              <w:ind w:left="0" w:right="0"/>
              <w:jc w:val="right"/>
              <w:rPr>
                <w:rFonts w:hint="default" w:ascii="Times New Roman" w:hAnsi="Times New Roman" w:cs="Times New Roman"/>
                <w:b w:val="0"/>
                <w:bCs/>
                <w:smallCaps w:val="0"/>
                <w:color w:val="auto"/>
                <w:spacing w:val="0"/>
                <w:sz w:val="21"/>
                <w:szCs w:val="21"/>
                <w:highlight w:val="none"/>
                <w:lang w:val="en-US" w:eastAsia="zh-CN"/>
              </w:rPr>
            </w:pPr>
          </w:p>
          <w:p w14:paraId="70777E73">
            <w:pPr>
              <w:pStyle w:val="187"/>
              <w:keepNext w:val="0"/>
              <w:keepLines w:val="0"/>
              <w:suppressLineNumbers w:val="0"/>
              <w:spacing w:before="0" w:beforeAutospacing="0" w:after="0" w:afterAutospacing="0"/>
              <w:ind w:left="0" w:right="0"/>
              <w:jc w:val="right"/>
              <w:rPr>
                <w:rFonts w:hint="default" w:ascii="Times New Roman" w:hAnsi="Times New Roman" w:cs="Times New Roman"/>
                <w:b w:val="0"/>
                <w:bCs/>
                <w:smallCaps w:val="0"/>
                <w:color w:val="auto"/>
                <w:spacing w:val="0"/>
                <w:sz w:val="21"/>
                <w:szCs w:val="21"/>
                <w:highlight w:val="none"/>
                <w:lang w:val="en-US" w:eastAsia="zh-CN"/>
              </w:rPr>
            </w:pPr>
          </w:p>
          <w:p w14:paraId="5F7DD561">
            <w:pPr>
              <w:pStyle w:val="187"/>
              <w:keepNext w:val="0"/>
              <w:keepLines w:val="0"/>
              <w:suppressLineNumbers w:val="0"/>
              <w:spacing w:before="0" w:beforeAutospacing="0" w:after="0" w:afterAutospacing="0"/>
              <w:ind w:left="0" w:right="0"/>
              <w:jc w:val="right"/>
              <w:rPr>
                <w:rFonts w:hint="default" w:ascii="Times New Roman" w:hAnsi="Times New Roman" w:cs="Times New Roman"/>
                <w:smallCaps w:val="0"/>
                <w:color w:val="auto"/>
                <w:spacing w:val="0"/>
                <w:highlight w:val="none"/>
              </w:rPr>
            </w:pPr>
            <w:r>
              <w:rPr>
                <w:rFonts w:hint="default" w:ascii="Times New Roman" w:hAnsi="Times New Roman" w:cs="Times New Roman"/>
                <w:b w:val="0"/>
                <w:bCs/>
                <w:smallCaps w:val="0"/>
                <w:color w:val="auto"/>
                <w:spacing w:val="0"/>
                <w:sz w:val="21"/>
                <w:szCs w:val="21"/>
                <w:highlight w:val="none"/>
                <w:lang w:val="en-US" w:eastAsia="zh-CN"/>
              </w:rPr>
              <w:t>注</w:t>
            </w:r>
            <w:r>
              <w:rPr>
                <w:rFonts w:hint="eastAsia" w:cs="Times New Roman"/>
                <w:b w:val="0"/>
                <w:bCs/>
                <w:smallCaps w:val="0"/>
                <w:color w:val="auto"/>
                <w:spacing w:val="0"/>
                <w:sz w:val="21"/>
                <w:szCs w:val="21"/>
                <w:highlight w:val="none"/>
                <w:lang w:val="en-US" w:eastAsia="zh-CN"/>
              </w:rPr>
              <w:t xml:space="preserve">：G废气 W废水 </w:t>
            </w:r>
            <w:r>
              <w:rPr>
                <w:rFonts w:hint="default" w:ascii="Times New Roman" w:hAnsi="Times New Roman" w:cs="Times New Roman"/>
                <w:b w:val="0"/>
                <w:bCs/>
                <w:smallCaps w:val="0"/>
                <w:color w:val="auto"/>
                <w:spacing w:val="0"/>
                <w:sz w:val="21"/>
                <w:szCs w:val="21"/>
                <w:highlight w:val="none"/>
                <w:lang w:val="en-US" w:eastAsia="zh-CN"/>
              </w:rPr>
              <w:t>N噪声 S固废</w:t>
            </w:r>
          </w:p>
          <w:p w14:paraId="25AFAEBD">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图2-</w:t>
            </w:r>
            <w:r>
              <w:rPr>
                <w:rFonts w:hint="eastAsia" w:cs="Times New Roman"/>
                <w:smallCaps w:val="0"/>
                <w:color w:val="auto"/>
                <w:spacing w:val="0"/>
                <w:highlight w:val="none"/>
                <w:lang w:val="en-US" w:eastAsia="zh-CN"/>
              </w:rPr>
              <w:t>4</w:t>
            </w:r>
            <w:r>
              <w:rPr>
                <w:rFonts w:hint="default" w:ascii="Times New Roman" w:hAnsi="Times New Roman" w:cs="Times New Roman"/>
                <w:smallCaps w:val="0"/>
                <w:color w:val="auto"/>
                <w:spacing w:val="0"/>
                <w:highlight w:val="none"/>
              </w:rPr>
              <w:t xml:space="preserve">    工艺流程及产污环节图</w:t>
            </w:r>
          </w:p>
          <w:p w14:paraId="204C1AD3">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生产工艺介绍如下</w:t>
            </w:r>
            <w:r>
              <w:rPr>
                <w:rFonts w:hint="eastAsia" w:cs="Times New Roman"/>
                <w:smallCaps w:val="0"/>
                <w:color w:val="auto"/>
                <w:spacing w:val="0"/>
                <w:highlight w:val="none"/>
                <w:lang w:eastAsia="zh-CN"/>
              </w:rPr>
              <w:t>：</w:t>
            </w:r>
          </w:p>
          <w:p w14:paraId="295ECDAB">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default" w:ascii="Times New Roman" w:hAnsi="Times New Roman" w:eastAsia="宋体" w:cs="Times New Roman"/>
                <w:smallCaps w:val="0"/>
                <w:snapToGrid w:val="0"/>
                <w:color w:val="auto"/>
                <w:spacing w:val="0"/>
                <w:kern w:val="2"/>
                <w:sz w:val="24"/>
                <w:szCs w:val="24"/>
                <w:highlight w:val="none"/>
                <w:lang w:val="en-US" w:eastAsia="zh-CN" w:bidi="ar-SA"/>
              </w:rPr>
              <w:t>①</w:t>
            </w:r>
            <w:r>
              <w:rPr>
                <w:rFonts w:hint="eastAsia" w:cs="Times New Roman"/>
                <w:smallCaps w:val="0"/>
                <w:snapToGrid w:val="0"/>
                <w:color w:val="auto"/>
                <w:spacing w:val="0"/>
                <w:kern w:val="2"/>
                <w:sz w:val="24"/>
                <w:szCs w:val="24"/>
                <w:highlight w:val="none"/>
                <w:lang w:val="en-US" w:eastAsia="zh-CN" w:bidi="ar-SA"/>
              </w:rPr>
              <w:t>矫直</w:t>
            </w:r>
          </w:p>
          <w:p w14:paraId="1899BABE">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项目钻杆的原料为圆管，车轴的原料为方钢、圆棒，根据客户需要选择。圆管、圆棒铁丝打捆经货车运输进厂，卸至1#生产车间的原料区。通过人工上料至多辊式矫直机，上下多组矫直辊对钢材施加均匀压应力，分段滚压校正钢材直线度，消除加工形变。矫直后的钢材，人工运输至无心车床。</w:t>
            </w:r>
          </w:p>
          <w:p w14:paraId="751E98C3">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本工序污染物主要为：矫直机运转时产生的噪声N1；废包装材料S1。</w:t>
            </w:r>
          </w:p>
          <w:p w14:paraId="11B07413">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default" w:ascii="Times New Roman" w:hAnsi="Times New Roman" w:eastAsia="宋体" w:cs="Times New Roman"/>
                <w:smallCaps w:val="0"/>
                <w:snapToGrid w:val="0"/>
                <w:color w:val="auto"/>
                <w:spacing w:val="0"/>
                <w:kern w:val="2"/>
                <w:sz w:val="24"/>
                <w:szCs w:val="24"/>
                <w:highlight w:val="none"/>
                <w:lang w:val="en-US" w:eastAsia="zh-CN" w:bidi="ar-SA"/>
              </w:rPr>
              <w:t>②</w:t>
            </w:r>
            <w:r>
              <w:rPr>
                <w:rFonts w:hint="eastAsia" w:cs="Times New Roman"/>
                <w:smallCaps w:val="0"/>
                <w:snapToGrid w:val="0"/>
                <w:color w:val="auto"/>
                <w:spacing w:val="0"/>
                <w:kern w:val="2"/>
                <w:sz w:val="24"/>
                <w:szCs w:val="24"/>
                <w:highlight w:val="none"/>
                <w:lang w:val="en-US" w:eastAsia="zh-CN" w:bidi="ar-SA"/>
              </w:rPr>
              <w:t>剥皮</w:t>
            </w:r>
          </w:p>
          <w:p w14:paraId="592B2441">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矫直后的钢材无心车床进行剥皮，剥除表面氧化皮、表面脱碳层、表层凹凸缺陷，统一加工至标准外径尺寸；加工过程全程喷淋切削液冷却，润滑道具与工件，切削液循环回用，定期补充损耗量。</w:t>
            </w:r>
          </w:p>
          <w:p w14:paraId="5E923168">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本工序污染物主要为：无心车床运转产生的噪声N1；废铁屑S2、废切削液S3、废切削液桶S4。</w:t>
            </w:r>
          </w:p>
          <w:p w14:paraId="1DF48761">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default" w:ascii="Times New Roman" w:hAnsi="Times New Roman" w:eastAsia="宋体" w:cs="Times New Roman"/>
                <w:smallCaps w:val="0"/>
                <w:snapToGrid w:val="0"/>
                <w:color w:val="auto"/>
                <w:spacing w:val="0"/>
                <w:kern w:val="2"/>
                <w:sz w:val="24"/>
                <w:szCs w:val="24"/>
                <w:highlight w:val="none"/>
                <w:lang w:val="en-US" w:eastAsia="zh-CN" w:bidi="ar-SA"/>
              </w:rPr>
              <w:t>③</w:t>
            </w:r>
            <w:r>
              <w:rPr>
                <w:rFonts w:hint="eastAsia" w:cs="Times New Roman"/>
                <w:smallCaps w:val="0"/>
                <w:snapToGrid w:val="0"/>
                <w:color w:val="auto"/>
                <w:spacing w:val="0"/>
                <w:kern w:val="2"/>
                <w:sz w:val="24"/>
                <w:szCs w:val="24"/>
                <w:highlight w:val="none"/>
                <w:lang w:val="en-US" w:eastAsia="zh-CN" w:bidi="ar-SA"/>
              </w:rPr>
              <w:t>修磨</w:t>
            </w:r>
          </w:p>
          <w:p w14:paraId="798B625F">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经无心剥皮后的钢材送入封闭式修磨工位，高速砂轮贴合钢材外圆低速走刀，对钢材局部划痕、凹坑、细小磕碰等表面缺陷进行局部打磨修整，统一钢材表面粗糙度。</w:t>
            </w:r>
          </w:p>
          <w:p w14:paraId="7E3DC629">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本工序污染物主要为：修磨废气G1；修磨机运转时产生的噪声N2；废铁屑S2、废布袋S5、除尘灰S6。</w:t>
            </w:r>
          </w:p>
          <w:p w14:paraId="005DC27C">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default" w:ascii="Times New Roman" w:hAnsi="Times New Roman" w:eastAsia="宋体" w:cs="Times New Roman"/>
                <w:smallCaps w:val="0"/>
                <w:snapToGrid w:val="0"/>
                <w:color w:val="auto"/>
                <w:spacing w:val="0"/>
                <w:kern w:val="2"/>
                <w:sz w:val="24"/>
                <w:szCs w:val="24"/>
                <w:highlight w:val="none"/>
                <w:lang w:val="en-US" w:eastAsia="zh-CN" w:bidi="ar-SA"/>
              </w:rPr>
              <w:t>④</w:t>
            </w:r>
            <w:r>
              <w:rPr>
                <w:rFonts w:hint="eastAsia" w:cs="Times New Roman"/>
                <w:smallCaps w:val="0"/>
                <w:snapToGrid w:val="0"/>
                <w:color w:val="auto"/>
                <w:spacing w:val="0"/>
                <w:kern w:val="2"/>
                <w:sz w:val="24"/>
                <w:szCs w:val="24"/>
                <w:highlight w:val="none"/>
                <w:lang w:val="en-US" w:eastAsia="zh-CN" w:bidi="ar-SA"/>
              </w:rPr>
              <w:t>切削</w:t>
            </w:r>
          </w:p>
          <w:p w14:paraId="2E7B7694">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修磨后钢材输送至数控车床，依据产品尺寸程序，对钢材端部、内外圆台阶、倒角等精密尺寸进行精切削加工；加工过程持续喷淋循环切削液冷却润滑，切削液回流至储水箱循环使。切削后的钢材人工运至2#生产车间调质。</w:t>
            </w:r>
          </w:p>
          <w:p w14:paraId="7E0CFF21">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本工序污染物主要为：切削车床运转时产生的噪声N3；废铁屑S2、废切削液S3、废切削液桶S4。</w:t>
            </w:r>
          </w:p>
          <w:p w14:paraId="04DFB497">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ascii="Times New Roman" w:hAnsi="Times New Roman" w:eastAsia="宋体" w:cs="Times New Roman"/>
                <w:smallCaps w:val="0"/>
                <w:snapToGrid w:val="0"/>
                <w:color w:val="auto"/>
                <w:spacing w:val="0"/>
                <w:kern w:val="2"/>
                <w:sz w:val="24"/>
                <w:szCs w:val="24"/>
                <w:highlight w:val="none"/>
                <w:lang w:val="en-US" w:eastAsia="zh-CN" w:bidi="ar-SA"/>
              </w:rPr>
            </w:pPr>
            <w:r>
              <w:rPr>
                <w:rFonts w:hint="default" w:ascii="Times New Roman" w:hAnsi="Times New Roman" w:eastAsia="宋体" w:cs="Times New Roman"/>
                <w:smallCaps w:val="0"/>
                <w:snapToGrid w:val="0"/>
                <w:color w:val="auto"/>
                <w:spacing w:val="0"/>
                <w:kern w:val="2"/>
                <w:sz w:val="24"/>
                <w:szCs w:val="24"/>
                <w:highlight w:val="none"/>
                <w:lang w:val="en-US" w:eastAsia="zh-CN" w:bidi="ar-SA"/>
              </w:rPr>
              <w:t>⑤</w:t>
            </w:r>
            <w:r>
              <w:rPr>
                <w:rFonts w:hint="eastAsia" w:cs="Times New Roman"/>
                <w:smallCaps w:val="0"/>
                <w:snapToGrid w:val="0"/>
                <w:color w:val="auto"/>
                <w:spacing w:val="0"/>
                <w:kern w:val="2"/>
                <w:sz w:val="24"/>
                <w:szCs w:val="24"/>
                <w:highlight w:val="none"/>
                <w:lang w:val="en-US" w:eastAsia="zh-CN" w:bidi="ar-SA"/>
              </w:rPr>
              <w:t>调质</w:t>
            </w:r>
          </w:p>
          <w:p w14:paraId="49F50EA6">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eastAsia"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使用天车将钢材从原料区运输至上料架上，进料辊道按照已设定的程序依次将钢材由斜滚轮侧口进入加热炉内，由电加热，加热温度950℃左右。加热处理后的钢材由斜滚轮侧口出炉。</w:t>
            </w:r>
          </w:p>
          <w:p w14:paraId="20C0D755">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eastAsia"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加热处理后的钢材由斜滚轮侧口出炉，密闭输送进入在线水环式淬火机组用水冷却(不使用淬火油)，淬火过程密闭，喷淋结束后进入密闭过渡辊道。</w:t>
            </w:r>
          </w:p>
          <w:p w14:paraId="7BE236A6">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eastAsia"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喷淋用水利用冷却水塔、沉淀池。沉淀池内的循环水通过冷却水塔冷却后经水泵输送至在线水环式淬火机组对钢材进行喷淋，喷淋后的水经过水槽再流回沉淀池，循环使用不外排。</w:t>
            </w:r>
          </w:p>
          <w:p w14:paraId="4AF8C940">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eastAsia"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喷淋结束后的钢材由密闭过渡辊道运至回火上料架后进入回火炉段内，利用电加热，加热温度650℃左右。回火后的钢材密闭输送至回火水冷机组中冷却，冷却结束后的钢材进行人工检验后入库。</w:t>
            </w:r>
          </w:p>
          <w:p w14:paraId="46C7E2E2">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eastAsia"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回火冷却用水利用冷却水塔、沉淀池。沉淀池内的循环水通过冷却水塔冷却后经水泵输送至回火水冷机组对钢材进行喷淋，喷淋后的水经过水槽再流回沉淀池，循环使用不外排。</w:t>
            </w:r>
          </w:p>
          <w:p w14:paraId="2008C66D">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调质后的钢材经人工输送至3#生产车间进行探伤检测。</w:t>
            </w:r>
          </w:p>
          <w:p w14:paraId="156C1102">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eastAsia"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本工序污染物主要为：调质炉运转时产生的噪声N5；淬火、回火循环水W1；沉淀池底泥（氧化铁渣）S7。</w:t>
            </w:r>
          </w:p>
          <w:p w14:paraId="379ED2D4">
            <w:pPr>
              <w:pStyle w:val="172"/>
              <w:keepNext w:val="0"/>
              <w:keepLines w:val="0"/>
              <w:numPr>
                <w:ilvl w:val="0"/>
                <w:numId w:val="0"/>
              </w:numPr>
              <w:suppressLineNumbers w:val="0"/>
              <w:spacing w:before="0" w:beforeAutospacing="0" w:after="0" w:afterAutospacing="0"/>
              <w:ind w:left="0" w:leftChars="0" w:right="0" w:rightChars="0" w:firstLine="480" w:firstLineChars="200"/>
              <w:rPr>
                <w:rFonts w:hint="default" w:cs="Times New Roman"/>
                <w:smallCaps w:val="0"/>
                <w:snapToGrid w:val="0"/>
                <w:color w:val="auto"/>
                <w:spacing w:val="0"/>
                <w:kern w:val="2"/>
                <w:sz w:val="24"/>
                <w:szCs w:val="24"/>
                <w:highlight w:val="none"/>
                <w:lang w:val="en-US" w:eastAsia="zh-CN" w:bidi="ar-SA"/>
              </w:rPr>
            </w:pPr>
            <w:r>
              <w:rPr>
                <w:rFonts w:hint="default" w:ascii="Times New Roman" w:hAnsi="Times New Roman" w:eastAsia="宋体" w:cs="Times New Roman"/>
                <w:smallCaps w:val="0"/>
                <w:snapToGrid w:val="0"/>
                <w:color w:val="auto"/>
                <w:spacing w:val="0"/>
                <w:kern w:val="2"/>
                <w:sz w:val="24"/>
                <w:szCs w:val="24"/>
                <w:highlight w:val="none"/>
                <w:lang w:val="en-US" w:eastAsia="zh-CN" w:bidi="ar-SA"/>
              </w:rPr>
              <w:t>⑥</w:t>
            </w:r>
            <w:r>
              <w:rPr>
                <w:rFonts w:hint="eastAsia" w:cs="Times New Roman"/>
                <w:smallCaps w:val="0"/>
                <w:snapToGrid w:val="0"/>
                <w:color w:val="auto"/>
                <w:spacing w:val="0"/>
                <w:kern w:val="2"/>
                <w:sz w:val="24"/>
                <w:szCs w:val="24"/>
                <w:highlight w:val="none"/>
                <w:lang w:val="en-US" w:eastAsia="zh-CN" w:bidi="ar-SA"/>
              </w:rPr>
              <w:t>检测</w:t>
            </w:r>
          </w:p>
          <w:p w14:paraId="71B7CA50">
            <w:pPr>
              <w:pStyle w:val="172"/>
              <w:keepNext w:val="0"/>
              <w:keepLines w:val="0"/>
              <w:pageBreakBefore w:val="0"/>
              <w:widowControl w:val="0"/>
              <w:suppressLineNumbers w:val="0"/>
              <w:tabs>
                <w:tab w:val="left" w:pos="1970"/>
              </w:tabs>
              <w:kinsoku/>
              <w:wordWrap/>
              <w:overflowPunct/>
              <w:topLinePunct w:val="0"/>
              <w:autoSpaceDE/>
              <w:autoSpaceDN/>
              <w:bidi w:val="0"/>
              <w:adjustRightInd/>
              <w:snapToGrid/>
              <w:spacing w:before="0" w:beforeAutospacing="0" w:after="0" w:afterAutospacing="0"/>
              <w:ind w:left="0" w:right="0" w:firstLine="480"/>
              <w:textAlignment w:val="auto"/>
              <w:rPr>
                <w:rFonts w:hint="eastAsia"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调质冷却后的钢管送入一体化探伤设备，设备集成漏磁检测+相控超声两套系统：①漏磁模块：设备永磁磁化钢材，传感器捕捉管壁内外裂纹、孔洞、夹渣缺陷产生的磁场畸变信号；②相控阵超声模块：耦合水作为传导介质，多通道超声探头扫描钢材壁厚、内部分层缺陷；设备电脑自动判定合格/不合格钢材，不合格钢材人工标记分选，合格钢材出料至成品区；耦合水密闭循环使用。</w:t>
            </w:r>
          </w:p>
          <w:p w14:paraId="4FA89004">
            <w:pPr>
              <w:pStyle w:val="172"/>
              <w:keepNext w:val="0"/>
              <w:keepLines w:val="0"/>
              <w:pageBreakBefore w:val="0"/>
              <w:widowControl w:val="0"/>
              <w:suppressLineNumbers w:val="0"/>
              <w:tabs>
                <w:tab w:val="left" w:pos="1970"/>
              </w:tabs>
              <w:kinsoku/>
              <w:wordWrap/>
              <w:overflowPunct/>
              <w:topLinePunct w:val="0"/>
              <w:autoSpaceDE/>
              <w:autoSpaceDN/>
              <w:bidi w:val="0"/>
              <w:adjustRightInd/>
              <w:snapToGrid/>
              <w:spacing w:before="0" w:beforeAutospacing="0" w:after="0" w:afterAutospacing="0"/>
              <w:ind w:left="0" w:right="0" w:firstLine="480"/>
              <w:textAlignment w:val="auto"/>
              <w:rPr>
                <w:rFonts w:hint="eastAsia" w:cs="Times New Roman"/>
                <w:smallCaps w:val="0"/>
                <w:snapToGrid w:val="0"/>
                <w:color w:val="auto"/>
                <w:spacing w:val="0"/>
                <w:kern w:val="2"/>
                <w:sz w:val="24"/>
                <w:szCs w:val="24"/>
                <w:highlight w:val="none"/>
                <w:lang w:val="en-US" w:eastAsia="zh-CN" w:bidi="ar-SA"/>
              </w:rPr>
            </w:pPr>
            <w:r>
              <w:rPr>
                <w:rFonts w:hint="eastAsia" w:cs="Times New Roman"/>
                <w:smallCaps w:val="0"/>
                <w:snapToGrid w:val="0"/>
                <w:color w:val="auto"/>
                <w:spacing w:val="0"/>
                <w:kern w:val="2"/>
                <w:sz w:val="24"/>
                <w:szCs w:val="24"/>
                <w:highlight w:val="none"/>
                <w:lang w:val="en-US" w:eastAsia="zh-CN" w:bidi="ar-SA"/>
              </w:rPr>
              <w:t>本工序污染物主要为：不合格品S8。</w:t>
            </w:r>
          </w:p>
          <w:p w14:paraId="512BBA6B">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eastAsia" w:cs="Times New Roman"/>
                <w:smallCaps w:val="0"/>
                <w:color w:val="auto"/>
                <w:spacing w:val="0"/>
                <w:highlight w:val="none"/>
                <w:lang w:val="en-US" w:eastAsia="zh-CN"/>
              </w:rPr>
              <w:t>除上述污染物，还有职工生活垃圾S，设备维护产生的废润滑油S9、废润滑油桶S10、含油抹布及废劳保用品S11；职工生活污水W。</w:t>
            </w:r>
          </w:p>
          <w:p w14:paraId="2BE400C8">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表2-</w:t>
            </w:r>
            <w:r>
              <w:rPr>
                <w:rFonts w:hint="eastAsia" w:cs="Times New Roman"/>
                <w:smallCaps w:val="0"/>
                <w:color w:val="auto"/>
                <w:spacing w:val="0"/>
                <w:highlight w:val="none"/>
                <w:lang w:val="en-US" w:eastAsia="zh-CN"/>
              </w:rPr>
              <w:t>8</w:t>
            </w:r>
            <w:r>
              <w:rPr>
                <w:rFonts w:hint="default" w:ascii="Times New Roman" w:hAnsi="Times New Roman" w:cs="Times New Roman"/>
                <w:smallCaps w:val="0"/>
                <w:color w:val="auto"/>
                <w:spacing w:val="0"/>
                <w:highlight w:val="none"/>
              </w:rPr>
              <w:t xml:space="preserve">    本项目产污节点及防治措施一览表</w:t>
            </w:r>
          </w:p>
          <w:tbl>
            <w:tblPr>
              <w:tblStyle w:val="4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6"/>
              <w:gridCol w:w="865"/>
              <w:gridCol w:w="1310"/>
              <w:gridCol w:w="1857"/>
              <w:gridCol w:w="3458"/>
            </w:tblGrid>
            <w:tr w14:paraId="22DE1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408" w:type="pct"/>
                  <w:vAlign w:val="center"/>
                </w:tcPr>
                <w:p w14:paraId="1B7F24A6">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类别</w:t>
                  </w:r>
                </w:p>
              </w:tc>
              <w:tc>
                <w:tcPr>
                  <w:tcW w:w="530" w:type="pct"/>
                  <w:vAlign w:val="center"/>
                </w:tcPr>
                <w:p w14:paraId="05D57746">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编号</w:t>
                  </w:r>
                </w:p>
              </w:tc>
              <w:tc>
                <w:tcPr>
                  <w:tcW w:w="803" w:type="pct"/>
                  <w:vAlign w:val="center"/>
                </w:tcPr>
                <w:p w14:paraId="1E4080CD">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排污节点</w:t>
                  </w:r>
                </w:p>
              </w:tc>
              <w:tc>
                <w:tcPr>
                  <w:tcW w:w="1138" w:type="pct"/>
                  <w:vAlign w:val="center"/>
                </w:tcPr>
                <w:p w14:paraId="6142677D">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主要污染物</w:t>
                  </w:r>
                </w:p>
              </w:tc>
              <w:tc>
                <w:tcPr>
                  <w:tcW w:w="2119" w:type="pct"/>
                  <w:vAlign w:val="center"/>
                </w:tcPr>
                <w:p w14:paraId="02130803">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治理措施</w:t>
                  </w:r>
                </w:p>
              </w:tc>
            </w:tr>
            <w:tr w14:paraId="5F148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408" w:type="pct"/>
                  <w:vAlign w:val="center"/>
                </w:tcPr>
                <w:p w14:paraId="16D0660F">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废气</w:t>
                  </w:r>
                </w:p>
              </w:tc>
              <w:tc>
                <w:tcPr>
                  <w:tcW w:w="530" w:type="pct"/>
                  <w:vAlign w:val="center"/>
                </w:tcPr>
                <w:p w14:paraId="4859FC0F">
                  <w:pPr>
                    <w:pStyle w:val="67"/>
                    <w:keepNext w:val="0"/>
                    <w:keepLines w:val="0"/>
                    <w:suppressLineNumbers w:val="0"/>
                    <w:spacing w:before="0" w:beforeAutospacing="0" w:after="0" w:afterAutospacing="0"/>
                    <w:ind w:left="0" w:leftChars="0" w:right="0" w:rightChars="0"/>
                    <w:jc w:val="center"/>
                    <w:rPr>
                      <w:rFonts w:hint="default" w:ascii="Times New Roman" w:hAnsi="Times New Roman"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G1</w:t>
                  </w:r>
                </w:p>
              </w:tc>
              <w:tc>
                <w:tcPr>
                  <w:tcW w:w="803" w:type="pct"/>
                  <w:vAlign w:val="center"/>
                </w:tcPr>
                <w:p w14:paraId="34CB91B1">
                  <w:pPr>
                    <w:pStyle w:val="67"/>
                    <w:keepNext w:val="0"/>
                    <w:keepLines w:val="0"/>
                    <w:suppressLineNumbers w:val="0"/>
                    <w:spacing w:before="0" w:beforeAutospacing="0" w:after="0" w:afterAutospacing="0"/>
                    <w:ind w:left="0" w:leftChars="0" w:right="0" w:rightChars="0"/>
                    <w:rPr>
                      <w:rFonts w:hint="default" w:ascii="Times New Roman" w:hAnsi="Times New Roman"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修磨废气</w:t>
                  </w:r>
                </w:p>
              </w:tc>
              <w:tc>
                <w:tcPr>
                  <w:tcW w:w="1138" w:type="pct"/>
                  <w:vAlign w:val="center"/>
                </w:tcPr>
                <w:p w14:paraId="2E812511">
                  <w:pPr>
                    <w:pStyle w:val="67"/>
                    <w:keepNext w:val="0"/>
                    <w:keepLines w:val="0"/>
                    <w:suppressLineNumbers w:val="0"/>
                    <w:spacing w:before="0" w:beforeAutospacing="0" w:after="0" w:afterAutospacing="0"/>
                    <w:ind w:left="0" w:leftChars="0" w:right="0" w:rightChars="0"/>
                    <w:jc w:val="center"/>
                    <w:rPr>
                      <w:rFonts w:hint="default" w:ascii="Times New Roman" w:hAnsi="Times New Roman" w:cs="Times New Roman"/>
                      <w:smallCaps w:val="0"/>
                      <w:color w:val="auto"/>
                      <w:spacing w:val="0"/>
                      <w:szCs w:val="22"/>
                      <w:highlight w:val="none"/>
                      <w:lang w:val="en-US" w:eastAsia="zh-CN"/>
                    </w:rPr>
                  </w:pPr>
                  <w:r>
                    <w:rPr>
                      <w:rFonts w:hint="eastAsia" w:cs="Times New Roman"/>
                      <w:smallCaps w:val="0"/>
                      <w:color w:val="auto"/>
                      <w:spacing w:val="0"/>
                      <w:szCs w:val="22"/>
                      <w:highlight w:val="none"/>
                      <w:lang w:val="en-US" w:eastAsia="zh-CN"/>
                    </w:rPr>
                    <w:t>颗粒物</w:t>
                  </w:r>
                </w:p>
              </w:tc>
              <w:tc>
                <w:tcPr>
                  <w:tcW w:w="2119" w:type="pct"/>
                  <w:vAlign w:val="center"/>
                </w:tcPr>
                <w:p w14:paraId="1CE458FB">
                  <w:pPr>
                    <w:keepNext w:val="0"/>
                    <w:keepLines w:val="0"/>
                    <w:suppressLineNumbers w:val="0"/>
                    <w:spacing w:before="0" w:beforeAutospacing="0" w:after="0" w:afterAutospacing="0"/>
                    <w:ind w:left="0" w:right="0"/>
                    <w:jc w:val="center"/>
                    <w:rPr>
                      <w:rFonts w:hint="default"/>
                      <w:color w:val="auto"/>
                      <w:szCs w:val="20"/>
                      <w:highlight w:val="none"/>
                      <w:lang w:val="en-US" w:eastAsia="zh-CN"/>
                    </w:rPr>
                  </w:pPr>
                  <w:r>
                    <w:rPr>
                      <w:rFonts w:hint="eastAsia" w:cs="Times New Roman"/>
                      <w:smallCaps w:val="0"/>
                      <w:color w:val="auto"/>
                      <w:spacing w:val="0"/>
                      <w:sz w:val="21"/>
                      <w:szCs w:val="21"/>
                      <w:highlight w:val="none"/>
                      <w:lang w:val="en-US" w:eastAsia="zh-CN"/>
                    </w:rPr>
                    <w:t>5套“集气罩+脉冲布袋除尘器+15m高排气筒”排放</w:t>
                  </w:r>
                </w:p>
              </w:tc>
            </w:tr>
            <w:tr w14:paraId="08FBB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restart"/>
                  <w:vAlign w:val="center"/>
                </w:tcPr>
                <w:p w14:paraId="0BE318E8">
                  <w:pPr>
                    <w:pStyle w:val="67"/>
                    <w:keepNext w:val="0"/>
                    <w:keepLines w:val="0"/>
                    <w:suppressLineNumbers w:val="0"/>
                    <w:spacing w:before="0" w:beforeAutospacing="0" w:after="0" w:afterAutospacing="0"/>
                    <w:ind w:left="0" w:right="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lang w:val="en-US" w:eastAsia="zh-CN"/>
                    </w:rPr>
                    <w:t>废水</w:t>
                  </w:r>
                </w:p>
              </w:tc>
              <w:tc>
                <w:tcPr>
                  <w:tcW w:w="530" w:type="pct"/>
                  <w:shd w:val="clear" w:color="auto" w:fill="auto"/>
                  <w:vAlign w:val="center"/>
                </w:tcPr>
                <w:p w14:paraId="5358BB56">
                  <w:pPr>
                    <w:pStyle w:val="67"/>
                    <w:keepNext w:val="0"/>
                    <w:keepLines w:val="0"/>
                    <w:suppressLineNumbers w:val="0"/>
                    <w:spacing w:before="0" w:beforeAutospacing="0" w:after="0" w:afterAutospacing="0"/>
                    <w:ind w:left="0" w:leftChars="0" w:right="0" w:rightChars="0"/>
                    <w:rPr>
                      <w:rFonts w:hint="default" w:ascii="Times New Roman" w:hAnsi="Times New Roman"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W1</w:t>
                  </w:r>
                </w:p>
              </w:tc>
              <w:tc>
                <w:tcPr>
                  <w:tcW w:w="803" w:type="pct"/>
                  <w:shd w:val="clear" w:color="auto" w:fill="auto"/>
                  <w:vAlign w:val="center"/>
                </w:tcPr>
                <w:p w14:paraId="52E2EE4B">
                  <w:pPr>
                    <w:pStyle w:val="67"/>
                    <w:keepNext w:val="0"/>
                    <w:keepLines w:val="0"/>
                    <w:suppressLineNumbers w:val="0"/>
                    <w:spacing w:before="0" w:beforeAutospacing="0" w:after="0" w:afterAutospacing="0"/>
                    <w:ind w:left="0" w:leftChars="0" w:right="0" w:rightChars="0"/>
                    <w:rPr>
                      <w:rFonts w:hint="default" w:cs="Times New Roman"/>
                      <w:smallCaps w:val="0"/>
                      <w:color w:val="auto"/>
                      <w:spacing w:val="0"/>
                      <w:highlight w:val="none"/>
                      <w:lang w:val="en-US" w:eastAsia="zh-CN"/>
                    </w:rPr>
                  </w:pPr>
                  <w:r>
                    <w:rPr>
                      <w:rFonts w:hint="default" w:cs="Times New Roman"/>
                      <w:smallCaps w:val="0"/>
                      <w:color w:val="auto"/>
                      <w:spacing w:val="0"/>
                      <w:highlight w:val="none"/>
                      <w:lang w:val="en-US" w:eastAsia="zh-CN"/>
                    </w:rPr>
                    <w:t>淬火、回火循环水</w:t>
                  </w:r>
                </w:p>
              </w:tc>
              <w:tc>
                <w:tcPr>
                  <w:tcW w:w="1138" w:type="pct"/>
                  <w:shd w:val="clear" w:color="auto" w:fill="auto"/>
                  <w:vAlign w:val="center"/>
                </w:tcPr>
                <w:p w14:paraId="1922FB79">
                  <w:pPr>
                    <w:pStyle w:val="67"/>
                    <w:keepNext w:val="0"/>
                    <w:keepLines w:val="0"/>
                    <w:suppressLineNumbers w:val="0"/>
                    <w:spacing w:before="0" w:beforeAutospacing="0" w:after="0" w:afterAutospacing="0"/>
                    <w:ind w:left="0" w:leftChars="0" w:right="0" w:rightChars="0"/>
                    <w:rPr>
                      <w:rFonts w:hint="eastAsia"/>
                      <w:color w:val="auto"/>
                      <w:szCs w:val="21"/>
                      <w:highlight w:val="none"/>
                    </w:rPr>
                  </w:pPr>
                  <w:r>
                    <w:rPr>
                      <w:rFonts w:hint="default" w:ascii="Times New Roman" w:hAnsi="Times New Roman" w:cs="Times New Roman"/>
                      <w:smallCaps w:val="0"/>
                      <w:color w:val="auto"/>
                      <w:spacing w:val="0"/>
                      <w:szCs w:val="22"/>
                      <w:highlight w:val="none"/>
                      <w:lang w:val="en-US" w:eastAsia="zh-CN"/>
                    </w:rPr>
                    <w:t>SS</w:t>
                  </w:r>
                </w:p>
              </w:tc>
              <w:tc>
                <w:tcPr>
                  <w:tcW w:w="2119" w:type="pct"/>
                  <w:shd w:val="clear" w:color="auto" w:fill="auto"/>
                  <w:vAlign w:val="center"/>
                </w:tcPr>
                <w:p w14:paraId="3F689D36">
                  <w:pPr>
                    <w:keepNext w:val="0"/>
                    <w:keepLines w:val="0"/>
                    <w:suppressLineNumbers w:val="0"/>
                    <w:spacing w:before="0" w:beforeAutospacing="0" w:after="0" w:afterAutospacing="0"/>
                    <w:ind w:left="0" w:leftChars="0" w:right="0" w:rightChars="0"/>
                    <w:jc w:val="center"/>
                    <w:rPr>
                      <w:rFonts w:hint="default"/>
                      <w:color w:val="auto"/>
                      <w:szCs w:val="21"/>
                      <w:highlight w:val="none"/>
                      <w:lang w:val="en-US" w:eastAsia="zh-CN"/>
                    </w:rPr>
                  </w:pPr>
                  <w:r>
                    <w:rPr>
                      <w:rFonts w:hint="eastAsia"/>
                      <w:color w:val="auto"/>
                      <w:szCs w:val="21"/>
                      <w:highlight w:val="none"/>
                      <w:lang w:val="en-US" w:eastAsia="zh-CN"/>
                    </w:rPr>
                    <w:t>循环使用不外排</w:t>
                  </w:r>
                </w:p>
              </w:tc>
            </w:tr>
            <w:tr w14:paraId="19026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4F55432D">
                  <w:pPr>
                    <w:pStyle w:val="67"/>
                    <w:keepNext w:val="0"/>
                    <w:keepLines w:val="0"/>
                    <w:suppressLineNumbers w:val="0"/>
                    <w:spacing w:before="0" w:beforeAutospacing="0" w:after="0" w:afterAutospacing="0"/>
                    <w:ind w:left="0" w:right="0"/>
                    <w:rPr>
                      <w:rFonts w:hint="default" w:ascii="Times New Roman" w:hAnsi="Times New Roman" w:eastAsia="宋体" w:cs="Times New Roman"/>
                      <w:bCs/>
                      <w:smallCaps w:val="0"/>
                      <w:color w:val="auto"/>
                      <w:spacing w:val="0"/>
                      <w:kern w:val="0"/>
                      <w:sz w:val="21"/>
                      <w:szCs w:val="20"/>
                      <w:highlight w:val="none"/>
                      <w:lang w:val="en-US" w:eastAsia="zh-CN" w:bidi="ar-SA"/>
                    </w:rPr>
                  </w:pPr>
                </w:p>
              </w:tc>
              <w:tc>
                <w:tcPr>
                  <w:tcW w:w="530" w:type="pct"/>
                  <w:shd w:val="clear" w:color="auto" w:fill="auto"/>
                  <w:vAlign w:val="center"/>
                </w:tcPr>
                <w:p w14:paraId="4E1AC4F6">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lang w:val="en-US" w:eastAsia="zh-CN"/>
                    </w:rPr>
                    <w:t>W</w:t>
                  </w:r>
                </w:p>
              </w:tc>
              <w:tc>
                <w:tcPr>
                  <w:tcW w:w="803" w:type="pct"/>
                  <w:shd w:val="clear" w:color="auto" w:fill="auto"/>
                  <w:vAlign w:val="center"/>
                </w:tcPr>
                <w:p w14:paraId="400E2BA0">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职工生活污水</w:t>
                  </w:r>
                </w:p>
              </w:tc>
              <w:tc>
                <w:tcPr>
                  <w:tcW w:w="1138" w:type="pct"/>
                  <w:shd w:val="clear" w:color="auto" w:fill="auto"/>
                  <w:vAlign w:val="center"/>
                </w:tcPr>
                <w:p w14:paraId="29D0D33C">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2"/>
                      <w:highlight w:val="none"/>
                      <w:lang w:val="en-US" w:eastAsia="zh-CN" w:bidi="ar-SA"/>
                    </w:rPr>
                  </w:pPr>
                  <w:r>
                    <w:rPr>
                      <w:rFonts w:hint="eastAsia"/>
                      <w:color w:val="auto"/>
                      <w:szCs w:val="21"/>
                      <w:highlight w:val="none"/>
                    </w:rPr>
                    <w:t>pH、</w:t>
                  </w:r>
                  <w:r>
                    <w:rPr>
                      <w:rFonts w:hint="default"/>
                      <w:color w:val="auto"/>
                      <w:szCs w:val="21"/>
                      <w:highlight w:val="none"/>
                    </w:rPr>
                    <w:t>COD</w:t>
                  </w:r>
                  <w:r>
                    <w:rPr>
                      <w:rFonts w:hint="eastAsia"/>
                      <w:color w:val="auto"/>
                      <w:szCs w:val="21"/>
                      <w:highlight w:val="none"/>
                    </w:rPr>
                    <w:t>、BOD</w:t>
                  </w:r>
                  <w:r>
                    <w:rPr>
                      <w:rFonts w:hint="eastAsia"/>
                      <w:color w:val="auto"/>
                      <w:szCs w:val="21"/>
                      <w:highlight w:val="none"/>
                      <w:vertAlign w:val="subscript"/>
                    </w:rPr>
                    <w:t>5</w:t>
                  </w:r>
                  <w:r>
                    <w:rPr>
                      <w:rFonts w:hint="eastAsia"/>
                      <w:color w:val="auto"/>
                      <w:szCs w:val="21"/>
                      <w:highlight w:val="none"/>
                    </w:rPr>
                    <w:t>、SS、</w:t>
                  </w:r>
                  <w:r>
                    <w:rPr>
                      <w:rFonts w:hint="default"/>
                      <w:color w:val="auto"/>
                      <w:szCs w:val="21"/>
                      <w:highlight w:val="none"/>
                    </w:rPr>
                    <w:t>氨氮</w:t>
                  </w:r>
                  <w:r>
                    <w:rPr>
                      <w:rFonts w:hint="eastAsia"/>
                      <w:color w:val="auto"/>
                      <w:szCs w:val="21"/>
                      <w:highlight w:val="none"/>
                      <w:lang w:eastAsia="zh-CN"/>
                    </w:rPr>
                    <w:t>、</w:t>
                  </w:r>
                  <w:r>
                    <w:rPr>
                      <w:rFonts w:hint="eastAsia"/>
                      <w:color w:val="auto"/>
                      <w:szCs w:val="21"/>
                      <w:highlight w:val="none"/>
                      <w:lang w:val="en-US" w:eastAsia="zh-CN"/>
                    </w:rPr>
                    <w:t>总磷、总氮</w:t>
                  </w:r>
                </w:p>
              </w:tc>
              <w:tc>
                <w:tcPr>
                  <w:tcW w:w="2119" w:type="pct"/>
                  <w:shd w:val="clear" w:color="auto" w:fill="auto"/>
                  <w:vAlign w:val="center"/>
                </w:tcPr>
                <w:p w14:paraId="6DC7C90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olor w:val="auto"/>
                      <w:szCs w:val="21"/>
                      <w:highlight w:val="none"/>
                      <w:lang w:val="en-US" w:eastAsia="zh-CN"/>
                    </w:rPr>
                    <w:t>生活污水经化粪池处理后定期由吸粪车抽走</w:t>
                  </w:r>
                  <w:r>
                    <w:rPr>
                      <w:rFonts w:hint="default"/>
                      <w:color w:val="auto"/>
                      <w:szCs w:val="21"/>
                      <w:highlight w:val="none"/>
                    </w:rPr>
                    <w:t>。</w:t>
                  </w:r>
                </w:p>
              </w:tc>
            </w:tr>
            <w:tr w14:paraId="1B78C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restart"/>
                  <w:vAlign w:val="center"/>
                </w:tcPr>
                <w:p w14:paraId="3CC63B0F">
                  <w:pPr>
                    <w:pStyle w:val="67"/>
                    <w:keepNext w:val="0"/>
                    <w:keepLines w:val="0"/>
                    <w:suppressLineNumbers w:val="0"/>
                    <w:spacing w:before="0" w:beforeAutospacing="0" w:after="0" w:afterAutospacing="0"/>
                    <w:ind w:left="0" w:right="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rPr>
                    <w:t>噪声</w:t>
                  </w:r>
                </w:p>
              </w:tc>
              <w:tc>
                <w:tcPr>
                  <w:tcW w:w="530" w:type="pct"/>
                  <w:vAlign w:val="center"/>
                </w:tcPr>
                <w:p w14:paraId="4412CEB9">
                  <w:pPr>
                    <w:pStyle w:val="67"/>
                    <w:keepNext w:val="0"/>
                    <w:keepLines w:val="0"/>
                    <w:suppressLineNumbers w:val="0"/>
                    <w:spacing w:before="0" w:beforeAutospacing="0" w:after="0" w:afterAutospacing="0"/>
                    <w:ind w:left="0" w:right="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rPr>
                    <w:t>N</w:t>
                  </w:r>
                  <w:r>
                    <w:rPr>
                      <w:rFonts w:hint="eastAsia" w:cs="Times New Roman"/>
                      <w:smallCaps w:val="0"/>
                      <w:color w:val="auto"/>
                      <w:spacing w:val="0"/>
                      <w:highlight w:val="none"/>
                      <w:lang w:val="en-US" w:eastAsia="zh-CN"/>
                    </w:rPr>
                    <w:t>1</w:t>
                  </w:r>
                </w:p>
              </w:tc>
              <w:tc>
                <w:tcPr>
                  <w:tcW w:w="803" w:type="pct"/>
                  <w:shd w:val="clear" w:color="auto" w:fill="auto"/>
                  <w:vAlign w:val="center"/>
                </w:tcPr>
                <w:p w14:paraId="7B38EF3F">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矫直机</w:t>
                  </w:r>
                </w:p>
              </w:tc>
              <w:tc>
                <w:tcPr>
                  <w:tcW w:w="1138" w:type="pct"/>
                  <w:vMerge w:val="restart"/>
                  <w:vAlign w:val="center"/>
                </w:tcPr>
                <w:p w14:paraId="469B3C33">
                  <w:pPr>
                    <w:pStyle w:val="67"/>
                    <w:keepNext w:val="0"/>
                    <w:keepLines w:val="0"/>
                    <w:suppressLineNumbers w:val="0"/>
                    <w:spacing w:before="0" w:beforeAutospacing="0" w:after="0" w:afterAutospacing="0"/>
                    <w:ind w:left="0" w:right="0"/>
                    <w:rPr>
                      <w:rFonts w:hint="default" w:ascii="Times New Roman" w:hAnsi="Times New Roman" w:eastAsia="宋体" w:cs="Times New Roman"/>
                      <w:bCs/>
                      <w:smallCaps w:val="0"/>
                      <w:color w:val="auto"/>
                      <w:spacing w:val="0"/>
                      <w:kern w:val="0"/>
                      <w:sz w:val="21"/>
                      <w:szCs w:val="22"/>
                      <w:highlight w:val="none"/>
                      <w:lang w:val="en-US" w:eastAsia="zh-CN" w:bidi="ar-SA"/>
                    </w:rPr>
                  </w:pPr>
                  <w:r>
                    <w:rPr>
                      <w:rFonts w:hint="eastAsia" w:cs="Times New Roman"/>
                      <w:bCs/>
                      <w:smallCaps w:val="0"/>
                      <w:color w:val="auto"/>
                      <w:spacing w:val="0"/>
                      <w:kern w:val="0"/>
                      <w:sz w:val="21"/>
                      <w:szCs w:val="22"/>
                      <w:highlight w:val="none"/>
                      <w:lang w:val="en-US" w:eastAsia="zh-CN" w:bidi="ar-SA"/>
                    </w:rPr>
                    <w:t>声功率级</w:t>
                  </w:r>
                </w:p>
              </w:tc>
              <w:tc>
                <w:tcPr>
                  <w:tcW w:w="2119" w:type="pct"/>
                  <w:vMerge w:val="restart"/>
                  <w:vAlign w:val="center"/>
                </w:tcPr>
                <w:p w14:paraId="5C6A6FA1">
                  <w:pPr>
                    <w:pStyle w:val="67"/>
                    <w:keepNext w:val="0"/>
                    <w:keepLines w:val="0"/>
                    <w:suppressLineNumbers w:val="0"/>
                    <w:spacing w:before="0" w:beforeAutospacing="0" w:after="0" w:afterAutospacing="0"/>
                    <w:ind w:left="0" w:right="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szCs w:val="22"/>
                      <w:highlight w:val="none"/>
                      <w:lang w:eastAsia="zh-CN"/>
                    </w:rPr>
                    <w:t>选用低噪声设备、基础减振、厂房隔声，合理布局、风机加装隔声罩</w:t>
                  </w:r>
                  <w:r>
                    <w:rPr>
                      <w:rFonts w:hint="eastAsia" w:cs="Times New Roman"/>
                      <w:smallCaps w:val="0"/>
                      <w:color w:val="auto"/>
                      <w:spacing w:val="0"/>
                      <w:highlight w:val="none"/>
                      <w:lang w:val="en-US" w:eastAsia="zh-CN"/>
                    </w:rPr>
                    <w:t>等措施</w:t>
                  </w:r>
                </w:p>
              </w:tc>
            </w:tr>
            <w:tr w14:paraId="32990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3CD2AD8C">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vAlign w:val="center"/>
                </w:tcPr>
                <w:p w14:paraId="265EE005">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N2</w:t>
                  </w:r>
                </w:p>
              </w:tc>
              <w:tc>
                <w:tcPr>
                  <w:tcW w:w="803" w:type="pct"/>
                  <w:shd w:val="clear" w:color="auto" w:fill="auto"/>
                  <w:vAlign w:val="center"/>
                </w:tcPr>
                <w:p w14:paraId="1790BAC6">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无心车床</w:t>
                  </w:r>
                </w:p>
              </w:tc>
              <w:tc>
                <w:tcPr>
                  <w:tcW w:w="1138" w:type="pct"/>
                  <w:vMerge w:val="continue"/>
                  <w:vAlign w:val="center"/>
                </w:tcPr>
                <w:p w14:paraId="301D0EA4">
                  <w:pPr>
                    <w:pStyle w:val="67"/>
                    <w:keepNext w:val="0"/>
                    <w:keepLines w:val="0"/>
                    <w:suppressLineNumbers w:val="0"/>
                    <w:spacing w:before="0" w:beforeAutospacing="0" w:after="0" w:afterAutospacing="0"/>
                    <w:ind w:left="0" w:right="0"/>
                    <w:rPr>
                      <w:rFonts w:hint="eastAsia" w:cs="Times New Roman"/>
                      <w:bCs/>
                      <w:smallCaps w:val="0"/>
                      <w:color w:val="auto"/>
                      <w:spacing w:val="0"/>
                      <w:kern w:val="0"/>
                      <w:sz w:val="21"/>
                      <w:szCs w:val="22"/>
                      <w:highlight w:val="none"/>
                      <w:lang w:val="en-US" w:eastAsia="zh-CN" w:bidi="ar-SA"/>
                    </w:rPr>
                  </w:pPr>
                </w:p>
              </w:tc>
              <w:tc>
                <w:tcPr>
                  <w:tcW w:w="2119" w:type="pct"/>
                  <w:vMerge w:val="continue"/>
                  <w:vAlign w:val="center"/>
                </w:tcPr>
                <w:p w14:paraId="279DAA61">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szCs w:val="22"/>
                      <w:highlight w:val="none"/>
                      <w:lang w:eastAsia="zh-CN"/>
                    </w:rPr>
                  </w:pPr>
                </w:p>
              </w:tc>
            </w:tr>
            <w:tr w14:paraId="2B99D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48BE191D">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vAlign w:val="center"/>
                </w:tcPr>
                <w:p w14:paraId="2A832481">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N3</w:t>
                  </w:r>
                </w:p>
              </w:tc>
              <w:tc>
                <w:tcPr>
                  <w:tcW w:w="803" w:type="pct"/>
                  <w:shd w:val="clear" w:color="auto" w:fill="auto"/>
                  <w:vAlign w:val="center"/>
                </w:tcPr>
                <w:p w14:paraId="5B58162D">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修磨机</w:t>
                  </w:r>
                </w:p>
              </w:tc>
              <w:tc>
                <w:tcPr>
                  <w:tcW w:w="1138" w:type="pct"/>
                  <w:vMerge w:val="continue"/>
                  <w:vAlign w:val="center"/>
                </w:tcPr>
                <w:p w14:paraId="273B4580">
                  <w:pPr>
                    <w:pStyle w:val="67"/>
                    <w:keepNext w:val="0"/>
                    <w:keepLines w:val="0"/>
                    <w:suppressLineNumbers w:val="0"/>
                    <w:spacing w:before="0" w:beforeAutospacing="0" w:after="0" w:afterAutospacing="0"/>
                    <w:ind w:left="0" w:right="0"/>
                    <w:rPr>
                      <w:rFonts w:hint="eastAsia" w:cs="Times New Roman"/>
                      <w:bCs/>
                      <w:smallCaps w:val="0"/>
                      <w:color w:val="auto"/>
                      <w:spacing w:val="0"/>
                      <w:kern w:val="0"/>
                      <w:sz w:val="21"/>
                      <w:szCs w:val="22"/>
                      <w:highlight w:val="none"/>
                      <w:lang w:val="en-US" w:eastAsia="zh-CN" w:bidi="ar-SA"/>
                    </w:rPr>
                  </w:pPr>
                </w:p>
              </w:tc>
              <w:tc>
                <w:tcPr>
                  <w:tcW w:w="2119" w:type="pct"/>
                  <w:vMerge w:val="continue"/>
                  <w:vAlign w:val="center"/>
                </w:tcPr>
                <w:p w14:paraId="58B70D28">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szCs w:val="22"/>
                      <w:highlight w:val="none"/>
                      <w:lang w:eastAsia="zh-CN"/>
                    </w:rPr>
                  </w:pPr>
                </w:p>
              </w:tc>
            </w:tr>
            <w:tr w14:paraId="223CE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16B1C993">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vAlign w:val="center"/>
                </w:tcPr>
                <w:p w14:paraId="201BC94D">
                  <w:pPr>
                    <w:pStyle w:val="67"/>
                    <w:keepNext w:val="0"/>
                    <w:keepLines w:val="0"/>
                    <w:suppressLineNumbers w:val="0"/>
                    <w:spacing w:before="0" w:beforeAutospacing="0" w:after="0" w:afterAutospacing="0"/>
                    <w:ind w:left="0" w:right="0"/>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N4</w:t>
                  </w:r>
                </w:p>
              </w:tc>
              <w:tc>
                <w:tcPr>
                  <w:tcW w:w="803" w:type="pct"/>
                  <w:shd w:val="clear" w:color="auto" w:fill="auto"/>
                  <w:vAlign w:val="center"/>
                </w:tcPr>
                <w:p w14:paraId="1BB3C6A9">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切削车床</w:t>
                  </w:r>
                </w:p>
              </w:tc>
              <w:tc>
                <w:tcPr>
                  <w:tcW w:w="1138" w:type="pct"/>
                  <w:vMerge w:val="continue"/>
                  <w:vAlign w:val="center"/>
                </w:tcPr>
                <w:p w14:paraId="3DDE16DB">
                  <w:pPr>
                    <w:pStyle w:val="67"/>
                    <w:keepNext w:val="0"/>
                    <w:keepLines w:val="0"/>
                    <w:suppressLineNumbers w:val="0"/>
                    <w:spacing w:before="0" w:beforeAutospacing="0" w:after="0" w:afterAutospacing="0"/>
                    <w:ind w:left="0" w:right="0"/>
                    <w:rPr>
                      <w:rFonts w:hint="eastAsia" w:cs="Times New Roman"/>
                      <w:bCs/>
                      <w:smallCaps w:val="0"/>
                      <w:color w:val="auto"/>
                      <w:spacing w:val="0"/>
                      <w:kern w:val="0"/>
                      <w:sz w:val="21"/>
                      <w:szCs w:val="22"/>
                      <w:highlight w:val="none"/>
                      <w:lang w:val="en-US" w:eastAsia="zh-CN" w:bidi="ar-SA"/>
                    </w:rPr>
                  </w:pPr>
                </w:p>
              </w:tc>
              <w:tc>
                <w:tcPr>
                  <w:tcW w:w="2119" w:type="pct"/>
                  <w:vMerge w:val="continue"/>
                  <w:vAlign w:val="center"/>
                </w:tcPr>
                <w:p w14:paraId="0EEA94F7">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szCs w:val="22"/>
                      <w:highlight w:val="none"/>
                      <w:lang w:eastAsia="zh-CN"/>
                    </w:rPr>
                  </w:pPr>
                </w:p>
              </w:tc>
            </w:tr>
            <w:tr w14:paraId="3D81B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0227CF3D">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vAlign w:val="center"/>
                </w:tcPr>
                <w:p w14:paraId="7D855AC2">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N5</w:t>
                  </w:r>
                </w:p>
              </w:tc>
              <w:tc>
                <w:tcPr>
                  <w:tcW w:w="803" w:type="pct"/>
                  <w:shd w:val="clear" w:color="auto" w:fill="auto"/>
                  <w:vAlign w:val="center"/>
                </w:tcPr>
                <w:p w14:paraId="3CCEAE93">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调质炉</w:t>
                  </w:r>
                </w:p>
              </w:tc>
              <w:tc>
                <w:tcPr>
                  <w:tcW w:w="1138" w:type="pct"/>
                  <w:vMerge w:val="continue"/>
                  <w:vAlign w:val="center"/>
                </w:tcPr>
                <w:p w14:paraId="229EDD26">
                  <w:pPr>
                    <w:pStyle w:val="67"/>
                    <w:keepNext w:val="0"/>
                    <w:keepLines w:val="0"/>
                    <w:suppressLineNumbers w:val="0"/>
                    <w:spacing w:before="0" w:beforeAutospacing="0" w:after="0" w:afterAutospacing="0"/>
                    <w:ind w:left="0" w:right="0"/>
                    <w:rPr>
                      <w:rFonts w:hint="eastAsia" w:cs="Times New Roman"/>
                      <w:bCs/>
                      <w:smallCaps w:val="0"/>
                      <w:color w:val="auto"/>
                      <w:spacing w:val="0"/>
                      <w:kern w:val="0"/>
                      <w:sz w:val="21"/>
                      <w:szCs w:val="22"/>
                      <w:highlight w:val="none"/>
                      <w:lang w:val="en-US" w:eastAsia="zh-CN" w:bidi="ar-SA"/>
                    </w:rPr>
                  </w:pPr>
                </w:p>
              </w:tc>
              <w:tc>
                <w:tcPr>
                  <w:tcW w:w="2119" w:type="pct"/>
                  <w:vMerge w:val="continue"/>
                  <w:vAlign w:val="center"/>
                </w:tcPr>
                <w:p w14:paraId="6AFFC732">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szCs w:val="22"/>
                      <w:highlight w:val="none"/>
                      <w:lang w:eastAsia="zh-CN"/>
                    </w:rPr>
                  </w:pPr>
                </w:p>
              </w:tc>
            </w:tr>
            <w:tr w14:paraId="1344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0E974BC7">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vAlign w:val="center"/>
                </w:tcPr>
                <w:p w14:paraId="75140E59">
                  <w:pPr>
                    <w:pStyle w:val="67"/>
                    <w:keepNext w:val="0"/>
                    <w:keepLines w:val="0"/>
                    <w:suppressLineNumbers w:val="0"/>
                    <w:spacing w:before="0" w:beforeAutospacing="0" w:after="0" w:afterAutospacing="0"/>
                    <w:ind w:left="0" w:right="0"/>
                    <w:rPr>
                      <w:rFonts w:hint="eastAsia"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N</w:t>
                  </w:r>
                </w:p>
              </w:tc>
              <w:tc>
                <w:tcPr>
                  <w:tcW w:w="803" w:type="pct"/>
                  <w:vAlign w:val="center"/>
                </w:tcPr>
                <w:p w14:paraId="75DF63BE">
                  <w:pPr>
                    <w:pStyle w:val="67"/>
                    <w:keepNext w:val="0"/>
                    <w:keepLines w:val="0"/>
                    <w:suppressLineNumbers w:val="0"/>
                    <w:spacing w:before="0" w:beforeAutospacing="0" w:after="0" w:afterAutospacing="0"/>
                    <w:ind w:left="0" w:right="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风机、泵等</w:t>
                  </w:r>
                </w:p>
              </w:tc>
              <w:tc>
                <w:tcPr>
                  <w:tcW w:w="1138" w:type="pct"/>
                  <w:vMerge w:val="continue"/>
                  <w:vAlign w:val="center"/>
                </w:tcPr>
                <w:p w14:paraId="0763A5A1">
                  <w:pPr>
                    <w:pStyle w:val="67"/>
                    <w:keepNext w:val="0"/>
                    <w:keepLines w:val="0"/>
                    <w:suppressLineNumbers w:val="0"/>
                    <w:spacing w:before="0" w:beforeAutospacing="0" w:after="0" w:afterAutospacing="0"/>
                    <w:ind w:left="0" w:right="0"/>
                    <w:rPr>
                      <w:rFonts w:hint="eastAsia" w:cs="Times New Roman"/>
                      <w:bCs/>
                      <w:smallCaps w:val="0"/>
                      <w:color w:val="auto"/>
                      <w:spacing w:val="0"/>
                      <w:kern w:val="0"/>
                      <w:sz w:val="21"/>
                      <w:szCs w:val="22"/>
                      <w:highlight w:val="none"/>
                      <w:lang w:val="en-US" w:eastAsia="zh-CN" w:bidi="ar-SA"/>
                    </w:rPr>
                  </w:pPr>
                </w:p>
              </w:tc>
              <w:tc>
                <w:tcPr>
                  <w:tcW w:w="2119" w:type="pct"/>
                  <w:vMerge w:val="continue"/>
                  <w:vAlign w:val="center"/>
                </w:tcPr>
                <w:p w14:paraId="1DA61C40">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szCs w:val="22"/>
                      <w:highlight w:val="none"/>
                      <w:lang w:eastAsia="zh-CN"/>
                    </w:rPr>
                  </w:pPr>
                </w:p>
              </w:tc>
            </w:tr>
            <w:tr w14:paraId="189F6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restart"/>
                  <w:vAlign w:val="center"/>
                </w:tcPr>
                <w:p w14:paraId="7C6BCBB7">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固废</w:t>
                  </w:r>
                </w:p>
              </w:tc>
              <w:tc>
                <w:tcPr>
                  <w:tcW w:w="530" w:type="pct"/>
                  <w:shd w:val="clear" w:color="auto" w:fill="auto"/>
                  <w:vAlign w:val="center"/>
                </w:tcPr>
                <w:p w14:paraId="081A0523">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rPr>
                    <w:t>S</w:t>
                  </w:r>
                  <w:r>
                    <w:rPr>
                      <w:rFonts w:hint="eastAsia" w:cs="Times New Roman"/>
                      <w:smallCaps w:val="0"/>
                      <w:color w:val="auto"/>
                      <w:spacing w:val="0"/>
                      <w:highlight w:val="none"/>
                      <w:lang w:val="en-US" w:eastAsia="zh-CN"/>
                    </w:rPr>
                    <w:t>1</w:t>
                  </w:r>
                </w:p>
              </w:tc>
              <w:tc>
                <w:tcPr>
                  <w:tcW w:w="803" w:type="pct"/>
                  <w:vAlign w:val="center"/>
                </w:tcPr>
                <w:p w14:paraId="4DF6C637">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人工解捆</w:t>
                  </w:r>
                </w:p>
              </w:tc>
              <w:tc>
                <w:tcPr>
                  <w:tcW w:w="1138" w:type="pct"/>
                  <w:vAlign w:val="center"/>
                </w:tcPr>
                <w:p w14:paraId="21A4DF33">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szCs w:val="22"/>
                      <w:highlight w:val="none"/>
                      <w:lang w:val="en-US" w:eastAsia="zh-CN"/>
                    </w:rPr>
                  </w:pPr>
                  <w:r>
                    <w:rPr>
                      <w:rFonts w:hint="eastAsia" w:cs="Times New Roman"/>
                      <w:smallCaps w:val="0"/>
                      <w:color w:val="auto"/>
                      <w:spacing w:val="0"/>
                      <w:szCs w:val="22"/>
                      <w:highlight w:val="none"/>
                      <w:lang w:val="en-US" w:eastAsia="zh-CN"/>
                    </w:rPr>
                    <w:t>废包装材料</w:t>
                  </w:r>
                </w:p>
              </w:tc>
              <w:tc>
                <w:tcPr>
                  <w:tcW w:w="2119" w:type="pct"/>
                  <w:vAlign w:val="center"/>
                </w:tcPr>
                <w:p w14:paraId="0F0342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收集后外售</w:t>
                  </w:r>
                </w:p>
              </w:tc>
            </w:tr>
            <w:tr w14:paraId="22949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4F9D566D">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0CA6C2BF">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szCs w:val="20"/>
                      <w:highlight w:val="none"/>
                    </w:rPr>
                    <w:t>S</w:t>
                  </w:r>
                  <w:r>
                    <w:rPr>
                      <w:rFonts w:hint="eastAsia" w:cs="Times New Roman"/>
                      <w:smallCaps w:val="0"/>
                      <w:color w:val="auto"/>
                      <w:spacing w:val="0"/>
                      <w:szCs w:val="20"/>
                      <w:highlight w:val="none"/>
                      <w:lang w:val="en-US" w:eastAsia="zh-CN"/>
                    </w:rPr>
                    <w:t>2</w:t>
                  </w:r>
                </w:p>
              </w:tc>
              <w:tc>
                <w:tcPr>
                  <w:tcW w:w="803" w:type="pct"/>
                  <w:vAlign w:val="center"/>
                </w:tcPr>
                <w:p w14:paraId="6DB0ECF8">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剥皮、切削</w:t>
                  </w:r>
                </w:p>
              </w:tc>
              <w:tc>
                <w:tcPr>
                  <w:tcW w:w="1138" w:type="pct"/>
                  <w:vAlign w:val="center"/>
                </w:tcPr>
                <w:p w14:paraId="234A276C">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szCs w:val="22"/>
                      <w:highlight w:val="none"/>
                      <w:lang w:val="en-US" w:eastAsia="zh-CN"/>
                    </w:rPr>
                  </w:pPr>
                  <w:r>
                    <w:rPr>
                      <w:rFonts w:hint="eastAsia" w:cs="Times New Roman"/>
                      <w:smallCaps w:val="0"/>
                      <w:color w:val="auto"/>
                      <w:spacing w:val="0"/>
                      <w:szCs w:val="22"/>
                      <w:highlight w:val="none"/>
                      <w:lang w:val="en-US" w:eastAsia="zh-CN"/>
                    </w:rPr>
                    <w:t>废铁屑</w:t>
                  </w:r>
                </w:p>
              </w:tc>
              <w:tc>
                <w:tcPr>
                  <w:tcW w:w="2119" w:type="pct"/>
                  <w:vAlign w:val="center"/>
                </w:tcPr>
                <w:p w14:paraId="61644684">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eastAsia" w:cs="Times New Roman"/>
                      <w:smallCaps w:val="0"/>
                      <w:color w:val="auto"/>
                      <w:spacing w:val="0"/>
                      <w:szCs w:val="20"/>
                      <w:highlight w:val="none"/>
                      <w:lang w:val="en-US" w:eastAsia="zh-CN"/>
                    </w:rPr>
                    <w:t>收集后外售</w:t>
                  </w:r>
                </w:p>
              </w:tc>
            </w:tr>
            <w:tr w14:paraId="1EDCF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0F144F61">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7E878F1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szCs w:val="20"/>
                      <w:highlight w:val="none"/>
                    </w:rPr>
                    <w:t>S</w:t>
                  </w:r>
                  <w:r>
                    <w:rPr>
                      <w:rFonts w:hint="eastAsia" w:cs="Times New Roman"/>
                      <w:smallCaps w:val="0"/>
                      <w:color w:val="auto"/>
                      <w:spacing w:val="0"/>
                      <w:szCs w:val="20"/>
                      <w:highlight w:val="none"/>
                      <w:lang w:val="en-US" w:eastAsia="zh-CN"/>
                    </w:rPr>
                    <w:t>3</w:t>
                  </w:r>
                </w:p>
              </w:tc>
              <w:tc>
                <w:tcPr>
                  <w:tcW w:w="803" w:type="pct"/>
                  <w:shd w:val="clear" w:color="auto" w:fill="auto"/>
                  <w:vAlign w:val="center"/>
                </w:tcPr>
                <w:p w14:paraId="77BF9F3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szCs w:val="20"/>
                      <w:highlight w:val="none"/>
                      <w:lang w:val="en-US" w:eastAsia="zh-CN"/>
                    </w:rPr>
                    <w:t>剥皮、切削</w:t>
                  </w:r>
                </w:p>
              </w:tc>
              <w:tc>
                <w:tcPr>
                  <w:tcW w:w="1138" w:type="pct"/>
                  <w:shd w:val="clear" w:color="auto" w:fill="auto"/>
                  <w:vAlign w:val="center"/>
                </w:tcPr>
                <w:p w14:paraId="429237D5">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2"/>
                      <w:highlight w:val="none"/>
                      <w:lang w:val="en-US" w:eastAsia="zh-CN" w:bidi="ar-SA"/>
                    </w:rPr>
                  </w:pPr>
                  <w:r>
                    <w:rPr>
                      <w:rFonts w:hint="eastAsia" w:cs="Times New Roman"/>
                      <w:bCs/>
                      <w:smallCaps w:val="0"/>
                      <w:color w:val="auto"/>
                      <w:spacing w:val="0"/>
                      <w:kern w:val="0"/>
                      <w:sz w:val="21"/>
                      <w:szCs w:val="22"/>
                      <w:highlight w:val="none"/>
                      <w:lang w:val="en-US" w:eastAsia="zh-CN" w:bidi="ar-SA"/>
                    </w:rPr>
                    <w:t>废切削液</w:t>
                  </w:r>
                </w:p>
              </w:tc>
              <w:tc>
                <w:tcPr>
                  <w:tcW w:w="2119" w:type="pct"/>
                  <w:shd w:val="clear" w:color="auto" w:fill="auto"/>
                  <w:vAlign w:val="center"/>
                </w:tcPr>
                <w:p w14:paraId="6CBB5720">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szCs w:val="20"/>
                      <w:highlight w:val="none"/>
                      <w:lang w:val="en-US" w:eastAsia="zh-CN"/>
                    </w:rPr>
                    <w:t>即产即清，交由有危废处置资质单位处置</w:t>
                  </w:r>
                </w:p>
              </w:tc>
            </w:tr>
            <w:tr w14:paraId="1B64E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550526A4">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53C5ED4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szCs w:val="20"/>
                      <w:highlight w:val="none"/>
                      <w:lang w:val="en-US" w:eastAsia="zh-CN"/>
                    </w:rPr>
                    <w:t>S4</w:t>
                  </w:r>
                </w:p>
              </w:tc>
              <w:tc>
                <w:tcPr>
                  <w:tcW w:w="803" w:type="pct"/>
                  <w:shd w:val="clear" w:color="auto" w:fill="auto"/>
                  <w:vAlign w:val="center"/>
                </w:tcPr>
                <w:p w14:paraId="4610B746">
                  <w:pPr>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剥皮、切削</w:t>
                  </w:r>
                </w:p>
              </w:tc>
              <w:tc>
                <w:tcPr>
                  <w:tcW w:w="1138" w:type="pct"/>
                  <w:shd w:val="clear" w:color="auto" w:fill="auto"/>
                  <w:vAlign w:val="center"/>
                </w:tcPr>
                <w:p w14:paraId="3BBD9C38">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szCs w:val="22"/>
                      <w:highlight w:val="none"/>
                      <w:lang w:val="en-US" w:eastAsia="zh-CN"/>
                    </w:rPr>
                  </w:pPr>
                  <w:r>
                    <w:rPr>
                      <w:rFonts w:hint="eastAsia" w:cs="Times New Roman"/>
                      <w:smallCaps w:val="0"/>
                      <w:color w:val="auto"/>
                      <w:spacing w:val="0"/>
                      <w:szCs w:val="22"/>
                      <w:highlight w:val="none"/>
                      <w:lang w:val="en-US" w:eastAsia="zh-CN"/>
                    </w:rPr>
                    <w:t>废切削液桶</w:t>
                  </w:r>
                </w:p>
              </w:tc>
              <w:tc>
                <w:tcPr>
                  <w:tcW w:w="2119" w:type="pct"/>
                  <w:shd w:val="clear" w:color="auto" w:fill="auto"/>
                  <w:vAlign w:val="center"/>
                </w:tcPr>
                <w:p w14:paraId="1FDECBAC">
                  <w:pPr>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即产即清，交由有危废处置资质单位处置</w:t>
                  </w:r>
                </w:p>
              </w:tc>
            </w:tr>
            <w:tr w14:paraId="7AA21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714D8B0D">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3878FAF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kern w:val="2"/>
                      <w:sz w:val="21"/>
                      <w:szCs w:val="20"/>
                      <w:highlight w:val="none"/>
                      <w:lang w:val="en-US" w:eastAsia="zh-CN" w:bidi="ar-SA"/>
                    </w:rPr>
                    <w:t>S5</w:t>
                  </w:r>
                </w:p>
              </w:tc>
              <w:tc>
                <w:tcPr>
                  <w:tcW w:w="803" w:type="pct"/>
                  <w:shd w:val="clear" w:color="auto" w:fill="auto"/>
                  <w:vAlign w:val="center"/>
                </w:tcPr>
                <w:p w14:paraId="66B7583A">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除尘器</w:t>
                  </w:r>
                </w:p>
              </w:tc>
              <w:tc>
                <w:tcPr>
                  <w:tcW w:w="1138" w:type="pct"/>
                  <w:shd w:val="clear" w:color="auto" w:fill="auto"/>
                  <w:vAlign w:val="center"/>
                </w:tcPr>
                <w:p w14:paraId="117B9C9B">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szCs w:val="22"/>
                      <w:highlight w:val="none"/>
                      <w:lang w:val="en-US" w:eastAsia="zh-CN"/>
                    </w:rPr>
                  </w:pPr>
                  <w:r>
                    <w:rPr>
                      <w:rFonts w:hint="eastAsia" w:cs="Times New Roman"/>
                      <w:smallCaps w:val="0"/>
                      <w:color w:val="auto"/>
                      <w:spacing w:val="0"/>
                      <w:szCs w:val="22"/>
                      <w:highlight w:val="none"/>
                      <w:lang w:val="en-US" w:eastAsia="zh-CN"/>
                    </w:rPr>
                    <w:t>废布袋</w:t>
                  </w:r>
                </w:p>
              </w:tc>
              <w:tc>
                <w:tcPr>
                  <w:tcW w:w="2119" w:type="pct"/>
                  <w:shd w:val="clear" w:color="auto" w:fill="auto"/>
                  <w:vAlign w:val="center"/>
                </w:tcPr>
                <w:p w14:paraId="71AB16A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szCs w:val="20"/>
                      <w:highlight w:val="none"/>
                      <w:lang w:val="en-US" w:eastAsia="zh-CN"/>
                    </w:rPr>
                    <w:t>收集后外售</w:t>
                  </w:r>
                </w:p>
              </w:tc>
            </w:tr>
            <w:tr w14:paraId="62578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298A1C0C">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3B23772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kern w:val="2"/>
                      <w:sz w:val="21"/>
                      <w:szCs w:val="20"/>
                      <w:highlight w:val="none"/>
                      <w:lang w:val="en-US" w:eastAsia="zh-CN" w:bidi="ar-SA"/>
                    </w:rPr>
                    <w:t>S6</w:t>
                  </w:r>
                </w:p>
              </w:tc>
              <w:tc>
                <w:tcPr>
                  <w:tcW w:w="803" w:type="pct"/>
                  <w:shd w:val="clear" w:color="auto" w:fill="auto"/>
                  <w:vAlign w:val="center"/>
                </w:tcPr>
                <w:p w14:paraId="0BBE3A93">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除尘器</w:t>
                  </w:r>
                </w:p>
              </w:tc>
              <w:tc>
                <w:tcPr>
                  <w:tcW w:w="1138" w:type="pct"/>
                  <w:shd w:val="clear" w:color="auto" w:fill="auto"/>
                  <w:vAlign w:val="center"/>
                </w:tcPr>
                <w:p w14:paraId="66BD485E">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szCs w:val="22"/>
                      <w:highlight w:val="none"/>
                      <w:lang w:val="en-US" w:eastAsia="zh-CN"/>
                    </w:rPr>
                  </w:pPr>
                  <w:r>
                    <w:rPr>
                      <w:rFonts w:hint="eastAsia" w:cs="Times New Roman"/>
                      <w:smallCaps w:val="0"/>
                      <w:color w:val="auto"/>
                      <w:spacing w:val="0"/>
                      <w:szCs w:val="22"/>
                      <w:highlight w:val="none"/>
                      <w:lang w:val="en-US" w:eastAsia="zh-CN"/>
                    </w:rPr>
                    <w:t>除尘灰</w:t>
                  </w:r>
                </w:p>
              </w:tc>
              <w:tc>
                <w:tcPr>
                  <w:tcW w:w="2119" w:type="pct"/>
                  <w:shd w:val="clear" w:color="auto" w:fill="auto"/>
                  <w:vAlign w:val="center"/>
                </w:tcPr>
                <w:p w14:paraId="7E757229">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szCs w:val="20"/>
                      <w:highlight w:val="none"/>
                      <w:lang w:val="en-US" w:eastAsia="zh-CN"/>
                    </w:rPr>
                    <w:t>收集后外售</w:t>
                  </w:r>
                </w:p>
              </w:tc>
            </w:tr>
            <w:tr w14:paraId="64AF4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1BB0E507">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76779A6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kern w:val="2"/>
                      <w:sz w:val="21"/>
                      <w:szCs w:val="20"/>
                      <w:highlight w:val="none"/>
                      <w:lang w:val="en-US" w:eastAsia="zh-CN" w:bidi="ar-SA"/>
                    </w:rPr>
                    <w:t>S7</w:t>
                  </w:r>
                </w:p>
              </w:tc>
              <w:tc>
                <w:tcPr>
                  <w:tcW w:w="803" w:type="pct"/>
                  <w:shd w:val="clear" w:color="auto" w:fill="auto"/>
                  <w:vAlign w:val="center"/>
                </w:tcPr>
                <w:p w14:paraId="4B3A5BD9">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调质</w:t>
                  </w:r>
                </w:p>
              </w:tc>
              <w:tc>
                <w:tcPr>
                  <w:tcW w:w="1138" w:type="pct"/>
                  <w:shd w:val="clear" w:color="auto" w:fill="auto"/>
                  <w:vAlign w:val="center"/>
                </w:tcPr>
                <w:p w14:paraId="15FFF6D8">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szCs w:val="22"/>
                      <w:highlight w:val="none"/>
                      <w:lang w:val="en-US" w:eastAsia="zh-CN"/>
                    </w:rPr>
                  </w:pPr>
                  <w:r>
                    <w:rPr>
                      <w:rFonts w:hint="eastAsia" w:cs="Times New Roman"/>
                      <w:smallCaps w:val="0"/>
                      <w:color w:val="auto"/>
                      <w:spacing w:val="0"/>
                      <w:szCs w:val="22"/>
                      <w:highlight w:val="none"/>
                      <w:lang w:val="en-US" w:eastAsia="zh-CN"/>
                    </w:rPr>
                    <w:t>沉淀池底泥（氧化铁渣）</w:t>
                  </w:r>
                </w:p>
              </w:tc>
              <w:tc>
                <w:tcPr>
                  <w:tcW w:w="2119" w:type="pct"/>
                  <w:shd w:val="clear" w:color="auto" w:fill="auto"/>
                  <w:vAlign w:val="center"/>
                </w:tcPr>
                <w:p w14:paraId="14D454A7">
                  <w:pPr>
                    <w:pStyle w:val="67"/>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szCs w:val="20"/>
                      <w:highlight w:val="none"/>
                      <w:lang w:val="en-US" w:eastAsia="zh-CN"/>
                    </w:rPr>
                    <w:t>收集后外售</w:t>
                  </w:r>
                </w:p>
              </w:tc>
            </w:tr>
            <w:tr w14:paraId="1D644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1CF76055">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5EEA9EF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szCs w:val="20"/>
                      <w:highlight w:val="none"/>
                      <w:lang w:val="en-US" w:eastAsia="zh-CN"/>
                    </w:rPr>
                    <w:t>S8</w:t>
                  </w:r>
                </w:p>
              </w:tc>
              <w:tc>
                <w:tcPr>
                  <w:tcW w:w="803" w:type="pct"/>
                  <w:shd w:val="clear" w:color="auto" w:fill="auto"/>
                  <w:vAlign w:val="center"/>
                </w:tcPr>
                <w:p w14:paraId="1E033C64">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检测</w:t>
                  </w:r>
                </w:p>
              </w:tc>
              <w:tc>
                <w:tcPr>
                  <w:tcW w:w="1138" w:type="pct"/>
                  <w:shd w:val="clear" w:color="auto" w:fill="auto"/>
                  <w:vAlign w:val="center"/>
                </w:tcPr>
                <w:p w14:paraId="7DD8B798">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szCs w:val="22"/>
                      <w:highlight w:val="none"/>
                      <w:lang w:val="en-US" w:eastAsia="zh-CN"/>
                    </w:rPr>
                  </w:pPr>
                  <w:r>
                    <w:rPr>
                      <w:rFonts w:hint="eastAsia" w:cs="Times New Roman"/>
                      <w:smallCaps w:val="0"/>
                      <w:color w:val="auto"/>
                      <w:spacing w:val="0"/>
                      <w:szCs w:val="22"/>
                      <w:highlight w:val="none"/>
                      <w:lang w:val="en-US" w:eastAsia="zh-CN"/>
                    </w:rPr>
                    <w:t>不合格品</w:t>
                  </w:r>
                </w:p>
              </w:tc>
              <w:tc>
                <w:tcPr>
                  <w:tcW w:w="2119" w:type="pct"/>
                  <w:shd w:val="clear" w:color="auto" w:fill="auto"/>
                  <w:vAlign w:val="center"/>
                </w:tcPr>
                <w:p w14:paraId="2CED0CCB">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收集后外售</w:t>
                  </w:r>
                </w:p>
              </w:tc>
            </w:tr>
            <w:tr w14:paraId="060E8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1839F162">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09E080C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szCs w:val="20"/>
                      <w:highlight w:val="none"/>
                      <w:lang w:val="en-US" w:eastAsia="zh-CN"/>
                    </w:rPr>
                    <w:t>S9</w:t>
                  </w:r>
                </w:p>
              </w:tc>
              <w:tc>
                <w:tcPr>
                  <w:tcW w:w="803" w:type="pct"/>
                  <w:shd w:val="clear" w:color="auto" w:fill="auto"/>
                  <w:vAlign w:val="center"/>
                </w:tcPr>
                <w:p w14:paraId="3FF50271">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lang w:val="en-US" w:eastAsia="zh-CN"/>
                    </w:rPr>
                    <w:t>设备维护</w:t>
                  </w:r>
                </w:p>
              </w:tc>
              <w:tc>
                <w:tcPr>
                  <w:tcW w:w="1138" w:type="pct"/>
                  <w:shd w:val="clear" w:color="auto" w:fill="auto"/>
                  <w:vAlign w:val="center"/>
                </w:tcPr>
                <w:p w14:paraId="0B9AD9AE">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lang w:val="en-US" w:eastAsia="zh-CN"/>
                    </w:rPr>
                    <w:t>废润滑油</w:t>
                  </w:r>
                </w:p>
              </w:tc>
              <w:tc>
                <w:tcPr>
                  <w:tcW w:w="2119" w:type="pct"/>
                  <w:shd w:val="clear" w:color="auto" w:fill="auto"/>
                  <w:vAlign w:val="center"/>
                </w:tcPr>
                <w:p w14:paraId="4ACEE68E">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即产即清，交由有危废处置资质单位处置</w:t>
                  </w:r>
                </w:p>
              </w:tc>
            </w:tr>
            <w:tr w14:paraId="580AF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2C23DA43">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3181DD4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szCs w:val="20"/>
                      <w:highlight w:val="none"/>
                      <w:lang w:val="en-US" w:eastAsia="zh-CN"/>
                    </w:rPr>
                    <w:t>S10</w:t>
                  </w:r>
                </w:p>
              </w:tc>
              <w:tc>
                <w:tcPr>
                  <w:tcW w:w="803" w:type="pct"/>
                  <w:shd w:val="clear" w:color="auto" w:fill="auto"/>
                  <w:vAlign w:val="center"/>
                </w:tcPr>
                <w:p w14:paraId="4A56A3B7">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lang w:val="en-US" w:eastAsia="zh-CN"/>
                    </w:rPr>
                    <w:t>设备维护</w:t>
                  </w:r>
                </w:p>
              </w:tc>
              <w:tc>
                <w:tcPr>
                  <w:tcW w:w="1138" w:type="pct"/>
                  <w:shd w:val="clear" w:color="auto" w:fill="auto"/>
                  <w:vAlign w:val="center"/>
                </w:tcPr>
                <w:p w14:paraId="5BC15E0A">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lang w:val="en-US" w:eastAsia="zh-CN"/>
                    </w:rPr>
                    <w:t>废润滑油桶</w:t>
                  </w:r>
                </w:p>
              </w:tc>
              <w:tc>
                <w:tcPr>
                  <w:tcW w:w="2119" w:type="pct"/>
                  <w:shd w:val="clear" w:color="auto" w:fill="auto"/>
                  <w:vAlign w:val="center"/>
                </w:tcPr>
                <w:p w14:paraId="57F842C3">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即产即清，交由有危废处置资质单位处置</w:t>
                  </w:r>
                </w:p>
              </w:tc>
            </w:tr>
            <w:tr w14:paraId="021EC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3354721F">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3A135FE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szCs w:val="20"/>
                      <w:highlight w:val="none"/>
                      <w:lang w:val="en-US" w:eastAsia="zh-CN"/>
                    </w:rPr>
                    <w:t>S11</w:t>
                  </w:r>
                </w:p>
              </w:tc>
              <w:tc>
                <w:tcPr>
                  <w:tcW w:w="803" w:type="pct"/>
                  <w:shd w:val="clear" w:color="auto" w:fill="auto"/>
                  <w:vAlign w:val="center"/>
                </w:tcPr>
                <w:p w14:paraId="7FC0B2CE">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lang w:val="en-US" w:eastAsia="zh-CN"/>
                    </w:rPr>
                    <w:t>设备维护</w:t>
                  </w:r>
                </w:p>
              </w:tc>
              <w:tc>
                <w:tcPr>
                  <w:tcW w:w="1138" w:type="pct"/>
                  <w:shd w:val="clear" w:color="auto" w:fill="auto"/>
                  <w:vAlign w:val="center"/>
                </w:tcPr>
                <w:p w14:paraId="2082CA17">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含油抹布及废劳保用品</w:t>
                  </w:r>
                </w:p>
              </w:tc>
              <w:tc>
                <w:tcPr>
                  <w:tcW w:w="2119" w:type="pct"/>
                  <w:shd w:val="clear" w:color="auto" w:fill="auto"/>
                  <w:vAlign w:val="center"/>
                </w:tcPr>
                <w:p w14:paraId="02936BE3">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即产即清，交由有危废处置资质单位处置</w:t>
                  </w:r>
                </w:p>
              </w:tc>
            </w:tr>
            <w:tr w14:paraId="41442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8" w:type="pct"/>
                  <w:vMerge w:val="continue"/>
                  <w:vAlign w:val="center"/>
                </w:tcPr>
                <w:p w14:paraId="73E7A556">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p>
              </w:tc>
              <w:tc>
                <w:tcPr>
                  <w:tcW w:w="530" w:type="pct"/>
                  <w:shd w:val="clear" w:color="auto" w:fill="auto"/>
                  <w:vAlign w:val="center"/>
                </w:tcPr>
                <w:p w14:paraId="542624CB">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szCs w:val="20"/>
                      <w:highlight w:val="none"/>
                      <w:lang w:val="en-US" w:eastAsia="zh-CN"/>
                    </w:rPr>
                    <w:t>S</w:t>
                  </w:r>
                </w:p>
              </w:tc>
              <w:tc>
                <w:tcPr>
                  <w:tcW w:w="803" w:type="pct"/>
                  <w:shd w:val="clear" w:color="auto" w:fill="auto"/>
                  <w:vAlign w:val="center"/>
                </w:tcPr>
                <w:p w14:paraId="03DD4D0E">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职工生活</w:t>
                  </w:r>
                </w:p>
              </w:tc>
              <w:tc>
                <w:tcPr>
                  <w:tcW w:w="1138" w:type="pct"/>
                  <w:shd w:val="clear" w:color="auto" w:fill="auto"/>
                  <w:vAlign w:val="center"/>
                </w:tcPr>
                <w:p w14:paraId="0DF6BFF2">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生活垃圾</w:t>
                  </w:r>
                </w:p>
              </w:tc>
              <w:tc>
                <w:tcPr>
                  <w:tcW w:w="2119" w:type="pct"/>
                  <w:shd w:val="clear" w:color="auto" w:fill="auto"/>
                  <w:vAlign w:val="center"/>
                </w:tcPr>
                <w:p w14:paraId="363B55E0">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收集后由环卫部门统一处置</w:t>
                  </w:r>
                </w:p>
              </w:tc>
            </w:tr>
          </w:tbl>
          <w:p w14:paraId="48CE5885">
            <w:pPr>
              <w:keepNext w:val="0"/>
              <w:keepLines w:val="0"/>
              <w:suppressLineNumbers w:val="0"/>
              <w:spacing w:before="0" w:beforeAutospacing="0" w:after="0" w:afterAutospacing="0"/>
              <w:ind w:left="0" w:leftChars="0" w:right="0" w:rightChars="0"/>
              <w:rPr>
                <w:rFonts w:hint="default" w:ascii="Times New Roman" w:hAnsi="Times New Roman" w:eastAsia="宋体" w:cs="Times New Roman"/>
                <w:smallCaps w:val="0"/>
                <w:color w:val="auto"/>
                <w:spacing w:val="0"/>
                <w:szCs w:val="20"/>
                <w:highlight w:val="none"/>
                <w:lang w:val="en-US" w:eastAsia="zh-CN"/>
              </w:rPr>
            </w:pPr>
          </w:p>
        </w:tc>
      </w:tr>
      <w:tr w14:paraId="4AA8F3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9" w:hRule="atLeast"/>
          <w:jc w:val="center"/>
        </w:trPr>
        <w:tc>
          <w:tcPr>
            <w:tcW w:w="675" w:type="dxa"/>
            <w:vAlign w:val="center"/>
          </w:tcPr>
          <w:p w14:paraId="75C8B6CB">
            <w:pPr>
              <w:pStyle w:val="41"/>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bCs/>
                <w:smallCaps w:val="0"/>
                <w:color w:val="auto"/>
                <w:spacing w:val="0"/>
                <w:kern w:val="2"/>
                <w:szCs w:val="21"/>
                <w:highlight w:val="none"/>
              </w:rPr>
            </w:pPr>
          </w:p>
          <w:p w14:paraId="72CF6AA2">
            <w:pPr>
              <w:pStyle w:val="41"/>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bCs/>
                <w:smallCaps w:val="0"/>
                <w:color w:val="auto"/>
                <w:spacing w:val="0"/>
                <w:kern w:val="2"/>
                <w:szCs w:val="21"/>
                <w:highlight w:val="none"/>
              </w:rPr>
            </w:pPr>
          </w:p>
          <w:p w14:paraId="1591E247">
            <w:pPr>
              <w:pStyle w:val="41"/>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bCs/>
                <w:smallCaps w:val="0"/>
                <w:color w:val="auto"/>
                <w:spacing w:val="0"/>
                <w:kern w:val="2"/>
                <w:szCs w:val="21"/>
                <w:highlight w:val="none"/>
              </w:rPr>
            </w:pPr>
          </w:p>
          <w:p w14:paraId="5E5115DD">
            <w:pPr>
              <w:pStyle w:val="41"/>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bCs/>
                <w:smallCaps w:val="0"/>
                <w:color w:val="auto"/>
                <w:spacing w:val="0"/>
                <w:kern w:val="2"/>
                <w:szCs w:val="21"/>
                <w:highlight w:val="none"/>
              </w:rPr>
            </w:pPr>
          </w:p>
          <w:p w14:paraId="2C5A5AB8">
            <w:pPr>
              <w:pStyle w:val="41"/>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cs="Times New Roman"/>
                <w:bCs/>
                <w:smallCaps w:val="0"/>
                <w:color w:val="auto"/>
                <w:spacing w:val="0"/>
                <w:kern w:val="2"/>
                <w:szCs w:val="21"/>
                <w:highlight w:val="none"/>
              </w:rPr>
            </w:pPr>
            <w:r>
              <w:rPr>
                <w:rFonts w:hint="default" w:ascii="Times New Roman" w:hAnsi="Times New Roman" w:cs="Times New Roman"/>
                <w:bCs/>
                <w:smallCaps w:val="0"/>
                <w:color w:val="auto"/>
                <w:spacing w:val="0"/>
                <w:kern w:val="2"/>
                <w:szCs w:val="21"/>
                <w:highlight w:val="none"/>
              </w:rPr>
              <w:t>与项目有关的原有环境污染问题</w:t>
            </w:r>
          </w:p>
          <w:p w14:paraId="66DBD39F">
            <w:pPr>
              <w:pStyle w:val="26"/>
              <w:keepNext w:val="0"/>
              <w:keepLines w:val="0"/>
              <w:suppressLineNumbers w:val="0"/>
              <w:spacing w:before="0" w:beforeAutospacing="0" w:after="0" w:afterAutospacing="0"/>
              <w:ind w:right="0"/>
              <w:rPr>
                <w:rFonts w:hint="default" w:ascii="Times New Roman" w:hAnsi="Times New Roman" w:cs="Times New Roman"/>
                <w:bCs/>
                <w:smallCaps w:val="0"/>
                <w:color w:val="auto"/>
                <w:spacing w:val="0"/>
                <w:kern w:val="2"/>
                <w:szCs w:val="21"/>
                <w:highlight w:val="none"/>
              </w:rPr>
            </w:pPr>
          </w:p>
          <w:p w14:paraId="43C566D5">
            <w:pPr>
              <w:keepNext w:val="0"/>
              <w:keepLines w:val="0"/>
              <w:suppressLineNumbers w:val="0"/>
              <w:spacing w:before="0" w:beforeAutospacing="0" w:after="0" w:afterAutospacing="0"/>
              <w:ind w:left="0" w:right="0"/>
              <w:rPr>
                <w:rFonts w:hint="default" w:ascii="Times New Roman" w:hAnsi="Times New Roman" w:cs="Times New Roman"/>
                <w:bCs/>
                <w:smallCaps w:val="0"/>
                <w:color w:val="auto"/>
                <w:spacing w:val="0"/>
                <w:kern w:val="2"/>
                <w:szCs w:val="21"/>
                <w:highlight w:val="none"/>
              </w:rPr>
            </w:pPr>
          </w:p>
          <w:p w14:paraId="52C90CD9">
            <w:pPr>
              <w:keepNext w:val="0"/>
              <w:keepLines w:val="0"/>
              <w:suppressLineNumbers w:val="0"/>
              <w:spacing w:before="0" w:beforeAutospacing="0" w:after="0" w:afterAutospacing="0"/>
              <w:ind w:left="0" w:right="0"/>
              <w:rPr>
                <w:rFonts w:hint="default" w:ascii="Times New Roman" w:hAnsi="Times New Roman" w:cs="Times New Roman"/>
                <w:bCs/>
                <w:smallCaps w:val="0"/>
                <w:color w:val="auto"/>
                <w:spacing w:val="0"/>
                <w:kern w:val="2"/>
                <w:szCs w:val="21"/>
                <w:highlight w:val="none"/>
              </w:rPr>
            </w:pPr>
          </w:p>
        </w:tc>
        <w:tc>
          <w:tcPr>
            <w:tcW w:w="8385" w:type="dxa"/>
            <w:vAlign w:val="center"/>
          </w:tcPr>
          <w:p w14:paraId="16C05BD1">
            <w:pPr>
              <w:pStyle w:val="172"/>
              <w:keepNext w:val="0"/>
              <w:keepLines w:val="0"/>
              <w:suppressLineNumbers w:val="0"/>
              <w:spacing w:before="0" w:beforeAutospacing="0" w:after="0" w:afterAutospacing="0"/>
              <w:ind w:left="0" w:right="0" w:firstLine="480"/>
              <w:rPr>
                <w:rFonts w:hint="default" w:ascii="Times New Roman" w:hAnsi="Times New Roman" w:cs="Times New Roman"/>
                <w:i w:val="0"/>
                <w:iCs w:val="0"/>
                <w:smallCaps w:val="0"/>
                <w:color w:val="auto"/>
                <w:spacing w:val="0"/>
                <w:highlight w:val="none"/>
              </w:rPr>
            </w:pPr>
          </w:p>
          <w:p w14:paraId="25DB26E7">
            <w:pPr>
              <w:pStyle w:val="17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right="0" w:firstLine="480" w:firstLineChars="200"/>
              <w:textAlignment w:val="auto"/>
              <w:rPr>
                <w:rFonts w:hint="default" w:ascii="Times New Roman" w:hAnsi="Times New Roman" w:cs="Times New Roman"/>
                <w:smallCaps w:val="0"/>
                <w:color w:val="auto"/>
                <w:spacing w:val="0"/>
                <w:highlight w:val="none"/>
              </w:rPr>
            </w:pPr>
          </w:p>
          <w:p w14:paraId="7DD181D6">
            <w:pPr>
              <w:keepNext w:val="0"/>
              <w:keepLines w:val="0"/>
              <w:suppressLineNumbers w:val="0"/>
              <w:spacing w:before="0" w:beforeAutospacing="0" w:after="0" w:afterAutospacing="0"/>
              <w:ind w:left="0" w:right="0"/>
              <w:rPr>
                <w:rFonts w:hint="eastAsia" w:cs="Times New Roman"/>
                <w:smallCaps w:val="0"/>
                <w:color w:val="auto"/>
                <w:spacing w:val="0"/>
                <w:szCs w:val="20"/>
                <w:highlight w:val="none"/>
                <w:lang w:val="en-US" w:eastAsia="zh-CN"/>
              </w:rPr>
            </w:pPr>
          </w:p>
          <w:p w14:paraId="3918E059">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lang w:val="en-US" w:eastAsia="zh-CN"/>
              </w:rPr>
            </w:pPr>
          </w:p>
          <w:p w14:paraId="202A46D7">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lang w:val="en-US" w:eastAsia="zh-CN"/>
              </w:rPr>
            </w:pPr>
          </w:p>
          <w:p w14:paraId="1B589EF9">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lang w:val="en-US" w:eastAsia="zh-CN"/>
              </w:rPr>
            </w:pPr>
          </w:p>
          <w:p w14:paraId="0EBE31F7">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lang w:val="en-US" w:eastAsia="zh-CN"/>
              </w:rPr>
            </w:pPr>
          </w:p>
          <w:p w14:paraId="3892588C">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lang w:val="en-US" w:eastAsia="zh-CN"/>
              </w:rPr>
            </w:pPr>
          </w:p>
          <w:p w14:paraId="5C52CD68">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lang w:val="en-US" w:eastAsia="zh-CN"/>
              </w:rPr>
            </w:pPr>
          </w:p>
          <w:p w14:paraId="0D203B81">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lang w:val="en-US" w:eastAsia="zh-CN"/>
              </w:rPr>
            </w:pPr>
          </w:p>
          <w:p w14:paraId="1DAD1974">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lang w:val="en-US" w:eastAsia="zh-CN"/>
              </w:rPr>
            </w:pPr>
          </w:p>
          <w:p w14:paraId="0964E467">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lang w:val="en-US" w:eastAsia="zh-CN"/>
              </w:rPr>
            </w:pPr>
          </w:p>
          <w:p w14:paraId="7E1AFE10">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lang w:val="en-US" w:eastAsia="zh-CN"/>
              </w:rPr>
            </w:pPr>
          </w:p>
          <w:p w14:paraId="2DBD9BD3">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lang w:val="en-US" w:eastAsia="zh-CN"/>
              </w:rPr>
            </w:pPr>
          </w:p>
          <w:p w14:paraId="2F797B8E">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lang w:val="en-US" w:eastAsia="zh-CN"/>
              </w:rPr>
            </w:pPr>
          </w:p>
          <w:p w14:paraId="27DFC9B9">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i w:val="0"/>
                <w:iCs w:val="0"/>
                <w:smallCaps w:val="0"/>
                <w:color w:val="auto"/>
                <w:spacing w:val="0"/>
                <w:highlight w:val="none"/>
              </w:rPr>
            </w:pPr>
            <w:r>
              <w:rPr>
                <w:rFonts w:hint="default" w:ascii="Times New Roman" w:hAnsi="Times New Roman" w:eastAsia="宋体" w:cs="Times New Roman"/>
                <w:i w:val="0"/>
                <w:iCs w:val="0"/>
                <w:smallCaps w:val="0"/>
                <w:color w:val="auto"/>
                <w:spacing w:val="0"/>
                <w:highlight w:val="none"/>
                <w:lang w:val="en-US" w:eastAsia="zh-CN"/>
              </w:rPr>
              <w:t>本项目为新建项目，目前为空地，未建设建筑物，不存在与本项目有关的原有环境问题</w:t>
            </w:r>
            <w:r>
              <w:rPr>
                <w:rFonts w:hint="default" w:ascii="Times New Roman" w:hAnsi="Times New Roman" w:eastAsia="宋体" w:cs="Times New Roman"/>
                <w:smallCaps w:val="0"/>
                <w:color w:val="auto"/>
                <w:spacing w:val="0"/>
                <w:sz w:val="24"/>
                <w:highlight w:val="none"/>
                <w:lang w:eastAsia="zh-CN"/>
              </w:rPr>
              <w:t>。</w:t>
            </w:r>
          </w:p>
          <w:p w14:paraId="100069FD">
            <w:pPr>
              <w:pStyle w:val="172"/>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ind w:left="0" w:right="0" w:firstLine="480" w:firstLineChars="200"/>
              <w:textAlignment w:val="auto"/>
              <w:rPr>
                <w:rFonts w:hint="default" w:ascii="Times New Roman" w:hAnsi="Times New Roman" w:eastAsia="宋体" w:cs="Times New Roman"/>
                <w:smallCaps w:val="0"/>
                <w:color w:val="auto"/>
                <w:spacing w:val="0"/>
                <w:highlight w:val="none"/>
              </w:rPr>
            </w:pPr>
          </w:p>
          <w:p w14:paraId="08F19AB3">
            <w:pPr>
              <w:keepNext w:val="0"/>
              <w:keepLines w:val="0"/>
              <w:suppressLineNumbers w:val="0"/>
              <w:spacing w:before="0" w:beforeAutospacing="0" w:after="0" w:afterAutospacing="0"/>
              <w:ind w:left="0" w:right="0"/>
              <w:rPr>
                <w:rFonts w:hint="eastAsia" w:cs="Times New Roman"/>
                <w:smallCaps w:val="0"/>
                <w:color w:val="auto"/>
                <w:spacing w:val="0"/>
                <w:szCs w:val="20"/>
                <w:highlight w:val="none"/>
                <w:lang w:val="en-US" w:eastAsia="zh-CN"/>
              </w:rPr>
            </w:pPr>
          </w:p>
          <w:p w14:paraId="736B92F8">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0695A9BC">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1511E24A">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3FCFBEBA">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5F2E5081">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0CE2EDA1">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29332B6F">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7167E20B">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570CDC7D">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22D8821C">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04A44481">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1979EBA2">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730D54A9">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69F092C1">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3C7EF726">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33E2A6AE">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0C6B671B">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3B956791">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6EAFCD78">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4DEF7672">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6E524C76">
            <w:pPr>
              <w:keepNext w:val="0"/>
              <w:keepLines w:val="0"/>
              <w:suppressLineNumbers w:val="0"/>
              <w:spacing w:before="0" w:beforeAutospacing="0" w:after="0" w:afterAutospacing="0"/>
              <w:ind w:left="0" w:leftChars="0" w:right="0" w:rightChars="0"/>
              <w:rPr>
                <w:rFonts w:hint="eastAsia" w:cs="Times New Roman"/>
                <w:smallCaps w:val="0"/>
                <w:color w:val="auto"/>
                <w:spacing w:val="0"/>
                <w:szCs w:val="20"/>
                <w:highlight w:val="none"/>
                <w:lang w:val="en-US" w:eastAsia="zh-CN"/>
              </w:rPr>
            </w:pPr>
          </w:p>
          <w:p w14:paraId="439EEE70">
            <w:pPr>
              <w:keepNext w:val="0"/>
              <w:keepLines w:val="0"/>
              <w:suppressLineNumbers w:val="0"/>
              <w:spacing w:before="0" w:beforeAutospacing="0" w:after="0" w:afterAutospacing="0"/>
              <w:ind w:left="0" w:leftChars="0" w:right="0" w:rightChars="0"/>
              <w:rPr>
                <w:rFonts w:hint="default" w:ascii="Times New Roman" w:hAnsi="Times New Roman" w:eastAsia="宋体" w:cs="Times New Roman"/>
                <w:smallCaps w:val="0"/>
                <w:color w:val="auto"/>
                <w:spacing w:val="0"/>
                <w:szCs w:val="20"/>
                <w:highlight w:val="none"/>
                <w:lang w:val="en-US" w:eastAsia="zh-CN"/>
              </w:rPr>
            </w:pPr>
          </w:p>
        </w:tc>
      </w:tr>
    </w:tbl>
    <w:p w14:paraId="72619D02">
      <w:pPr>
        <w:pStyle w:val="41"/>
        <w:jc w:val="center"/>
        <w:rPr>
          <w:rFonts w:hint="default" w:ascii="Times New Roman" w:hAnsi="Times New Roman" w:eastAsia="黑体" w:cs="Times New Roman"/>
          <w:smallCaps w:val="0"/>
          <w:snapToGrid w:val="0"/>
          <w:color w:val="auto"/>
          <w:spacing w:val="0"/>
          <w:sz w:val="36"/>
          <w:szCs w:val="36"/>
          <w:highlight w:val="none"/>
        </w:rPr>
        <w:sectPr>
          <w:pgSz w:w="11906" w:h="16838"/>
          <w:pgMar w:top="1701" w:right="1531" w:bottom="1701" w:left="1531" w:header="851" w:footer="851" w:gutter="0"/>
          <w:cols w:space="720" w:num="1"/>
          <w:docGrid w:linePitch="312" w:charSpace="0"/>
        </w:sectPr>
      </w:pPr>
    </w:p>
    <w:p w14:paraId="374E216E">
      <w:pPr>
        <w:pStyle w:val="41"/>
        <w:jc w:val="center"/>
        <w:outlineLvl w:val="0"/>
        <w:rPr>
          <w:rFonts w:hint="default" w:ascii="Times New Roman" w:hAnsi="Times New Roman" w:eastAsia="黑体" w:cs="Times New Roman"/>
          <w:smallCaps w:val="0"/>
          <w:snapToGrid w:val="0"/>
          <w:color w:val="auto"/>
          <w:spacing w:val="0"/>
          <w:sz w:val="30"/>
          <w:szCs w:val="30"/>
          <w:highlight w:val="none"/>
        </w:rPr>
      </w:pPr>
      <w:bookmarkStart w:id="8" w:name="_Toc22540"/>
      <w:r>
        <w:rPr>
          <w:rFonts w:hint="default" w:ascii="Times New Roman" w:hAnsi="Times New Roman" w:eastAsia="黑体" w:cs="Times New Roman"/>
          <w:smallCaps w:val="0"/>
          <w:snapToGrid w:val="0"/>
          <w:color w:val="auto"/>
          <w:spacing w:val="0"/>
          <w:sz w:val="30"/>
          <w:szCs w:val="30"/>
          <w:highlight w:val="none"/>
        </w:rPr>
        <w:t>三、区域环境质量现状、环境保护目标及评价标准</w:t>
      </w:r>
      <w:bookmarkEnd w:id="8"/>
    </w:p>
    <w:tbl>
      <w:tblPr>
        <w:tblStyle w:val="4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34"/>
        <w:gridCol w:w="7889"/>
      </w:tblGrid>
      <w:tr w14:paraId="7F0EB0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372" w:type="pct"/>
            <w:vAlign w:val="center"/>
          </w:tcPr>
          <w:p w14:paraId="7BF8811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区域</w:t>
            </w:r>
          </w:p>
          <w:p w14:paraId="2BEE2F21">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环境</w:t>
            </w:r>
          </w:p>
          <w:p w14:paraId="406466C0">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质量</w:t>
            </w:r>
          </w:p>
          <w:p w14:paraId="7E1FB70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Cs w:val="21"/>
                <w:highlight w:val="none"/>
              </w:rPr>
            </w:pPr>
            <w:r>
              <w:rPr>
                <w:rFonts w:hint="default" w:ascii="Times New Roman" w:hAnsi="Times New Roman" w:cs="Times New Roman"/>
                <w:smallCaps w:val="0"/>
                <w:color w:val="auto"/>
                <w:spacing w:val="0"/>
                <w:kern w:val="0"/>
                <w:sz w:val="24"/>
                <w:szCs w:val="21"/>
                <w:highlight w:val="none"/>
              </w:rPr>
              <w:t>现状</w:t>
            </w:r>
          </w:p>
        </w:tc>
        <w:tc>
          <w:tcPr>
            <w:tcW w:w="4627" w:type="pct"/>
            <w:vAlign w:val="center"/>
          </w:tcPr>
          <w:p w14:paraId="3F250EE4">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1、环境空气</w:t>
            </w:r>
          </w:p>
          <w:p w14:paraId="1A9CF300">
            <w:pPr>
              <w:keepNext w:val="0"/>
              <w:keepLines w:val="0"/>
              <w:suppressLineNumbers w:val="0"/>
              <w:spacing w:before="0" w:beforeAutospacing="0" w:after="0" w:afterAutospacing="0" w:line="500" w:lineRule="exact"/>
              <w:ind w:left="0" w:right="0" w:firstLine="480" w:firstLineChars="200"/>
              <w:rPr>
                <w:rFonts w:hint="default"/>
                <w:color w:val="auto"/>
                <w:sz w:val="24"/>
                <w:szCs w:val="20"/>
                <w:highlight w:val="none"/>
              </w:rPr>
            </w:pPr>
            <w:r>
              <w:rPr>
                <w:rFonts w:hint="default"/>
                <w:color w:val="auto"/>
                <w:sz w:val="24"/>
                <w:szCs w:val="20"/>
                <w:highlight w:val="none"/>
              </w:rPr>
              <w:t>1）基本污染物环境质量现状监测数据</w:t>
            </w:r>
          </w:p>
          <w:p w14:paraId="2983F3A3">
            <w:pPr>
              <w:pStyle w:val="172"/>
              <w:keepNext w:val="0"/>
              <w:keepLines w:val="0"/>
              <w:suppressLineNumbers w:val="0"/>
              <w:spacing w:before="0" w:beforeAutospacing="0" w:after="0" w:afterAutospacing="0" w:line="460" w:lineRule="exact"/>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根据《环境影响评价技术导则 大气环境》（HJ2.2-2018）要求，采用地方生态环境主管部门公开发布的评价基准年环境质量公告的数据对项目所在区域进行区域达标判定。</w:t>
            </w:r>
          </w:p>
          <w:p w14:paraId="00A2FA86">
            <w:pPr>
              <w:pStyle w:val="172"/>
              <w:keepNext w:val="0"/>
              <w:keepLines w:val="0"/>
              <w:suppressLineNumbers w:val="0"/>
              <w:spacing w:before="0" w:beforeAutospacing="0" w:after="0" w:afterAutospacing="0" w:line="460" w:lineRule="exact"/>
              <w:ind w:left="0" w:right="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根据</w:t>
            </w:r>
            <w:r>
              <w:rPr>
                <w:rFonts w:hint="default" w:ascii="Times New Roman" w:hAnsi="Times New Roman" w:eastAsia="宋体" w:cs="Times New Roman"/>
                <w:smallCaps w:val="0"/>
                <w:color w:val="auto"/>
                <w:spacing w:val="0"/>
                <w:highlight w:val="none"/>
                <w:lang w:eastAsia="zh-CN"/>
              </w:rPr>
              <w:t>河北省生态环境厅</w:t>
            </w:r>
            <w:r>
              <w:rPr>
                <w:rFonts w:hint="default" w:ascii="Times New Roman" w:hAnsi="Times New Roman" w:eastAsia="宋体" w:cs="Times New Roman"/>
                <w:smallCaps w:val="0"/>
                <w:color w:val="auto"/>
                <w:spacing w:val="0"/>
                <w:highlight w:val="none"/>
              </w:rPr>
              <w:t>发布的</w:t>
            </w:r>
            <w:r>
              <w:rPr>
                <w:rFonts w:hint="default" w:ascii="Times New Roman" w:hAnsi="Times New Roman" w:eastAsia="宋体" w:cs="Times New Roman"/>
                <w:smallCaps w:val="0"/>
                <w:color w:val="auto"/>
                <w:spacing w:val="0"/>
                <w:highlight w:val="none"/>
                <w:lang w:eastAsia="zh-CN"/>
              </w:rPr>
              <w:t>《2025河北省生态环境状况公报》</w:t>
            </w:r>
            <w:r>
              <w:rPr>
                <w:rFonts w:hint="default" w:ascii="Times New Roman" w:hAnsi="Times New Roman" w:eastAsia="宋体" w:cs="Times New Roman"/>
                <w:smallCaps w:val="0"/>
                <w:color w:val="auto"/>
                <w:spacing w:val="0"/>
                <w:highlight w:val="none"/>
              </w:rPr>
              <w:t>中相关数据，</w:t>
            </w:r>
            <w:r>
              <w:rPr>
                <w:rFonts w:hint="default" w:ascii="Times New Roman" w:hAnsi="Times New Roman" w:eastAsia="宋体" w:cs="Times New Roman"/>
                <w:smallCaps w:val="0"/>
                <w:color w:val="auto"/>
                <w:spacing w:val="0"/>
                <w:highlight w:val="none"/>
                <w:lang w:val="en-US" w:eastAsia="zh-CN"/>
              </w:rPr>
              <w:t>石家庄市</w:t>
            </w:r>
            <w:r>
              <w:rPr>
                <w:rFonts w:hint="default" w:ascii="Times New Roman" w:hAnsi="Times New Roman" w:eastAsia="宋体" w:cs="Times New Roman"/>
                <w:smallCaps w:val="0"/>
                <w:color w:val="auto"/>
                <w:spacing w:val="0"/>
                <w:highlight w:val="none"/>
              </w:rPr>
              <w:t>环境空气质量现状评价结果见</w:t>
            </w:r>
            <w:r>
              <w:rPr>
                <w:rFonts w:hint="default" w:ascii="Times New Roman" w:hAnsi="Times New Roman" w:eastAsia="宋体" w:cs="Times New Roman"/>
                <w:smallCaps w:val="0"/>
                <w:snapToGrid w:val="0"/>
                <w:color w:val="auto"/>
                <w:spacing w:val="0"/>
                <w:kern w:val="0"/>
                <w:highlight w:val="none"/>
              </w:rPr>
              <w:t>下表。</w:t>
            </w:r>
          </w:p>
          <w:p w14:paraId="407030A8">
            <w:pPr>
              <w:pStyle w:val="18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表</w:t>
            </w:r>
            <w:r>
              <w:rPr>
                <w:rFonts w:hint="default" w:ascii="Times New Roman" w:hAnsi="Times New Roman" w:eastAsia="宋体" w:cs="Times New Roman"/>
                <w:smallCaps w:val="0"/>
                <w:color w:val="auto"/>
                <w:spacing w:val="0"/>
                <w:highlight w:val="none"/>
                <w:lang w:val="en-US" w:eastAsia="zh-CN"/>
              </w:rPr>
              <w:t>3-1</w:t>
            </w:r>
            <w:r>
              <w:rPr>
                <w:rFonts w:hint="default" w:ascii="Times New Roman" w:hAnsi="Times New Roman" w:eastAsia="宋体" w:cs="Times New Roman"/>
                <w:smallCaps w:val="0"/>
                <w:color w:val="auto"/>
                <w:spacing w:val="0"/>
                <w:highlight w:val="none"/>
              </w:rPr>
              <w:t xml:space="preserve">  </w:t>
            </w:r>
            <w:r>
              <w:rPr>
                <w:rFonts w:hint="default" w:ascii="Times New Roman" w:hAnsi="Times New Roman" w:eastAsia="宋体" w:cs="Times New Roman"/>
                <w:smallCaps w:val="0"/>
                <w:color w:val="auto"/>
                <w:spacing w:val="0"/>
                <w:highlight w:val="none"/>
                <w:lang w:val="en-US" w:eastAsia="zh-CN"/>
              </w:rPr>
              <w:t xml:space="preserve"> 石家庄市</w:t>
            </w:r>
            <w:r>
              <w:rPr>
                <w:rFonts w:hint="default" w:ascii="Times New Roman" w:hAnsi="Times New Roman" w:eastAsia="宋体" w:cs="Times New Roman"/>
                <w:smallCaps w:val="0"/>
                <w:color w:val="auto"/>
                <w:spacing w:val="0"/>
                <w:highlight w:val="none"/>
              </w:rPr>
              <w:t>环境空气质量现状判定表</w:t>
            </w:r>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83"/>
              <w:gridCol w:w="2298"/>
              <w:gridCol w:w="1218"/>
              <w:gridCol w:w="1080"/>
              <w:gridCol w:w="1080"/>
              <w:gridCol w:w="1104"/>
            </w:tblGrid>
            <w:tr w14:paraId="71E9D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576" w:type="pct"/>
                  <w:noWrap w:val="0"/>
                  <w:vAlign w:val="center"/>
                </w:tcPr>
                <w:p w14:paraId="33D15234">
                  <w:pPr>
                    <w:pStyle w:val="172"/>
                    <w:keepNext w:val="0"/>
                    <w:keepLines w:val="0"/>
                    <w:suppressLineNumbers w:val="0"/>
                    <w:adjustRightInd w:val="0"/>
                    <w:snapToGrid w:val="0"/>
                    <w:spacing w:before="0" w:beforeAutospacing="0" w:after="0" w:afterAutospacing="0" w:line="320" w:lineRule="exact"/>
                    <w:ind w:left="0" w:right="0" w:firstLine="0" w:firstLineChars="0"/>
                    <w:jc w:val="center"/>
                    <w:rPr>
                      <w:rFonts w:hint="default" w:ascii="Times New Roman" w:hAnsi="Times New Roman" w:eastAsia="宋体" w:cs="Times New Roman"/>
                      <w:smallCaps w:val="0"/>
                      <w:color w:val="auto"/>
                      <w:spacing w:val="0"/>
                      <w:kern w:val="0"/>
                      <w:sz w:val="21"/>
                      <w:szCs w:val="18"/>
                      <w:highlight w:val="none"/>
                    </w:rPr>
                  </w:pPr>
                  <w:r>
                    <w:rPr>
                      <w:rFonts w:hint="default" w:ascii="Times New Roman" w:hAnsi="Times New Roman" w:eastAsia="宋体" w:cs="Times New Roman"/>
                      <w:smallCaps w:val="0"/>
                      <w:color w:val="auto"/>
                      <w:spacing w:val="0"/>
                      <w:kern w:val="0"/>
                      <w:sz w:val="21"/>
                      <w:szCs w:val="18"/>
                      <w:highlight w:val="none"/>
                    </w:rPr>
                    <w:t>污染物名称</w:t>
                  </w:r>
                </w:p>
              </w:tc>
              <w:tc>
                <w:tcPr>
                  <w:tcW w:w="1498" w:type="pct"/>
                  <w:noWrap w:val="0"/>
                  <w:vAlign w:val="center"/>
                </w:tcPr>
                <w:p w14:paraId="000A397D">
                  <w:pPr>
                    <w:pStyle w:val="172"/>
                    <w:keepNext w:val="0"/>
                    <w:keepLines w:val="0"/>
                    <w:suppressLineNumbers w:val="0"/>
                    <w:adjustRightInd w:val="0"/>
                    <w:snapToGrid w:val="0"/>
                    <w:spacing w:before="0" w:beforeAutospacing="0" w:after="0" w:afterAutospacing="0" w:line="320" w:lineRule="exact"/>
                    <w:ind w:left="0" w:right="0" w:firstLine="0" w:firstLineChars="0"/>
                    <w:jc w:val="center"/>
                    <w:rPr>
                      <w:rFonts w:hint="default" w:ascii="Times New Roman" w:hAnsi="Times New Roman" w:eastAsia="宋体" w:cs="Times New Roman"/>
                      <w:smallCaps w:val="0"/>
                      <w:color w:val="auto"/>
                      <w:spacing w:val="0"/>
                      <w:kern w:val="0"/>
                      <w:sz w:val="21"/>
                      <w:szCs w:val="18"/>
                      <w:highlight w:val="none"/>
                    </w:rPr>
                  </w:pPr>
                  <w:r>
                    <w:rPr>
                      <w:rFonts w:hint="default" w:ascii="Times New Roman" w:hAnsi="Times New Roman" w:eastAsia="宋体" w:cs="Times New Roman"/>
                      <w:smallCaps w:val="0"/>
                      <w:color w:val="auto"/>
                      <w:spacing w:val="0"/>
                      <w:kern w:val="0"/>
                      <w:sz w:val="21"/>
                      <w:szCs w:val="18"/>
                      <w:highlight w:val="none"/>
                    </w:rPr>
                    <w:t>年评价指标</w:t>
                  </w:r>
                </w:p>
              </w:tc>
              <w:tc>
                <w:tcPr>
                  <w:tcW w:w="794" w:type="pct"/>
                  <w:noWrap w:val="0"/>
                  <w:vAlign w:val="center"/>
                </w:tcPr>
                <w:p w14:paraId="64EB19EC">
                  <w:pPr>
                    <w:pStyle w:val="172"/>
                    <w:keepNext w:val="0"/>
                    <w:keepLines w:val="0"/>
                    <w:suppressLineNumbers w:val="0"/>
                    <w:adjustRightInd w:val="0"/>
                    <w:snapToGrid w:val="0"/>
                    <w:spacing w:before="0" w:beforeAutospacing="0" w:after="0" w:afterAutospacing="0" w:line="320" w:lineRule="exact"/>
                    <w:ind w:left="0" w:right="0" w:firstLine="0" w:firstLineChars="0"/>
                    <w:jc w:val="center"/>
                    <w:rPr>
                      <w:rFonts w:hint="default" w:ascii="Times New Roman" w:hAnsi="Times New Roman" w:eastAsia="宋体" w:cs="Times New Roman"/>
                      <w:smallCaps w:val="0"/>
                      <w:color w:val="auto"/>
                      <w:spacing w:val="0"/>
                      <w:kern w:val="0"/>
                      <w:sz w:val="21"/>
                      <w:szCs w:val="18"/>
                      <w:highlight w:val="none"/>
                    </w:rPr>
                  </w:pPr>
                  <w:r>
                    <w:rPr>
                      <w:rFonts w:hint="default" w:ascii="Times New Roman" w:hAnsi="Times New Roman" w:eastAsia="宋体" w:cs="Times New Roman"/>
                      <w:smallCaps w:val="0"/>
                      <w:color w:val="auto"/>
                      <w:spacing w:val="0"/>
                      <w:kern w:val="0"/>
                      <w:sz w:val="21"/>
                      <w:szCs w:val="18"/>
                      <w:highlight w:val="none"/>
                    </w:rPr>
                    <w:t>现状浓度</w:t>
                  </w:r>
                </w:p>
                <w:p w14:paraId="3A48467E">
                  <w:pPr>
                    <w:pStyle w:val="172"/>
                    <w:keepNext w:val="0"/>
                    <w:keepLines w:val="0"/>
                    <w:suppressLineNumbers w:val="0"/>
                    <w:adjustRightInd w:val="0"/>
                    <w:snapToGrid w:val="0"/>
                    <w:spacing w:before="0" w:beforeAutospacing="0" w:after="0" w:afterAutospacing="0" w:line="320" w:lineRule="exact"/>
                    <w:ind w:left="0" w:right="0" w:firstLine="0" w:firstLineChars="0"/>
                    <w:jc w:val="center"/>
                    <w:rPr>
                      <w:rFonts w:hint="default" w:ascii="Times New Roman" w:hAnsi="Times New Roman" w:eastAsia="宋体" w:cs="Times New Roman"/>
                      <w:smallCaps w:val="0"/>
                      <w:color w:val="auto"/>
                      <w:spacing w:val="0"/>
                      <w:kern w:val="0"/>
                      <w:sz w:val="21"/>
                      <w:szCs w:val="18"/>
                      <w:highlight w:val="none"/>
                    </w:rPr>
                  </w:pPr>
                  <w:r>
                    <w:rPr>
                      <w:rFonts w:hint="default" w:ascii="Times New Roman" w:hAnsi="Times New Roman" w:eastAsia="宋体" w:cs="Times New Roman"/>
                      <w:smallCaps w:val="0"/>
                      <w:color w:val="auto"/>
                      <w:spacing w:val="0"/>
                      <w:kern w:val="0"/>
                      <w:sz w:val="21"/>
                      <w:szCs w:val="18"/>
                      <w:highlight w:val="none"/>
                    </w:rPr>
                    <w:t>（μg/m</w:t>
                  </w:r>
                  <w:r>
                    <w:rPr>
                      <w:rFonts w:hint="default" w:ascii="Times New Roman" w:hAnsi="Times New Roman" w:eastAsia="宋体" w:cs="Times New Roman"/>
                      <w:smallCaps w:val="0"/>
                      <w:color w:val="auto"/>
                      <w:spacing w:val="0"/>
                      <w:kern w:val="0"/>
                      <w:sz w:val="21"/>
                      <w:szCs w:val="18"/>
                      <w:highlight w:val="none"/>
                      <w:vertAlign w:val="superscript"/>
                    </w:rPr>
                    <w:t>3</w:t>
                  </w:r>
                  <w:r>
                    <w:rPr>
                      <w:rFonts w:hint="default" w:ascii="Times New Roman" w:hAnsi="Times New Roman" w:eastAsia="宋体" w:cs="Times New Roman"/>
                      <w:smallCaps w:val="0"/>
                      <w:color w:val="auto"/>
                      <w:spacing w:val="0"/>
                      <w:kern w:val="0"/>
                      <w:sz w:val="21"/>
                      <w:szCs w:val="18"/>
                      <w:highlight w:val="none"/>
                    </w:rPr>
                    <w:t>）</w:t>
                  </w:r>
                </w:p>
              </w:tc>
              <w:tc>
                <w:tcPr>
                  <w:tcW w:w="704" w:type="pct"/>
                  <w:noWrap w:val="0"/>
                  <w:vAlign w:val="center"/>
                </w:tcPr>
                <w:p w14:paraId="2FF3C25E">
                  <w:pPr>
                    <w:pStyle w:val="172"/>
                    <w:keepNext w:val="0"/>
                    <w:keepLines w:val="0"/>
                    <w:suppressLineNumbers w:val="0"/>
                    <w:adjustRightInd w:val="0"/>
                    <w:snapToGrid w:val="0"/>
                    <w:spacing w:before="0" w:beforeAutospacing="0" w:after="0" w:afterAutospacing="0" w:line="320" w:lineRule="exact"/>
                    <w:ind w:left="0" w:right="0" w:firstLine="0" w:firstLineChars="0"/>
                    <w:jc w:val="center"/>
                    <w:rPr>
                      <w:rFonts w:hint="default" w:ascii="Times New Roman" w:hAnsi="Times New Roman" w:eastAsia="宋体" w:cs="Times New Roman"/>
                      <w:smallCaps w:val="0"/>
                      <w:color w:val="auto"/>
                      <w:spacing w:val="0"/>
                      <w:kern w:val="0"/>
                      <w:sz w:val="21"/>
                      <w:szCs w:val="18"/>
                      <w:highlight w:val="none"/>
                    </w:rPr>
                  </w:pPr>
                  <w:r>
                    <w:rPr>
                      <w:rFonts w:hint="default" w:ascii="Times New Roman" w:hAnsi="Times New Roman" w:eastAsia="宋体" w:cs="Times New Roman"/>
                      <w:smallCaps w:val="0"/>
                      <w:color w:val="auto"/>
                      <w:spacing w:val="0"/>
                      <w:kern w:val="0"/>
                      <w:sz w:val="21"/>
                      <w:szCs w:val="18"/>
                      <w:highlight w:val="none"/>
                    </w:rPr>
                    <w:t>标准值</w:t>
                  </w:r>
                </w:p>
                <w:p w14:paraId="150706DD">
                  <w:pPr>
                    <w:pStyle w:val="172"/>
                    <w:keepNext w:val="0"/>
                    <w:keepLines w:val="0"/>
                    <w:suppressLineNumbers w:val="0"/>
                    <w:adjustRightInd w:val="0"/>
                    <w:snapToGrid w:val="0"/>
                    <w:spacing w:before="0" w:beforeAutospacing="0" w:after="0" w:afterAutospacing="0" w:line="320" w:lineRule="exact"/>
                    <w:ind w:left="0" w:right="0" w:firstLine="0" w:firstLineChars="0"/>
                    <w:jc w:val="center"/>
                    <w:rPr>
                      <w:rFonts w:hint="default" w:ascii="Times New Roman" w:hAnsi="Times New Roman" w:eastAsia="宋体" w:cs="Times New Roman"/>
                      <w:smallCaps w:val="0"/>
                      <w:color w:val="auto"/>
                      <w:spacing w:val="0"/>
                      <w:kern w:val="0"/>
                      <w:sz w:val="21"/>
                      <w:szCs w:val="18"/>
                      <w:highlight w:val="none"/>
                    </w:rPr>
                  </w:pPr>
                  <w:r>
                    <w:rPr>
                      <w:rFonts w:hint="default" w:ascii="Times New Roman" w:hAnsi="Times New Roman" w:eastAsia="宋体" w:cs="Times New Roman"/>
                      <w:smallCaps w:val="0"/>
                      <w:color w:val="auto"/>
                      <w:spacing w:val="0"/>
                      <w:kern w:val="0"/>
                      <w:sz w:val="21"/>
                      <w:szCs w:val="18"/>
                      <w:highlight w:val="none"/>
                    </w:rPr>
                    <w:t>（μg/m</w:t>
                  </w:r>
                  <w:r>
                    <w:rPr>
                      <w:rFonts w:hint="default" w:ascii="Times New Roman" w:hAnsi="Times New Roman" w:eastAsia="宋体" w:cs="Times New Roman"/>
                      <w:smallCaps w:val="0"/>
                      <w:color w:val="auto"/>
                      <w:spacing w:val="0"/>
                      <w:kern w:val="0"/>
                      <w:sz w:val="21"/>
                      <w:szCs w:val="18"/>
                      <w:highlight w:val="none"/>
                      <w:vertAlign w:val="superscript"/>
                    </w:rPr>
                    <w:t>3</w:t>
                  </w:r>
                  <w:r>
                    <w:rPr>
                      <w:rFonts w:hint="default" w:ascii="Times New Roman" w:hAnsi="Times New Roman" w:eastAsia="宋体" w:cs="Times New Roman"/>
                      <w:smallCaps w:val="0"/>
                      <w:color w:val="auto"/>
                      <w:spacing w:val="0"/>
                      <w:kern w:val="0"/>
                      <w:sz w:val="21"/>
                      <w:szCs w:val="18"/>
                      <w:highlight w:val="none"/>
                    </w:rPr>
                    <w:t>）</w:t>
                  </w:r>
                </w:p>
              </w:tc>
              <w:tc>
                <w:tcPr>
                  <w:tcW w:w="704" w:type="pct"/>
                  <w:noWrap w:val="0"/>
                  <w:vAlign w:val="center"/>
                </w:tcPr>
                <w:p w14:paraId="22619D09">
                  <w:pPr>
                    <w:pStyle w:val="172"/>
                    <w:keepNext w:val="0"/>
                    <w:keepLines w:val="0"/>
                    <w:suppressLineNumbers w:val="0"/>
                    <w:adjustRightInd w:val="0"/>
                    <w:snapToGrid w:val="0"/>
                    <w:spacing w:before="0" w:beforeAutospacing="0" w:after="0" w:afterAutospacing="0" w:line="320" w:lineRule="exact"/>
                    <w:ind w:left="0" w:right="0" w:firstLine="0" w:firstLineChars="0"/>
                    <w:jc w:val="center"/>
                    <w:rPr>
                      <w:rFonts w:hint="default" w:ascii="Times New Roman" w:hAnsi="Times New Roman" w:eastAsia="宋体" w:cs="Times New Roman"/>
                      <w:smallCaps w:val="0"/>
                      <w:color w:val="auto"/>
                      <w:spacing w:val="0"/>
                      <w:kern w:val="0"/>
                      <w:sz w:val="21"/>
                      <w:szCs w:val="18"/>
                      <w:highlight w:val="none"/>
                    </w:rPr>
                  </w:pPr>
                  <w:r>
                    <w:rPr>
                      <w:rFonts w:hint="default" w:ascii="Times New Roman" w:hAnsi="Times New Roman" w:eastAsia="宋体" w:cs="Times New Roman"/>
                      <w:smallCaps w:val="0"/>
                      <w:color w:val="auto"/>
                      <w:spacing w:val="0"/>
                      <w:kern w:val="0"/>
                      <w:sz w:val="21"/>
                      <w:szCs w:val="18"/>
                      <w:highlight w:val="none"/>
                    </w:rPr>
                    <w:t>占标率%</w:t>
                  </w:r>
                </w:p>
              </w:tc>
              <w:tc>
                <w:tcPr>
                  <w:tcW w:w="720" w:type="pct"/>
                  <w:noWrap w:val="0"/>
                  <w:vAlign w:val="center"/>
                </w:tcPr>
                <w:p w14:paraId="3722E6FE">
                  <w:pPr>
                    <w:pStyle w:val="172"/>
                    <w:keepNext w:val="0"/>
                    <w:keepLines w:val="0"/>
                    <w:suppressLineNumbers w:val="0"/>
                    <w:adjustRightInd w:val="0"/>
                    <w:snapToGrid w:val="0"/>
                    <w:spacing w:before="0" w:beforeAutospacing="0" w:after="0" w:afterAutospacing="0" w:line="320" w:lineRule="exact"/>
                    <w:ind w:left="0" w:right="0" w:firstLine="0" w:firstLineChars="0"/>
                    <w:jc w:val="center"/>
                    <w:rPr>
                      <w:rFonts w:hint="default" w:ascii="Times New Roman" w:hAnsi="Times New Roman" w:eastAsia="宋体" w:cs="Times New Roman"/>
                      <w:smallCaps w:val="0"/>
                      <w:color w:val="auto"/>
                      <w:spacing w:val="0"/>
                      <w:kern w:val="0"/>
                      <w:sz w:val="21"/>
                      <w:szCs w:val="18"/>
                      <w:highlight w:val="none"/>
                    </w:rPr>
                  </w:pPr>
                  <w:r>
                    <w:rPr>
                      <w:rFonts w:hint="default" w:ascii="Times New Roman" w:hAnsi="Times New Roman" w:eastAsia="宋体" w:cs="Times New Roman"/>
                      <w:smallCaps w:val="0"/>
                      <w:color w:val="auto"/>
                      <w:spacing w:val="0"/>
                      <w:kern w:val="0"/>
                      <w:sz w:val="21"/>
                      <w:szCs w:val="18"/>
                      <w:highlight w:val="none"/>
                    </w:rPr>
                    <w:t>达标情况</w:t>
                  </w:r>
                </w:p>
              </w:tc>
            </w:tr>
            <w:tr w14:paraId="32FF2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93" w:hRule="atLeast"/>
                <w:jc w:val="center"/>
              </w:trPr>
              <w:tc>
                <w:tcPr>
                  <w:tcW w:w="576" w:type="pct"/>
                  <w:shd w:val="clear" w:color="auto" w:fill="auto"/>
                  <w:noWrap w:val="0"/>
                  <w:vAlign w:val="center"/>
                </w:tcPr>
                <w:p w14:paraId="2C8AC574">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PM</w:t>
                  </w:r>
                  <w:r>
                    <w:rPr>
                      <w:rFonts w:hint="default" w:ascii="Times New Roman" w:hAnsi="Times New Roman" w:eastAsia="宋体" w:cs="Times New Roman"/>
                      <w:smallCaps w:val="0"/>
                      <w:color w:val="auto"/>
                      <w:spacing w:val="0"/>
                      <w:kern w:val="0"/>
                      <w:sz w:val="21"/>
                      <w:szCs w:val="18"/>
                      <w:highlight w:val="none"/>
                      <w:vertAlign w:val="subscript"/>
                    </w:rPr>
                    <w:t>10</w:t>
                  </w:r>
                </w:p>
              </w:tc>
              <w:tc>
                <w:tcPr>
                  <w:tcW w:w="1498" w:type="pct"/>
                  <w:shd w:val="clear" w:color="auto" w:fill="auto"/>
                  <w:noWrap w:val="0"/>
                  <w:vAlign w:val="center"/>
                </w:tcPr>
                <w:p w14:paraId="2672F48D">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年平均质量浓度</w:t>
                  </w:r>
                </w:p>
              </w:tc>
              <w:tc>
                <w:tcPr>
                  <w:tcW w:w="1218" w:type="dxa"/>
                  <w:shd w:val="clear" w:color="auto" w:fill="auto"/>
                  <w:noWrap w:val="0"/>
                  <w:vAlign w:val="center"/>
                </w:tcPr>
                <w:p w14:paraId="7993633C">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67</w:t>
                  </w:r>
                </w:p>
              </w:tc>
              <w:tc>
                <w:tcPr>
                  <w:tcW w:w="1080" w:type="dxa"/>
                  <w:shd w:val="clear" w:color="auto" w:fill="auto"/>
                  <w:noWrap w:val="0"/>
                  <w:vAlign w:val="center"/>
                </w:tcPr>
                <w:p w14:paraId="553EF54E">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lang w:val="en-US" w:eastAsia="zh-CN"/>
                    </w:rPr>
                    <w:t>60</w:t>
                  </w:r>
                </w:p>
              </w:tc>
              <w:tc>
                <w:tcPr>
                  <w:tcW w:w="1080" w:type="dxa"/>
                  <w:shd w:val="clear" w:color="auto" w:fill="auto"/>
                  <w:noWrap w:val="0"/>
                  <w:vAlign w:val="center"/>
                </w:tcPr>
                <w:p w14:paraId="38BA35E4">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111.7</w:t>
                  </w:r>
                </w:p>
              </w:tc>
              <w:tc>
                <w:tcPr>
                  <w:tcW w:w="1104" w:type="dxa"/>
                  <w:shd w:val="clear" w:color="auto" w:fill="auto"/>
                  <w:noWrap w:val="0"/>
                  <w:vAlign w:val="center"/>
                </w:tcPr>
                <w:p w14:paraId="7FC6912E">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不达标</w:t>
                  </w:r>
                </w:p>
              </w:tc>
            </w:tr>
            <w:tr w14:paraId="685D2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576" w:type="pct"/>
                  <w:shd w:val="clear" w:color="auto" w:fill="auto"/>
                  <w:noWrap w:val="0"/>
                  <w:vAlign w:val="center"/>
                </w:tcPr>
                <w:p w14:paraId="34486ACD">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PM</w:t>
                  </w:r>
                  <w:r>
                    <w:rPr>
                      <w:rFonts w:hint="default" w:ascii="Times New Roman" w:hAnsi="Times New Roman" w:eastAsia="宋体" w:cs="Times New Roman"/>
                      <w:smallCaps w:val="0"/>
                      <w:color w:val="auto"/>
                      <w:spacing w:val="0"/>
                      <w:kern w:val="0"/>
                      <w:sz w:val="21"/>
                      <w:szCs w:val="18"/>
                      <w:highlight w:val="none"/>
                      <w:vertAlign w:val="subscript"/>
                    </w:rPr>
                    <w:t>2.5</w:t>
                  </w:r>
                </w:p>
              </w:tc>
              <w:tc>
                <w:tcPr>
                  <w:tcW w:w="1498" w:type="pct"/>
                  <w:shd w:val="clear" w:color="auto" w:fill="auto"/>
                  <w:noWrap w:val="0"/>
                  <w:vAlign w:val="center"/>
                </w:tcPr>
                <w:p w14:paraId="6098A8D7">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年平均质量浓度</w:t>
                  </w:r>
                </w:p>
              </w:tc>
              <w:tc>
                <w:tcPr>
                  <w:tcW w:w="1218" w:type="dxa"/>
                  <w:shd w:val="clear" w:color="auto" w:fill="auto"/>
                  <w:noWrap w:val="0"/>
                  <w:vAlign w:val="center"/>
                </w:tcPr>
                <w:p w14:paraId="46E948F9">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37</w:t>
                  </w:r>
                </w:p>
              </w:tc>
              <w:tc>
                <w:tcPr>
                  <w:tcW w:w="1080" w:type="dxa"/>
                  <w:shd w:val="clear" w:color="auto" w:fill="auto"/>
                  <w:noWrap w:val="0"/>
                  <w:vAlign w:val="center"/>
                </w:tcPr>
                <w:p w14:paraId="08277D29">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lang w:val="en-US" w:eastAsia="zh-CN"/>
                    </w:rPr>
                    <w:t>30</w:t>
                  </w:r>
                </w:p>
              </w:tc>
              <w:tc>
                <w:tcPr>
                  <w:tcW w:w="1080" w:type="dxa"/>
                  <w:shd w:val="clear" w:color="auto" w:fill="auto"/>
                  <w:noWrap w:val="0"/>
                  <w:vAlign w:val="center"/>
                </w:tcPr>
                <w:p w14:paraId="7748EE4B">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123.3</w:t>
                  </w:r>
                </w:p>
              </w:tc>
              <w:tc>
                <w:tcPr>
                  <w:tcW w:w="1104" w:type="dxa"/>
                  <w:shd w:val="clear" w:color="auto" w:fill="auto"/>
                  <w:noWrap w:val="0"/>
                  <w:vAlign w:val="center"/>
                </w:tcPr>
                <w:p w14:paraId="5A1B6598">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不达标</w:t>
                  </w:r>
                </w:p>
              </w:tc>
            </w:tr>
            <w:tr w14:paraId="76A40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576" w:type="pct"/>
                  <w:shd w:val="clear" w:color="auto" w:fill="auto"/>
                  <w:noWrap w:val="0"/>
                  <w:vAlign w:val="center"/>
                </w:tcPr>
                <w:p w14:paraId="532A8049">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SO</w:t>
                  </w:r>
                  <w:r>
                    <w:rPr>
                      <w:rFonts w:hint="default" w:ascii="Times New Roman" w:hAnsi="Times New Roman" w:eastAsia="宋体" w:cs="Times New Roman"/>
                      <w:smallCaps w:val="0"/>
                      <w:color w:val="auto"/>
                      <w:spacing w:val="0"/>
                      <w:kern w:val="0"/>
                      <w:sz w:val="21"/>
                      <w:szCs w:val="18"/>
                      <w:highlight w:val="none"/>
                      <w:vertAlign w:val="subscript"/>
                    </w:rPr>
                    <w:t>2</w:t>
                  </w:r>
                </w:p>
              </w:tc>
              <w:tc>
                <w:tcPr>
                  <w:tcW w:w="1498" w:type="pct"/>
                  <w:shd w:val="clear" w:color="auto" w:fill="auto"/>
                  <w:noWrap w:val="0"/>
                  <w:vAlign w:val="center"/>
                </w:tcPr>
                <w:p w14:paraId="223DCA5E">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年平均质量浓度</w:t>
                  </w:r>
                </w:p>
              </w:tc>
              <w:tc>
                <w:tcPr>
                  <w:tcW w:w="794" w:type="pct"/>
                  <w:shd w:val="clear" w:color="auto" w:fill="auto"/>
                  <w:noWrap w:val="0"/>
                  <w:vAlign w:val="center"/>
                </w:tcPr>
                <w:p w14:paraId="4555A186">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5</w:t>
                  </w:r>
                </w:p>
              </w:tc>
              <w:tc>
                <w:tcPr>
                  <w:tcW w:w="704" w:type="pct"/>
                  <w:shd w:val="clear" w:color="auto" w:fill="auto"/>
                  <w:noWrap w:val="0"/>
                  <w:vAlign w:val="center"/>
                </w:tcPr>
                <w:p w14:paraId="224C8F9A">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60</w:t>
                  </w:r>
                </w:p>
              </w:tc>
              <w:tc>
                <w:tcPr>
                  <w:tcW w:w="1080" w:type="dxa"/>
                  <w:shd w:val="clear" w:color="auto" w:fill="auto"/>
                  <w:noWrap w:val="0"/>
                  <w:vAlign w:val="center"/>
                </w:tcPr>
                <w:p w14:paraId="6C865F94">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8.3</w:t>
                  </w:r>
                </w:p>
              </w:tc>
              <w:tc>
                <w:tcPr>
                  <w:tcW w:w="720" w:type="pct"/>
                  <w:shd w:val="clear" w:color="auto" w:fill="auto"/>
                  <w:noWrap w:val="0"/>
                  <w:vAlign w:val="center"/>
                </w:tcPr>
                <w:p w14:paraId="5AAA9011">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达标</w:t>
                  </w:r>
                </w:p>
              </w:tc>
            </w:tr>
            <w:tr w14:paraId="5B42D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576" w:type="pct"/>
                  <w:shd w:val="clear" w:color="auto" w:fill="auto"/>
                  <w:noWrap w:val="0"/>
                  <w:vAlign w:val="center"/>
                </w:tcPr>
                <w:p w14:paraId="28FEB8D9">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NO</w:t>
                  </w:r>
                  <w:r>
                    <w:rPr>
                      <w:rFonts w:hint="default" w:ascii="Times New Roman" w:hAnsi="Times New Roman" w:eastAsia="宋体" w:cs="Times New Roman"/>
                      <w:smallCaps w:val="0"/>
                      <w:color w:val="auto"/>
                      <w:spacing w:val="0"/>
                      <w:kern w:val="0"/>
                      <w:sz w:val="21"/>
                      <w:szCs w:val="18"/>
                      <w:highlight w:val="none"/>
                      <w:vertAlign w:val="subscript"/>
                    </w:rPr>
                    <w:t>2</w:t>
                  </w:r>
                </w:p>
              </w:tc>
              <w:tc>
                <w:tcPr>
                  <w:tcW w:w="1498" w:type="pct"/>
                  <w:shd w:val="clear" w:color="auto" w:fill="auto"/>
                  <w:noWrap w:val="0"/>
                  <w:vAlign w:val="center"/>
                </w:tcPr>
                <w:p w14:paraId="4C69CFE1">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年平均质量浓度</w:t>
                  </w:r>
                </w:p>
              </w:tc>
              <w:tc>
                <w:tcPr>
                  <w:tcW w:w="794" w:type="pct"/>
                  <w:shd w:val="clear" w:color="auto" w:fill="auto"/>
                  <w:noWrap w:val="0"/>
                  <w:vAlign w:val="center"/>
                </w:tcPr>
                <w:p w14:paraId="2FDCDB56">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24</w:t>
                  </w:r>
                </w:p>
              </w:tc>
              <w:tc>
                <w:tcPr>
                  <w:tcW w:w="704" w:type="pct"/>
                  <w:shd w:val="clear" w:color="auto" w:fill="auto"/>
                  <w:noWrap w:val="0"/>
                  <w:vAlign w:val="center"/>
                </w:tcPr>
                <w:p w14:paraId="77A804F1">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40</w:t>
                  </w:r>
                </w:p>
              </w:tc>
              <w:tc>
                <w:tcPr>
                  <w:tcW w:w="1080" w:type="dxa"/>
                  <w:shd w:val="clear" w:color="auto" w:fill="auto"/>
                  <w:noWrap w:val="0"/>
                  <w:vAlign w:val="center"/>
                </w:tcPr>
                <w:p w14:paraId="4C6B9E49">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60</w:t>
                  </w:r>
                </w:p>
              </w:tc>
              <w:tc>
                <w:tcPr>
                  <w:tcW w:w="720" w:type="pct"/>
                  <w:shd w:val="clear" w:color="auto" w:fill="auto"/>
                  <w:noWrap w:val="0"/>
                  <w:vAlign w:val="center"/>
                </w:tcPr>
                <w:p w14:paraId="41B40CF1">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达标</w:t>
                  </w:r>
                </w:p>
              </w:tc>
            </w:tr>
            <w:tr w14:paraId="68F53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576" w:type="pct"/>
                  <w:shd w:val="clear" w:color="auto" w:fill="auto"/>
                  <w:noWrap w:val="0"/>
                  <w:vAlign w:val="center"/>
                </w:tcPr>
                <w:p w14:paraId="5F9F0624">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CO</w:t>
                  </w:r>
                </w:p>
              </w:tc>
              <w:tc>
                <w:tcPr>
                  <w:tcW w:w="1498" w:type="pct"/>
                  <w:shd w:val="clear" w:color="auto" w:fill="auto"/>
                  <w:noWrap w:val="0"/>
                  <w:vAlign w:val="center"/>
                </w:tcPr>
                <w:p w14:paraId="2A4900EF">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sz w:val="21"/>
                      <w:highlight w:val="none"/>
                    </w:rPr>
                    <w:t>24小时第95位百分位数</w:t>
                  </w:r>
                </w:p>
              </w:tc>
              <w:tc>
                <w:tcPr>
                  <w:tcW w:w="794" w:type="pct"/>
                  <w:shd w:val="clear" w:color="auto" w:fill="auto"/>
                  <w:noWrap w:val="0"/>
                  <w:vAlign w:val="center"/>
                </w:tcPr>
                <w:p w14:paraId="03FDB427">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1000</w:t>
                  </w:r>
                </w:p>
              </w:tc>
              <w:tc>
                <w:tcPr>
                  <w:tcW w:w="704" w:type="pct"/>
                  <w:shd w:val="clear" w:color="auto" w:fill="auto"/>
                  <w:noWrap w:val="0"/>
                  <w:vAlign w:val="center"/>
                </w:tcPr>
                <w:p w14:paraId="2D2FF2F8">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4000</w:t>
                  </w:r>
                </w:p>
              </w:tc>
              <w:tc>
                <w:tcPr>
                  <w:tcW w:w="1080" w:type="dxa"/>
                  <w:shd w:val="clear" w:color="auto" w:fill="auto"/>
                  <w:noWrap w:val="0"/>
                  <w:vAlign w:val="center"/>
                </w:tcPr>
                <w:p w14:paraId="06BE8CF8">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25</w:t>
                  </w:r>
                </w:p>
              </w:tc>
              <w:tc>
                <w:tcPr>
                  <w:tcW w:w="720" w:type="pct"/>
                  <w:shd w:val="clear" w:color="auto" w:fill="auto"/>
                  <w:noWrap w:val="0"/>
                  <w:vAlign w:val="center"/>
                </w:tcPr>
                <w:p w14:paraId="78886516">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达标</w:t>
                  </w:r>
                </w:p>
              </w:tc>
            </w:tr>
            <w:tr w14:paraId="010FE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55" w:hRule="atLeast"/>
                <w:jc w:val="center"/>
              </w:trPr>
              <w:tc>
                <w:tcPr>
                  <w:tcW w:w="576" w:type="pct"/>
                  <w:shd w:val="clear" w:color="auto" w:fill="auto"/>
                  <w:noWrap w:val="0"/>
                  <w:vAlign w:val="center"/>
                </w:tcPr>
                <w:p w14:paraId="1A66EAC9">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O</w:t>
                  </w:r>
                  <w:r>
                    <w:rPr>
                      <w:rFonts w:hint="default" w:ascii="Times New Roman" w:hAnsi="Times New Roman" w:eastAsia="宋体" w:cs="Times New Roman"/>
                      <w:smallCaps w:val="0"/>
                      <w:color w:val="auto"/>
                      <w:spacing w:val="0"/>
                      <w:kern w:val="0"/>
                      <w:sz w:val="21"/>
                      <w:szCs w:val="18"/>
                      <w:highlight w:val="none"/>
                      <w:vertAlign w:val="subscript"/>
                    </w:rPr>
                    <w:t>3</w:t>
                  </w:r>
                </w:p>
              </w:tc>
              <w:tc>
                <w:tcPr>
                  <w:tcW w:w="1498" w:type="pct"/>
                  <w:shd w:val="clear" w:color="auto" w:fill="auto"/>
                  <w:noWrap w:val="0"/>
                  <w:vAlign w:val="center"/>
                </w:tcPr>
                <w:p w14:paraId="518E4715">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sz w:val="21"/>
                      <w:highlight w:val="none"/>
                    </w:rPr>
                    <w:t>日最大8小时平均浓度第90百分位数</w:t>
                  </w:r>
                </w:p>
              </w:tc>
              <w:tc>
                <w:tcPr>
                  <w:tcW w:w="794" w:type="pct"/>
                  <w:shd w:val="clear" w:color="auto" w:fill="auto"/>
                  <w:noWrap w:val="0"/>
                  <w:vAlign w:val="center"/>
                </w:tcPr>
                <w:p w14:paraId="08DC28EB">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171</w:t>
                  </w:r>
                </w:p>
              </w:tc>
              <w:tc>
                <w:tcPr>
                  <w:tcW w:w="704" w:type="pct"/>
                  <w:shd w:val="clear" w:color="auto" w:fill="auto"/>
                  <w:noWrap w:val="0"/>
                  <w:vAlign w:val="center"/>
                </w:tcPr>
                <w:p w14:paraId="2ECAAEB8">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160</w:t>
                  </w:r>
                </w:p>
              </w:tc>
              <w:tc>
                <w:tcPr>
                  <w:tcW w:w="1080" w:type="dxa"/>
                  <w:shd w:val="clear" w:color="auto" w:fill="auto"/>
                  <w:noWrap w:val="0"/>
                  <w:vAlign w:val="center"/>
                </w:tcPr>
                <w:p w14:paraId="36B6587D">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snapToGrid w:val="0"/>
                      <w:color w:val="auto"/>
                      <w:spacing w:val="0"/>
                      <w:kern w:val="0"/>
                      <w:sz w:val="21"/>
                      <w:szCs w:val="18"/>
                      <w:highlight w:val="none"/>
                      <w:lang w:val="en-US" w:eastAsia="zh-CN" w:bidi="ar-SA"/>
                    </w:rPr>
                    <w:t>106.9</w:t>
                  </w:r>
                </w:p>
              </w:tc>
              <w:tc>
                <w:tcPr>
                  <w:tcW w:w="720" w:type="pct"/>
                  <w:shd w:val="clear" w:color="auto" w:fill="auto"/>
                  <w:noWrap w:val="0"/>
                  <w:vAlign w:val="center"/>
                </w:tcPr>
                <w:p w14:paraId="476BBF7B">
                  <w:pPr>
                    <w:pStyle w:val="172"/>
                    <w:keepNext w:val="0"/>
                    <w:keepLines w:val="0"/>
                    <w:suppressLineNumbers w:val="0"/>
                    <w:adjustRightInd w:val="0"/>
                    <w:snapToGrid w:val="0"/>
                    <w:spacing w:before="0" w:beforeAutospacing="0" w:after="0" w:afterAutospacing="0" w:line="320" w:lineRule="exact"/>
                    <w:ind w:left="0" w:leftChars="0" w:right="0" w:rightChars="0" w:firstLine="0" w:firstLineChars="0"/>
                    <w:jc w:val="center"/>
                    <w:rPr>
                      <w:rFonts w:hint="default" w:ascii="Times New Roman" w:hAnsi="Times New Roman" w:eastAsia="宋体" w:cs="Times New Roman"/>
                      <w:smallCaps w:val="0"/>
                      <w:snapToGrid w:val="0"/>
                      <w:color w:val="auto"/>
                      <w:spacing w:val="0"/>
                      <w:kern w:val="0"/>
                      <w:sz w:val="21"/>
                      <w:szCs w:val="18"/>
                      <w:highlight w:val="none"/>
                      <w:lang w:val="en-US" w:eastAsia="zh-CN" w:bidi="ar-SA"/>
                    </w:rPr>
                  </w:pPr>
                  <w:r>
                    <w:rPr>
                      <w:rFonts w:hint="default" w:ascii="Times New Roman" w:hAnsi="Times New Roman" w:eastAsia="宋体" w:cs="Times New Roman"/>
                      <w:smallCaps w:val="0"/>
                      <w:color w:val="auto"/>
                      <w:spacing w:val="0"/>
                      <w:kern w:val="0"/>
                      <w:sz w:val="21"/>
                      <w:szCs w:val="18"/>
                      <w:highlight w:val="none"/>
                    </w:rPr>
                    <w:t>不达标</w:t>
                  </w:r>
                </w:p>
              </w:tc>
            </w:tr>
          </w:tbl>
          <w:p w14:paraId="07ED9680">
            <w:pPr>
              <w:pStyle w:val="172"/>
              <w:keepNext w:val="0"/>
              <w:keepLines w:val="0"/>
              <w:suppressLineNumbers w:val="0"/>
              <w:spacing w:before="0" w:beforeAutospacing="0" w:after="0" w:afterAutospacing="0" w:line="460" w:lineRule="exact"/>
              <w:ind w:left="0" w:right="0"/>
              <w:rPr>
                <w:rFonts w:hint="default" w:ascii="Times New Roman" w:hAnsi="Times New Roman" w:eastAsia="宋体" w:cs="Times New Roman"/>
                <w:smallCaps w:val="0"/>
                <w:color w:val="auto"/>
                <w:spacing w:val="0"/>
                <w:highlight w:val="none"/>
                <w:lang w:eastAsia="zh-CN"/>
              </w:rPr>
            </w:pPr>
            <w:r>
              <w:rPr>
                <w:rFonts w:hint="default" w:ascii="Times New Roman" w:hAnsi="Times New Roman" w:eastAsia="宋体" w:cs="Times New Roman"/>
                <w:smallCaps w:val="0"/>
                <w:color w:val="auto"/>
                <w:spacing w:val="0"/>
                <w:highlight w:val="none"/>
              </w:rPr>
              <w:t>由上表</w:t>
            </w:r>
            <w:r>
              <w:rPr>
                <w:rFonts w:hint="default" w:ascii="Times New Roman" w:hAnsi="Times New Roman" w:eastAsia="宋体" w:cs="Times New Roman"/>
                <w:smallCaps w:val="0"/>
                <w:color w:val="auto"/>
                <w:spacing w:val="0"/>
                <w:sz w:val="24"/>
                <w:szCs w:val="24"/>
                <w:highlight w:val="none"/>
              </w:rPr>
              <w:t>可知，</w:t>
            </w:r>
            <w:r>
              <w:rPr>
                <w:rFonts w:hint="default" w:ascii="Times New Roman" w:hAnsi="Times New Roman" w:eastAsia="宋体" w:cs="Times New Roman"/>
                <w:smallCaps w:val="0"/>
                <w:color w:val="auto"/>
                <w:spacing w:val="0"/>
                <w:kern w:val="0"/>
                <w:sz w:val="24"/>
                <w:szCs w:val="24"/>
                <w:highlight w:val="none"/>
              </w:rPr>
              <w:t>PM</w:t>
            </w:r>
            <w:r>
              <w:rPr>
                <w:rFonts w:hint="default" w:ascii="Times New Roman" w:hAnsi="Times New Roman" w:eastAsia="宋体" w:cs="Times New Roman"/>
                <w:smallCaps w:val="0"/>
                <w:color w:val="auto"/>
                <w:spacing w:val="0"/>
                <w:kern w:val="0"/>
                <w:sz w:val="24"/>
                <w:szCs w:val="24"/>
                <w:highlight w:val="none"/>
                <w:vertAlign w:val="subscript"/>
              </w:rPr>
              <w:t>10</w:t>
            </w:r>
            <w:r>
              <w:rPr>
                <w:rFonts w:hint="default" w:ascii="Times New Roman" w:hAnsi="Times New Roman" w:eastAsia="宋体" w:cs="Times New Roman"/>
                <w:smallCaps w:val="0"/>
                <w:color w:val="auto"/>
                <w:spacing w:val="0"/>
                <w:kern w:val="0"/>
                <w:sz w:val="24"/>
                <w:szCs w:val="24"/>
                <w:highlight w:val="none"/>
                <w:vertAlign w:val="baseline"/>
                <w:lang w:eastAsia="zh-CN"/>
              </w:rPr>
              <w:t>、</w:t>
            </w:r>
            <w:r>
              <w:rPr>
                <w:rFonts w:hint="default" w:ascii="Times New Roman" w:hAnsi="Times New Roman" w:eastAsia="宋体" w:cs="Times New Roman"/>
                <w:smallCaps w:val="0"/>
                <w:color w:val="auto"/>
                <w:spacing w:val="0"/>
                <w:kern w:val="0"/>
                <w:sz w:val="24"/>
                <w:szCs w:val="24"/>
                <w:highlight w:val="none"/>
              </w:rPr>
              <w:t>PM</w:t>
            </w:r>
            <w:r>
              <w:rPr>
                <w:rFonts w:hint="default" w:ascii="Times New Roman" w:hAnsi="Times New Roman" w:eastAsia="宋体" w:cs="Times New Roman"/>
                <w:smallCaps w:val="0"/>
                <w:color w:val="auto"/>
                <w:spacing w:val="0"/>
                <w:kern w:val="0"/>
                <w:sz w:val="24"/>
                <w:szCs w:val="24"/>
                <w:highlight w:val="none"/>
                <w:vertAlign w:val="subscript"/>
              </w:rPr>
              <w:t>2.5</w:t>
            </w:r>
            <w:r>
              <w:rPr>
                <w:rFonts w:hint="default" w:ascii="Times New Roman" w:hAnsi="Times New Roman" w:eastAsia="宋体" w:cs="Times New Roman"/>
                <w:smallCaps w:val="0"/>
                <w:color w:val="auto"/>
                <w:spacing w:val="0"/>
                <w:kern w:val="0"/>
                <w:sz w:val="24"/>
                <w:szCs w:val="24"/>
                <w:highlight w:val="none"/>
                <w:vertAlign w:val="baseline"/>
                <w:lang w:eastAsia="zh-CN"/>
              </w:rPr>
              <w:t>、</w:t>
            </w:r>
            <w:r>
              <w:rPr>
                <w:rFonts w:hint="default" w:ascii="Times New Roman" w:hAnsi="Times New Roman" w:eastAsia="宋体" w:cs="Times New Roman"/>
                <w:smallCaps w:val="0"/>
                <w:color w:val="auto"/>
                <w:spacing w:val="0"/>
                <w:kern w:val="0"/>
                <w:sz w:val="24"/>
                <w:szCs w:val="24"/>
                <w:highlight w:val="none"/>
              </w:rPr>
              <w:t>O</w:t>
            </w:r>
            <w:r>
              <w:rPr>
                <w:rFonts w:hint="default" w:ascii="Times New Roman" w:hAnsi="Times New Roman" w:eastAsia="宋体" w:cs="Times New Roman"/>
                <w:smallCaps w:val="0"/>
                <w:color w:val="auto"/>
                <w:spacing w:val="0"/>
                <w:kern w:val="0"/>
                <w:sz w:val="24"/>
                <w:szCs w:val="24"/>
                <w:highlight w:val="none"/>
                <w:vertAlign w:val="subscript"/>
              </w:rPr>
              <w:t>3</w:t>
            </w:r>
            <w:r>
              <w:rPr>
                <w:rFonts w:hint="default" w:ascii="Times New Roman" w:hAnsi="Times New Roman" w:eastAsia="宋体" w:cs="Times New Roman"/>
                <w:smallCaps w:val="0"/>
                <w:color w:val="auto"/>
                <w:spacing w:val="0"/>
                <w:kern w:val="0"/>
                <w:sz w:val="24"/>
                <w:szCs w:val="24"/>
                <w:highlight w:val="none"/>
                <w:vertAlign w:val="baseline"/>
                <w:lang w:val="en-US" w:eastAsia="zh-CN"/>
              </w:rPr>
              <w:t>不达标</w:t>
            </w:r>
            <w:r>
              <w:rPr>
                <w:rFonts w:hint="default" w:ascii="Times New Roman" w:hAnsi="Times New Roman" w:eastAsia="宋体" w:cs="Times New Roman"/>
                <w:color w:val="auto"/>
                <w:kern w:val="2"/>
                <w:sz w:val="24"/>
                <w:szCs w:val="24"/>
                <w:highlight w:val="none"/>
                <w:lang w:val="en-US" w:eastAsia="zh-CN" w:bidi="ar"/>
              </w:rPr>
              <w:t>，</w:t>
            </w:r>
            <w:r>
              <w:rPr>
                <w:rFonts w:hint="default" w:ascii="Times New Roman" w:hAnsi="Times New Roman" w:eastAsia="宋体" w:cs="Times New Roman"/>
                <w:smallCaps w:val="0"/>
                <w:color w:val="auto"/>
                <w:spacing w:val="0"/>
                <w:kern w:val="0"/>
                <w:sz w:val="24"/>
                <w:szCs w:val="24"/>
                <w:highlight w:val="none"/>
              </w:rPr>
              <w:t>SO</w:t>
            </w:r>
            <w:r>
              <w:rPr>
                <w:rFonts w:hint="default" w:ascii="Times New Roman" w:hAnsi="Times New Roman" w:eastAsia="宋体" w:cs="Times New Roman"/>
                <w:smallCaps w:val="0"/>
                <w:color w:val="auto"/>
                <w:spacing w:val="0"/>
                <w:kern w:val="0"/>
                <w:sz w:val="24"/>
                <w:szCs w:val="24"/>
                <w:highlight w:val="none"/>
                <w:vertAlign w:val="subscript"/>
              </w:rPr>
              <w:t>2</w:t>
            </w:r>
            <w:r>
              <w:rPr>
                <w:rFonts w:hint="default" w:ascii="Times New Roman" w:hAnsi="Times New Roman" w:eastAsia="宋体" w:cs="Times New Roman"/>
                <w:smallCaps w:val="0"/>
                <w:color w:val="auto"/>
                <w:spacing w:val="0"/>
                <w:kern w:val="0"/>
                <w:sz w:val="24"/>
                <w:szCs w:val="24"/>
                <w:highlight w:val="none"/>
                <w:vertAlign w:val="baseline"/>
                <w:lang w:eastAsia="zh-CN"/>
              </w:rPr>
              <w:t>、</w:t>
            </w:r>
            <w:r>
              <w:rPr>
                <w:rFonts w:hint="default" w:ascii="Times New Roman" w:hAnsi="Times New Roman" w:eastAsia="宋体" w:cs="Times New Roman"/>
                <w:smallCaps w:val="0"/>
                <w:color w:val="auto"/>
                <w:spacing w:val="0"/>
                <w:kern w:val="0"/>
                <w:sz w:val="24"/>
                <w:szCs w:val="24"/>
                <w:highlight w:val="none"/>
              </w:rPr>
              <w:t>NO</w:t>
            </w:r>
            <w:r>
              <w:rPr>
                <w:rFonts w:hint="default" w:ascii="Times New Roman" w:hAnsi="Times New Roman" w:eastAsia="宋体" w:cs="Times New Roman"/>
                <w:smallCaps w:val="0"/>
                <w:color w:val="auto"/>
                <w:spacing w:val="0"/>
                <w:kern w:val="0"/>
                <w:sz w:val="24"/>
                <w:szCs w:val="24"/>
                <w:highlight w:val="none"/>
                <w:vertAlign w:val="subscript"/>
              </w:rPr>
              <w:t>2</w:t>
            </w:r>
            <w:r>
              <w:rPr>
                <w:rFonts w:hint="default" w:ascii="Times New Roman" w:hAnsi="Times New Roman" w:eastAsia="宋体" w:cs="Times New Roman"/>
                <w:smallCaps w:val="0"/>
                <w:color w:val="auto"/>
                <w:spacing w:val="0"/>
                <w:kern w:val="0"/>
                <w:sz w:val="24"/>
                <w:szCs w:val="24"/>
                <w:highlight w:val="none"/>
                <w:vertAlign w:val="baseline"/>
                <w:lang w:eastAsia="zh-CN"/>
              </w:rPr>
              <w:t>、</w:t>
            </w:r>
            <w:r>
              <w:rPr>
                <w:rFonts w:hint="default" w:ascii="Times New Roman" w:hAnsi="Times New Roman" w:eastAsia="宋体" w:cs="Times New Roman"/>
                <w:smallCaps w:val="0"/>
                <w:color w:val="auto"/>
                <w:spacing w:val="0"/>
                <w:kern w:val="0"/>
                <w:sz w:val="24"/>
                <w:szCs w:val="24"/>
                <w:highlight w:val="none"/>
              </w:rPr>
              <w:t>CO</w:t>
            </w:r>
            <w:r>
              <w:rPr>
                <w:rFonts w:hint="default" w:ascii="Times New Roman" w:hAnsi="Times New Roman" w:eastAsia="宋体" w:cs="Times New Roman"/>
                <w:color w:val="auto"/>
                <w:kern w:val="2"/>
                <w:sz w:val="24"/>
                <w:szCs w:val="24"/>
                <w:highlight w:val="none"/>
                <w:lang w:val="en-US" w:eastAsia="zh-CN" w:bidi="ar"/>
              </w:rPr>
              <w:t>达标且满足《环境空气质量标准》</w:t>
            </w:r>
            <w:r>
              <w:rPr>
                <w:rFonts w:hint="eastAsia" w:cs="Times New Roman"/>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GB3095-2026</w:t>
            </w:r>
            <w:r>
              <w:rPr>
                <w:rFonts w:hint="eastAsia" w:cs="Times New Roman"/>
                <w:color w:val="auto"/>
                <w:kern w:val="2"/>
                <w:sz w:val="24"/>
                <w:szCs w:val="24"/>
                <w:highlight w:val="none"/>
                <w:lang w:val="en-US" w:eastAsia="zh-CN" w:bidi="ar"/>
              </w:rPr>
              <w:t>）</w:t>
            </w:r>
            <w:r>
              <w:rPr>
                <w:rFonts w:hint="default" w:ascii="Times New Roman" w:hAnsi="Times New Roman" w:eastAsia="宋体" w:cs="Times New Roman"/>
                <w:color w:val="auto"/>
                <w:kern w:val="2"/>
                <w:sz w:val="24"/>
                <w:szCs w:val="24"/>
                <w:highlight w:val="none"/>
                <w:lang w:val="en-US" w:eastAsia="zh-CN" w:bidi="ar"/>
              </w:rPr>
              <w:t>中表1过渡阶段二级标准要求。</w:t>
            </w:r>
            <w:r>
              <w:rPr>
                <w:rFonts w:hint="default" w:ascii="Times New Roman" w:hAnsi="Times New Roman" w:eastAsia="宋体" w:cs="Times New Roman"/>
                <w:smallCaps w:val="0"/>
                <w:color w:val="auto"/>
                <w:spacing w:val="0"/>
                <w:sz w:val="24"/>
                <w:szCs w:val="24"/>
                <w:highlight w:val="none"/>
                <w:lang w:val="en-US" w:eastAsia="zh-CN"/>
              </w:rPr>
              <w:t>石家庄市</w:t>
            </w:r>
            <w:r>
              <w:rPr>
                <w:rFonts w:hint="default" w:ascii="Times New Roman" w:hAnsi="Times New Roman" w:eastAsia="宋体" w:cs="Times New Roman"/>
                <w:smallCaps w:val="0"/>
                <w:color w:val="auto"/>
                <w:spacing w:val="0"/>
                <w:highlight w:val="none"/>
              </w:rPr>
              <w:t>属于不达标区域</w:t>
            </w:r>
            <w:r>
              <w:rPr>
                <w:rFonts w:hint="default" w:ascii="Times New Roman" w:hAnsi="Times New Roman" w:eastAsia="宋体" w:cs="Times New Roman"/>
                <w:smallCaps w:val="0"/>
                <w:color w:val="auto"/>
                <w:spacing w:val="0"/>
                <w:highlight w:val="none"/>
                <w:lang w:eastAsia="zh-CN"/>
              </w:rPr>
              <w:t>，根据《石家庄市大气环境质量限期达标规划（2021-2035 年）》，空气质量将逐渐好转。</w:t>
            </w:r>
          </w:p>
          <w:p w14:paraId="5DE940D2">
            <w:pPr>
              <w:keepNext w:val="0"/>
              <w:keepLines w:val="0"/>
              <w:suppressLineNumbers w:val="0"/>
              <w:spacing w:before="0" w:beforeAutospacing="0" w:after="0" w:afterAutospacing="0" w:line="460" w:lineRule="exact"/>
              <w:ind w:left="0" w:right="0" w:firstLine="480" w:firstLineChars="200"/>
              <w:rPr>
                <w:rFonts w:hint="default"/>
                <w:color w:val="auto"/>
                <w:sz w:val="24"/>
                <w:szCs w:val="20"/>
                <w:highlight w:val="none"/>
              </w:rPr>
            </w:pPr>
            <w:r>
              <w:rPr>
                <w:rFonts w:hint="default"/>
                <w:color w:val="auto"/>
                <w:sz w:val="24"/>
                <w:szCs w:val="20"/>
                <w:highlight w:val="none"/>
              </w:rPr>
              <w:t>2）其它污染物环境空气质量现状监测</w:t>
            </w:r>
          </w:p>
          <w:p w14:paraId="5E2F5777">
            <w:pPr>
              <w:keepNext w:val="0"/>
              <w:keepLines w:val="0"/>
              <w:suppressLineNumbers w:val="0"/>
              <w:spacing w:before="0" w:beforeAutospacing="0" w:after="0" w:afterAutospacing="0" w:line="460" w:lineRule="exact"/>
              <w:ind w:left="0" w:right="0" w:firstLine="480" w:firstLineChars="200"/>
              <w:rPr>
                <w:rFonts w:hint="default"/>
                <w:color w:val="auto"/>
                <w:sz w:val="24"/>
                <w:szCs w:val="20"/>
                <w:highlight w:val="none"/>
              </w:rPr>
            </w:pPr>
            <w:r>
              <w:rPr>
                <w:rFonts w:hint="default"/>
                <w:color w:val="auto"/>
                <w:sz w:val="24"/>
                <w:szCs w:val="20"/>
                <w:highlight w:val="none"/>
              </w:rPr>
              <w:t>根据《建设项目环境影响报告表编制技术指南 污染影响类（试行）》</w:t>
            </w:r>
            <w:r>
              <w:rPr>
                <w:rFonts w:hint="eastAsia"/>
                <w:color w:val="auto"/>
                <w:sz w:val="24"/>
                <w:szCs w:val="20"/>
                <w:highlight w:val="none"/>
                <w:lang w:eastAsia="zh-CN"/>
              </w:rPr>
              <w:t>：“</w:t>
            </w:r>
            <w:r>
              <w:rPr>
                <w:rFonts w:hint="default"/>
                <w:color w:val="auto"/>
                <w:sz w:val="24"/>
                <w:szCs w:val="20"/>
                <w:highlight w:val="none"/>
              </w:rPr>
              <w:t>排放国家、地方环境空气质量标准中有标准限值要求的特征污染物时，引用建设项目周边5千米范围内近3年的现有监测数据</w:t>
            </w:r>
            <w:r>
              <w:rPr>
                <w:rFonts w:hint="eastAsia"/>
                <w:color w:val="auto"/>
                <w:sz w:val="24"/>
                <w:szCs w:val="20"/>
                <w:highlight w:val="none"/>
                <w:lang w:eastAsia="zh-CN"/>
              </w:rPr>
              <w:t>”</w:t>
            </w:r>
            <w:r>
              <w:rPr>
                <w:rFonts w:hint="default"/>
                <w:color w:val="auto"/>
                <w:sz w:val="24"/>
                <w:szCs w:val="20"/>
                <w:highlight w:val="none"/>
              </w:rPr>
              <w:t>，无相关数据的选择当季主导风向下风向1个点位补充不少于3天的监测数据。</w:t>
            </w:r>
          </w:p>
          <w:p w14:paraId="401BE5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60" w:lineRule="exact"/>
              <w:ind w:left="0" w:right="0" w:firstLine="480" w:firstLineChars="200"/>
              <w:textAlignment w:val="auto"/>
              <w:rPr>
                <w:rFonts w:hint="default"/>
                <w:color w:val="auto"/>
                <w:sz w:val="24"/>
                <w:szCs w:val="20"/>
                <w:highlight w:val="none"/>
              </w:rPr>
            </w:pPr>
            <w:r>
              <w:rPr>
                <w:rFonts w:hint="eastAsia"/>
                <w:color w:val="auto"/>
                <w:sz w:val="24"/>
                <w:szCs w:val="20"/>
                <w:highlight w:val="none"/>
              </w:rPr>
              <w:t>本次评价</w:t>
            </w:r>
            <w:r>
              <w:rPr>
                <w:rFonts w:hint="eastAsia"/>
                <w:color w:val="auto"/>
                <w:sz w:val="24"/>
                <w:szCs w:val="20"/>
                <w:highlight w:val="none"/>
                <w:lang w:val="en-US" w:eastAsia="zh-CN"/>
              </w:rPr>
              <w:t>TSP</w:t>
            </w:r>
            <w:r>
              <w:rPr>
                <w:rFonts w:hint="eastAsia"/>
                <w:color w:val="auto"/>
                <w:sz w:val="24"/>
                <w:szCs w:val="20"/>
                <w:highlight w:val="none"/>
              </w:rPr>
              <w:t>环境质量现状数据引用</w:t>
            </w:r>
            <w:r>
              <w:rPr>
                <w:rFonts w:hint="eastAsia"/>
                <w:color w:val="auto"/>
                <w:sz w:val="24"/>
                <w:szCs w:val="20"/>
                <w:highlight w:val="none"/>
                <w:lang w:eastAsia="zh-CN"/>
              </w:rPr>
              <w:t>河北工院云环境检测技术有限公司2024年5月14日</w:t>
            </w:r>
            <w:r>
              <w:rPr>
                <w:rFonts w:hint="eastAsia"/>
                <w:color w:val="auto"/>
                <w:sz w:val="24"/>
                <w:szCs w:val="20"/>
                <w:highlight w:val="none"/>
              </w:rPr>
              <w:t>出具的《</w:t>
            </w:r>
            <w:r>
              <w:rPr>
                <w:rFonts w:hint="eastAsia"/>
                <w:color w:val="auto"/>
                <w:sz w:val="24"/>
                <w:szCs w:val="20"/>
                <w:highlight w:val="none"/>
                <w:lang w:eastAsia="zh-CN"/>
              </w:rPr>
              <w:t>河北石家庄矿区工业园区总体发展规划环境影响评价环境空气质量现状补充监测</w:t>
            </w:r>
            <w:r>
              <w:rPr>
                <w:rFonts w:hint="eastAsia"/>
                <w:color w:val="auto"/>
                <w:sz w:val="24"/>
                <w:szCs w:val="20"/>
                <w:highlight w:val="none"/>
              </w:rPr>
              <w:t>》（</w:t>
            </w:r>
            <w:r>
              <w:rPr>
                <w:rFonts w:hint="eastAsia"/>
                <w:color w:val="auto"/>
                <w:sz w:val="24"/>
                <w:szCs w:val="20"/>
                <w:highlight w:val="none"/>
                <w:lang w:eastAsia="zh-CN"/>
              </w:rPr>
              <w:t>报告编号云环检字[2024]第0320号</w:t>
            </w:r>
            <w:r>
              <w:rPr>
                <w:rFonts w:hint="eastAsia"/>
                <w:color w:val="auto"/>
                <w:sz w:val="24"/>
                <w:szCs w:val="20"/>
                <w:highlight w:val="none"/>
              </w:rPr>
              <w:t>），监测点位为</w:t>
            </w:r>
            <w:r>
              <w:rPr>
                <w:rFonts w:hint="eastAsia"/>
                <w:color w:val="auto"/>
                <w:sz w:val="24"/>
                <w:szCs w:val="20"/>
                <w:highlight w:val="none"/>
                <w:lang w:val="en-US" w:eastAsia="zh-CN"/>
              </w:rPr>
              <w:t>清凉山风景名胜区</w:t>
            </w:r>
            <w:r>
              <w:rPr>
                <w:rFonts w:hint="eastAsia"/>
                <w:color w:val="auto"/>
                <w:sz w:val="24"/>
                <w:szCs w:val="20"/>
                <w:highlight w:val="none"/>
              </w:rPr>
              <w:t>，位于本项目</w:t>
            </w:r>
            <w:r>
              <w:rPr>
                <w:rFonts w:hint="eastAsia"/>
                <w:color w:val="auto"/>
                <w:sz w:val="24"/>
                <w:szCs w:val="20"/>
                <w:highlight w:val="none"/>
                <w:lang w:val="en-US" w:eastAsia="zh-CN"/>
              </w:rPr>
              <w:t>西北侧1065m</w:t>
            </w:r>
            <w:r>
              <w:rPr>
                <w:rFonts w:hint="eastAsia"/>
                <w:color w:val="auto"/>
                <w:sz w:val="24"/>
                <w:szCs w:val="20"/>
                <w:highlight w:val="none"/>
              </w:rPr>
              <w:t>处，监测时间</w:t>
            </w:r>
            <w:r>
              <w:rPr>
                <w:rFonts w:hint="eastAsia"/>
                <w:color w:val="auto"/>
                <w:sz w:val="24"/>
                <w:szCs w:val="20"/>
                <w:highlight w:val="none"/>
                <w:lang w:eastAsia="zh-CN"/>
              </w:rPr>
              <w:t>2024年4月28日-5月4日</w:t>
            </w:r>
            <w:r>
              <w:rPr>
                <w:rFonts w:hint="eastAsia"/>
                <w:color w:val="auto"/>
                <w:sz w:val="24"/>
                <w:szCs w:val="20"/>
                <w:highlight w:val="none"/>
              </w:rPr>
              <w:t>，引用监测点位和时间符合技术指南要求。</w:t>
            </w:r>
          </w:p>
          <w:p w14:paraId="29B0EC88">
            <w:pPr>
              <w:keepNext w:val="0"/>
              <w:keepLines w:val="0"/>
              <w:suppressLineNumbers w:val="0"/>
              <w:spacing w:before="0" w:beforeAutospacing="0" w:after="0" w:afterAutospacing="0" w:line="460" w:lineRule="exact"/>
              <w:ind w:left="0" w:right="0" w:firstLine="480" w:firstLineChars="200"/>
              <w:rPr>
                <w:rFonts w:hint="default"/>
                <w:color w:val="auto"/>
                <w:sz w:val="24"/>
                <w:szCs w:val="20"/>
                <w:highlight w:val="none"/>
              </w:rPr>
            </w:pPr>
            <w:r>
              <w:rPr>
                <w:rFonts w:hint="default"/>
                <w:color w:val="auto"/>
                <w:sz w:val="24"/>
                <w:szCs w:val="20"/>
                <w:highlight w:val="none"/>
              </w:rPr>
              <w:t>①</w:t>
            </w:r>
            <w:r>
              <w:rPr>
                <w:rFonts w:hint="eastAsia"/>
                <w:color w:val="auto"/>
                <w:sz w:val="24"/>
                <w:szCs w:val="20"/>
                <w:highlight w:val="none"/>
                <w:lang w:val="en-US" w:eastAsia="zh-CN"/>
              </w:rPr>
              <w:t>引用</w:t>
            </w:r>
            <w:r>
              <w:rPr>
                <w:rFonts w:hint="default"/>
                <w:color w:val="auto"/>
                <w:sz w:val="24"/>
                <w:szCs w:val="20"/>
                <w:highlight w:val="none"/>
              </w:rPr>
              <w:t>监测因子</w:t>
            </w:r>
            <w:r>
              <w:rPr>
                <w:rFonts w:hint="eastAsia"/>
                <w:color w:val="auto"/>
                <w:sz w:val="24"/>
                <w:szCs w:val="20"/>
                <w:highlight w:val="none"/>
                <w:lang w:eastAsia="zh-CN"/>
              </w:rPr>
              <w:t>：</w:t>
            </w:r>
            <w:r>
              <w:rPr>
                <w:rFonts w:hint="eastAsia"/>
                <w:color w:val="auto"/>
                <w:sz w:val="24"/>
                <w:szCs w:val="20"/>
                <w:highlight w:val="none"/>
                <w:lang w:val="en-US" w:eastAsia="zh-CN"/>
              </w:rPr>
              <w:t>TSP</w:t>
            </w:r>
            <w:r>
              <w:rPr>
                <w:rFonts w:hint="default"/>
                <w:color w:val="auto"/>
                <w:sz w:val="24"/>
                <w:szCs w:val="20"/>
                <w:highlight w:val="none"/>
              </w:rPr>
              <w:t>。</w:t>
            </w:r>
          </w:p>
          <w:p w14:paraId="7ECDF0B0">
            <w:pPr>
              <w:keepNext w:val="0"/>
              <w:keepLines w:val="0"/>
              <w:suppressLineNumbers w:val="0"/>
              <w:spacing w:before="0" w:beforeAutospacing="0" w:after="0" w:afterAutospacing="0" w:line="460" w:lineRule="exact"/>
              <w:ind w:left="0" w:right="0" w:firstLine="480" w:firstLineChars="200"/>
              <w:rPr>
                <w:rFonts w:hint="eastAsia"/>
                <w:color w:val="auto"/>
                <w:sz w:val="24"/>
                <w:szCs w:val="20"/>
                <w:highlight w:val="none"/>
              </w:rPr>
            </w:pPr>
            <w:r>
              <w:rPr>
                <w:rFonts w:hint="default"/>
                <w:color w:val="auto"/>
                <w:sz w:val="24"/>
                <w:szCs w:val="20"/>
                <w:highlight w:val="none"/>
              </w:rPr>
              <w:t>②监测布点</w:t>
            </w:r>
            <w:r>
              <w:rPr>
                <w:rFonts w:hint="eastAsia"/>
                <w:color w:val="auto"/>
                <w:sz w:val="24"/>
                <w:szCs w:val="20"/>
                <w:highlight w:val="none"/>
                <w:lang w:eastAsia="zh-CN"/>
              </w:rPr>
              <w:t>：</w:t>
            </w:r>
            <w:r>
              <w:rPr>
                <w:rFonts w:hint="default"/>
                <w:color w:val="auto"/>
                <w:sz w:val="24"/>
                <w:szCs w:val="20"/>
                <w:highlight w:val="none"/>
              </w:rPr>
              <w:t>引用1个环境空气质量监测点</w:t>
            </w:r>
            <w:r>
              <w:rPr>
                <w:rFonts w:hint="eastAsia"/>
                <w:color w:val="auto"/>
                <w:sz w:val="24"/>
                <w:szCs w:val="20"/>
                <w:highlight w:val="none"/>
              </w:rPr>
              <w:t>。</w:t>
            </w:r>
          </w:p>
          <w:p w14:paraId="25566A31">
            <w:pPr>
              <w:keepNext w:val="0"/>
              <w:keepLines w:val="0"/>
              <w:suppressLineNumbers w:val="0"/>
              <w:adjustRightInd w:val="0"/>
              <w:snapToGrid w:val="0"/>
              <w:spacing w:before="0" w:beforeAutospacing="0" w:after="0" w:afterAutospacing="0"/>
              <w:ind w:left="0" w:right="0"/>
              <w:jc w:val="center"/>
              <w:rPr>
                <w:rFonts w:hint="default"/>
                <w:b/>
                <w:color w:val="auto"/>
                <w:sz w:val="24"/>
                <w:szCs w:val="20"/>
                <w:highlight w:val="none"/>
              </w:rPr>
            </w:pPr>
            <w:r>
              <w:rPr>
                <w:rFonts w:hint="default"/>
                <w:b/>
                <w:color w:val="auto"/>
                <w:sz w:val="24"/>
                <w:szCs w:val="20"/>
                <w:highlight w:val="none"/>
              </w:rPr>
              <w:t>表</w:t>
            </w:r>
            <w:r>
              <w:rPr>
                <w:rFonts w:hint="eastAsia"/>
                <w:b/>
                <w:color w:val="auto"/>
                <w:sz w:val="24"/>
                <w:szCs w:val="20"/>
                <w:highlight w:val="none"/>
              </w:rPr>
              <w:t>3-2</w:t>
            </w:r>
            <w:r>
              <w:rPr>
                <w:rFonts w:hint="default"/>
                <w:b/>
                <w:color w:val="auto"/>
                <w:sz w:val="24"/>
                <w:szCs w:val="20"/>
                <w:highlight w:val="none"/>
              </w:rPr>
              <w:t xml:space="preserve">  特征污染物</w:t>
            </w:r>
            <w:r>
              <w:rPr>
                <w:rFonts w:hint="eastAsia"/>
                <w:b/>
                <w:color w:val="auto"/>
                <w:sz w:val="24"/>
                <w:szCs w:val="20"/>
                <w:highlight w:val="none"/>
              </w:rPr>
              <w:t>检测点位基本信息</w:t>
            </w:r>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1045"/>
              <w:gridCol w:w="1096"/>
              <w:gridCol w:w="1096"/>
              <w:gridCol w:w="898"/>
              <w:gridCol w:w="1782"/>
              <w:gridCol w:w="756"/>
              <w:gridCol w:w="987"/>
            </w:tblGrid>
            <w:tr w14:paraId="2E4CF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682" w:type="pct"/>
                  <w:vMerge w:val="restart"/>
                  <w:noWrap w:val="0"/>
                  <w:vAlign w:val="center"/>
                </w:tcPr>
                <w:p w14:paraId="5E38E3DB">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检测点名称</w:t>
                  </w:r>
                </w:p>
              </w:tc>
              <w:tc>
                <w:tcPr>
                  <w:tcW w:w="1430" w:type="pct"/>
                  <w:gridSpan w:val="2"/>
                  <w:noWrap w:val="0"/>
                  <w:vAlign w:val="center"/>
                </w:tcPr>
                <w:p w14:paraId="583BE6BC">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监测点坐标（°）</w:t>
                  </w:r>
                </w:p>
              </w:tc>
              <w:tc>
                <w:tcPr>
                  <w:tcW w:w="586" w:type="pct"/>
                  <w:vMerge w:val="restart"/>
                  <w:noWrap w:val="0"/>
                  <w:vAlign w:val="center"/>
                </w:tcPr>
                <w:p w14:paraId="22D973E1">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监测因子</w:t>
                  </w:r>
                </w:p>
              </w:tc>
              <w:tc>
                <w:tcPr>
                  <w:tcW w:w="1163" w:type="pct"/>
                  <w:vMerge w:val="restart"/>
                  <w:noWrap w:val="0"/>
                  <w:vAlign w:val="center"/>
                </w:tcPr>
                <w:p w14:paraId="6CE9EC21">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检测时段</w:t>
                  </w:r>
                </w:p>
              </w:tc>
              <w:tc>
                <w:tcPr>
                  <w:tcW w:w="493" w:type="pct"/>
                  <w:vMerge w:val="restart"/>
                  <w:noWrap w:val="0"/>
                  <w:vAlign w:val="center"/>
                </w:tcPr>
                <w:p w14:paraId="46B15C22">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相对厂址方位</w:t>
                  </w:r>
                </w:p>
              </w:tc>
              <w:tc>
                <w:tcPr>
                  <w:tcW w:w="644" w:type="pct"/>
                  <w:vMerge w:val="restart"/>
                  <w:noWrap w:val="0"/>
                  <w:vAlign w:val="center"/>
                </w:tcPr>
                <w:p w14:paraId="65C4F2F8">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相对厂址距离/m</w:t>
                  </w:r>
                </w:p>
              </w:tc>
            </w:tr>
            <w:tr w14:paraId="2C21F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40" w:hRule="atLeast"/>
                <w:jc w:val="center"/>
              </w:trPr>
              <w:tc>
                <w:tcPr>
                  <w:tcW w:w="682" w:type="pct"/>
                  <w:vMerge w:val="continue"/>
                  <w:noWrap w:val="0"/>
                  <w:vAlign w:val="center"/>
                </w:tcPr>
                <w:p w14:paraId="7B4A506F">
                  <w:pPr>
                    <w:keepNext w:val="0"/>
                    <w:keepLines w:val="0"/>
                    <w:suppressLineNumbers w:val="0"/>
                    <w:spacing w:before="0" w:beforeAutospacing="0" w:after="0" w:afterAutospacing="0"/>
                    <w:ind w:left="0" w:right="0"/>
                    <w:jc w:val="center"/>
                    <w:rPr>
                      <w:rFonts w:hint="default"/>
                      <w:color w:val="auto"/>
                      <w:szCs w:val="21"/>
                      <w:highlight w:val="none"/>
                    </w:rPr>
                  </w:pPr>
                </w:p>
              </w:tc>
              <w:tc>
                <w:tcPr>
                  <w:tcW w:w="715" w:type="pct"/>
                  <w:noWrap w:val="0"/>
                  <w:vAlign w:val="center"/>
                </w:tcPr>
                <w:p w14:paraId="51314101">
                  <w:pPr>
                    <w:keepNext w:val="0"/>
                    <w:keepLines w:val="0"/>
                    <w:suppressLineNumbers w:val="0"/>
                    <w:spacing w:before="0" w:beforeAutospacing="0" w:after="0" w:afterAutospacing="0"/>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经度</w:t>
                  </w:r>
                </w:p>
              </w:tc>
              <w:tc>
                <w:tcPr>
                  <w:tcW w:w="715" w:type="pct"/>
                  <w:noWrap w:val="0"/>
                  <w:vAlign w:val="center"/>
                </w:tcPr>
                <w:p w14:paraId="2CC096DB">
                  <w:pPr>
                    <w:keepNext w:val="0"/>
                    <w:keepLines w:val="0"/>
                    <w:suppressLineNumbers w:val="0"/>
                    <w:spacing w:before="0" w:beforeAutospacing="0" w:after="0" w:afterAutospacing="0"/>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纬度</w:t>
                  </w:r>
                </w:p>
              </w:tc>
              <w:tc>
                <w:tcPr>
                  <w:tcW w:w="586" w:type="pct"/>
                  <w:vMerge w:val="continue"/>
                  <w:noWrap w:val="0"/>
                  <w:vAlign w:val="center"/>
                </w:tcPr>
                <w:p w14:paraId="3AB556F0">
                  <w:pPr>
                    <w:keepNext w:val="0"/>
                    <w:keepLines w:val="0"/>
                    <w:suppressLineNumbers w:val="0"/>
                    <w:spacing w:before="0" w:beforeAutospacing="0" w:after="0" w:afterAutospacing="0"/>
                    <w:ind w:left="0" w:right="0"/>
                    <w:jc w:val="center"/>
                    <w:rPr>
                      <w:rFonts w:hint="default"/>
                      <w:color w:val="auto"/>
                      <w:szCs w:val="21"/>
                      <w:highlight w:val="none"/>
                    </w:rPr>
                  </w:pPr>
                </w:p>
              </w:tc>
              <w:tc>
                <w:tcPr>
                  <w:tcW w:w="1163" w:type="pct"/>
                  <w:vMerge w:val="continue"/>
                  <w:noWrap w:val="0"/>
                  <w:vAlign w:val="center"/>
                </w:tcPr>
                <w:p w14:paraId="2CAA1B14">
                  <w:pPr>
                    <w:keepNext w:val="0"/>
                    <w:keepLines w:val="0"/>
                    <w:suppressLineNumbers w:val="0"/>
                    <w:spacing w:before="0" w:beforeAutospacing="0" w:after="0" w:afterAutospacing="0"/>
                    <w:ind w:left="0" w:right="0"/>
                    <w:jc w:val="center"/>
                    <w:rPr>
                      <w:rFonts w:hint="default"/>
                      <w:color w:val="auto"/>
                      <w:szCs w:val="21"/>
                      <w:highlight w:val="none"/>
                    </w:rPr>
                  </w:pPr>
                </w:p>
              </w:tc>
              <w:tc>
                <w:tcPr>
                  <w:tcW w:w="493" w:type="pct"/>
                  <w:vMerge w:val="continue"/>
                  <w:noWrap w:val="0"/>
                  <w:vAlign w:val="center"/>
                </w:tcPr>
                <w:p w14:paraId="152850A9">
                  <w:pPr>
                    <w:keepNext w:val="0"/>
                    <w:keepLines w:val="0"/>
                    <w:suppressLineNumbers w:val="0"/>
                    <w:spacing w:before="0" w:beforeAutospacing="0" w:after="0" w:afterAutospacing="0"/>
                    <w:ind w:left="0" w:right="0"/>
                    <w:jc w:val="center"/>
                    <w:rPr>
                      <w:rFonts w:hint="default"/>
                      <w:color w:val="auto"/>
                      <w:szCs w:val="21"/>
                      <w:highlight w:val="none"/>
                    </w:rPr>
                  </w:pPr>
                </w:p>
              </w:tc>
              <w:tc>
                <w:tcPr>
                  <w:tcW w:w="644" w:type="pct"/>
                  <w:vMerge w:val="continue"/>
                  <w:noWrap w:val="0"/>
                  <w:vAlign w:val="center"/>
                </w:tcPr>
                <w:p w14:paraId="614DAB85">
                  <w:pPr>
                    <w:keepNext w:val="0"/>
                    <w:keepLines w:val="0"/>
                    <w:suppressLineNumbers w:val="0"/>
                    <w:spacing w:before="0" w:beforeAutospacing="0" w:after="0" w:afterAutospacing="0"/>
                    <w:ind w:left="0" w:right="0"/>
                    <w:jc w:val="center"/>
                    <w:rPr>
                      <w:rFonts w:hint="default"/>
                      <w:color w:val="auto"/>
                      <w:szCs w:val="21"/>
                      <w:highlight w:val="none"/>
                    </w:rPr>
                  </w:pPr>
                </w:p>
              </w:tc>
            </w:tr>
            <w:tr w14:paraId="6FE7A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69" w:hRule="atLeast"/>
                <w:jc w:val="center"/>
              </w:trPr>
              <w:tc>
                <w:tcPr>
                  <w:tcW w:w="682" w:type="pct"/>
                  <w:noWrap w:val="0"/>
                  <w:vAlign w:val="center"/>
                </w:tcPr>
                <w:p w14:paraId="7D79B1E3">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清凉山风景名胜区</w:t>
                  </w:r>
                </w:p>
              </w:tc>
              <w:tc>
                <w:tcPr>
                  <w:tcW w:w="715" w:type="pct"/>
                  <w:shd w:val="clear" w:color="auto" w:fill="auto"/>
                  <w:noWrap w:val="0"/>
                  <w:vAlign w:val="center"/>
                </w:tcPr>
                <w:p w14:paraId="28E1A513">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114.011053</w:t>
                  </w:r>
                </w:p>
              </w:tc>
              <w:tc>
                <w:tcPr>
                  <w:tcW w:w="715" w:type="pct"/>
                  <w:shd w:val="clear" w:color="auto" w:fill="auto"/>
                  <w:noWrap w:val="0"/>
                  <w:vAlign w:val="center"/>
                </w:tcPr>
                <w:p w14:paraId="1BE118C2">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38.073273</w:t>
                  </w:r>
                </w:p>
              </w:tc>
              <w:tc>
                <w:tcPr>
                  <w:tcW w:w="586" w:type="pct"/>
                  <w:shd w:val="clear" w:color="auto" w:fill="auto"/>
                  <w:noWrap w:val="0"/>
                  <w:vAlign w:val="center"/>
                </w:tcPr>
                <w:p w14:paraId="20D320E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TSP</w:t>
                  </w:r>
                </w:p>
              </w:tc>
              <w:tc>
                <w:tcPr>
                  <w:tcW w:w="1163" w:type="pct"/>
                  <w:shd w:val="clear" w:color="auto" w:fill="auto"/>
                  <w:noWrap w:val="0"/>
                  <w:vAlign w:val="center"/>
                </w:tcPr>
                <w:p w14:paraId="0E8CBFE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2024年4月28日-5月4日</w:t>
                  </w:r>
                </w:p>
              </w:tc>
              <w:tc>
                <w:tcPr>
                  <w:tcW w:w="493" w:type="pct"/>
                  <w:noWrap w:val="0"/>
                  <w:vAlign w:val="center"/>
                </w:tcPr>
                <w:p w14:paraId="7C9C840D">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西北</w:t>
                  </w:r>
                </w:p>
              </w:tc>
              <w:tc>
                <w:tcPr>
                  <w:tcW w:w="644" w:type="pct"/>
                  <w:noWrap w:val="0"/>
                  <w:vAlign w:val="center"/>
                </w:tcPr>
                <w:p w14:paraId="0E929D78">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1065</w:t>
                  </w:r>
                </w:p>
              </w:tc>
            </w:tr>
          </w:tbl>
          <w:p w14:paraId="68103560">
            <w:pPr>
              <w:keepNext w:val="0"/>
              <w:keepLines w:val="0"/>
              <w:suppressLineNumbers w:val="0"/>
              <w:spacing w:before="0" w:beforeAutospacing="0" w:after="0" w:afterAutospacing="0" w:line="500" w:lineRule="exact"/>
              <w:ind w:left="0" w:right="0" w:firstLine="480" w:firstLineChars="200"/>
              <w:rPr>
                <w:rFonts w:hint="default"/>
                <w:color w:val="auto"/>
                <w:sz w:val="24"/>
                <w:szCs w:val="20"/>
                <w:highlight w:val="none"/>
              </w:rPr>
            </w:pPr>
            <w:r>
              <w:rPr>
                <w:rFonts w:hint="default"/>
                <w:color w:val="auto"/>
                <w:sz w:val="24"/>
                <w:szCs w:val="20"/>
                <w:highlight w:val="none"/>
              </w:rPr>
              <w:t>③监测分析方法</w:t>
            </w:r>
          </w:p>
          <w:p w14:paraId="7B8013C3">
            <w:pPr>
              <w:keepNext w:val="0"/>
              <w:keepLines w:val="0"/>
              <w:suppressLineNumbers w:val="0"/>
              <w:spacing w:before="0" w:beforeAutospacing="0" w:after="0" w:afterAutospacing="0" w:line="500" w:lineRule="exact"/>
              <w:ind w:left="0" w:right="0" w:firstLine="480" w:firstLineChars="200"/>
              <w:rPr>
                <w:rFonts w:hint="default"/>
                <w:color w:val="auto"/>
                <w:sz w:val="24"/>
                <w:szCs w:val="20"/>
                <w:highlight w:val="none"/>
              </w:rPr>
            </w:pPr>
            <w:r>
              <w:rPr>
                <w:rFonts w:hint="default"/>
                <w:color w:val="auto"/>
                <w:sz w:val="24"/>
                <w:szCs w:val="20"/>
                <w:highlight w:val="none"/>
              </w:rPr>
              <w:t>采样方法按《环境监测技术规范》（大气部分）进行。</w:t>
            </w:r>
          </w:p>
          <w:p w14:paraId="32D8837A">
            <w:pPr>
              <w:keepNext w:val="0"/>
              <w:keepLines w:val="0"/>
              <w:suppressLineNumbers w:val="0"/>
              <w:adjustRightInd w:val="0"/>
              <w:snapToGrid w:val="0"/>
              <w:spacing w:before="0" w:beforeAutospacing="0" w:after="0" w:afterAutospacing="0"/>
              <w:ind w:left="0" w:right="0"/>
              <w:jc w:val="center"/>
              <w:rPr>
                <w:rFonts w:hint="default"/>
                <w:b/>
                <w:color w:val="auto"/>
                <w:sz w:val="24"/>
                <w:szCs w:val="20"/>
                <w:highlight w:val="none"/>
              </w:rPr>
            </w:pPr>
            <w:r>
              <w:rPr>
                <w:rFonts w:hint="default"/>
                <w:b/>
                <w:color w:val="auto"/>
                <w:sz w:val="24"/>
                <w:szCs w:val="20"/>
                <w:highlight w:val="none"/>
              </w:rPr>
              <w:t>表</w:t>
            </w:r>
            <w:r>
              <w:rPr>
                <w:rFonts w:hint="eastAsia"/>
                <w:b/>
                <w:color w:val="auto"/>
                <w:sz w:val="24"/>
                <w:szCs w:val="20"/>
                <w:highlight w:val="none"/>
              </w:rPr>
              <w:t>3-3</w:t>
            </w:r>
            <w:r>
              <w:rPr>
                <w:rFonts w:hint="default"/>
                <w:b/>
                <w:color w:val="auto"/>
                <w:sz w:val="24"/>
                <w:szCs w:val="20"/>
                <w:highlight w:val="none"/>
              </w:rPr>
              <w:t xml:space="preserve">  检测项目及分析方法</w:t>
            </w:r>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4"/>
              <w:gridCol w:w="779"/>
              <w:gridCol w:w="1914"/>
              <w:gridCol w:w="1974"/>
              <w:gridCol w:w="1932"/>
            </w:tblGrid>
            <w:tr w14:paraId="27BB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4" w:type="pct"/>
                  <w:noWrap w:val="0"/>
                  <w:vAlign w:val="center"/>
                </w:tcPr>
                <w:p w14:paraId="3D7CB29D">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检测类别</w:t>
                  </w:r>
                </w:p>
              </w:tc>
              <w:tc>
                <w:tcPr>
                  <w:tcW w:w="508" w:type="pct"/>
                  <w:noWrap w:val="0"/>
                  <w:vAlign w:val="center"/>
                </w:tcPr>
                <w:p w14:paraId="13E80581">
                  <w:pPr>
                    <w:keepNext w:val="0"/>
                    <w:keepLines w:val="0"/>
                    <w:widowControl/>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项目</w:t>
                  </w:r>
                </w:p>
              </w:tc>
              <w:tc>
                <w:tcPr>
                  <w:tcW w:w="1248" w:type="pct"/>
                  <w:noWrap w:val="0"/>
                  <w:vAlign w:val="center"/>
                </w:tcPr>
                <w:p w14:paraId="663E2BE2">
                  <w:pPr>
                    <w:keepNext w:val="0"/>
                    <w:keepLines w:val="0"/>
                    <w:widowControl/>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分析方法</w:t>
                  </w:r>
                </w:p>
              </w:tc>
              <w:tc>
                <w:tcPr>
                  <w:tcW w:w="1288" w:type="pct"/>
                  <w:noWrap w:val="0"/>
                  <w:vAlign w:val="center"/>
                </w:tcPr>
                <w:p w14:paraId="3B52BA96">
                  <w:pPr>
                    <w:keepNext w:val="0"/>
                    <w:keepLines w:val="0"/>
                    <w:widowControl/>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仪器名称、型号及编号</w:t>
                  </w:r>
                </w:p>
              </w:tc>
              <w:tc>
                <w:tcPr>
                  <w:tcW w:w="1260" w:type="pct"/>
                  <w:noWrap w:val="0"/>
                  <w:vAlign w:val="center"/>
                </w:tcPr>
                <w:p w14:paraId="3981F030">
                  <w:pPr>
                    <w:keepNext w:val="0"/>
                    <w:keepLines w:val="0"/>
                    <w:widowControl/>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检出限</w:t>
                  </w:r>
                </w:p>
              </w:tc>
            </w:tr>
            <w:tr w14:paraId="4D1B2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4" w:type="pct"/>
                  <w:shd w:val="clear" w:color="auto" w:fill="auto"/>
                  <w:noWrap w:val="0"/>
                  <w:vAlign w:val="center"/>
                </w:tcPr>
                <w:p w14:paraId="015B40BE">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环境</w:t>
                  </w:r>
                </w:p>
                <w:p w14:paraId="1F022C7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空气</w:t>
                  </w:r>
                </w:p>
              </w:tc>
              <w:tc>
                <w:tcPr>
                  <w:tcW w:w="508" w:type="pct"/>
                  <w:shd w:val="clear" w:color="auto" w:fill="auto"/>
                  <w:noWrap w:val="0"/>
                  <w:vAlign w:val="center"/>
                </w:tcPr>
                <w:p w14:paraId="3D416253">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TSP</w:t>
                  </w:r>
                </w:p>
              </w:tc>
              <w:tc>
                <w:tcPr>
                  <w:tcW w:w="1248" w:type="pct"/>
                  <w:shd w:val="clear" w:color="auto" w:fill="auto"/>
                  <w:noWrap w:val="0"/>
                  <w:vAlign w:val="center"/>
                </w:tcPr>
                <w:p w14:paraId="2B6CDC5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color w:val="auto"/>
                      <w:szCs w:val="21"/>
                      <w:highlight w:val="none"/>
                    </w:rPr>
                    <w:t>《环境空气总悬浮颗粒 物的测定重量法》</w:t>
                  </w:r>
                  <w:r>
                    <w:rPr>
                      <w:rFonts w:hint="eastAsia"/>
                      <w:color w:val="auto"/>
                      <w:szCs w:val="21"/>
                      <w:highlight w:val="none"/>
                    </w:rPr>
                    <w:t>（</w:t>
                  </w:r>
                  <w:r>
                    <w:rPr>
                      <w:rFonts w:hint="default"/>
                      <w:color w:val="auto"/>
                      <w:szCs w:val="21"/>
                      <w:highlight w:val="none"/>
                    </w:rPr>
                    <w:t>HJ1263-2022</w:t>
                  </w:r>
                  <w:r>
                    <w:rPr>
                      <w:rFonts w:hint="eastAsia"/>
                      <w:color w:val="auto"/>
                      <w:szCs w:val="21"/>
                      <w:highlight w:val="none"/>
                    </w:rPr>
                    <w:t>）</w:t>
                  </w:r>
                </w:p>
              </w:tc>
              <w:tc>
                <w:tcPr>
                  <w:tcW w:w="1288" w:type="pct"/>
                  <w:shd w:val="clear" w:color="auto" w:fill="auto"/>
                  <w:noWrap w:val="0"/>
                  <w:vAlign w:val="center"/>
                </w:tcPr>
                <w:p w14:paraId="10CC6A1E">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SQP型电子天平/Secura125-1CN/YH-077</w:t>
                  </w:r>
                </w:p>
              </w:tc>
              <w:tc>
                <w:tcPr>
                  <w:tcW w:w="1260" w:type="pct"/>
                  <w:shd w:val="clear" w:color="auto" w:fill="auto"/>
                  <w:noWrap w:val="0"/>
                  <w:vAlign w:val="center"/>
                </w:tcPr>
                <w:p w14:paraId="4525D89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当采样体积为144m</w:t>
                  </w:r>
                  <w:r>
                    <w:rPr>
                      <w:rFonts w:hint="eastAsia" w:cs="Times New Roman"/>
                      <w:color w:val="auto"/>
                      <w:szCs w:val="21"/>
                      <w:highlight w:val="none"/>
                      <w:vertAlign w:val="superscript"/>
                      <w:lang w:val="en-US" w:eastAsia="zh-CN"/>
                    </w:rPr>
                    <w:t>3</w:t>
                  </w:r>
                  <w:r>
                    <w:rPr>
                      <w:rFonts w:hint="eastAsia" w:cs="Times New Roman"/>
                      <w:color w:val="auto"/>
                      <w:szCs w:val="21"/>
                      <w:highlight w:val="none"/>
                      <w:lang w:val="en-US" w:eastAsia="zh-CN"/>
                    </w:rPr>
                    <w:t>时，检出限为</w:t>
                  </w:r>
                  <w:r>
                    <w:rPr>
                      <w:rFonts w:hint="default" w:ascii="Times New Roman" w:hAnsi="Times New Roman" w:cs="Times New Roman"/>
                      <w:color w:val="auto"/>
                      <w:szCs w:val="21"/>
                      <w:highlight w:val="none"/>
                      <w:lang w:val="en-US" w:eastAsia="zh-CN"/>
                    </w:rPr>
                    <w:t>7μg/m</w:t>
                  </w:r>
                  <w:r>
                    <w:rPr>
                      <w:rFonts w:hint="default" w:ascii="Times New Roman" w:hAnsi="Times New Roman" w:cs="Times New Roman"/>
                      <w:color w:val="auto"/>
                      <w:szCs w:val="21"/>
                      <w:highlight w:val="none"/>
                      <w:vertAlign w:val="superscript"/>
                      <w:lang w:val="en-US" w:eastAsia="zh-CN"/>
                    </w:rPr>
                    <w:t>3</w:t>
                  </w:r>
                </w:p>
              </w:tc>
            </w:tr>
          </w:tbl>
          <w:p w14:paraId="037EE327">
            <w:pPr>
              <w:keepNext w:val="0"/>
              <w:keepLines w:val="0"/>
              <w:suppressLineNumbers w:val="0"/>
              <w:spacing w:before="0" w:beforeAutospacing="0" w:after="0" w:afterAutospacing="0" w:line="500" w:lineRule="exact"/>
              <w:ind w:left="0" w:right="0" w:firstLine="480" w:firstLineChars="200"/>
              <w:rPr>
                <w:rFonts w:hint="default"/>
                <w:color w:val="auto"/>
                <w:sz w:val="24"/>
                <w:szCs w:val="20"/>
                <w:highlight w:val="none"/>
              </w:rPr>
            </w:pPr>
            <w:r>
              <w:rPr>
                <w:rFonts w:hint="default"/>
                <w:color w:val="auto"/>
                <w:sz w:val="24"/>
                <w:szCs w:val="20"/>
                <w:highlight w:val="none"/>
              </w:rPr>
              <w:t>④评价方法</w:t>
            </w:r>
          </w:p>
          <w:p w14:paraId="232CB4C2">
            <w:pPr>
              <w:keepNext w:val="0"/>
              <w:keepLines w:val="0"/>
              <w:suppressLineNumbers w:val="0"/>
              <w:spacing w:before="0" w:beforeAutospacing="0" w:after="0" w:afterAutospacing="0" w:line="500" w:lineRule="exact"/>
              <w:ind w:left="0" w:right="0" w:firstLine="480" w:firstLineChars="200"/>
              <w:rPr>
                <w:rFonts w:hint="eastAsia" w:eastAsia="宋体"/>
                <w:color w:val="auto"/>
                <w:sz w:val="24"/>
                <w:szCs w:val="20"/>
                <w:highlight w:val="none"/>
                <w:lang w:eastAsia="zh-CN"/>
              </w:rPr>
            </w:pPr>
            <w:r>
              <w:rPr>
                <w:rFonts w:hint="default"/>
                <w:color w:val="auto"/>
                <w:sz w:val="24"/>
                <w:szCs w:val="20"/>
                <w:highlight w:val="none"/>
              </w:rPr>
              <w:t>评价方法采用单项标准指数法，计算模式如下</w:t>
            </w:r>
            <w:r>
              <w:rPr>
                <w:rFonts w:hint="eastAsia"/>
                <w:color w:val="auto"/>
                <w:sz w:val="24"/>
                <w:szCs w:val="20"/>
                <w:highlight w:val="none"/>
                <w:lang w:eastAsia="zh-CN"/>
              </w:rPr>
              <w:t>：</w:t>
            </w:r>
          </w:p>
          <w:p w14:paraId="35AE7BA5">
            <w:pPr>
              <w:keepNext w:val="0"/>
              <w:keepLines w:val="0"/>
              <w:suppressLineNumbers w:val="0"/>
              <w:spacing w:before="0" w:beforeAutospacing="0" w:after="0" w:afterAutospacing="0" w:line="500" w:lineRule="exact"/>
              <w:ind w:left="0" w:right="0" w:firstLine="480" w:firstLineChars="200"/>
              <w:jc w:val="center"/>
              <w:rPr>
                <w:rFonts w:hint="default"/>
                <w:color w:val="auto"/>
                <w:sz w:val="24"/>
                <w:szCs w:val="20"/>
                <w:highlight w:val="none"/>
              </w:rPr>
            </w:pPr>
            <w:r>
              <w:rPr>
                <w:rFonts w:hint="default"/>
                <w:color w:val="auto"/>
                <w:sz w:val="24"/>
                <w:szCs w:val="20"/>
                <w:highlight w:val="none"/>
              </w:rPr>
              <w:t>P</w:t>
            </w:r>
            <w:r>
              <w:rPr>
                <w:rFonts w:hint="default"/>
                <w:color w:val="auto"/>
                <w:sz w:val="24"/>
                <w:szCs w:val="20"/>
                <w:highlight w:val="none"/>
                <w:vertAlign w:val="subscript"/>
              </w:rPr>
              <w:t>i</w:t>
            </w:r>
            <w:r>
              <w:rPr>
                <w:rFonts w:hint="default"/>
                <w:color w:val="auto"/>
                <w:sz w:val="24"/>
                <w:szCs w:val="20"/>
                <w:highlight w:val="none"/>
              </w:rPr>
              <w:t>＝C</w:t>
            </w:r>
            <w:r>
              <w:rPr>
                <w:rFonts w:hint="default"/>
                <w:color w:val="auto"/>
                <w:sz w:val="24"/>
                <w:szCs w:val="20"/>
                <w:highlight w:val="none"/>
                <w:vertAlign w:val="subscript"/>
              </w:rPr>
              <w:t>i</w:t>
            </w:r>
            <w:r>
              <w:rPr>
                <w:rFonts w:hint="default"/>
                <w:color w:val="auto"/>
                <w:sz w:val="24"/>
                <w:szCs w:val="20"/>
                <w:highlight w:val="none"/>
              </w:rPr>
              <w:t>/C</w:t>
            </w:r>
            <w:r>
              <w:rPr>
                <w:rFonts w:hint="default"/>
                <w:color w:val="auto"/>
                <w:sz w:val="24"/>
                <w:szCs w:val="20"/>
                <w:highlight w:val="none"/>
                <w:vertAlign w:val="subscript"/>
              </w:rPr>
              <w:t>0i</w:t>
            </w:r>
          </w:p>
          <w:p w14:paraId="66995BB7">
            <w:pPr>
              <w:keepNext w:val="0"/>
              <w:keepLines w:val="0"/>
              <w:suppressLineNumbers w:val="0"/>
              <w:spacing w:before="0" w:beforeAutospacing="0" w:after="0" w:afterAutospacing="0" w:line="500" w:lineRule="exact"/>
              <w:ind w:left="0" w:right="0" w:firstLine="480" w:firstLineChars="200"/>
              <w:rPr>
                <w:rFonts w:hint="default"/>
                <w:color w:val="auto"/>
                <w:sz w:val="24"/>
                <w:szCs w:val="20"/>
                <w:highlight w:val="none"/>
              </w:rPr>
            </w:pPr>
            <w:r>
              <w:rPr>
                <w:rFonts w:hint="default"/>
                <w:color w:val="auto"/>
                <w:sz w:val="24"/>
                <w:szCs w:val="20"/>
                <w:highlight w:val="none"/>
              </w:rPr>
              <w:t>式中</w:t>
            </w:r>
            <w:r>
              <w:rPr>
                <w:rFonts w:hint="eastAsia"/>
                <w:color w:val="auto"/>
                <w:sz w:val="24"/>
                <w:szCs w:val="20"/>
                <w:highlight w:val="none"/>
                <w:lang w:eastAsia="zh-CN"/>
              </w:rPr>
              <w:t>：</w:t>
            </w:r>
            <w:r>
              <w:rPr>
                <w:rFonts w:hint="default"/>
                <w:color w:val="auto"/>
                <w:sz w:val="24"/>
                <w:szCs w:val="20"/>
                <w:highlight w:val="none"/>
              </w:rPr>
              <w:t>P</w:t>
            </w:r>
            <w:r>
              <w:rPr>
                <w:rFonts w:hint="default"/>
                <w:color w:val="auto"/>
                <w:sz w:val="24"/>
                <w:szCs w:val="20"/>
                <w:highlight w:val="none"/>
                <w:vertAlign w:val="subscript"/>
              </w:rPr>
              <w:t>i</w:t>
            </w:r>
            <w:r>
              <w:rPr>
                <w:rFonts w:hint="default"/>
                <w:color w:val="auto"/>
                <w:sz w:val="24"/>
                <w:szCs w:val="20"/>
                <w:highlight w:val="none"/>
              </w:rPr>
              <w:t>--i污染物标准指数；</w:t>
            </w:r>
          </w:p>
          <w:p w14:paraId="22FE5F53">
            <w:pPr>
              <w:keepNext w:val="0"/>
              <w:keepLines w:val="0"/>
              <w:suppressLineNumbers w:val="0"/>
              <w:spacing w:before="0" w:beforeAutospacing="0" w:after="0" w:afterAutospacing="0" w:line="500" w:lineRule="exact"/>
              <w:ind w:left="0" w:right="0" w:firstLine="1200" w:firstLineChars="500"/>
              <w:rPr>
                <w:rFonts w:hint="default"/>
                <w:color w:val="auto"/>
                <w:sz w:val="24"/>
                <w:szCs w:val="20"/>
                <w:highlight w:val="none"/>
              </w:rPr>
            </w:pPr>
            <w:r>
              <w:rPr>
                <w:rFonts w:hint="default"/>
                <w:color w:val="auto"/>
                <w:sz w:val="24"/>
                <w:szCs w:val="20"/>
                <w:highlight w:val="none"/>
              </w:rPr>
              <w:t>C</w:t>
            </w:r>
            <w:r>
              <w:rPr>
                <w:rFonts w:hint="default"/>
                <w:color w:val="auto"/>
                <w:sz w:val="24"/>
                <w:szCs w:val="20"/>
                <w:highlight w:val="none"/>
                <w:vertAlign w:val="subscript"/>
              </w:rPr>
              <w:t>i</w:t>
            </w:r>
            <w:r>
              <w:rPr>
                <w:rFonts w:hint="default"/>
                <w:color w:val="auto"/>
                <w:sz w:val="24"/>
                <w:szCs w:val="20"/>
                <w:highlight w:val="none"/>
              </w:rPr>
              <w:t>--i污染物实测浓度，mg/m</w:t>
            </w:r>
            <w:r>
              <w:rPr>
                <w:rFonts w:hint="default"/>
                <w:color w:val="auto"/>
                <w:sz w:val="24"/>
                <w:szCs w:val="20"/>
                <w:highlight w:val="none"/>
                <w:vertAlign w:val="superscript"/>
              </w:rPr>
              <w:t>3</w:t>
            </w:r>
            <w:r>
              <w:rPr>
                <w:rFonts w:hint="default"/>
                <w:color w:val="auto"/>
                <w:sz w:val="24"/>
                <w:szCs w:val="20"/>
                <w:highlight w:val="none"/>
              </w:rPr>
              <w:t>；</w:t>
            </w:r>
          </w:p>
          <w:p w14:paraId="6A087AF0">
            <w:pPr>
              <w:keepNext w:val="0"/>
              <w:keepLines w:val="0"/>
              <w:suppressLineNumbers w:val="0"/>
              <w:spacing w:before="0" w:beforeAutospacing="0" w:after="0" w:afterAutospacing="0" w:line="500" w:lineRule="exact"/>
              <w:ind w:left="0" w:right="0" w:firstLine="1200" w:firstLineChars="500"/>
              <w:rPr>
                <w:rFonts w:hint="default"/>
                <w:color w:val="auto"/>
                <w:sz w:val="24"/>
                <w:szCs w:val="20"/>
                <w:highlight w:val="none"/>
              </w:rPr>
            </w:pPr>
            <w:r>
              <w:rPr>
                <w:rFonts w:hint="default"/>
                <w:color w:val="auto"/>
                <w:sz w:val="24"/>
                <w:szCs w:val="20"/>
                <w:highlight w:val="none"/>
              </w:rPr>
              <w:t>C</w:t>
            </w:r>
            <w:r>
              <w:rPr>
                <w:rFonts w:hint="default"/>
                <w:color w:val="auto"/>
                <w:sz w:val="24"/>
                <w:szCs w:val="20"/>
                <w:highlight w:val="none"/>
                <w:vertAlign w:val="subscript"/>
              </w:rPr>
              <w:t>0i</w:t>
            </w:r>
            <w:r>
              <w:rPr>
                <w:rFonts w:hint="default"/>
                <w:color w:val="auto"/>
                <w:sz w:val="24"/>
                <w:szCs w:val="20"/>
                <w:highlight w:val="none"/>
              </w:rPr>
              <w:t>--i污染物评价标准值，mg/m</w:t>
            </w:r>
            <w:r>
              <w:rPr>
                <w:rFonts w:hint="default"/>
                <w:color w:val="auto"/>
                <w:sz w:val="24"/>
                <w:szCs w:val="20"/>
                <w:highlight w:val="none"/>
                <w:vertAlign w:val="superscript"/>
              </w:rPr>
              <w:t>3</w:t>
            </w:r>
            <w:r>
              <w:rPr>
                <w:rFonts w:hint="default"/>
                <w:color w:val="auto"/>
                <w:sz w:val="24"/>
                <w:szCs w:val="20"/>
                <w:highlight w:val="none"/>
              </w:rPr>
              <w:t>。</w:t>
            </w:r>
          </w:p>
          <w:p w14:paraId="7CDE805A">
            <w:pPr>
              <w:keepNext w:val="0"/>
              <w:keepLines w:val="0"/>
              <w:suppressLineNumbers w:val="0"/>
              <w:spacing w:before="0" w:beforeAutospacing="0" w:after="0" w:afterAutospacing="0" w:line="500" w:lineRule="exact"/>
              <w:ind w:left="0" w:right="0" w:firstLine="480" w:firstLineChars="200"/>
              <w:rPr>
                <w:rFonts w:hint="default"/>
                <w:color w:val="auto"/>
                <w:sz w:val="24"/>
                <w:szCs w:val="20"/>
                <w:highlight w:val="none"/>
              </w:rPr>
            </w:pPr>
            <w:r>
              <w:rPr>
                <w:rFonts w:hint="default"/>
                <w:color w:val="auto"/>
                <w:sz w:val="24"/>
                <w:szCs w:val="20"/>
                <w:highlight w:val="none"/>
              </w:rPr>
              <w:t>⑤监测及评价结果</w:t>
            </w:r>
          </w:p>
          <w:p w14:paraId="77449D04">
            <w:pPr>
              <w:keepNext w:val="0"/>
              <w:keepLines w:val="0"/>
              <w:suppressLineNumbers w:val="0"/>
              <w:adjustRightInd w:val="0"/>
              <w:snapToGrid w:val="0"/>
              <w:spacing w:before="0" w:beforeAutospacing="0" w:after="0" w:afterAutospacing="0"/>
              <w:ind w:left="0" w:right="0"/>
              <w:jc w:val="center"/>
              <w:rPr>
                <w:rFonts w:hint="default"/>
                <w:b/>
                <w:color w:val="auto"/>
                <w:sz w:val="24"/>
                <w:szCs w:val="20"/>
                <w:highlight w:val="none"/>
              </w:rPr>
            </w:pPr>
            <w:r>
              <w:rPr>
                <w:rFonts w:hint="default"/>
                <w:b/>
                <w:color w:val="auto"/>
                <w:sz w:val="24"/>
                <w:szCs w:val="20"/>
                <w:highlight w:val="none"/>
              </w:rPr>
              <w:t>表</w:t>
            </w:r>
            <w:r>
              <w:rPr>
                <w:rFonts w:hint="eastAsia"/>
                <w:b/>
                <w:color w:val="auto"/>
                <w:sz w:val="24"/>
                <w:szCs w:val="20"/>
                <w:highlight w:val="none"/>
              </w:rPr>
              <w:t>3-4</w:t>
            </w:r>
            <w:r>
              <w:rPr>
                <w:rFonts w:hint="default"/>
                <w:b/>
                <w:color w:val="auto"/>
                <w:sz w:val="24"/>
                <w:szCs w:val="20"/>
                <w:highlight w:val="none"/>
              </w:rPr>
              <w:t xml:space="preserve"> 评价结果一览表</w:t>
            </w:r>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866"/>
              <w:gridCol w:w="1005"/>
              <w:gridCol w:w="945"/>
              <w:gridCol w:w="796"/>
              <w:gridCol w:w="684"/>
              <w:gridCol w:w="977"/>
              <w:gridCol w:w="977"/>
              <w:gridCol w:w="553"/>
              <w:gridCol w:w="435"/>
              <w:gridCol w:w="422"/>
            </w:tblGrid>
            <w:tr w14:paraId="79A34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65" w:type="pct"/>
                  <w:vMerge w:val="restart"/>
                  <w:vAlign w:val="center"/>
                </w:tcPr>
                <w:p w14:paraId="769492DA">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监测点位</w:t>
                  </w:r>
                </w:p>
              </w:tc>
              <w:tc>
                <w:tcPr>
                  <w:tcW w:w="1272" w:type="pct"/>
                  <w:gridSpan w:val="2"/>
                  <w:vAlign w:val="center"/>
                </w:tcPr>
                <w:p w14:paraId="3CD2A4D7">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监测点坐标</w:t>
                  </w:r>
                </w:p>
              </w:tc>
              <w:tc>
                <w:tcPr>
                  <w:tcW w:w="966" w:type="pct"/>
                  <w:gridSpan w:val="2"/>
                  <w:vMerge w:val="restart"/>
                  <w:vAlign w:val="center"/>
                </w:tcPr>
                <w:p w14:paraId="780A9874">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污染物</w:t>
                  </w:r>
                </w:p>
              </w:tc>
              <w:tc>
                <w:tcPr>
                  <w:tcW w:w="637" w:type="pct"/>
                  <w:vMerge w:val="restart"/>
                  <w:vAlign w:val="center"/>
                </w:tcPr>
                <w:p w14:paraId="49879DDD">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评价标准/（ug/m</w:t>
                  </w:r>
                  <w:r>
                    <w:rPr>
                      <w:rFonts w:hint="eastAsia"/>
                      <w:color w:val="auto"/>
                      <w:szCs w:val="21"/>
                      <w:highlight w:val="none"/>
                      <w:vertAlign w:val="superscript"/>
                    </w:rPr>
                    <w:t>3</w:t>
                  </w:r>
                  <w:r>
                    <w:rPr>
                      <w:rFonts w:hint="eastAsia"/>
                      <w:color w:val="auto"/>
                      <w:szCs w:val="21"/>
                      <w:highlight w:val="none"/>
                    </w:rPr>
                    <w:t>）</w:t>
                  </w:r>
                </w:p>
              </w:tc>
              <w:tc>
                <w:tcPr>
                  <w:tcW w:w="637" w:type="pct"/>
                  <w:vMerge w:val="restart"/>
                  <w:vAlign w:val="center"/>
                </w:tcPr>
                <w:p w14:paraId="72C00DB6">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监测浓度范围/（ug/m</w:t>
                  </w:r>
                  <w:r>
                    <w:rPr>
                      <w:rFonts w:hint="eastAsia"/>
                      <w:color w:val="auto"/>
                      <w:szCs w:val="21"/>
                      <w:highlight w:val="none"/>
                      <w:vertAlign w:val="superscript"/>
                    </w:rPr>
                    <w:t>3</w:t>
                  </w:r>
                  <w:r>
                    <w:rPr>
                      <w:rFonts w:hint="eastAsia"/>
                      <w:color w:val="auto"/>
                      <w:szCs w:val="21"/>
                      <w:highlight w:val="none"/>
                    </w:rPr>
                    <w:t>）</w:t>
                  </w:r>
                </w:p>
              </w:tc>
              <w:tc>
                <w:tcPr>
                  <w:tcW w:w="360" w:type="pct"/>
                  <w:vMerge w:val="restart"/>
                  <w:vAlign w:val="center"/>
                </w:tcPr>
                <w:p w14:paraId="4CDAE492">
                  <w:pPr>
                    <w:keepNext w:val="0"/>
                    <w:keepLines w:val="0"/>
                    <w:suppressLineNumbers w:val="0"/>
                    <w:spacing w:before="0" w:beforeAutospacing="0" w:after="0" w:afterAutospacing="0"/>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标准指数</w:t>
                  </w:r>
                </w:p>
              </w:tc>
              <w:tc>
                <w:tcPr>
                  <w:tcW w:w="283" w:type="pct"/>
                  <w:vMerge w:val="restart"/>
                  <w:vAlign w:val="center"/>
                </w:tcPr>
                <w:p w14:paraId="047F8CC9">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超标率/%</w:t>
                  </w:r>
                </w:p>
              </w:tc>
              <w:tc>
                <w:tcPr>
                  <w:tcW w:w="275" w:type="pct"/>
                  <w:vMerge w:val="restart"/>
                  <w:vAlign w:val="center"/>
                </w:tcPr>
                <w:p w14:paraId="2C48A308">
                  <w:pPr>
                    <w:keepNext w:val="0"/>
                    <w:keepLines w:val="0"/>
                    <w:suppressLineNumbers w:val="0"/>
                    <w:spacing w:before="0" w:beforeAutospacing="0" w:after="0" w:afterAutospacing="0"/>
                    <w:ind w:left="0" w:right="0"/>
                    <w:jc w:val="center"/>
                    <w:rPr>
                      <w:rFonts w:hint="default"/>
                      <w:color w:val="auto"/>
                      <w:szCs w:val="21"/>
                      <w:highlight w:val="none"/>
                    </w:rPr>
                  </w:pPr>
                  <w:r>
                    <w:rPr>
                      <w:rFonts w:hint="eastAsia"/>
                      <w:color w:val="auto"/>
                      <w:szCs w:val="21"/>
                      <w:highlight w:val="none"/>
                    </w:rPr>
                    <w:t>达标情况</w:t>
                  </w:r>
                </w:p>
              </w:tc>
            </w:tr>
            <w:tr w14:paraId="2DE9A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565" w:type="pct"/>
                  <w:vMerge w:val="continue"/>
                  <w:vAlign w:val="center"/>
                </w:tcPr>
                <w:p w14:paraId="07650852">
                  <w:pPr>
                    <w:keepNext w:val="0"/>
                    <w:keepLines w:val="0"/>
                    <w:suppressLineNumbers w:val="0"/>
                    <w:spacing w:before="0" w:beforeAutospacing="0" w:after="0" w:afterAutospacing="0"/>
                    <w:ind w:left="0" w:right="0"/>
                    <w:jc w:val="center"/>
                    <w:rPr>
                      <w:rFonts w:hint="default"/>
                      <w:color w:val="auto"/>
                      <w:szCs w:val="21"/>
                      <w:highlight w:val="none"/>
                    </w:rPr>
                  </w:pPr>
                </w:p>
              </w:tc>
              <w:tc>
                <w:tcPr>
                  <w:tcW w:w="656" w:type="pct"/>
                  <w:vAlign w:val="center"/>
                </w:tcPr>
                <w:p w14:paraId="49FCED0F">
                  <w:pPr>
                    <w:pStyle w:val="63"/>
                    <w:keepNext w:val="0"/>
                    <w:keepLines w:val="0"/>
                    <w:suppressLineNumbers w:val="0"/>
                    <w:spacing w:before="0" w:beforeAutospacing="0" w:after="0" w:afterAutospacing="0" w:line="240" w:lineRule="auto"/>
                    <w:ind w:left="0" w:leftChars="0" w:right="0" w:firstLine="0" w:firstLineChars="0"/>
                    <w:rPr>
                      <w:rFonts w:hint="default"/>
                      <w:color w:val="auto"/>
                      <w:szCs w:val="21"/>
                      <w:highlight w:val="none"/>
                    </w:rPr>
                  </w:pPr>
                  <w:r>
                    <w:rPr>
                      <w:rFonts w:hint="eastAsia"/>
                      <w:color w:val="auto"/>
                      <w:szCs w:val="21"/>
                      <w:highlight w:val="none"/>
                    </w:rPr>
                    <w:t>经度</w:t>
                  </w:r>
                </w:p>
              </w:tc>
              <w:tc>
                <w:tcPr>
                  <w:tcW w:w="616" w:type="pct"/>
                  <w:vAlign w:val="center"/>
                </w:tcPr>
                <w:p w14:paraId="071F25EE">
                  <w:pPr>
                    <w:pStyle w:val="63"/>
                    <w:keepNext w:val="0"/>
                    <w:keepLines w:val="0"/>
                    <w:suppressLineNumbers w:val="0"/>
                    <w:spacing w:before="0" w:beforeAutospacing="0" w:after="0" w:afterAutospacing="0" w:line="240" w:lineRule="auto"/>
                    <w:ind w:left="0" w:leftChars="0" w:right="0" w:firstLine="0" w:firstLineChars="0"/>
                    <w:rPr>
                      <w:rFonts w:hint="default"/>
                      <w:color w:val="auto"/>
                      <w:szCs w:val="21"/>
                      <w:highlight w:val="none"/>
                    </w:rPr>
                  </w:pPr>
                  <w:r>
                    <w:rPr>
                      <w:rFonts w:hint="eastAsia"/>
                      <w:color w:val="auto"/>
                      <w:szCs w:val="21"/>
                      <w:highlight w:val="none"/>
                    </w:rPr>
                    <w:t>纬度</w:t>
                  </w:r>
                </w:p>
              </w:tc>
              <w:tc>
                <w:tcPr>
                  <w:tcW w:w="966" w:type="pct"/>
                  <w:gridSpan w:val="2"/>
                  <w:vMerge w:val="continue"/>
                  <w:vAlign w:val="center"/>
                </w:tcPr>
                <w:p w14:paraId="50FEC7E5">
                  <w:pPr>
                    <w:keepNext w:val="0"/>
                    <w:keepLines w:val="0"/>
                    <w:suppressLineNumbers w:val="0"/>
                    <w:spacing w:before="0" w:beforeAutospacing="0" w:after="0" w:afterAutospacing="0"/>
                    <w:ind w:left="0" w:right="0"/>
                    <w:jc w:val="center"/>
                    <w:rPr>
                      <w:rFonts w:hint="default"/>
                      <w:color w:val="auto"/>
                      <w:szCs w:val="21"/>
                      <w:highlight w:val="none"/>
                    </w:rPr>
                  </w:pPr>
                </w:p>
              </w:tc>
              <w:tc>
                <w:tcPr>
                  <w:tcW w:w="637" w:type="pct"/>
                  <w:vMerge w:val="continue"/>
                  <w:vAlign w:val="center"/>
                </w:tcPr>
                <w:p w14:paraId="59476B04">
                  <w:pPr>
                    <w:keepNext w:val="0"/>
                    <w:keepLines w:val="0"/>
                    <w:suppressLineNumbers w:val="0"/>
                    <w:spacing w:before="0" w:beforeAutospacing="0" w:after="0" w:afterAutospacing="0"/>
                    <w:ind w:left="0" w:right="0"/>
                    <w:jc w:val="center"/>
                    <w:rPr>
                      <w:rFonts w:hint="default"/>
                      <w:color w:val="auto"/>
                      <w:szCs w:val="21"/>
                      <w:highlight w:val="none"/>
                    </w:rPr>
                  </w:pPr>
                </w:p>
              </w:tc>
              <w:tc>
                <w:tcPr>
                  <w:tcW w:w="637" w:type="pct"/>
                  <w:vMerge w:val="continue"/>
                  <w:vAlign w:val="center"/>
                </w:tcPr>
                <w:p w14:paraId="23E15597">
                  <w:pPr>
                    <w:keepNext w:val="0"/>
                    <w:keepLines w:val="0"/>
                    <w:suppressLineNumbers w:val="0"/>
                    <w:spacing w:before="0" w:beforeAutospacing="0" w:after="0" w:afterAutospacing="0"/>
                    <w:ind w:left="0" w:right="0"/>
                    <w:jc w:val="center"/>
                    <w:rPr>
                      <w:rFonts w:hint="default"/>
                      <w:color w:val="auto"/>
                      <w:szCs w:val="21"/>
                      <w:highlight w:val="none"/>
                    </w:rPr>
                  </w:pPr>
                </w:p>
              </w:tc>
              <w:tc>
                <w:tcPr>
                  <w:tcW w:w="360" w:type="pct"/>
                  <w:vMerge w:val="continue"/>
                  <w:vAlign w:val="center"/>
                </w:tcPr>
                <w:p w14:paraId="169D533B">
                  <w:pPr>
                    <w:keepNext w:val="0"/>
                    <w:keepLines w:val="0"/>
                    <w:suppressLineNumbers w:val="0"/>
                    <w:spacing w:before="0" w:beforeAutospacing="0" w:after="0" w:afterAutospacing="0"/>
                    <w:ind w:left="0" w:right="0"/>
                    <w:jc w:val="center"/>
                    <w:rPr>
                      <w:rFonts w:hint="default"/>
                      <w:color w:val="auto"/>
                      <w:szCs w:val="21"/>
                      <w:highlight w:val="none"/>
                    </w:rPr>
                  </w:pPr>
                </w:p>
              </w:tc>
              <w:tc>
                <w:tcPr>
                  <w:tcW w:w="283" w:type="pct"/>
                  <w:vMerge w:val="continue"/>
                  <w:vAlign w:val="center"/>
                </w:tcPr>
                <w:p w14:paraId="2C8EBBF4">
                  <w:pPr>
                    <w:keepNext w:val="0"/>
                    <w:keepLines w:val="0"/>
                    <w:suppressLineNumbers w:val="0"/>
                    <w:spacing w:before="0" w:beforeAutospacing="0" w:after="0" w:afterAutospacing="0"/>
                    <w:ind w:left="0" w:right="0"/>
                    <w:jc w:val="center"/>
                    <w:rPr>
                      <w:rFonts w:hint="default"/>
                      <w:color w:val="auto"/>
                      <w:szCs w:val="21"/>
                      <w:highlight w:val="none"/>
                    </w:rPr>
                  </w:pPr>
                </w:p>
              </w:tc>
              <w:tc>
                <w:tcPr>
                  <w:tcW w:w="275" w:type="pct"/>
                  <w:vMerge w:val="continue"/>
                  <w:vAlign w:val="center"/>
                </w:tcPr>
                <w:p w14:paraId="7ACD37FC">
                  <w:pPr>
                    <w:keepNext w:val="0"/>
                    <w:keepLines w:val="0"/>
                    <w:suppressLineNumbers w:val="0"/>
                    <w:spacing w:before="0" w:beforeAutospacing="0" w:after="0" w:afterAutospacing="0"/>
                    <w:ind w:left="0" w:right="0"/>
                    <w:jc w:val="center"/>
                    <w:rPr>
                      <w:rFonts w:hint="default"/>
                      <w:color w:val="auto"/>
                      <w:szCs w:val="21"/>
                      <w:highlight w:val="none"/>
                    </w:rPr>
                  </w:pPr>
                </w:p>
              </w:tc>
            </w:tr>
            <w:tr w14:paraId="0FE59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24" w:hRule="atLeast"/>
                <w:jc w:val="center"/>
              </w:trPr>
              <w:tc>
                <w:tcPr>
                  <w:tcW w:w="565" w:type="pct"/>
                  <w:vAlign w:val="center"/>
                </w:tcPr>
                <w:p w14:paraId="78F1B865">
                  <w:pPr>
                    <w:keepNext w:val="0"/>
                    <w:keepLines w:val="0"/>
                    <w:suppressLineNumbers w:val="0"/>
                    <w:spacing w:before="0" w:beforeAutospacing="0" w:after="0" w:afterAutospacing="0"/>
                    <w:ind w:left="0" w:leftChars="0" w:right="0" w:rightChars="0"/>
                    <w:jc w:val="center"/>
                    <w:rPr>
                      <w:rFonts w:hint="default"/>
                      <w:color w:val="auto"/>
                      <w:szCs w:val="21"/>
                      <w:highlight w:val="none"/>
                    </w:rPr>
                  </w:pPr>
                  <w:r>
                    <w:rPr>
                      <w:rFonts w:hint="eastAsia"/>
                      <w:color w:val="auto"/>
                      <w:szCs w:val="21"/>
                      <w:highlight w:val="none"/>
                      <w:lang w:val="en-US" w:eastAsia="zh-CN"/>
                    </w:rPr>
                    <w:t>清凉山风景名胜区</w:t>
                  </w:r>
                </w:p>
              </w:tc>
              <w:tc>
                <w:tcPr>
                  <w:tcW w:w="1005" w:type="dxa"/>
                  <w:vAlign w:val="center"/>
                </w:tcPr>
                <w:p w14:paraId="6C3BE83C">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eastAsia="zh-CN"/>
                    </w:rPr>
                  </w:pPr>
                  <w:r>
                    <w:rPr>
                      <w:rFonts w:hint="eastAsia" w:cs="Times New Roman"/>
                      <w:color w:val="auto"/>
                      <w:kern w:val="2"/>
                      <w:sz w:val="21"/>
                      <w:szCs w:val="21"/>
                      <w:highlight w:val="none"/>
                      <w:lang w:val="en-US" w:eastAsia="zh-CN" w:bidi="ar-SA"/>
                    </w:rPr>
                    <w:t>114.011053</w:t>
                  </w:r>
                </w:p>
              </w:tc>
              <w:tc>
                <w:tcPr>
                  <w:tcW w:w="945" w:type="dxa"/>
                  <w:vAlign w:val="center"/>
                </w:tcPr>
                <w:p w14:paraId="51493537">
                  <w:pPr>
                    <w:keepNext w:val="0"/>
                    <w:keepLines w:val="0"/>
                    <w:widowControl/>
                    <w:suppressLineNumbers w:val="0"/>
                    <w:spacing w:before="0" w:beforeAutospacing="0" w:after="0" w:afterAutospacing="0"/>
                    <w:ind w:left="0" w:leftChars="0" w:right="0" w:rightChars="0"/>
                    <w:jc w:val="center"/>
                    <w:rPr>
                      <w:rFonts w:hint="default" w:ascii="Times New Roman" w:hAnsi="Times New Roman" w:eastAsia="宋体" w:cs="Times New Roman"/>
                      <w:color w:val="auto"/>
                      <w:szCs w:val="21"/>
                      <w:highlight w:val="none"/>
                      <w:lang w:eastAsia="zh-CN"/>
                    </w:rPr>
                  </w:pPr>
                  <w:r>
                    <w:rPr>
                      <w:rFonts w:hint="eastAsia" w:cs="Times New Roman"/>
                      <w:color w:val="auto"/>
                      <w:kern w:val="2"/>
                      <w:sz w:val="21"/>
                      <w:szCs w:val="21"/>
                      <w:highlight w:val="none"/>
                      <w:lang w:val="en-US" w:eastAsia="zh-CN" w:bidi="ar-SA"/>
                    </w:rPr>
                    <w:t>38.073273</w:t>
                  </w:r>
                </w:p>
              </w:tc>
              <w:tc>
                <w:tcPr>
                  <w:tcW w:w="519" w:type="pct"/>
                  <w:shd w:val="clear" w:color="auto" w:fill="auto"/>
                  <w:vAlign w:val="center"/>
                </w:tcPr>
                <w:p w14:paraId="008B5CB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TSP</w:t>
                  </w:r>
                </w:p>
              </w:tc>
              <w:tc>
                <w:tcPr>
                  <w:tcW w:w="446" w:type="pct"/>
                  <w:shd w:val="clear" w:color="auto" w:fill="auto"/>
                  <w:vAlign w:val="center"/>
                </w:tcPr>
                <w:p w14:paraId="7D70BB3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日均值</w:t>
                  </w:r>
                </w:p>
              </w:tc>
              <w:tc>
                <w:tcPr>
                  <w:tcW w:w="637" w:type="pct"/>
                  <w:shd w:val="clear" w:color="auto" w:fill="auto"/>
                  <w:vAlign w:val="center"/>
                </w:tcPr>
                <w:p w14:paraId="68CBD61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300</w:t>
                  </w:r>
                </w:p>
              </w:tc>
              <w:tc>
                <w:tcPr>
                  <w:tcW w:w="637" w:type="pct"/>
                  <w:shd w:val="clear" w:color="auto" w:fill="auto"/>
                  <w:vAlign w:val="center"/>
                </w:tcPr>
                <w:p w14:paraId="6EE05DD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88~104</w:t>
                  </w:r>
                </w:p>
              </w:tc>
              <w:tc>
                <w:tcPr>
                  <w:tcW w:w="360" w:type="pct"/>
                  <w:shd w:val="clear" w:color="auto" w:fill="auto"/>
                  <w:vAlign w:val="center"/>
                </w:tcPr>
                <w:p w14:paraId="307D9B49">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0.293~0.347</w:t>
                  </w:r>
                </w:p>
              </w:tc>
              <w:tc>
                <w:tcPr>
                  <w:tcW w:w="283" w:type="pct"/>
                  <w:shd w:val="clear" w:color="auto" w:fill="auto"/>
                  <w:vAlign w:val="center"/>
                </w:tcPr>
                <w:p w14:paraId="5DBB1BC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0</w:t>
                  </w:r>
                </w:p>
              </w:tc>
              <w:tc>
                <w:tcPr>
                  <w:tcW w:w="275" w:type="pct"/>
                  <w:shd w:val="clear" w:color="auto" w:fill="auto"/>
                  <w:vAlign w:val="center"/>
                </w:tcPr>
                <w:p w14:paraId="6E24ABF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达标</w:t>
                  </w:r>
                </w:p>
              </w:tc>
            </w:tr>
          </w:tbl>
          <w:p w14:paraId="061FD181">
            <w:pPr>
              <w:keepNext w:val="0"/>
              <w:keepLines w:val="0"/>
              <w:suppressLineNumbers w:val="0"/>
              <w:spacing w:before="0" w:beforeAutospacing="0" w:after="0" w:afterAutospacing="0" w:line="500" w:lineRule="exact"/>
              <w:ind w:left="0" w:right="0" w:firstLine="480" w:firstLineChars="200"/>
              <w:rPr>
                <w:rFonts w:hint="default"/>
                <w:color w:val="auto"/>
                <w:sz w:val="24"/>
                <w:szCs w:val="20"/>
                <w:highlight w:val="none"/>
              </w:rPr>
            </w:pPr>
            <w:r>
              <w:rPr>
                <w:rFonts w:hint="default"/>
                <w:color w:val="auto"/>
                <w:sz w:val="24"/>
                <w:szCs w:val="20"/>
                <w:highlight w:val="none"/>
              </w:rPr>
              <w:t>由上表可知，本项目</w:t>
            </w:r>
            <w:r>
              <w:rPr>
                <w:rFonts w:hint="eastAsia"/>
                <w:color w:val="auto"/>
                <w:sz w:val="24"/>
                <w:szCs w:val="20"/>
                <w:highlight w:val="none"/>
                <w:lang w:val="en-US" w:eastAsia="zh-CN"/>
              </w:rPr>
              <w:t>引用检测点位的</w:t>
            </w:r>
            <w:r>
              <w:rPr>
                <w:rFonts w:hint="default"/>
                <w:color w:val="auto"/>
                <w:sz w:val="24"/>
                <w:szCs w:val="20"/>
                <w:highlight w:val="none"/>
              </w:rPr>
              <w:t>TSP的24小时平均浓度满足</w:t>
            </w:r>
            <w:r>
              <w:rPr>
                <w:rFonts w:hint="eastAsia" w:cs="Times New Roman"/>
                <w:bCs/>
                <w:color w:val="auto"/>
                <w:kern w:val="2"/>
                <w:sz w:val="24"/>
                <w:szCs w:val="24"/>
                <w:highlight w:val="none"/>
                <w:lang w:val="en-US" w:eastAsia="zh-CN" w:bidi="ar"/>
              </w:rPr>
              <w:t>《环境空气质量标准》（GB3095-2026）表2二级标准</w:t>
            </w:r>
            <w:r>
              <w:rPr>
                <w:rFonts w:hint="eastAsia"/>
                <w:bCs/>
                <w:color w:val="auto"/>
                <w:sz w:val="24"/>
                <w:szCs w:val="20"/>
                <w:highlight w:val="none"/>
              </w:rPr>
              <w:t>。</w:t>
            </w:r>
          </w:p>
          <w:p w14:paraId="4A087DE7">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2、水环境</w:t>
            </w:r>
          </w:p>
          <w:p w14:paraId="4428E20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eastAsia" w:cs="Times New Roman"/>
                <w:smallCaps w:val="0"/>
                <w:color w:val="auto"/>
                <w:spacing w:val="0"/>
                <w:highlight w:val="none"/>
                <w:lang w:val="en-US" w:eastAsia="zh-CN"/>
              </w:rPr>
              <w:t>项目</w:t>
            </w:r>
            <w:r>
              <w:rPr>
                <w:rFonts w:hint="default" w:ascii="Times New Roman" w:hAnsi="Times New Roman" w:cs="Times New Roman"/>
                <w:smallCaps w:val="0"/>
                <w:color w:val="auto"/>
                <w:spacing w:val="0"/>
                <w:highlight w:val="none"/>
                <w:lang w:val="en-US" w:eastAsia="zh-CN"/>
              </w:rPr>
              <w:t>所在区域附近无地表水体，项目距离最近的水体为</w:t>
            </w:r>
            <w:r>
              <w:rPr>
                <w:rFonts w:hint="eastAsia" w:cs="Times New Roman"/>
                <w:smallCaps w:val="0"/>
                <w:color w:val="auto"/>
                <w:spacing w:val="0"/>
                <w:highlight w:val="none"/>
                <w:lang w:val="en-US" w:eastAsia="zh-CN"/>
              </w:rPr>
              <w:t>东侧约9415m的冶河</w:t>
            </w:r>
            <w:r>
              <w:rPr>
                <w:rFonts w:hint="default" w:ascii="Times New Roman" w:hAnsi="Times New Roman" w:cs="Times New Roman"/>
                <w:smallCaps w:val="0"/>
                <w:color w:val="auto"/>
                <w:spacing w:val="0"/>
                <w:highlight w:val="none"/>
                <w:lang w:val="en-US" w:eastAsia="zh-CN"/>
              </w:rPr>
              <w:t>，根据</w:t>
            </w:r>
            <w:r>
              <w:rPr>
                <w:rFonts w:hint="eastAsia" w:cs="Times New Roman"/>
                <w:smallCaps w:val="0"/>
                <w:color w:val="auto"/>
                <w:spacing w:val="0"/>
                <w:highlight w:val="none"/>
                <w:lang w:val="en-US" w:eastAsia="zh-CN"/>
              </w:rPr>
              <w:t>河北省生态环境厅2026年5月发布的《2025河北省生态环境状况公报</w:t>
            </w:r>
            <w:r>
              <w:rPr>
                <w:rFonts w:hint="default" w:ascii="Times New Roman" w:hAnsi="Times New Roman" w:cs="Times New Roman"/>
                <w:smallCaps w:val="0"/>
                <w:color w:val="auto"/>
                <w:spacing w:val="0"/>
                <w:highlight w:val="none"/>
                <w:lang w:val="en-US" w:eastAsia="zh-CN"/>
              </w:rPr>
              <w:t>》子牙河（</w:t>
            </w:r>
            <w:r>
              <w:rPr>
                <w:rFonts w:hint="eastAsia" w:cs="Times New Roman"/>
                <w:smallCaps w:val="0"/>
                <w:color w:val="auto"/>
                <w:spacing w:val="0"/>
                <w:highlight w:val="none"/>
                <w:lang w:val="en-US" w:eastAsia="zh-CN"/>
              </w:rPr>
              <w:t>冶河属子牙河水系</w:t>
            </w:r>
            <w:r>
              <w:rPr>
                <w:rFonts w:hint="default" w:ascii="Times New Roman" w:hAnsi="Times New Roman" w:cs="Times New Roman"/>
                <w:smallCaps w:val="0"/>
                <w:color w:val="auto"/>
                <w:spacing w:val="0"/>
                <w:highlight w:val="none"/>
                <w:lang w:val="en-US" w:eastAsia="zh-CN"/>
              </w:rPr>
              <w:t>）水质状况</w:t>
            </w:r>
            <w:r>
              <w:rPr>
                <w:rFonts w:hint="eastAsia" w:cs="Times New Roman"/>
                <w:smallCaps w:val="0"/>
                <w:color w:val="auto"/>
                <w:spacing w:val="0"/>
                <w:highlight w:val="none"/>
                <w:lang w:val="en-US" w:eastAsia="zh-CN"/>
              </w:rPr>
              <w:t>为</w:t>
            </w:r>
            <w:r>
              <w:rPr>
                <w:rFonts w:hint="default" w:ascii="Times New Roman" w:hAnsi="Times New Roman" w:cs="Times New Roman"/>
                <w:smallCaps w:val="0"/>
                <w:color w:val="auto"/>
                <w:spacing w:val="0"/>
                <w:highlight w:val="none"/>
                <w:lang w:val="en-US" w:eastAsia="zh-CN"/>
              </w:rPr>
              <w:t>轻度污染。</w:t>
            </w:r>
          </w:p>
          <w:p w14:paraId="4A7F1C6A">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3、声环境</w:t>
            </w:r>
          </w:p>
          <w:p w14:paraId="5730842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szCs w:val="20"/>
                <w:highlight w:val="none"/>
              </w:rPr>
            </w:pPr>
            <w:r>
              <w:rPr>
                <w:rFonts w:hint="default" w:ascii="Times New Roman" w:hAnsi="Times New Roman" w:eastAsia="宋体" w:cs="Times New Roman"/>
                <w:i w:val="0"/>
                <w:iCs w:val="0"/>
                <w:smallCaps w:val="0"/>
                <w:color w:val="auto"/>
                <w:spacing w:val="0"/>
                <w:szCs w:val="20"/>
                <w:highlight w:val="none"/>
              </w:rPr>
              <w:t>项目所在区域声环境属于《声环境质量标准》（GB3096-2008）3 类区。项目厂界50m范围内无声环境保护目标，不需进行声环境现状监测</w:t>
            </w:r>
            <w:r>
              <w:rPr>
                <w:rFonts w:hint="default" w:ascii="Times New Roman" w:hAnsi="Times New Roman" w:eastAsia="宋体" w:cs="Times New Roman"/>
                <w:smallCaps w:val="0"/>
                <w:color w:val="auto"/>
                <w:spacing w:val="0"/>
                <w:szCs w:val="20"/>
                <w:highlight w:val="none"/>
              </w:rPr>
              <w:t>。</w:t>
            </w:r>
          </w:p>
          <w:p w14:paraId="5EF9B290">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4、生态环境</w:t>
            </w:r>
          </w:p>
          <w:p w14:paraId="16D8321E">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lang w:val="en-US" w:eastAsia="zh-CN"/>
              </w:rPr>
              <w:t>项目</w:t>
            </w:r>
            <w:r>
              <w:rPr>
                <w:rFonts w:hint="eastAsia" w:cs="Times New Roman"/>
                <w:smallCaps w:val="0"/>
                <w:color w:val="auto"/>
                <w:spacing w:val="0"/>
                <w:highlight w:val="none"/>
                <w:lang w:val="en-US" w:eastAsia="zh-CN"/>
              </w:rPr>
              <w:t>租</w:t>
            </w:r>
            <w:r>
              <w:rPr>
                <w:rFonts w:hint="default" w:ascii="Times New Roman" w:hAnsi="Times New Roman" w:cs="Times New Roman"/>
                <w:smallCaps w:val="0"/>
                <w:color w:val="auto"/>
                <w:spacing w:val="0"/>
                <w:highlight w:val="none"/>
                <w:lang w:val="en-US" w:eastAsia="zh-CN"/>
              </w:rPr>
              <w:t>用地性质为工业用地，用地范围内不含有生态环境保护目标，无需进行生态现状调查</w:t>
            </w:r>
            <w:r>
              <w:rPr>
                <w:rFonts w:hint="default" w:ascii="Times New Roman" w:hAnsi="Times New Roman" w:cs="Times New Roman"/>
                <w:smallCaps w:val="0"/>
                <w:color w:val="auto"/>
                <w:spacing w:val="0"/>
                <w:highlight w:val="none"/>
              </w:rPr>
              <w:t>。</w:t>
            </w:r>
          </w:p>
          <w:p w14:paraId="737B2DF6">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5、电磁辐射</w:t>
            </w:r>
          </w:p>
          <w:p w14:paraId="2833F21E">
            <w:pPr>
              <w:keepNext w:val="0"/>
              <w:keepLines w:val="0"/>
              <w:widowControl/>
              <w:suppressLineNumbers w:val="0"/>
              <w:spacing w:before="0" w:beforeAutospacing="0" w:after="0" w:afterAutospacing="0" w:line="500" w:lineRule="exact"/>
              <w:ind w:left="0" w:right="0" w:firstLine="480" w:firstLineChars="200"/>
              <w:rPr>
                <w:rFonts w:hint="default" w:ascii="Times New Roman" w:hAnsi="Times New Roman" w:cs="Times New Roman"/>
                <w:smallCaps w:val="0"/>
                <w:color w:val="auto"/>
                <w:spacing w:val="0"/>
                <w:sz w:val="24"/>
                <w:szCs w:val="20"/>
                <w:highlight w:val="none"/>
              </w:rPr>
            </w:pPr>
            <w:r>
              <w:rPr>
                <w:rFonts w:hint="default" w:ascii="Times New Roman" w:hAnsi="Times New Roman" w:cs="Times New Roman"/>
                <w:smallCaps w:val="0"/>
                <w:color w:val="auto"/>
                <w:spacing w:val="0"/>
                <w:sz w:val="24"/>
                <w:szCs w:val="20"/>
                <w:highlight w:val="none"/>
              </w:rPr>
              <w:t>不涉及。</w:t>
            </w:r>
          </w:p>
          <w:p w14:paraId="0749944D">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6、地下水、土壤环境质量现状</w:t>
            </w:r>
          </w:p>
          <w:p w14:paraId="6D0042EB">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建设项目</w:t>
            </w:r>
            <w:r>
              <w:rPr>
                <w:rFonts w:hint="eastAsia" w:cs="Times New Roman"/>
                <w:smallCaps w:val="0"/>
                <w:color w:val="auto"/>
                <w:spacing w:val="0"/>
                <w:highlight w:val="none"/>
                <w:lang w:val="en-US" w:eastAsia="zh-CN"/>
              </w:rPr>
              <w:t>在落实好分区防渗措施后可有效切断对</w:t>
            </w:r>
            <w:r>
              <w:rPr>
                <w:rFonts w:hint="default" w:ascii="Times New Roman" w:hAnsi="Times New Roman" w:cs="Times New Roman"/>
                <w:smallCaps w:val="0"/>
                <w:color w:val="auto"/>
                <w:spacing w:val="0"/>
                <w:highlight w:val="none"/>
              </w:rPr>
              <w:t>地下水、土壤环境污染</w:t>
            </w:r>
            <w:r>
              <w:rPr>
                <w:rFonts w:hint="eastAsia" w:cs="Times New Roman"/>
                <w:smallCaps w:val="0"/>
                <w:color w:val="auto"/>
                <w:spacing w:val="0"/>
                <w:highlight w:val="none"/>
                <w:lang w:val="en-US" w:eastAsia="zh-CN"/>
              </w:rPr>
              <w:t>途径</w:t>
            </w:r>
            <w:r>
              <w:rPr>
                <w:rFonts w:hint="default" w:ascii="Times New Roman" w:hAnsi="Times New Roman" w:cs="Times New Roman"/>
                <w:smallCaps w:val="0"/>
                <w:color w:val="auto"/>
                <w:spacing w:val="0"/>
                <w:highlight w:val="none"/>
              </w:rPr>
              <w:t>，原则上不开展环境质量现状调查</w:t>
            </w:r>
            <w:r>
              <w:rPr>
                <w:rFonts w:hint="eastAsia" w:cs="Times New Roman"/>
                <w:smallCaps w:val="0"/>
                <w:color w:val="auto"/>
                <w:spacing w:val="0"/>
                <w:highlight w:val="none"/>
                <w:lang w:eastAsia="zh-CN"/>
              </w:rPr>
              <w:t>。</w:t>
            </w:r>
          </w:p>
        </w:tc>
      </w:tr>
      <w:tr w14:paraId="18F1BE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72" w:type="pct"/>
            <w:vAlign w:val="center"/>
          </w:tcPr>
          <w:p w14:paraId="7FD7A32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环境</w:t>
            </w:r>
          </w:p>
          <w:p w14:paraId="2187F26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保护</w:t>
            </w:r>
          </w:p>
          <w:p w14:paraId="52A9227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Cs w:val="21"/>
                <w:highlight w:val="none"/>
              </w:rPr>
            </w:pPr>
            <w:r>
              <w:rPr>
                <w:rFonts w:hint="default" w:ascii="Times New Roman" w:hAnsi="Times New Roman" w:cs="Times New Roman"/>
                <w:smallCaps w:val="0"/>
                <w:color w:val="auto"/>
                <w:spacing w:val="0"/>
                <w:kern w:val="0"/>
                <w:sz w:val="24"/>
                <w:szCs w:val="21"/>
                <w:highlight w:val="none"/>
              </w:rPr>
              <w:t>目标</w:t>
            </w:r>
          </w:p>
        </w:tc>
        <w:tc>
          <w:tcPr>
            <w:tcW w:w="4627" w:type="pct"/>
            <w:vAlign w:val="center"/>
          </w:tcPr>
          <w:p w14:paraId="2577A8EA">
            <w:pPr>
              <w:pStyle w:val="172"/>
              <w:keepNext w:val="0"/>
              <w:keepLines w:val="0"/>
              <w:suppressLineNumbers w:val="0"/>
              <w:spacing w:before="0" w:beforeAutospacing="0" w:after="0" w:afterAutospacing="0"/>
              <w:ind w:left="0" w:right="0" w:firstLine="482"/>
              <w:rPr>
                <w:rFonts w:hint="default" w:ascii="Times New Roman" w:hAnsi="Times New Roman" w:cs="Times New Roman"/>
                <w:b/>
                <w:bCs/>
                <w:smallCaps w:val="0"/>
                <w:color w:val="auto"/>
                <w:spacing w:val="0"/>
                <w:highlight w:val="none"/>
              </w:rPr>
            </w:pPr>
            <w:r>
              <w:rPr>
                <w:rFonts w:hint="default" w:ascii="Times New Roman" w:hAnsi="Times New Roman" w:cs="Times New Roman"/>
                <w:b/>
                <w:bCs/>
                <w:smallCaps w:val="0"/>
                <w:color w:val="auto"/>
                <w:spacing w:val="0"/>
                <w:highlight w:val="none"/>
              </w:rPr>
              <w:t>1、大气环境</w:t>
            </w:r>
          </w:p>
          <w:p w14:paraId="1637D63A">
            <w:pPr>
              <w:pStyle w:val="131"/>
              <w:keepNext w:val="0"/>
              <w:keepLines w:val="0"/>
              <w:pageBreakBefore w:val="0"/>
              <w:widowControl w:val="0"/>
              <w:suppressLineNumbers w:val="0"/>
              <w:kinsoku/>
              <w:wordWrap/>
              <w:overflowPunct/>
              <w:topLinePunct w:val="0"/>
              <w:autoSpaceDE/>
              <w:autoSpaceDN/>
              <w:bidi w:val="0"/>
              <w:adjustRightInd/>
              <w:snapToGrid w:val="0"/>
              <w:spacing w:before="0" w:beforeLines="0" w:beforeAutospacing="0" w:after="0" w:afterLines="0" w:afterAutospacing="0" w:line="460" w:lineRule="exact"/>
              <w:ind w:left="0" w:right="0" w:firstLine="480"/>
              <w:jc w:val="both"/>
              <w:textAlignment w:val="auto"/>
              <w:rPr>
                <w:rFonts w:hint="eastAsia"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厂界外500米范围内的</w:t>
            </w:r>
            <w:r>
              <w:rPr>
                <w:rFonts w:hint="eastAsia"/>
                <w:color w:val="auto"/>
                <w:kern w:val="2"/>
                <w:sz w:val="24"/>
                <w:szCs w:val="24"/>
                <w:highlight w:val="none"/>
                <w:lang w:val="en-US" w:eastAsia="zh-CN"/>
              </w:rPr>
              <w:t>没有</w:t>
            </w:r>
            <w:r>
              <w:rPr>
                <w:rFonts w:hint="eastAsia" w:ascii="Times New Roman" w:hAnsi="Times New Roman"/>
                <w:color w:val="auto"/>
                <w:kern w:val="2"/>
                <w:sz w:val="24"/>
                <w:szCs w:val="24"/>
                <w:highlight w:val="none"/>
              </w:rPr>
              <w:t>大气环境保护目标。</w:t>
            </w:r>
          </w:p>
          <w:p w14:paraId="5E1E8EE5">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2、声环境</w:t>
            </w:r>
          </w:p>
          <w:p w14:paraId="1BCFF58C">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eastAsia="宋体" w:cs="Times New Roman"/>
                <w:smallCaps w:val="0"/>
                <w:color w:val="auto"/>
                <w:spacing w:val="0"/>
                <w:highlight w:val="none"/>
              </w:rPr>
              <w:t>项目厂界外50m范围内</w:t>
            </w:r>
            <w:r>
              <w:rPr>
                <w:rFonts w:hint="eastAsia" w:cs="Times New Roman"/>
                <w:smallCaps w:val="0"/>
                <w:color w:val="auto"/>
                <w:spacing w:val="0"/>
                <w:highlight w:val="none"/>
                <w:lang w:val="en-US" w:eastAsia="zh-CN"/>
              </w:rPr>
              <w:t>没有</w:t>
            </w:r>
            <w:r>
              <w:rPr>
                <w:rFonts w:hint="default" w:ascii="Times New Roman" w:hAnsi="Times New Roman" w:eastAsia="宋体" w:cs="Times New Roman"/>
                <w:smallCaps w:val="0"/>
                <w:color w:val="auto"/>
                <w:spacing w:val="0"/>
                <w:highlight w:val="none"/>
              </w:rPr>
              <w:t>声环境保护目标</w:t>
            </w:r>
            <w:r>
              <w:rPr>
                <w:rFonts w:hint="eastAsia" w:cs="Times New Roman"/>
                <w:smallCaps w:val="0"/>
                <w:color w:val="auto"/>
                <w:spacing w:val="0"/>
                <w:highlight w:val="none"/>
                <w:lang w:eastAsia="zh-CN"/>
              </w:rPr>
              <w:t>。</w:t>
            </w:r>
          </w:p>
          <w:p w14:paraId="1AF5C4BC">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3、地下水环境</w:t>
            </w:r>
          </w:p>
          <w:p w14:paraId="0CA6AB38">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szCs w:val="32"/>
                <w:highlight w:val="none"/>
              </w:rPr>
              <w:t>根据项目性质及周围环境特征</w:t>
            </w:r>
            <w:r>
              <w:rPr>
                <w:rFonts w:hint="default" w:ascii="Times New Roman" w:hAnsi="Times New Roman" w:cs="Times New Roman"/>
                <w:smallCaps w:val="0"/>
                <w:color w:val="auto"/>
                <w:spacing w:val="0"/>
                <w:szCs w:val="32"/>
                <w:highlight w:val="none"/>
                <w:lang w:eastAsia="zh-CN"/>
              </w:rPr>
              <w:t>，</w:t>
            </w:r>
            <w:r>
              <w:rPr>
                <w:rFonts w:hint="default" w:ascii="Times New Roman" w:hAnsi="Times New Roman" w:cs="Times New Roman"/>
                <w:smallCaps w:val="0"/>
                <w:color w:val="auto"/>
                <w:spacing w:val="0"/>
                <w:szCs w:val="32"/>
                <w:highlight w:val="none"/>
              </w:rPr>
              <w:t>本项目周边500m范围内无地下水集中式饮用水水源和热水、矿泉水、温泉等特殊地下水</w:t>
            </w:r>
            <w:r>
              <w:rPr>
                <w:rFonts w:hint="eastAsia" w:cs="Times New Roman"/>
                <w:smallCaps w:val="0"/>
                <w:color w:val="auto"/>
                <w:spacing w:val="0"/>
                <w:szCs w:val="32"/>
                <w:highlight w:val="none"/>
                <w:lang w:val="en-US" w:eastAsia="zh-CN"/>
              </w:rPr>
              <w:t>资源</w:t>
            </w:r>
            <w:r>
              <w:rPr>
                <w:rFonts w:hint="default" w:ascii="Times New Roman" w:hAnsi="Times New Roman" w:cs="Times New Roman"/>
                <w:smallCaps w:val="0"/>
                <w:color w:val="auto"/>
                <w:spacing w:val="0"/>
                <w:szCs w:val="32"/>
                <w:highlight w:val="none"/>
                <w:lang w:eastAsia="zh-CN"/>
              </w:rPr>
              <w:t>，</w:t>
            </w:r>
            <w:r>
              <w:rPr>
                <w:rFonts w:hint="default" w:ascii="Times New Roman" w:hAnsi="Times New Roman" w:cs="Times New Roman"/>
                <w:smallCaps w:val="0"/>
                <w:color w:val="auto"/>
                <w:spacing w:val="0"/>
                <w:szCs w:val="32"/>
                <w:highlight w:val="none"/>
              </w:rPr>
              <w:t>不存在地下水环境保护目标</w:t>
            </w:r>
            <w:r>
              <w:rPr>
                <w:rFonts w:hint="default" w:ascii="Times New Roman" w:hAnsi="Times New Roman" w:cs="Times New Roman"/>
                <w:smallCaps w:val="0"/>
                <w:color w:val="auto"/>
                <w:spacing w:val="0"/>
                <w:highlight w:val="none"/>
              </w:rPr>
              <w:t>。</w:t>
            </w:r>
          </w:p>
          <w:p w14:paraId="46841023">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4、生态环境</w:t>
            </w:r>
          </w:p>
          <w:p w14:paraId="25A5E623">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项目周边无生态环境保护目标。</w:t>
            </w:r>
          </w:p>
        </w:tc>
      </w:tr>
      <w:tr w14:paraId="42128B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372" w:type="pct"/>
            <w:tcMar>
              <w:left w:w="28" w:type="dxa"/>
              <w:right w:w="28" w:type="dxa"/>
            </w:tcMar>
            <w:vAlign w:val="center"/>
          </w:tcPr>
          <w:p w14:paraId="445C65C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污染</w:t>
            </w:r>
          </w:p>
          <w:p w14:paraId="411F8D9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物排</w:t>
            </w:r>
          </w:p>
          <w:p w14:paraId="68331D05">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放控</w:t>
            </w:r>
          </w:p>
          <w:p w14:paraId="7725E57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制标</w:t>
            </w:r>
          </w:p>
          <w:p w14:paraId="258695F2">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Cs w:val="21"/>
                <w:highlight w:val="none"/>
              </w:rPr>
            </w:pPr>
            <w:r>
              <w:rPr>
                <w:rFonts w:hint="default" w:ascii="Times New Roman" w:hAnsi="Times New Roman" w:cs="Times New Roman"/>
                <w:smallCaps w:val="0"/>
                <w:color w:val="auto"/>
                <w:spacing w:val="0"/>
                <w:kern w:val="0"/>
                <w:sz w:val="24"/>
                <w:szCs w:val="21"/>
                <w:highlight w:val="none"/>
              </w:rPr>
              <w:t>准</w:t>
            </w:r>
          </w:p>
        </w:tc>
        <w:tc>
          <w:tcPr>
            <w:tcW w:w="4627" w:type="pct"/>
            <w:vAlign w:val="center"/>
          </w:tcPr>
          <w:p w14:paraId="68211FCE">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eastAsia" w:cs="Times New Roman"/>
                <w:b/>
                <w:smallCaps w:val="0"/>
                <w:color w:val="auto"/>
                <w:spacing w:val="0"/>
                <w:highlight w:val="none"/>
                <w:lang w:val="en-US" w:eastAsia="zh-CN"/>
              </w:rPr>
              <w:t>1</w:t>
            </w:r>
            <w:r>
              <w:rPr>
                <w:rFonts w:hint="default" w:ascii="Times New Roman" w:hAnsi="Times New Roman" w:cs="Times New Roman"/>
                <w:b/>
                <w:smallCaps w:val="0"/>
                <w:color w:val="auto"/>
                <w:spacing w:val="0"/>
                <w:highlight w:val="none"/>
              </w:rPr>
              <w:t>、</w:t>
            </w:r>
            <w:r>
              <w:rPr>
                <w:rFonts w:hint="eastAsia" w:ascii="Times New Roman" w:hAnsi="Times New Roman" w:cs="Times New Roman"/>
                <w:b/>
                <w:smallCaps w:val="0"/>
                <w:color w:val="auto"/>
                <w:spacing w:val="0"/>
                <w:highlight w:val="none"/>
                <w:lang w:val="en-US" w:eastAsia="zh-CN"/>
              </w:rPr>
              <w:t>大气</w:t>
            </w:r>
            <w:r>
              <w:rPr>
                <w:rFonts w:hint="default" w:ascii="Times New Roman" w:hAnsi="Times New Roman" w:cs="Times New Roman"/>
                <w:b/>
                <w:smallCaps w:val="0"/>
                <w:color w:val="auto"/>
                <w:spacing w:val="0"/>
                <w:highlight w:val="none"/>
              </w:rPr>
              <w:t>污染执行标准</w:t>
            </w:r>
          </w:p>
          <w:p w14:paraId="6351340A">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val="en-US" w:eastAsia="zh-CN"/>
              </w:rPr>
            </w:pPr>
            <w:r>
              <w:rPr>
                <w:rFonts w:hint="default"/>
                <w:color w:val="auto"/>
                <w:highlight w:val="none"/>
              </w:rPr>
              <w:t>施工期</w:t>
            </w:r>
            <w:r>
              <w:rPr>
                <w:rFonts w:hint="eastAsia"/>
                <w:color w:val="auto"/>
                <w:highlight w:val="none"/>
                <w:lang w:eastAsia="zh-CN"/>
              </w:rPr>
              <w:t>：</w:t>
            </w:r>
            <w:r>
              <w:rPr>
                <w:rFonts w:hint="default"/>
                <w:color w:val="auto"/>
                <w:highlight w:val="none"/>
              </w:rPr>
              <w:t>施工场地扬尘排放执行《施工场地扬尘排放标准》（DB13/2934-2019）表1扬尘排放浓度限值</w:t>
            </w:r>
            <w:r>
              <w:rPr>
                <w:rFonts w:hint="eastAsia"/>
                <w:color w:val="auto"/>
                <w:highlight w:val="none"/>
                <w:lang w:eastAsia="zh-CN"/>
              </w:rPr>
              <w:t>；</w:t>
            </w:r>
          </w:p>
          <w:p w14:paraId="09F6F770">
            <w:pPr>
              <w:pStyle w:val="172"/>
              <w:keepNext w:val="0"/>
              <w:keepLines w:val="0"/>
              <w:suppressLineNumbers w:val="0"/>
              <w:spacing w:before="0" w:beforeAutospacing="0" w:after="0" w:afterAutospacing="0"/>
              <w:ind w:left="0" w:right="0" w:firstLine="480"/>
              <w:rPr>
                <w:rFonts w:hint="default"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运营期</w:t>
            </w:r>
            <w:r>
              <w:rPr>
                <w:rFonts w:hint="eastAsia" w:cs="Times New Roman"/>
                <w:smallCaps w:val="0"/>
                <w:color w:val="auto"/>
                <w:spacing w:val="0"/>
                <w:highlight w:val="none"/>
                <w:lang w:eastAsia="zh-CN"/>
              </w:rPr>
              <w:t>：</w:t>
            </w:r>
            <w:r>
              <w:rPr>
                <w:rFonts w:hint="eastAsia" w:cs="Times New Roman"/>
                <w:smallCaps w:val="0"/>
                <w:color w:val="auto"/>
                <w:spacing w:val="0"/>
                <w:highlight w:val="none"/>
                <w:lang w:val="en-US" w:eastAsia="zh-CN"/>
              </w:rPr>
              <w:t>修磨废气颗粒物执行《大气污染物综合排放标准》（GB16297-1996）表2（其他）二级标准。</w:t>
            </w:r>
          </w:p>
          <w:p w14:paraId="388D254C">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eastAsia" w:cs="Times New Roman"/>
                <w:smallCaps w:val="0"/>
                <w:color w:val="auto"/>
                <w:spacing w:val="0"/>
                <w:highlight w:val="none"/>
                <w:lang w:val="en-US" w:eastAsia="zh-CN"/>
              </w:rPr>
              <w:t>厂界无组织无组织颗粒物排放执行《大气污染物综合排放标准》（GB16297-1996）表2无组织排放监控浓度限值</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具体见下表。</w:t>
            </w:r>
          </w:p>
          <w:p w14:paraId="470A4551">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表3-</w:t>
            </w:r>
            <w:r>
              <w:rPr>
                <w:rFonts w:hint="eastAsia" w:cs="Times New Roman"/>
                <w:smallCaps w:val="0"/>
                <w:color w:val="auto"/>
                <w:spacing w:val="0"/>
                <w:highlight w:val="none"/>
                <w:lang w:val="en-US" w:eastAsia="zh-CN"/>
              </w:rPr>
              <w:t>7</w:t>
            </w:r>
            <w:r>
              <w:rPr>
                <w:rFonts w:hint="default" w:ascii="Times New Roman" w:hAnsi="Times New Roman" w:cs="Times New Roman"/>
                <w:smallCaps w:val="0"/>
                <w:color w:val="auto"/>
                <w:spacing w:val="0"/>
                <w:highlight w:val="none"/>
              </w:rPr>
              <w:t xml:space="preserve">     </w:t>
            </w:r>
            <w:r>
              <w:rPr>
                <w:rFonts w:hint="eastAsia" w:ascii="Times New Roman" w:hAnsi="Times New Roman" w:cs="Times New Roman"/>
                <w:smallCaps w:val="0"/>
                <w:color w:val="auto"/>
                <w:spacing w:val="0"/>
                <w:highlight w:val="none"/>
                <w:lang w:val="en-US" w:eastAsia="zh-CN"/>
              </w:rPr>
              <w:t>大气</w:t>
            </w:r>
            <w:r>
              <w:rPr>
                <w:rFonts w:hint="default" w:ascii="Times New Roman" w:hAnsi="Times New Roman" w:cs="Times New Roman"/>
                <w:smallCaps w:val="0"/>
                <w:color w:val="auto"/>
                <w:spacing w:val="0"/>
                <w:highlight w:val="none"/>
              </w:rPr>
              <w:t>排放标准</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
              <w:gridCol w:w="866"/>
              <w:gridCol w:w="610"/>
              <w:gridCol w:w="1107"/>
              <w:gridCol w:w="1592"/>
              <w:gridCol w:w="2858"/>
            </w:tblGrid>
            <w:tr w14:paraId="76D17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30" w:type="dxa"/>
                  <w:tcBorders>
                    <w:top w:val="single" w:color="auto" w:sz="4" w:space="0"/>
                    <w:left w:val="single" w:color="auto" w:sz="4" w:space="0"/>
                    <w:right w:val="single" w:color="auto" w:sz="4" w:space="0"/>
                  </w:tcBorders>
                  <w:vAlign w:val="center"/>
                </w:tcPr>
                <w:p w14:paraId="1C5346A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b/>
                      <w:bCs/>
                      <w:smallCaps w:val="0"/>
                      <w:color w:val="auto"/>
                      <w:spacing w:val="0"/>
                      <w:szCs w:val="21"/>
                      <w:highlight w:val="none"/>
                    </w:rPr>
                    <w:t>类别</w:t>
                  </w:r>
                </w:p>
              </w:tc>
              <w:tc>
                <w:tcPr>
                  <w:tcW w:w="866" w:type="dxa"/>
                  <w:tcBorders>
                    <w:top w:val="single" w:color="auto" w:sz="4" w:space="0"/>
                    <w:left w:val="single" w:color="auto" w:sz="4" w:space="0"/>
                    <w:right w:val="single" w:color="auto" w:sz="4" w:space="0"/>
                  </w:tcBorders>
                  <w:vAlign w:val="center"/>
                </w:tcPr>
                <w:p w14:paraId="58F37FE5">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smallCaps w:val="0"/>
                      <w:color w:val="auto"/>
                      <w:spacing w:val="0"/>
                      <w:szCs w:val="21"/>
                      <w:highlight w:val="none"/>
                      <w:lang w:eastAsia="zh-CN"/>
                    </w:rPr>
                  </w:pPr>
                  <w:r>
                    <w:rPr>
                      <w:rFonts w:hint="eastAsia" w:ascii="Times New Roman" w:hAnsi="Times New Roman" w:cs="Times New Roman"/>
                      <w:b/>
                      <w:bCs/>
                      <w:smallCaps w:val="0"/>
                      <w:color w:val="auto"/>
                      <w:spacing w:val="0"/>
                      <w:szCs w:val="21"/>
                      <w:highlight w:val="none"/>
                      <w:lang w:val="en-US" w:eastAsia="zh-CN"/>
                    </w:rPr>
                    <w:t>污染源</w:t>
                  </w:r>
                </w:p>
              </w:tc>
              <w:tc>
                <w:tcPr>
                  <w:tcW w:w="3309" w:type="dxa"/>
                  <w:gridSpan w:val="3"/>
                  <w:tcBorders>
                    <w:top w:val="single" w:color="auto" w:sz="4" w:space="0"/>
                    <w:left w:val="single" w:color="auto" w:sz="4" w:space="0"/>
                    <w:bottom w:val="single" w:color="auto" w:sz="4" w:space="0"/>
                    <w:right w:val="single" w:color="auto" w:sz="4" w:space="0"/>
                  </w:tcBorders>
                  <w:vAlign w:val="center"/>
                </w:tcPr>
                <w:p w14:paraId="77A4BFF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bCs/>
                      <w:smallCaps w:val="0"/>
                      <w:color w:val="auto"/>
                      <w:spacing w:val="0"/>
                      <w:szCs w:val="21"/>
                      <w:highlight w:val="none"/>
                    </w:rPr>
                  </w:pPr>
                  <w:r>
                    <w:rPr>
                      <w:rFonts w:hint="default" w:ascii="Times New Roman" w:hAnsi="Times New Roman" w:cs="Times New Roman"/>
                      <w:b/>
                      <w:bCs/>
                      <w:smallCaps w:val="0"/>
                      <w:color w:val="auto"/>
                      <w:spacing w:val="0"/>
                      <w:szCs w:val="21"/>
                      <w:highlight w:val="none"/>
                    </w:rPr>
                    <w:t>排放标准</w:t>
                  </w:r>
                </w:p>
              </w:tc>
              <w:tc>
                <w:tcPr>
                  <w:tcW w:w="2858" w:type="dxa"/>
                  <w:tcBorders>
                    <w:top w:val="single" w:color="auto" w:sz="4" w:space="0"/>
                    <w:left w:val="single" w:color="auto" w:sz="4" w:space="0"/>
                    <w:right w:val="single" w:color="auto" w:sz="4" w:space="0"/>
                  </w:tcBorders>
                  <w:vAlign w:val="center"/>
                </w:tcPr>
                <w:p w14:paraId="616D8FA8">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b/>
                      <w:bCs/>
                      <w:smallCaps w:val="0"/>
                      <w:color w:val="auto"/>
                      <w:spacing w:val="0"/>
                      <w:szCs w:val="21"/>
                      <w:highlight w:val="none"/>
                    </w:rPr>
                    <w:t>标准来源</w:t>
                  </w:r>
                </w:p>
              </w:tc>
            </w:tr>
            <w:tr w14:paraId="667FD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630" w:type="dxa"/>
                  <w:vMerge w:val="restart"/>
                  <w:tcBorders>
                    <w:left w:val="single" w:color="auto" w:sz="4" w:space="0"/>
                    <w:right w:val="single" w:color="auto" w:sz="4" w:space="0"/>
                  </w:tcBorders>
                  <w:shd w:val="clear" w:color="auto" w:fill="auto"/>
                  <w:vAlign w:val="center"/>
                </w:tcPr>
                <w:p w14:paraId="1BE7BE04">
                  <w:pPr>
                    <w:pStyle w:val="67"/>
                    <w:keepNext w:val="0"/>
                    <w:keepLines w:val="0"/>
                    <w:suppressLineNumbers w:val="0"/>
                    <w:spacing w:before="0" w:beforeAutospacing="0" w:after="0" w:afterAutospacing="0"/>
                    <w:ind w:left="0" w:right="0"/>
                    <w:rPr>
                      <w:rFonts w:hint="eastAsia" w:ascii="Times New Roman" w:hAnsi="Times New Roman" w:eastAsia="宋体" w:cs="Times New Roman"/>
                      <w:bCs/>
                      <w:color w:val="auto"/>
                      <w:spacing w:val="0"/>
                      <w:kern w:val="0"/>
                      <w:sz w:val="21"/>
                      <w:szCs w:val="20"/>
                      <w:highlight w:val="none"/>
                      <w:lang w:val="en-US" w:eastAsia="zh-CN" w:bidi="ar-SA"/>
                    </w:rPr>
                  </w:pPr>
                  <w:r>
                    <w:rPr>
                      <w:rFonts w:hint="default"/>
                      <w:color w:val="auto"/>
                      <w:spacing w:val="0"/>
                      <w:highlight w:val="none"/>
                    </w:rPr>
                    <w:t>施工期</w:t>
                  </w:r>
                </w:p>
              </w:tc>
              <w:tc>
                <w:tcPr>
                  <w:tcW w:w="866" w:type="dxa"/>
                  <w:vMerge w:val="restart"/>
                  <w:tcBorders>
                    <w:left w:val="single" w:color="auto" w:sz="4" w:space="0"/>
                    <w:right w:val="single" w:color="auto" w:sz="4" w:space="0"/>
                  </w:tcBorders>
                  <w:shd w:val="clear" w:color="auto" w:fill="auto"/>
                  <w:vAlign w:val="center"/>
                </w:tcPr>
                <w:p w14:paraId="7DB79631">
                  <w:pPr>
                    <w:pStyle w:val="67"/>
                    <w:keepNext w:val="0"/>
                    <w:keepLines w:val="0"/>
                    <w:suppressLineNumbers w:val="0"/>
                    <w:spacing w:before="0" w:beforeAutospacing="0" w:after="0" w:afterAutospacing="0"/>
                    <w:ind w:left="0" w:right="0"/>
                    <w:rPr>
                      <w:rFonts w:hint="eastAsia" w:ascii="Times New Roman" w:hAnsi="Times New Roman" w:eastAsia="宋体" w:cs="Times New Roman"/>
                      <w:bCs/>
                      <w:color w:val="auto"/>
                      <w:spacing w:val="0"/>
                      <w:kern w:val="0"/>
                      <w:sz w:val="21"/>
                      <w:szCs w:val="20"/>
                      <w:highlight w:val="none"/>
                      <w:lang w:val="en-US" w:eastAsia="zh-CN" w:bidi="ar-SA"/>
                    </w:rPr>
                  </w:pPr>
                  <w:r>
                    <w:rPr>
                      <w:rFonts w:hint="eastAsia"/>
                      <w:color w:val="auto"/>
                      <w:spacing w:val="0"/>
                      <w:highlight w:val="none"/>
                    </w:rPr>
                    <w:t>基础建设施工、拆除等</w:t>
                  </w:r>
                </w:p>
              </w:tc>
              <w:tc>
                <w:tcPr>
                  <w:tcW w:w="610" w:type="dxa"/>
                  <w:vMerge w:val="restart"/>
                  <w:tcBorders>
                    <w:top w:val="single" w:color="auto" w:sz="4" w:space="0"/>
                    <w:left w:val="single" w:color="auto" w:sz="4" w:space="0"/>
                    <w:right w:val="single" w:color="auto" w:sz="4" w:space="0"/>
                  </w:tcBorders>
                  <w:shd w:val="clear" w:color="auto" w:fill="auto"/>
                  <w:vAlign w:val="center"/>
                </w:tcPr>
                <w:p w14:paraId="20528540">
                  <w:pPr>
                    <w:pStyle w:val="67"/>
                    <w:keepNext w:val="0"/>
                    <w:keepLines w:val="0"/>
                    <w:suppressLineNumbers w:val="0"/>
                    <w:spacing w:before="0" w:beforeAutospacing="0" w:after="0" w:afterAutospacing="0"/>
                    <w:ind w:left="0" w:right="0"/>
                    <w:rPr>
                      <w:rFonts w:hint="eastAsia" w:ascii="Times New Roman" w:hAnsi="Times New Roman" w:eastAsia="宋体" w:cs="Times New Roman"/>
                      <w:bCs/>
                      <w:color w:val="auto"/>
                      <w:spacing w:val="0"/>
                      <w:kern w:val="0"/>
                      <w:sz w:val="21"/>
                      <w:szCs w:val="20"/>
                      <w:highlight w:val="none"/>
                      <w:lang w:val="en-US" w:eastAsia="zh-CN" w:bidi="ar-SA"/>
                    </w:rPr>
                  </w:pPr>
                  <w:r>
                    <w:rPr>
                      <w:rFonts w:hint="default"/>
                      <w:color w:val="auto"/>
                      <w:spacing w:val="0"/>
                      <w:highlight w:val="none"/>
                    </w:rPr>
                    <w:t>颗粒物</w:t>
                  </w:r>
                </w:p>
              </w:tc>
              <w:tc>
                <w:tcPr>
                  <w:tcW w:w="1107" w:type="dxa"/>
                  <w:tcBorders>
                    <w:top w:val="single" w:color="auto" w:sz="4" w:space="0"/>
                    <w:left w:val="single" w:color="auto" w:sz="4" w:space="0"/>
                    <w:right w:val="single" w:color="auto" w:sz="4" w:space="0"/>
                  </w:tcBorders>
                  <w:shd w:val="clear" w:color="auto" w:fill="auto"/>
                  <w:vAlign w:val="center"/>
                </w:tcPr>
                <w:p w14:paraId="2945F823">
                  <w:pPr>
                    <w:pStyle w:val="67"/>
                    <w:keepNext w:val="0"/>
                    <w:keepLines w:val="0"/>
                    <w:suppressLineNumbers w:val="0"/>
                    <w:spacing w:before="0" w:beforeAutospacing="0" w:after="0" w:afterAutospacing="0"/>
                    <w:ind w:left="0" w:right="0"/>
                    <w:rPr>
                      <w:rFonts w:hint="eastAsia" w:ascii="Times New Roman" w:hAnsi="Times New Roman" w:eastAsia="宋体" w:cs="Times New Roman"/>
                      <w:bCs/>
                      <w:color w:val="auto"/>
                      <w:spacing w:val="0"/>
                      <w:kern w:val="0"/>
                      <w:sz w:val="21"/>
                      <w:szCs w:val="20"/>
                      <w:highlight w:val="none"/>
                      <w:lang w:val="en-US" w:eastAsia="zh-CN" w:bidi="ar-SA"/>
                    </w:rPr>
                  </w:pPr>
                  <w:r>
                    <w:rPr>
                      <w:rFonts w:hint="default"/>
                      <w:color w:val="auto"/>
                      <w:spacing w:val="0"/>
                      <w:highlight w:val="none"/>
                    </w:rPr>
                    <w:t>监测点浓度限值</w:t>
                  </w:r>
                  <w:r>
                    <w:rPr>
                      <w:rFonts w:hint="eastAsia"/>
                      <w:color w:val="auto"/>
                      <w:spacing w:val="0"/>
                      <w:highlight w:val="none"/>
                      <w:vertAlign w:val="superscript"/>
                    </w:rPr>
                    <w:t>a</w:t>
                  </w:r>
                </w:p>
              </w:tc>
              <w:tc>
                <w:tcPr>
                  <w:tcW w:w="1592" w:type="dxa"/>
                  <w:tcBorders>
                    <w:top w:val="single" w:color="auto" w:sz="4" w:space="0"/>
                    <w:left w:val="single" w:color="auto" w:sz="4" w:space="0"/>
                    <w:bottom w:val="single" w:color="auto" w:sz="4" w:space="0"/>
                    <w:right w:val="single" w:color="auto" w:sz="4" w:space="0"/>
                  </w:tcBorders>
                  <w:shd w:val="clear" w:color="auto" w:fill="auto"/>
                  <w:vAlign w:val="center"/>
                </w:tcPr>
                <w:p w14:paraId="7E627BFC">
                  <w:pPr>
                    <w:pStyle w:val="67"/>
                    <w:keepNext w:val="0"/>
                    <w:keepLines w:val="0"/>
                    <w:suppressLineNumbers w:val="0"/>
                    <w:spacing w:before="0" w:beforeAutospacing="0" w:after="0" w:afterAutospacing="0"/>
                    <w:ind w:left="0" w:right="0"/>
                    <w:rPr>
                      <w:rFonts w:hint="default" w:ascii="Times New Roman" w:hAnsi="Times New Roman" w:eastAsia="宋体" w:cs="Times New Roman"/>
                      <w:bCs/>
                      <w:color w:val="auto"/>
                      <w:spacing w:val="0"/>
                      <w:kern w:val="0"/>
                      <w:sz w:val="21"/>
                      <w:szCs w:val="20"/>
                      <w:highlight w:val="none"/>
                      <w:lang w:val="en-US" w:eastAsia="zh-CN" w:bidi="ar-SA"/>
                    </w:rPr>
                  </w:pPr>
                  <w:r>
                    <w:rPr>
                      <w:rFonts w:hint="default"/>
                      <w:color w:val="auto"/>
                      <w:spacing w:val="0"/>
                      <w:highlight w:val="none"/>
                    </w:rPr>
                    <w:t>≤80</w:t>
                  </w:r>
                  <w:r>
                    <w:rPr>
                      <w:rFonts w:hint="eastAsia"/>
                      <w:color w:val="auto"/>
                      <w:spacing w:val="0"/>
                      <w:highlight w:val="none"/>
                    </w:rPr>
                    <w:t>u</w:t>
                  </w:r>
                  <w:r>
                    <w:rPr>
                      <w:rFonts w:hint="default"/>
                      <w:color w:val="auto"/>
                      <w:spacing w:val="0"/>
                      <w:highlight w:val="none"/>
                    </w:rPr>
                    <w:t>g/m³</w:t>
                  </w:r>
                </w:p>
              </w:tc>
              <w:tc>
                <w:tcPr>
                  <w:tcW w:w="2858" w:type="dxa"/>
                  <w:vMerge w:val="restart"/>
                  <w:tcBorders>
                    <w:left w:val="single" w:color="auto" w:sz="4" w:space="0"/>
                    <w:right w:val="single" w:color="auto" w:sz="4" w:space="0"/>
                  </w:tcBorders>
                  <w:vAlign w:val="center"/>
                </w:tcPr>
                <w:p w14:paraId="3BB6BC8C">
                  <w:pPr>
                    <w:keepNext w:val="0"/>
                    <w:keepLines w:val="0"/>
                    <w:suppressLineNumbers w:val="0"/>
                    <w:adjustRightInd w:val="0"/>
                    <w:snapToGrid w:val="0"/>
                    <w:spacing w:before="0" w:beforeAutospacing="0" w:after="0" w:afterAutospacing="0"/>
                    <w:ind w:left="0" w:right="0"/>
                    <w:jc w:val="center"/>
                    <w:rPr>
                      <w:rFonts w:hint="default" w:cs="Times New Roman"/>
                      <w:smallCaps w:val="0"/>
                      <w:color w:val="auto"/>
                      <w:spacing w:val="0"/>
                      <w:szCs w:val="21"/>
                      <w:highlight w:val="none"/>
                      <w:lang w:val="en-US" w:eastAsia="zh-CN"/>
                    </w:rPr>
                  </w:pPr>
                  <w:r>
                    <w:rPr>
                      <w:rFonts w:hint="default"/>
                      <w:color w:val="auto"/>
                      <w:spacing w:val="0"/>
                      <w:szCs w:val="20"/>
                      <w:highlight w:val="none"/>
                    </w:rPr>
                    <w:t>《施工场地扬尘排放标准》（DB13/2934-2019）表1扬尘排放浓度限值</w:t>
                  </w:r>
                </w:p>
              </w:tc>
            </w:tr>
            <w:tr w14:paraId="39119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 w:hRule="atLeast"/>
                <w:jc w:val="center"/>
              </w:trPr>
              <w:tc>
                <w:tcPr>
                  <w:tcW w:w="630" w:type="dxa"/>
                  <w:vMerge w:val="continue"/>
                  <w:tcBorders>
                    <w:left w:val="single" w:color="auto" w:sz="4" w:space="0"/>
                    <w:right w:val="single" w:color="auto" w:sz="4" w:space="0"/>
                  </w:tcBorders>
                  <w:vAlign w:val="center"/>
                </w:tcPr>
                <w:p w14:paraId="1F06FF5B">
                  <w:pPr>
                    <w:keepNext w:val="0"/>
                    <w:keepLines w:val="0"/>
                    <w:suppressLineNumbers w:val="0"/>
                    <w:adjustRightInd w:val="0"/>
                    <w:snapToGrid w:val="0"/>
                    <w:spacing w:before="0" w:beforeAutospacing="0" w:after="0" w:afterAutospacing="0"/>
                    <w:ind w:left="0" w:right="0"/>
                    <w:jc w:val="center"/>
                    <w:rPr>
                      <w:rFonts w:hint="eastAsia" w:cs="Times New Roman"/>
                      <w:smallCaps w:val="0"/>
                      <w:color w:val="auto"/>
                      <w:spacing w:val="0"/>
                      <w:szCs w:val="21"/>
                      <w:highlight w:val="none"/>
                      <w:lang w:val="en-US" w:eastAsia="zh-CN"/>
                    </w:rPr>
                  </w:pPr>
                </w:p>
              </w:tc>
              <w:tc>
                <w:tcPr>
                  <w:tcW w:w="866" w:type="dxa"/>
                  <w:vMerge w:val="continue"/>
                  <w:tcBorders>
                    <w:left w:val="single" w:color="auto" w:sz="4" w:space="0"/>
                    <w:right w:val="single" w:color="auto" w:sz="4" w:space="0"/>
                  </w:tcBorders>
                  <w:vAlign w:val="center"/>
                </w:tcPr>
                <w:p w14:paraId="46D00D66">
                  <w:pPr>
                    <w:keepNext w:val="0"/>
                    <w:keepLines w:val="0"/>
                    <w:suppressLineNumbers w:val="0"/>
                    <w:spacing w:before="0" w:beforeAutospacing="0" w:after="0" w:afterAutospacing="0"/>
                    <w:ind w:left="0" w:right="0"/>
                    <w:jc w:val="center"/>
                    <w:rPr>
                      <w:rFonts w:hint="eastAsia" w:cs="Times New Roman"/>
                      <w:smallCaps w:val="0"/>
                      <w:color w:val="auto"/>
                      <w:spacing w:val="0"/>
                      <w:szCs w:val="21"/>
                      <w:highlight w:val="none"/>
                      <w:lang w:val="en-US" w:eastAsia="zh-CN"/>
                    </w:rPr>
                  </w:pPr>
                </w:p>
              </w:tc>
              <w:tc>
                <w:tcPr>
                  <w:tcW w:w="610" w:type="dxa"/>
                  <w:vMerge w:val="continue"/>
                  <w:tcBorders>
                    <w:left w:val="single" w:color="auto" w:sz="4" w:space="0"/>
                    <w:right w:val="single" w:color="auto" w:sz="4" w:space="0"/>
                  </w:tcBorders>
                  <w:shd w:val="clear" w:color="auto" w:fill="auto"/>
                  <w:vAlign w:val="center"/>
                </w:tcPr>
                <w:p w14:paraId="548D2A5C">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p>
              </w:tc>
              <w:tc>
                <w:tcPr>
                  <w:tcW w:w="1107" w:type="dxa"/>
                  <w:tcBorders>
                    <w:top w:val="single" w:color="auto" w:sz="4" w:space="0"/>
                    <w:left w:val="single" w:color="auto" w:sz="4" w:space="0"/>
                    <w:right w:val="single" w:color="auto" w:sz="4" w:space="0"/>
                  </w:tcBorders>
                  <w:shd w:val="clear" w:color="auto" w:fill="auto"/>
                  <w:vAlign w:val="center"/>
                </w:tcPr>
                <w:p w14:paraId="475E62B3">
                  <w:pPr>
                    <w:pStyle w:val="67"/>
                    <w:keepNext w:val="0"/>
                    <w:keepLines w:val="0"/>
                    <w:suppressLineNumbers w:val="0"/>
                    <w:spacing w:before="0" w:beforeAutospacing="0" w:after="0" w:afterAutospacing="0"/>
                    <w:ind w:left="0" w:right="0"/>
                    <w:rPr>
                      <w:rFonts w:hint="eastAsia" w:ascii="Times New Roman" w:hAnsi="Times New Roman" w:eastAsia="宋体" w:cs="Times New Roman"/>
                      <w:bCs/>
                      <w:color w:val="auto"/>
                      <w:spacing w:val="0"/>
                      <w:kern w:val="0"/>
                      <w:sz w:val="21"/>
                      <w:szCs w:val="20"/>
                      <w:highlight w:val="none"/>
                      <w:lang w:val="en-US" w:eastAsia="zh-CN" w:bidi="ar-SA"/>
                    </w:rPr>
                  </w:pPr>
                  <w:r>
                    <w:rPr>
                      <w:rFonts w:hint="default"/>
                      <w:color w:val="auto"/>
                      <w:spacing w:val="0"/>
                      <w:highlight w:val="none"/>
                    </w:rPr>
                    <w:t>达标判定依据</w:t>
                  </w:r>
                </w:p>
              </w:tc>
              <w:tc>
                <w:tcPr>
                  <w:tcW w:w="1592" w:type="dxa"/>
                  <w:tcBorders>
                    <w:top w:val="single" w:color="auto" w:sz="4" w:space="0"/>
                    <w:left w:val="single" w:color="auto" w:sz="4" w:space="0"/>
                    <w:bottom w:val="single" w:color="auto" w:sz="4" w:space="0"/>
                    <w:right w:val="single" w:color="auto" w:sz="4" w:space="0"/>
                  </w:tcBorders>
                  <w:shd w:val="clear" w:color="auto" w:fill="auto"/>
                  <w:vAlign w:val="center"/>
                </w:tcPr>
                <w:p w14:paraId="7B138450">
                  <w:pPr>
                    <w:pStyle w:val="67"/>
                    <w:keepNext w:val="0"/>
                    <w:keepLines w:val="0"/>
                    <w:suppressLineNumbers w:val="0"/>
                    <w:spacing w:before="0" w:beforeAutospacing="0" w:after="0" w:afterAutospacing="0"/>
                    <w:ind w:left="0" w:right="0"/>
                    <w:rPr>
                      <w:rFonts w:hint="default" w:ascii="Times New Roman" w:hAnsi="Times New Roman" w:eastAsia="宋体" w:cs="Times New Roman"/>
                      <w:bCs/>
                      <w:color w:val="auto"/>
                      <w:spacing w:val="0"/>
                      <w:kern w:val="0"/>
                      <w:sz w:val="21"/>
                      <w:szCs w:val="20"/>
                      <w:highlight w:val="none"/>
                      <w:lang w:val="en-US" w:eastAsia="zh-CN" w:bidi="ar-SA"/>
                    </w:rPr>
                  </w:pPr>
                  <w:r>
                    <w:rPr>
                      <w:rFonts w:hint="default"/>
                      <w:color w:val="auto"/>
                      <w:spacing w:val="0"/>
                      <w:highlight w:val="none"/>
                    </w:rPr>
                    <w:t>≤2次/天</w:t>
                  </w:r>
                </w:p>
              </w:tc>
              <w:tc>
                <w:tcPr>
                  <w:tcW w:w="2858" w:type="dxa"/>
                  <w:vMerge w:val="continue"/>
                  <w:tcBorders>
                    <w:left w:val="single" w:color="auto" w:sz="4" w:space="0"/>
                    <w:right w:val="single" w:color="auto" w:sz="4" w:space="0"/>
                  </w:tcBorders>
                  <w:vAlign w:val="center"/>
                </w:tcPr>
                <w:p w14:paraId="07D02DB6">
                  <w:pPr>
                    <w:keepNext w:val="0"/>
                    <w:keepLines w:val="0"/>
                    <w:suppressLineNumbers w:val="0"/>
                    <w:adjustRightInd w:val="0"/>
                    <w:snapToGrid w:val="0"/>
                    <w:spacing w:before="0" w:beforeAutospacing="0" w:after="0" w:afterAutospacing="0"/>
                    <w:ind w:left="0" w:right="0"/>
                    <w:jc w:val="center"/>
                    <w:rPr>
                      <w:rFonts w:hint="default" w:cs="Times New Roman"/>
                      <w:smallCaps w:val="0"/>
                      <w:color w:val="auto"/>
                      <w:spacing w:val="0"/>
                      <w:szCs w:val="21"/>
                      <w:highlight w:val="none"/>
                      <w:lang w:val="en-US" w:eastAsia="zh-CN"/>
                    </w:rPr>
                  </w:pPr>
                </w:p>
              </w:tc>
            </w:tr>
            <w:tr w14:paraId="10564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 w:hRule="atLeast"/>
                <w:jc w:val="center"/>
              </w:trPr>
              <w:tc>
                <w:tcPr>
                  <w:tcW w:w="630" w:type="dxa"/>
                  <w:vMerge w:val="restart"/>
                  <w:tcBorders>
                    <w:left w:val="single" w:color="auto" w:sz="4" w:space="0"/>
                    <w:right w:val="single" w:color="auto" w:sz="4" w:space="0"/>
                  </w:tcBorders>
                  <w:vAlign w:val="center"/>
                </w:tcPr>
                <w:p w14:paraId="622AF29E">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运营期</w:t>
                  </w:r>
                </w:p>
              </w:tc>
              <w:tc>
                <w:tcPr>
                  <w:tcW w:w="866" w:type="dxa"/>
                  <w:vMerge w:val="restart"/>
                  <w:tcBorders>
                    <w:left w:val="single" w:color="auto" w:sz="4" w:space="0"/>
                    <w:right w:val="single" w:color="auto" w:sz="4" w:space="0"/>
                  </w:tcBorders>
                  <w:vAlign w:val="center"/>
                </w:tcPr>
                <w:p w14:paraId="3ED98A0D">
                  <w:pPr>
                    <w:keepNext w:val="0"/>
                    <w:keepLines w:val="0"/>
                    <w:suppressLineNumbers w:val="0"/>
                    <w:spacing w:before="0" w:beforeAutospacing="0" w:after="0" w:afterAutospacing="0"/>
                    <w:ind w:left="0" w:right="0"/>
                    <w:jc w:val="center"/>
                    <w:rPr>
                      <w:rFonts w:hint="default"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修磨废气</w:t>
                  </w:r>
                </w:p>
              </w:tc>
              <w:tc>
                <w:tcPr>
                  <w:tcW w:w="610" w:type="dxa"/>
                  <w:vMerge w:val="restart"/>
                  <w:tcBorders>
                    <w:top w:val="single" w:color="auto" w:sz="4" w:space="0"/>
                    <w:left w:val="single" w:color="auto" w:sz="4" w:space="0"/>
                    <w:right w:val="single" w:color="auto" w:sz="4" w:space="0"/>
                  </w:tcBorders>
                  <w:shd w:val="clear" w:color="auto" w:fill="auto"/>
                  <w:vAlign w:val="center"/>
                </w:tcPr>
                <w:p w14:paraId="651D112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val="en-US" w:eastAsia="zh-CN"/>
                    </w:rPr>
                    <w:t>颗粒物</w:t>
                  </w:r>
                </w:p>
              </w:tc>
              <w:tc>
                <w:tcPr>
                  <w:tcW w:w="1107" w:type="dxa"/>
                  <w:tcBorders>
                    <w:top w:val="single" w:color="auto" w:sz="4" w:space="0"/>
                    <w:left w:val="single" w:color="auto" w:sz="4" w:space="0"/>
                    <w:right w:val="single" w:color="auto" w:sz="4" w:space="0"/>
                  </w:tcBorders>
                  <w:shd w:val="clear" w:color="auto" w:fill="auto"/>
                  <w:vAlign w:val="center"/>
                </w:tcPr>
                <w:p w14:paraId="5F3504BD">
                  <w:pPr>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排放浓度</w:t>
                  </w:r>
                </w:p>
              </w:tc>
              <w:tc>
                <w:tcPr>
                  <w:tcW w:w="1592" w:type="dxa"/>
                  <w:tcBorders>
                    <w:top w:val="single" w:color="auto" w:sz="4" w:space="0"/>
                    <w:left w:val="single" w:color="auto" w:sz="4" w:space="0"/>
                    <w:bottom w:val="single" w:color="auto" w:sz="4" w:space="0"/>
                    <w:right w:val="single" w:color="auto" w:sz="4" w:space="0"/>
                  </w:tcBorders>
                  <w:shd w:val="clear" w:color="auto" w:fill="auto"/>
                  <w:vAlign w:val="center"/>
                </w:tcPr>
                <w:p w14:paraId="49E21BD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default" w:ascii="Times New Roman" w:hAnsi="Times New Roman" w:cs="Times New Roman"/>
                      <w:smallCaps w:val="0"/>
                      <w:color w:val="auto"/>
                      <w:spacing w:val="0"/>
                      <w:szCs w:val="21"/>
                      <w:highlight w:val="none"/>
                      <w:lang w:val="en-US" w:eastAsia="zh-CN"/>
                    </w:rPr>
                    <w:t>≤</w:t>
                  </w:r>
                  <w:r>
                    <w:rPr>
                      <w:rFonts w:hint="eastAsia" w:ascii="Times New Roman" w:hAnsi="Times New Roman" w:cs="Times New Roman"/>
                      <w:smallCaps w:val="0"/>
                      <w:color w:val="auto"/>
                      <w:spacing w:val="0"/>
                      <w:szCs w:val="21"/>
                      <w:highlight w:val="none"/>
                      <w:lang w:val="en-US" w:eastAsia="zh-CN"/>
                    </w:rPr>
                    <w:t>1</w:t>
                  </w:r>
                  <w:r>
                    <w:rPr>
                      <w:rFonts w:hint="eastAsia" w:cs="Times New Roman"/>
                      <w:smallCaps w:val="0"/>
                      <w:color w:val="auto"/>
                      <w:spacing w:val="0"/>
                      <w:szCs w:val="21"/>
                      <w:highlight w:val="none"/>
                      <w:lang w:val="en-US" w:eastAsia="zh-CN"/>
                    </w:rPr>
                    <w:t>20</w:t>
                  </w:r>
                  <w:r>
                    <w:rPr>
                      <w:rFonts w:hint="default" w:ascii="Times New Roman" w:hAnsi="Times New Roman" w:cs="Times New Roman"/>
                      <w:smallCaps w:val="0"/>
                      <w:color w:val="auto"/>
                      <w:spacing w:val="0"/>
                      <w:szCs w:val="21"/>
                      <w:highlight w:val="none"/>
                      <w:lang w:val="en-US" w:eastAsia="zh-CN"/>
                    </w:rPr>
                    <w:t>mg/m</w:t>
                  </w:r>
                  <w:r>
                    <w:rPr>
                      <w:rFonts w:hint="default" w:ascii="Times New Roman" w:hAnsi="Times New Roman" w:cs="Times New Roman"/>
                      <w:smallCaps w:val="0"/>
                      <w:color w:val="auto"/>
                      <w:spacing w:val="0"/>
                      <w:szCs w:val="21"/>
                      <w:highlight w:val="none"/>
                      <w:vertAlign w:val="superscript"/>
                      <w:lang w:val="en-US" w:eastAsia="zh-CN"/>
                    </w:rPr>
                    <w:t>3</w:t>
                  </w:r>
                </w:p>
              </w:tc>
              <w:tc>
                <w:tcPr>
                  <w:tcW w:w="2858" w:type="dxa"/>
                  <w:vMerge w:val="restart"/>
                  <w:tcBorders>
                    <w:left w:val="single" w:color="auto" w:sz="4" w:space="0"/>
                    <w:right w:val="single" w:color="auto" w:sz="4" w:space="0"/>
                  </w:tcBorders>
                  <w:vAlign w:val="center"/>
                </w:tcPr>
                <w:p w14:paraId="6CCE9AA3">
                  <w:pPr>
                    <w:keepNext w:val="0"/>
                    <w:keepLines w:val="0"/>
                    <w:suppressLineNumbers w:val="0"/>
                    <w:adjustRightInd w:val="0"/>
                    <w:snapToGrid w:val="0"/>
                    <w:spacing w:before="0" w:beforeAutospacing="0" w:after="0" w:afterAutospacing="0"/>
                    <w:ind w:left="0" w:right="0"/>
                    <w:jc w:val="center"/>
                    <w:rPr>
                      <w:rFonts w:hint="default" w:cs="Times New Roman"/>
                      <w:smallCaps w:val="0"/>
                      <w:color w:val="auto"/>
                      <w:spacing w:val="0"/>
                      <w:szCs w:val="21"/>
                      <w:highlight w:val="none"/>
                      <w:lang w:val="en-US" w:eastAsia="zh-CN"/>
                    </w:rPr>
                  </w:pPr>
                  <w:r>
                    <w:rPr>
                      <w:rFonts w:hint="default" w:cs="Times New Roman"/>
                      <w:smallCaps w:val="0"/>
                      <w:color w:val="auto"/>
                      <w:spacing w:val="0"/>
                      <w:szCs w:val="21"/>
                      <w:highlight w:val="none"/>
                      <w:lang w:val="en-US" w:eastAsia="zh-CN"/>
                    </w:rPr>
                    <w:t>《大气污染物综合排放标准》（GB16297-1996）表2（其他）二级标准</w:t>
                  </w:r>
                </w:p>
              </w:tc>
            </w:tr>
            <w:tr w14:paraId="59548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jc w:val="center"/>
              </w:trPr>
              <w:tc>
                <w:tcPr>
                  <w:tcW w:w="630" w:type="dxa"/>
                  <w:vMerge w:val="continue"/>
                  <w:tcBorders>
                    <w:left w:val="single" w:color="auto" w:sz="4" w:space="0"/>
                    <w:right w:val="single" w:color="auto" w:sz="4" w:space="0"/>
                  </w:tcBorders>
                  <w:vAlign w:val="center"/>
                </w:tcPr>
                <w:p w14:paraId="58F08ED5">
                  <w:pPr>
                    <w:keepNext w:val="0"/>
                    <w:keepLines w:val="0"/>
                    <w:suppressLineNumbers w:val="0"/>
                    <w:adjustRightInd w:val="0"/>
                    <w:snapToGrid w:val="0"/>
                    <w:spacing w:before="0" w:beforeAutospacing="0" w:after="0" w:afterAutospacing="0"/>
                    <w:ind w:left="0" w:right="0"/>
                    <w:jc w:val="center"/>
                    <w:rPr>
                      <w:rFonts w:hint="eastAsia" w:cs="Times New Roman"/>
                      <w:smallCaps w:val="0"/>
                      <w:color w:val="auto"/>
                      <w:spacing w:val="0"/>
                      <w:szCs w:val="21"/>
                      <w:highlight w:val="none"/>
                      <w:lang w:val="en-US" w:eastAsia="zh-CN"/>
                    </w:rPr>
                  </w:pPr>
                </w:p>
              </w:tc>
              <w:tc>
                <w:tcPr>
                  <w:tcW w:w="866" w:type="dxa"/>
                  <w:vMerge w:val="continue"/>
                  <w:tcBorders>
                    <w:left w:val="single" w:color="auto" w:sz="4" w:space="0"/>
                    <w:right w:val="single" w:color="auto" w:sz="4" w:space="0"/>
                  </w:tcBorders>
                  <w:vAlign w:val="center"/>
                </w:tcPr>
                <w:p w14:paraId="3C9BCDB4">
                  <w:pPr>
                    <w:keepNext w:val="0"/>
                    <w:keepLines w:val="0"/>
                    <w:suppressLineNumbers w:val="0"/>
                    <w:spacing w:before="0" w:beforeAutospacing="0" w:after="0" w:afterAutospacing="0"/>
                    <w:ind w:left="0" w:right="0"/>
                    <w:jc w:val="center"/>
                    <w:rPr>
                      <w:rFonts w:hint="eastAsia" w:cs="Times New Roman"/>
                      <w:smallCaps w:val="0"/>
                      <w:color w:val="auto"/>
                      <w:spacing w:val="0"/>
                      <w:szCs w:val="21"/>
                      <w:highlight w:val="none"/>
                      <w:lang w:val="en-US" w:eastAsia="zh-CN"/>
                    </w:rPr>
                  </w:pPr>
                </w:p>
              </w:tc>
              <w:tc>
                <w:tcPr>
                  <w:tcW w:w="610" w:type="dxa"/>
                  <w:vMerge w:val="continue"/>
                  <w:tcBorders>
                    <w:left w:val="single" w:color="auto" w:sz="4" w:space="0"/>
                    <w:right w:val="single" w:color="auto" w:sz="4" w:space="0"/>
                  </w:tcBorders>
                  <w:shd w:val="clear" w:color="auto" w:fill="auto"/>
                  <w:vAlign w:val="center"/>
                </w:tcPr>
                <w:p w14:paraId="37CD040D">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p>
              </w:tc>
              <w:tc>
                <w:tcPr>
                  <w:tcW w:w="1107" w:type="dxa"/>
                  <w:tcBorders>
                    <w:top w:val="single" w:color="auto" w:sz="4" w:space="0"/>
                    <w:left w:val="single" w:color="auto" w:sz="4" w:space="0"/>
                    <w:right w:val="single" w:color="auto" w:sz="4" w:space="0"/>
                  </w:tcBorders>
                  <w:shd w:val="clear" w:color="auto" w:fill="auto"/>
                  <w:vAlign w:val="center"/>
                </w:tcPr>
                <w:p w14:paraId="5AC3C5BC">
                  <w:pPr>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排放速率</w:t>
                  </w:r>
                </w:p>
              </w:tc>
              <w:tc>
                <w:tcPr>
                  <w:tcW w:w="1592" w:type="dxa"/>
                  <w:tcBorders>
                    <w:top w:val="single" w:color="auto" w:sz="4" w:space="0"/>
                    <w:left w:val="single" w:color="auto" w:sz="4" w:space="0"/>
                    <w:bottom w:val="single" w:color="auto" w:sz="4" w:space="0"/>
                    <w:right w:val="single" w:color="auto" w:sz="4" w:space="0"/>
                  </w:tcBorders>
                  <w:shd w:val="clear" w:color="auto" w:fill="auto"/>
                  <w:vAlign w:val="center"/>
                </w:tcPr>
                <w:p w14:paraId="4A8526E4">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smallCaps w:val="0"/>
                      <w:color w:val="auto"/>
                      <w:spacing w:val="0"/>
                      <w:szCs w:val="21"/>
                      <w:highlight w:val="none"/>
                      <w:lang w:val="en-US" w:eastAsia="zh-CN"/>
                    </w:rPr>
                  </w:pPr>
                  <w:r>
                    <w:rPr>
                      <w:rFonts w:hint="default" w:ascii="Times New Roman" w:hAnsi="Times New Roman" w:cs="Times New Roman"/>
                      <w:smallCaps w:val="0"/>
                      <w:color w:val="auto"/>
                      <w:spacing w:val="0"/>
                      <w:szCs w:val="21"/>
                      <w:highlight w:val="none"/>
                      <w:lang w:val="en-US" w:eastAsia="zh-CN"/>
                    </w:rPr>
                    <w:t>≤</w:t>
                  </w:r>
                  <w:r>
                    <w:rPr>
                      <w:rFonts w:hint="eastAsia" w:ascii="Times New Roman" w:hAnsi="Times New Roman" w:cs="Times New Roman"/>
                      <w:smallCaps w:val="0"/>
                      <w:color w:val="auto"/>
                      <w:spacing w:val="0"/>
                      <w:szCs w:val="21"/>
                      <w:highlight w:val="none"/>
                      <w:lang w:val="en-US" w:eastAsia="zh-CN"/>
                    </w:rPr>
                    <w:t>3.5kg/h</w:t>
                  </w:r>
                </w:p>
              </w:tc>
              <w:tc>
                <w:tcPr>
                  <w:tcW w:w="2858" w:type="dxa"/>
                  <w:vMerge w:val="continue"/>
                  <w:tcBorders>
                    <w:left w:val="single" w:color="auto" w:sz="4" w:space="0"/>
                    <w:right w:val="single" w:color="auto" w:sz="4" w:space="0"/>
                  </w:tcBorders>
                  <w:vAlign w:val="center"/>
                </w:tcPr>
                <w:p w14:paraId="6BA062C0">
                  <w:pPr>
                    <w:keepNext w:val="0"/>
                    <w:keepLines w:val="0"/>
                    <w:suppressLineNumbers w:val="0"/>
                    <w:adjustRightInd w:val="0"/>
                    <w:snapToGrid w:val="0"/>
                    <w:spacing w:before="0" w:beforeAutospacing="0" w:after="0" w:afterAutospacing="0"/>
                    <w:ind w:left="0" w:right="0"/>
                    <w:jc w:val="center"/>
                    <w:rPr>
                      <w:rFonts w:hint="default" w:cs="Times New Roman"/>
                      <w:smallCaps w:val="0"/>
                      <w:color w:val="auto"/>
                      <w:spacing w:val="0"/>
                      <w:szCs w:val="21"/>
                      <w:highlight w:val="none"/>
                      <w:lang w:val="en-US" w:eastAsia="zh-CN"/>
                    </w:rPr>
                  </w:pPr>
                </w:p>
              </w:tc>
            </w:tr>
            <w:tr w14:paraId="075C4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9" w:hRule="atLeast"/>
                <w:jc w:val="center"/>
              </w:trPr>
              <w:tc>
                <w:tcPr>
                  <w:tcW w:w="630" w:type="dxa"/>
                  <w:vMerge w:val="continue"/>
                  <w:tcBorders>
                    <w:left w:val="single" w:color="auto" w:sz="4" w:space="0"/>
                    <w:right w:val="single" w:color="auto" w:sz="4" w:space="0"/>
                  </w:tcBorders>
                  <w:vAlign w:val="center"/>
                </w:tcPr>
                <w:p w14:paraId="24F8E838">
                  <w:pPr>
                    <w:keepNext w:val="0"/>
                    <w:keepLines w:val="0"/>
                    <w:suppressLineNumbers w:val="0"/>
                    <w:adjustRightInd w:val="0"/>
                    <w:snapToGrid w:val="0"/>
                    <w:spacing w:before="0" w:beforeAutospacing="0" w:after="0" w:afterAutospacing="0"/>
                    <w:ind w:left="0" w:right="0"/>
                    <w:jc w:val="center"/>
                    <w:rPr>
                      <w:rFonts w:hint="eastAsia" w:cs="Times New Roman"/>
                      <w:smallCaps w:val="0"/>
                      <w:color w:val="auto"/>
                      <w:spacing w:val="0"/>
                      <w:szCs w:val="21"/>
                      <w:highlight w:val="none"/>
                      <w:lang w:val="en-US" w:eastAsia="zh-CN"/>
                    </w:rPr>
                  </w:pPr>
                </w:p>
              </w:tc>
              <w:tc>
                <w:tcPr>
                  <w:tcW w:w="866" w:type="dxa"/>
                  <w:vMerge w:val="continue"/>
                  <w:tcBorders>
                    <w:left w:val="single" w:color="auto" w:sz="4" w:space="0"/>
                    <w:right w:val="single" w:color="auto" w:sz="4" w:space="0"/>
                  </w:tcBorders>
                  <w:vAlign w:val="center"/>
                </w:tcPr>
                <w:p w14:paraId="3F4351CA">
                  <w:pPr>
                    <w:keepNext w:val="0"/>
                    <w:keepLines w:val="0"/>
                    <w:suppressLineNumbers w:val="0"/>
                    <w:spacing w:before="0" w:beforeAutospacing="0" w:after="0" w:afterAutospacing="0"/>
                    <w:ind w:left="0" w:right="0"/>
                    <w:jc w:val="center"/>
                    <w:rPr>
                      <w:rFonts w:hint="eastAsia" w:cs="Times New Roman"/>
                      <w:smallCaps w:val="0"/>
                      <w:color w:val="auto"/>
                      <w:spacing w:val="0"/>
                      <w:szCs w:val="21"/>
                      <w:highlight w:val="none"/>
                      <w:lang w:val="en-US" w:eastAsia="zh-CN"/>
                    </w:rPr>
                  </w:pPr>
                </w:p>
              </w:tc>
              <w:tc>
                <w:tcPr>
                  <w:tcW w:w="610" w:type="dxa"/>
                  <w:vMerge w:val="continue"/>
                  <w:tcBorders>
                    <w:left w:val="single" w:color="auto" w:sz="4" w:space="0"/>
                    <w:right w:val="single" w:color="auto" w:sz="4" w:space="0"/>
                  </w:tcBorders>
                  <w:shd w:val="clear" w:color="auto" w:fill="auto"/>
                  <w:vAlign w:val="center"/>
                </w:tcPr>
                <w:p w14:paraId="102F733F">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p>
              </w:tc>
              <w:tc>
                <w:tcPr>
                  <w:tcW w:w="1107" w:type="dxa"/>
                  <w:tcBorders>
                    <w:top w:val="single" w:color="auto" w:sz="4" w:space="0"/>
                    <w:left w:val="single" w:color="auto" w:sz="4" w:space="0"/>
                    <w:right w:val="single" w:color="auto" w:sz="4" w:space="0"/>
                  </w:tcBorders>
                  <w:shd w:val="clear" w:color="auto" w:fill="auto"/>
                  <w:vAlign w:val="center"/>
                </w:tcPr>
                <w:p w14:paraId="72B137AC">
                  <w:pPr>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排气筒高度</w:t>
                  </w:r>
                </w:p>
              </w:tc>
              <w:tc>
                <w:tcPr>
                  <w:tcW w:w="1592" w:type="dxa"/>
                  <w:tcBorders>
                    <w:top w:val="single" w:color="auto" w:sz="4" w:space="0"/>
                    <w:left w:val="single" w:color="auto" w:sz="4" w:space="0"/>
                    <w:bottom w:val="single" w:color="auto" w:sz="4" w:space="0"/>
                    <w:right w:val="single" w:color="auto" w:sz="4" w:space="0"/>
                  </w:tcBorders>
                  <w:shd w:val="clear" w:color="auto" w:fill="auto"/>
                  <w:vAlign w:val="center"/>
                </w:tcPr>
                <w:p w14:paraId="33EDCF24">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15m*</w:t>
                  </w:r>
                </w:p>
              </w:tc>
              <w:tc>
                <w:tcPr>
                  <w:tcW w:w="2858" w:type="dxa"/>
                  <w:vMerge w:val="continue"/>
                  <w:tcBorders>
                    <w:left w:val="single" w:color="auto" w:sz="4" w:space="0"/>
                    <w:right w:val="single" w:color="auto" w:sz="4" w:space="0"/>
                  </w:tcBorders>
                  <w:vAlign w:val="center"/>
                </w:tcPr>
                <w:p w14:paraId="0A79F599">
                  <w:pPr>
                    <w:keepNext w:val="0"/>
                    <w:keepLines w:val="0"/>
                    <w:suppressLineNumbers w:val="0"/>
                    <w:adjustRightInd w:val="0"/>
                    <w:snapToGrid w:val="0"/>
                    <w:spacing w:before="0" w:beforeAutospacing="0" w:after="0" w:afterAutospacing="0"/>
                    <w:ind w:left="0" w:right="0"/>
                    <w:jc w:val="center"/>
                    <w:rPr>
                      <w:rFonts w:hint="default" w:cs="Times New Roman"/>
                      <w:smallCaps w:val="0"/>
                      <w:color w:val="auto"/>
                      <w:spacing w:val="0"/>
                      <w:szCs w:val="21"/>
                      <w:highlight w:val="none"/>
                      <w:lang w:val="en-US" w:eastAsia="zh-CN"/>
                    </w:rPr>
                  </w:pPr>
                </w:p>
              </w:tc>
            </w:tr>
            <w:tr w14:paraId="25C15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 w:hRule="atLeast"/>
                <w:jc w:val="center"/>
              </w:trPr>
              <w:tc>
                <w:tcPr>
                  <w:tcW w:w="630" w:type="dxa"/>
                  <w:vMerge w:val="continue"/>
                  <w:tcBorders>
                    <w:left w:val="single" w:color="auto" w:sz="4" w:space="0"/>
                    <w:right w:val="single" w:color="auto" w:sz="4" w:space="0"/>
                  </w:tcBorders>
                  <w:vAlign w:val="center"/>
                </w:tcPr>
                <w:p w14:paraId="0D521DD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p>
              </w:tc>
              <w:tc>
                <w:tcPr>
                  <w:tcW w:w="866" w:type="dxa"/>
                  <w:tcBorders>
                    <w:left w:val="single" w:color="auto" w:sz="4" w:space="0"/>
                    <w:right w:val="single" w:color="auto" w:sz="4" w:space="0"/>
                  </w:tcBorders>
                  <w:vAlign w:val="center"/>
                </w:tcPr>
                <w:p w14:paraId="0ACBF6A6">
                  <w:pPr>
                    <w:keepNext w:val="0"/>
                    <w:keepLines w:val="0"/>
                    <w:suppressLineNumbers w:val="0"/>
                    <w:spacing w:before="0" w:beforeAutospacing="0" w:after="0" w:afterAutospacing="0"/>
                    <w:ind w:left="0" w:right="0"/>
                    <w:jc w:val="center"/>
                    <w:rPr>
                      <w:rFonts w:hint="default"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厂界无组织</w:t>
                  </w:r>
                </w:p>
              </w:tc>
              <w:tc>
                <w:tcPr>
                  <w:tcW w:w="1717" w:type="dxa"/>
                  <w:gridSpan w:val="2"/>
                  <w:tcBorders>
                    <w:top w:val="single" w:color="auto" w:sz="4" w:space="0"/>
                    <w:left w:val="single" w:color="auto" w:sz="4" w:space="0"/>
                    <w:right w:val="single" w:color="auto" w:sz="4" w:space="0"/>
                  </w:tcBorders>
                  <w:vAlign w:val="center"/>
                </w:tcPr>
                <w:p w14:paraId="33FF6E3E">
                  <w:pPr>
                    <w:keepNext w:val="0"/>
                    <w:keepLines w:val="0"/>
                    <w:suppressLineNumbers w:val="0"/>
                    <w:spacing w:before="0" w:beforeAutospacing="0" w:after="0" w:afterAutospacing="0"/>
                    <w:ind w:left="0" w:right="0"/>
                    <w:jc w:val="center"/>
                    <w:rPr>
                      <w:rFonts w:hint="default" w:ascii="Times New Roman" w:hAnsi="Times New Roman"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1592" w:type="dxa"/>
                  <w:tcBorders>
                    <w:top w:val="single" w:color="auto" w:sz="4" w:space="0"/>
                    <w:left w:val="single" w:color="auto" w:sz="4" w:space="0"/>
                    <w:bottom w:val="single" w:color="auto" w:sz="4" w:space="0"/>
                    <w:right w:val="single" w:color="auto" w:sz="4" w:space="0"/>
                  </w:tcBorders>
                  <w:vAlign w:val="center"/>
                </w:tcPr>
                <w:p w14:paraId="675DFE3F">
                  <w:pPr>
                    <w:keepNext w:val="0"/>
                    <w:keepLines w:val="0"/>
                    <w:suppressLineNumbers w:val="0"/>
                    <w:spacing w:before="0" w:beforeAutospacing="0" w:after="0" w:afterAutospacing="0"/>
                    <w:ind w:left="0" w:right="0"/>
                    <w:jc w:val="center"/>
                    <w:rPr>
                      <w:rFonts w:hint="eastAsia" w:cs="Times New Roman"/>
                      <w:smallCaps w:val="0"/>
                      <w:color w:val="auto"/>
                      <w:spacing w:val="0"/>
                      <w:szCs w:val="21"/>
                      <w:highlight w:val="none"/>
                      <w:lang w:val="en-US" w:eastAsia="zh-CN"/>
                    </w:rPr>
                  </w:pPr>
                  <w:r>
                    <w:rPr>
                      <w:rFonts w:hint="default" w:ascii="Times New Roman" w:hAnsi="Times New Roman" w:cs="Times New Roman"/>
                      <w:smallCaps w:val="0"/>
                      <w:color w:val="auto"/>
                      <w:spacing w:val="0"/>
                      <w:szCs w:val="21"/>
                      <w:highlight w:val="none"/>
                      <w:lang w:val="en-US" w:eastAsia="zh-CN"/>
                    </w:rPr>
                    <w:t>≤</w:t>
                  </w:r>
                  <w:r>
                    <w:rPr>
                      <w:rFonts w:hint="eastAsia" w:cs="Times New Roman"/>
                      <w:smallCaps w:val="0"/>
                      <w:color w:val="auto"/>
                      <w:spacing w:val="0"/>
                      <w:szCs w:val="21"/>
                      <w:highlight w:val="none"/>
                      <w:lang w:val="en-US" w:eastAsia="zh-CN"/>
                    </w:rPr>
                    <w:t>1.0</w:t>
                  </w:r>
                  <w:r>
                    <w:rPr>
                      <w:rFonts w:hint="default" w:ascii="Times New Roman" w:hAnsi="Times New Roman" w:cs="Times New Roman"/>
                      <w:smallCaps w:val="0"/>
                      <w:color w:val="auto"/>
                      <w:spacing w:val="0"/>
                      <w:szCs w:val="21"/>
                      <w:highlight w:val="none"/>
                      <w:lang w:val="en-US" w:eastAsia="zh-CN"/>
                    </w:rPr>
                    <w:t>mg/m</w:t>
                  </w:r>
                  <w:r>
                    <w:rPr>
                      <w:rFonts w:hint="default" w:ascii="Times New Roman" w:hAnsi="Times New Roman" w:cs="Times New Roman"/>
                      <w:smallCaps w:val="0"/>
                      <w:color w:val="auto"/>
                      <w:spacing w:val="0"/>
                      <w:szCs w:val="21"/>
                      <w:highlight w:val="none"/>
                      <w:vertAlign w:val="superscript"/>
                      <w:lang w:val="en-US" w:eastAsia="zh-CN"/>
                    </w:rPr>
                    <w:t>3</w:t>
                  </w:r>
                </w:p>
              </w:tc>
              <w:tc>
                <w:tcPr>
                  <w:tcW w:w="2858" w:type="dxa"/>
                  <w:tcBorders>
                    <w:left w:val="single" w:color="auto" w:sz="4" w:space="0"/>
                    <w:right w:val="single" w:color="auto" w:sz="4" w:space="0"/>
                  </w:tcBorders>
                  <w:vAlign w:val="center"/>
                </w:tcPr>
                <w:p w14:paraId="7177F2D2">
                  <w:pPr>
                    <w:keepNext w:val="0"/>
                    <w:keepLines w:val="0"/>
                    <w:suppressLineNumbers w:val="0"/>
                    <w:adjustRightInd w:val="0"/>
                    <w:snapToGrid w:val="0"/>
                    <w:spacing w:before="0" w:beforeAutospacing="0" w:after="0" w:afterAutospacing="0"/>
                    <w:ind w:left="0" w:right="0"/>
                    <w:jc w:val="center"/>
                    <w:rPr>
                      <w:rFonts w:hint="default" w:cs="Times New Roman"/>
                      <w:smallCaps w:val="0"/>
                      <w:color w:val="auto"/>
                      <w:spacing w:val="0"/>
                      <w:szCs w:val="21"/>
                      <w:highlight w:val="none"/>
                      <w:lang w:val="en-US" w:eastAsia="zh-CN"/>
                    </w:rPr>
                  </w:pPr>
                  <w:r>
                    <w:rPr>
                      <w:rFonts w:hint="eastAsia" w:cs="Times New Roman"/>
                      <w:smallCaps w:val="0"/>
                      <w:color w:val="auto"/>
                      <w:spacing w:val="0"/>
                      <w:szCs w:val="21"/>
                      <w:highlight w:val="none"/>
                      <w:lang w:eastAsia="zh-CN"/>
                    </w:rPr>
                    <w:t>《大气污染物综合排放标准》（GB16297-1996）表2无组织排放监控浓度限值</w:t>
                  </w:r>
                </w:p>
              </w:tc>
            </w:tr>
          </w:tbl>
          <w:p w14:paraId="741E8192">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eastAsia" w:cs="Times New Roman"/>
                <w:b/>
                <w:smallCaps w:val="0"/>
                <w:color w:val="auto"/>
                <w:spacing w:val="0"/>
                <w:highlight w:val="none"/>
                <w:lang w:val="en-US" w:eastAsia="zh-CN"/>
              </w:rPr>
              <w:t>2</w:t>
            </w:r>
            <w:r>
              <w:rPr>
                <w:rFonts w:hint="default" w:ascii="Times New Roman" w:hAnsi="Times New Roman" w:cs="Times New Roman"/>
                <w:b/>
                <w:smallCaps w:val="0"/>
                <w:color w:val="auto"/>
                <w:spacing w:val="0"/>
                <w:highlight w:val="none"/>
              </w:rPr>
              <w:t>、噪声污染执行标准</w:t>
            </w:r>
          </w:p>
          <w:p w14:paraId="30F3F7AE">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施工期</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噪声排放执行</w:t>
            </w:r>
            <w:r>
              <w:rPr>
                <w:rFonts w:hint="eastAsia" w:cs="Times New Roman"/>
                <w:smallCaps w:val="0"/>
                <w:color w:val="auto"/>
                <w:spacing w:val="0"/>
                <w:highlight w:val="none"/>
                <w:lang w:eastAsia="zh-CN"/>
              </w:rPr>
              <w:t>《建筑施工噪声排放标准》（GB12523-2025）</w:t>
            </w:r>
            <w:r>
              <w:rPr>
                <w:rFonts w:hint="default" w:ascii="Times New Roman" w:hAnsi="Times New Roman" w:cs="Times New Roman"/>
                <w:smallCaps w:val="0"/>
                <w:color w:val="auto"/>
                <w:spacing w:val="0"/>
                <w:highlight w:val="none"/>
              </w:rPr>
              <w:t>标准的要求。</w:t>
            </w:r>
          </w:p>
          <w:p w14:paraId="35E3A2B5">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运营期</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厂界噪声排放执行《工业企业厂界环境噪声排放标准》</w:t>
            </w:r>
            <w:r>
              <w:rPr>
                <w:rFonts w:hint="eastAsia" w:cs="Times New Roman"/>
                <w:smallCaps w:val="0"/>
                <w:color w:val="auto"/>
                <w:spacing w:val="0"/>
                <w:highlight w:val="none"/>
                <w:lang w:eastAsia="zh-CN"/>
              </w:rPr>
              <w:t>（GB12348-2008）</w:t>
            </w:r>
            <w:r>
              <w:rPr>
                <w:rFonts w:hint="eastAsia" w:cs="Times New Roman"/>
                <w:smallCaps w:val="0"/>
                <w:color w:val="auto"/>
                <w:spacing w:val="0"/>
                <w:highlight w:val="none"/>
                <w:lang w:val="en-US" w:eastAsia="zh-CN"/>
              </w:rPr>
              <w:t>3</w:t>
            </w:r>
            <w:r>
              <w:rPr>
                <w:rFonts w:hint="eastAsia" w:cs="Times New Roman"/>
                <w:smallCaps w:val="0"/>
                <w:color w:val="auto"/>
                <w:spacing w:val="0"/>
                <w:highlight w:val="none"/>
                <w:lang w:eastAsia="zh-CN"/>
              </w:rPr>
              <w:t>类标准</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具体见下表。</w:t>
            </w:r>
          </w:p>
          <w:p w14:paraId="3C61ED08">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表3-</w:t>
            </w:r>
            <w:r>
              <w:rPr>
                <w:rFonts w:hint="eastAsia" w:cs="Times New Roman"/>
                <w:smallCaps w:val="0"/>
                <w:color w:val="auto"/>
                <w:spacing w:val="0"/>
                <w:highlight w:val="none"/>
                <w:lang w:val="en-US" w:eastAsia="zh-CN"/>
              </w:rPr>
              <w:t>8</w:t>
            </w:r>
            <w:r>
              <w:rPr>
                <w:rFonts w:hint="default" w:ascii="Times New Roman" w:hAnsi="Times New Roman" w:cs="Times New Roman"/>
                <w:smallCaps w:val="0"/>
                <w:color w:val="auto"/>
                <w:spacing w:val="0"/>
                <w:highlight w:val="none"/>
              </w:rPr>
              <w:t xml:space="preserve">     噪声排放标准</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1654"/>
              <w:gridCol w:w="2350"/>
              <w:gridCol w:w="2869"/>
            </w:tblGrid>
            <w:tr w14:paraId="72126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90" w:type="dxa"/>
                  <w:tcBorders>
                    <w:top w:val="single" w:color="auto" w:sz="4" w:space="0"/>
                    <w:left w:val="single" w:color="auto" w:sz="4" w:space="0"/>
                    <w:right w:val="single" w:color="auto" w:sz="4" w:space="0"/>
                  </w:tcBorders>
                  <w:vAlign w:val="center"/>
                </w:tcPr>
                <w:p w14:paraId="457AE4D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b/>
                      <w:bCs/>
                      <w:smallCaps w:val="0"/>
                      <w:color w:val="auto"/>
                      <w:spacing w:val="0"/>
                      <w:szCs w:val="21"/>
                      <w:highlight w:val="none"/>
                    </w:rPr>
                    <w:t>类别</w:t>
                  </w:r>
                </w:p>
              </w:tc>
              <w:tc>
                <w:tcPr>
                  <w:tcW w:w="1654" w:type="dxa"/>
                  <w:tcBorders>
                    <w:top w:val="single" w:color="auto" w:sz="4" w:space="0"/>
                    <w:left w:val="single" w:color="auto" w:sz="4" w:space="0"/>
                    <w:right w:val="single" w:color="auto" w:sz="4" w:space="0"/>
                  </w:tcBorders>
                  <w:vAlign w:val="center"/>
                </w:tcPr>
                <w:p w14:paraId="7A665ED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b/>
                      <w:bCs/>
                      <w:smallCaps w:val="0"/>
                      <w:color w:val="auto"/>
                      <w:spacing w:val="0"/>
                      <w:szCs w:val="21"/>
                      <w:highlight w:val="none"/>
                    </w:rPr>
                    <w:t>方位</w:t>
                  </w:r>
                </w:p>
              </w:tc>
              <w:tc>
                <w:tcPr>
                  <w:tcW w:w="2350" w:type="dxa"/>
                  <w:tcBorders>
                    <w:top w:val="single" w:color="auto" w:sz="4" w:space="0"/>
                    <w:left w:val="single" w:color="auto" w:sz="4" w:space="0"/>
                    <w:bottom w:val="single" w:color="auto" w:sz="4" w:space="0"/>
                    <w:right w:val="single" w:color="auto" w:sz="4" w:space="0"/>
                  </w:tcBorders>
                  <w:vAlign w:val="center"/>
                </w:tcPr>
                <w:p w14:paraId="4A09C8E6">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b/>
                      <w:bCs/>
                      <w:smallCaps w:val="0"/>
                      <w:color w:val="auto"/>
                      <w:spacing w:val="0"/>
                      <w:szCs w:val="21"/>
                      <w:highlight w:val="none"/>
                    </w:rPr>
                  </w:pPr>
                  <w:r>
                    <w:rPr>
                      <w:rFonts w:hint="default" w:ascii="Times New Roman" w:hAnsi="Times New Roman" w:cs="Times New Roman"/>
                      <w:b/>
                      <w:bCs/>
                      <w:smallCaps w:val="0"/>
                      <w:color w:val="auto"/>
                      <w:spacing w:val="0"/>
                      <w:szCs w:val="21"/>
                      <w:highlight w:val="none"/>
                    </w:rPr>
                    <w:t>排放标准</w:t>
                  </w:r>
                </w:p>
              </w:tc>
              <w:tc>
                <w:tcPr>
                  <w:tcW w:w="2869" w:type="dxa"/>
                  <w:tcBorders>
                    <w:top w:val="single" w:color="auto" w:sz="4" w:space="0"/>
                    <w:left w:val="single" w:color="auto" w:sz="4" w:space="0"/>
                    <w:right w:val="single" w:color="auto" w:sz="4" w:space="0"/>
                  </w:tcBorders>
                  <w:vAlign w:val="center"/>
                </w:tcPr>
                <w:p w14:paraId="0751535C">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b/>
                      <w:bCs/>
                      <w:smallCaps w:val="0"/>
                      <w:color w:val="auto"/>
                      <w:spacing w:val="0"/>
                      <w:szCs w:val="21"/>
                      <w:highlight w:val="none"/>
                    </w:rPr>
                    <w:t>标准来源</w:t>
                  </w:r>
                </w:p>
              </w:tc>
            </w:tr>
            <w:tr w14:paraId="09C6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jc w:val="center"/>
              </w:trPr>
              <w:tc>
                <w:tcPr>
                  <w:tcW w:w="790" w:type="dxa"/>
                  <w:vMerge w:val="restart"/>
                  <w:tcBorders>
                    <w:top w:val="single" w:color="auto" w:sz="4" w:space="0"/>
                    <w:left w:val="single" w:color="auto" w:sz="4" w:space="0"/>
                    <w:right w:val="single" w:color="auto" w:sz="4" w:space="0"/>
                  </w:tcBorders>
                  <w:vAlign w:val="center"/>
                </w:tcPr>
                <w:p w14:paraId="0AD6A284">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施工期</w:t>
                  </w:r>
                </w:p>
              </w:tc>
              <w:tc>
                <w:tcPr>
                  <w:tcW w:w="1654" w:type="dxa"/>
                  <w:vMerge w:val="restart"/>
                  <w:tcBorders>
                    <w:top w:val="single" w:color="auto" w:sz="4" w:space="0"/>
                    <w:left w:val="single" w:color="auto" w:sz="4" w:space="0"/>
                    <w:right w:val="single" w:color="auto" w:sz="4" w:space="0"/>
                  </w:tcBorders>
                  <w:vAlign w:val="center"/>
                </w:tcPr>
                <w:p w14:paraId="6D36E283">
                  <w:pPr>
                    <w:keepNext w:val="0"/>
                    <w:keepLines w:val="0"/>
                    <w:suppressLineNumbers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场界</w:t>
                  </w:r>
                </w:p>
              </w:tc>
              <w:tc>
                <w:tcPr>
                  <w:tcW w:w="2350" w:type="dxa"/>
                  <w:tcBorders>
                    <w:top w:val="single" w:color="auto" w:sz="4" w:space="0"/>
                    <w:left w:val="single" w:color="auto" w:sz="4" w:space="0"/>
                    <w:bottom w:val="single" w:color="auto" w:sz="4" w:space="0"/>
                    <w:right w:val="single" w:color="auto" w:sz="4" w:space="0"/>
                  </w:tcBorders>
                  <w:vAlign w:val="center"/>
                </w:tcPr>
                <w:p w14:paraId="59E69CE9">
                  <w:pPr>
                    <w:keepNext w:val="0"/>
                    <w:keepLines w:val="0"/>
                    <w:suppressLineNumbers w:val="0"/>
                    <w:spacing w:before="0" w:beforeAutospacing="0" w:after="0" w:afterAutospacing="0"/>
                    <w:ind w:left="0" w:right="0"/>
                    <w:jc w:val="center"/>
                    <w:rPr>
                      <w:rFonts w:hint="eastAsia" w:ascii="Times New Roman" w:hAnsi="Times New Roman" w:eastAsia="宋体" w:cs="Times New Roman"/>
                      <w:smallCaps w:val="0"/>
                      <w:color w:val="auto"/>
                      <w:spacing w:val="0"/>
                      <w:szCs w:val="21"/>
                      <w:highlight w:val="none"/>
                      <w:lang w:eastAsia="zh-CN"/>
                    </w:rPr>
                  </w:pPr>
                  <w:r>
                    <w:rPr>
                      <w:rFonts w:hint="default" w:ascii="Times New Roman" w:hAnsi="Times New Roman" w:cs="Times New Roman"/>
                      <w:smallCaps w:val="0"/>
                      <w:color w:val="auto"/>
                      <w:spacing w:val="0"/>
                      <w:szCs w:val="21"/>
                      <w:highlight w:val="none"/>
                    </w:rPr>
                    <w:t>昼间</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70dB</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A</w:t>
                  </w:r>
                  <w:r>
                    <w:rPr>
                      <w:rFonts w:hint="eastAsia" w:cs="Times New Roman"/>
                      <w:smallCaps w:val="0"/>
                      <w:color w:val="auto"/>
                      <w:spacing w:val="0"/>
                      <w:szCs w:val="21"/>
                      <w:highlight w:val="none"/>
                      <w:lang w:eastAsia="zh-CN"/>
                    </w:rPr>
                    <w:t>）</w:t>
                  </w:r>
                </w:p>
              </w:tc>
              <w:tc>
                <w:tcPr>
                  <w:tcW w:w="2869" w:type="dxa"/>
                  <w:vMerge w:val="restart"/>
                  <w:tcBorders>
                    <w:top w:val="single" w:color="auto" w:sz="4" w:space="0"/>
                    <w:left w:val="single" w:color="auto" w:sz="4" w:space="0"/>
                    <w:right w:val="single" w:color="auto" w:sz="4" w:space="0"/>
                  </w:tcBorders>
                  <w:vAlign w:val="center"/>
                </w:tcPr>
                <w:p w14:paraId="7BC54312">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smallCaps w:val="0"/>
                      <w:color w:val="auto"/>
                      <w:spacing w:val="0"/>
                      <w:szCs w:val="21"/>
                      <w:highlight w:val="none"/>
                      <w:lang w:eastAsia="zh-CN"/>
                    </w:rPr>
                  </w:pPr>
                  <w:r>
                    <w:rPr>
                      <w:rFonts w:hint="eastAsia" w:cs="Times New Roman"/>
                      <w:smallCaps w:val="0"/>
                      <w:color w:val="auto"/>
                      <w:spacing w:val="0"/>
                      <w:szCs w:val="21"/>
                      <w:highlight w:val="none"/>
                      <w:lang w:eastAsia="zh-CN"/>
                    </w:rPr>
                    <w:t>《建筑施工噪声排放标准》（GB12523-2025）</w:t>
                  </w:r>
                </w:p>
              </w:tc>
            </w:tr>
            <w:tr w14:paraId="33B39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790" w:type="dxa"/>
                  <w:tcBorders>
                    <w:left w:val="single" w:color="auto" w:sz="4" w:space="0"/>
                    <w:right w:val="single" w:color="auto" w:sz="4" w:space="0"/>
                  </w:tcBorders>
                  <w:vAlign w:val="center"/>
                </w:tcPr>
                <w:p w14:paraId="1B28CDE3">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运营期</w:t>
                  </w:r>
                </w:p>
              </w:tc>
              <w:tc>
                <w:tcPr>
                  <w:tcW w:w="1654" w:type="dxa"/>
                  <w:tcBorders>
                    <w:left w:val="single" w:color="auto" w:sz="4" w:space="0"/>
                    <w:right w:val="single" w:color="auto" w:sz="4" w:space="0"/>
                  </w:tcBorders>
                  <w:vAlign w:val="center"/>
                </w:tcPr>
                <w:p w14:paraId="1FFA9982">
                  <w:pPr>
                    <w:keepNext w:val="0"/>
                    <w:keepLines w:val="0"/>
                    <w:suppressLineNumbers w:val="0"/>
                    <w:spacing w:before="0" w:beforeAutospacing="0" w:after="0" w:afterAutospacing="0"/>
                    <w:ind w:left="0" w:right="0"/>
                    <w:jc w:val="center"/>
                    <w:rPr>
                      <w:rFonts w:hint="default" w:ascii="Times New Roman" w:hAnsi="Times New Roman" w:cs="Times New Roman"/>
                      <w:smallCaps w:val="0"/>
                      <w:color w:val="auto"/>
                      <w:spacing w:val="0"/>
                      <w:szCs w:val="21"/>
                      <w:highlight w:val="none"/>
                    </w:rPr>
                  </w:pPr>
                  <w:r>
                    <w:rPr>
                      <w:rFonts w:hint="default" w:ascii="Times New Roman" w:hAnsi="Times New Roman" w:cs="Times New Roman"/>
                      <w:smallCaps w:val="0"/>
                      <w:color w:val="auto"/>
                      <w:spacing w:val="0"/>
                      <w:szCs w:val="21"/>
                      <w:highlight w:val="none"/>
                    </w:rPr>
                    <w:t>厂界</w:t>
                  </w:r>
                </w:p>
              </w:tc>
              <w:tc>
                <w:tcPr>
                  <w:tcW w:w="2350" w:type="dxa"/>
                  <w:tcBorders>
                    <w:top w:val="single" w:color="auto" w:sz="4" w:space="0"/>
                    <w:left w:val="single" w:color="auto" w:sz="4" w:space="0"/>
                    <w:bottom w:val="single" w:color="auto" w:sz="4" w:space="0"/>
                    <w:right w:val="single" w:color="auto" w:sz="4" w:space="0"/>
                  </w:tcBorders>
                  <w:vAlign w:val="center"/>
                </w:tcPr>
                <w:p w14:paraId="0E0476BD">
                  <w:pPr>
                    <w:keepNext w:val="0"/>
                    <w:keepLines w:val="0"/>
                    <w:suppressLineNumbers w:val="0"/>
                    <w:spacing w:before="0" w:beforeAutospacing="0" w:after="0" w:afterAutospacing="0"/>
                    <w:ind w:left="0" w:right="0"/>
                    <w:jc w:val="center"/>
                    <w:rPr>
                      <w:rFonts w:hint="eastAsia" w:cs="Times New Roman"/>
                      <w:smallCaps w:val="0"/>
                      <w:color w:val="auto"/>
                      <w:spacing w:val="0"/>
                      <w:szCs w:val="21"/>
                      <w:highlight w:val="none"/>
                      <w:lang w:eastAsia="zh-CN"/>
                    </w:rPr>
                  </w:pPr>
                  <w:r>
                    <w:rPr>
                      <w:rFonts w:hint="default" w:ascii="Times New Roman" w:hAnsi="Times New Roman" w:cs="Times New Roman"/>
                      <w:smallCaps w:val="0"/>
                      <w:color w:val="auto"/>
                      <w:spacing w:val="0"/>
                      <w:szCs w:val="21"/>
                      <w:highlight w:val="none"/>
                    </w:rPr>
                    <w:t>昼间</w:t>
                  </w:r>
                  <w:r>
                    <w:rPr>
                      <w:rFonts w:hint="eastAsia" w:cs="Times New Roman"/>
                      <w:smallCaps w:val="0"/>
                      <w:color w:val="auto"/>
                      <w:spacing w:val="0"/>
                      <w:szCs w:val="21"/>
                      <w:highlight w:val="none"/>
                      <w:lang w:eastAsia="zh-CN"/>
                    </w:rPr>
                    <w:t>：</w:t>
                  </w:r>
                  <w:r>
                    <w:rPr>
                      <w:rFonts w:hint="eastAsia" w:cs="Times New Roman"/>
                      <w:smallCaps w:val="0"/>
                      <w:color w:val="auto"/>
                      <w:spacing w:val="0"/>
                      <w:szCs w:val="21"/>
                      <w:highlight w:val="none"/>
                      <w:lang w:val="en-US" w:eastAsia="zh-CN"/>
                    </w:rPr>
                    <w:t>65</w:t>
                  </w:r>
                  <w:r>
                    <w:rPr>
                      <w:rFonts w:hint="default" w:ascii="Times New Roman" w:hAnsi="Times New Roman" w:cs="Times New Roman"/>
                      <w:smallCaps w:val="0"/>
                      <w:color w:val="auto"/>
                      <w:spacing w:val="0"/>
                      <w:szCs w:val="21"/>
                      <w:highlight w:val="none"/>
                    </w:rPr>
                    <w:t>dB</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A</w:t>
                  </w:r>
                  <w:r>
                    <w:rPr>
                      <w:rFonts w:hint="eastAsia" w:cs="Times New Roman"/>
                      <w:smallCaps w:val="0"/>
                      <w:color w:val="auto"/>
                      <w:spacing w:val="0"/>
                      <w:szCs w:val="21"/>
                      <w:highlight w:val="none"/>
                      <w:lang w:eastAsia="zh-CN"/>
                    </w:rPr>
                    <w:t>）</w:t>
                  </w:r>
                </w:p>
                <w:p w14:paraId="77C680A3">
                  <w:pPr>
                    <w:keepNext w:val="0"/>
                    <w:keepLines w:val="0"/>
                    <w:suppressLineNumbers w:val="0"/>
                    <w:spacing w:before="0" w:beforeAutospacing="0" w:after="0" w:afterAutospacing="0"/>
                    <w:ind w:left="0" w:right="0"/>
                    <w:jc w:val="center"/>
                    <w:rPr>
                      <w:rFonts w:hint="eastAsia" w:ascii="Times New Roman" w:hAnsi="Times New Roman" w:eastAsia="宋体" w:cs="Times New Roman"/>
                      <w:smallCaps w:val="0"/>
                      <w:color w:val="auto"/>
                      <w:spacing w:val="0"/>
                      <w:szCs w:val="21"/>
                      <w:highlight w:val="none"/>
                      <w:lang w:eastAsia="zh-CN"/>
                    </w:rPr>
                  </w:pPr>
                  <w:r>
                    <w:rPr>
                      <w:rFonts w:hint="eastAsia" w:ascii="Times New Roman" w:hAnsi="Times New Roman" w:cs="Times New Roman"/>
                      <w:smallCaps w:val="0"/>
                      <w:color w:val="auto"/>
                      <w:spacing w:val="0"/>
                      <w:szCs w:val="21"/>
                      <w:highlight w:val="none"/>
                      <w:lang w:val="en-US" w:eastAsia="zh-CN"/>
                    </w:rPr>
                    <w:t>夜间</w:t>
                  </w:r>
                  <w:r>
                    <w:rPr>
                      <w:rFonts w:hint="eastAsia" w:cs="Times New Roman"/>
                      <w:smallCaps w:val="0"/>
                      <w:color w:val="auto"/>
                      <w:spacing w:val="0"/>
                      <w:szCs w:val="21"/>
                      <w:highlight w:val="none"/>
                      <w:lang w:eastAsia="zh-CN"/>
                    </w:rPr>
                    <w:t>：</w:t>
                  </w:r>
                  <w:r>
                    <w:rPr>
                      <w:rFonts w:hint="eastAsia" w:cs="Times New Roman"/>
                      <w:smallCaps w:val="0"/>
                      <w:color w:val="auto"/>
                      <w:spacing w:val="0"/>
                      <w:szCs w:val="21"/>
                      <w:highlight w:val="none"/>
                      <w:lang w:val="en-US" w:eastAsia="zh-CN"/>
                    </w:rPr>
                    <w:t>55</w:t>
                  </w:r>
                  <w:r>
                    <w:rPr>
                      <w:rFonts w:hint="default" w:ascii="Times New Roman" w:hAnsi="Times New Roman" w:cs="Times New Roman"/>
                      <w:smallCaps w:val="0"/>
                      <w:color w:val="auto"/>
                      <w:spacing w:val="0"/>
                      <w:szCs w:val="21"/>
                      <w:highlight w:val="none"/>
                    </w:rPr>
                    <w:t>dB</w:t>
                  </w:r>
                  <w:r>
                    <w:rPr>
                      <w:rFonts w:hint="eastAsia" w:cs="Times New Roman"/>
                      <w:smallCaps w:val="0"/>
                      <w:color w:val="auto"/>
                      <w:spacing w:val="0"/>
                      <w:szCs w:val="21"/>
                      <w:highlight w:val="none"/>
                      <w:lang w:eastAsia="zh-CN"/>
                    </w:rPr>
                    <w:t>（</w:t>
                  </w:r>
                  <w:r>
                    <w:rPr>
                      <w:rFonts w:hint="default" w:ascii="Times New Roman" w:hAnsi="Times New Roman" w:cs="Times New Roman"/>
                      <w:smallCaps w:val="0"/>
                      <w:color w:val="auto"/>
                      <w:spacing w:val="0"/>
                      <w:szCs w:val="21"/>
                      <w:highlight w:val="none"/>
                    </w:rPr>
                    <w:t>A</w:t>
                  </w:r>
                  <w:r>
                    <w:rPr>
                      <w:rFonts w:hint="eastAsia" w:cs="Times New Roman"/>
                      <w:smallCaps w:val="0"/>
                      <w:color w:val="auto"/>
                      <w:spacing w:val="0"/>
                      <w:szCs w:val="21"/>
                      <w:highlight w:val="none"/>
                      <w:lang w:eastAsia="zh-CN"/>
                    </w:rPr>
                    <w:t>）</w:t>
                  </w:r>
                </w:p>
              </w:tc>
              <w:tc>
                <w:tcPr>
                  <w:tcW w:w="2869" w:type="dxa"/>
                  <w:tcBorders>
                    <w:left w:val="single" w:color="auto" w:sz="4" w:space="0"/>
                    <w:right w:val="single" w:color="auto" w:sz="4" w:space="0"/>
                  </w:tcBorders>
                  <w:vAlign w:val="center"/>
                </w:tcPr>
                <w:p w14:paraId="099FC643">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smallCaps w:val="0"/>
                      <w:color w:val="auto"/>
                      <w:spacing w:val="0"/>
                      <w:szCs w:val="21"/>
                      <w:highlight w:val="none"/>
                      <w:lang w:eastAsia="zh-CN"/>
                    </w:rPr>
                  </w:pPr>
                  <w:r>
                    <w:rPr>
                      <w:rFonts w:hint="default" w:ascii="Times New Roman" w:hAnsi="Times New Roman" w:cs="Times New Roman"/>
                      <w:smallCaps w:val="0"/>
                      <w:color w:val="auto"/>
                      <w:spacing w:val="0"/>
                      <w:szCs w:val="20"/>
                      <w:highlight w:val="none"/>
                    </w:rPr>
                    <w:t>《工业企业厂界环境噪声排放标准》</w:t>
                  </w:r>
                  <w:r>
                    <w:rPr>
                      <w:rFonts w:hint="eastAsia" w:cs="Times New Roman"/>
                      <w:smallCaps w:val="0"/>
                      <w:color w:val="auto"/>
                      <w:spacing w:val="0"/>
                      <w:szCs w:val="20"/>
                      <w:highlight w:val="none"/>
                      <w:lang w:eastAsia="zh-CN"/>
                    </w:rPr>
                    <w:t>（GB12348-2008）</w:t>
                  </w:r>
                  <w:r>
                    <w:rPr>
                      <w:rFonts w:hint="eastAsia" w:cs="Times New Roman"/>
                      <w:smallCaps w:val="0"/>
                      <w:color w:val="auto"/>
                      <w:spacing w:val="0"/>
                      <w:szCs w:val="20"/>
                      <w:highlight w:val="none"/>
                      <w:lang w:val="en-US" w:eastAsia="zh-CN"/>
                    </w:rPr>
                    <w:t>3</w:t>
                  </w:r>
                  <w:r>
                    <w:rPr>
                      <w:rFonts w:hint="eastAsia" w:cs="Times New Roman"/>
                      <w:smallCaps w:val="0"/>
                      <w:color w:val="auto"/>
                      <w:spacing w:val="0"/>
                      <w:szCs w:val="20"/>
                      <w:highlight w:val="none"/>
                      <w:lang w:eastAsia="zh-CN"/>
                    </w:rPr>
                    <w:t>类标准</w:t>
                  </w:r>
                </w:p>
              </w:tc>
            </w:tr>
          </w:tbl>
          <w:p w14:paraId="10BFA5FC">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eastAsia" w:cs="Times New Roman"/>
                <w:b/>
                <w:smallCaps w:val="0"/>
                <w:color w:val="auto"/>
                <w:spacing w:val="0"/>
                <w:highlight w:val="none"/>
                <w:lang w:val="en-US" w:eastAsia="zh-CN"/>
              </w:rPr>
              <w:t>3</w:t>
            </w:r>
            <w:r>
              <w:rPr>
                <w:rFonts w:hint="default" w:ascii="Times New Roman" w:hAnsi="Times New Roman" w:cs="Times New Roman"/>
                <w:b/>
                <w:smallCaps w:val="0"/>
                <w:color w:val="auto"/>
                <w:spacing w:val="0"/>
                <w:highlight w:val="none"/>
              </w:rPr>
              <w:t>、固体废物排放标准</w:t>
            </w:r>
          </w:p>
          <w:p w14:paraId="16F88E53">
            <w:pPr>
              <w:pStyle w:val="172"/>
              <w:keepNext w:val="0"/>
              <w:keepLines w:val="0"/>
              <w:suppressLineNumbers w:val="0"/>
              <w:spacing w:before="0" w:beforeAutospacing="0" w:after="0" w:afterAutospacing="0"/>
              <w:ind w:left="0" w:right="0" w:firstLine="480"/>
              <w:rPr>
                <w:rFonts w:hint="eastAsia"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一般固体废弃物执行《一般工业固体废物贮存和填埋污染控制标准》（GB18599-2020）</w:t>
            </w:r>
            <w:r>
              <w:rPr>
                <w:rFonts w:hint="eastAsia" w:cs="Times New Roman"/>
                <w:smallCaps w:val="0"/>
                <w:color w:val="auto"/>
                <w:spacing w:val="0"/>
                <w:highlight w:val="none"/>
                <w:lang w:eastAsia="zh-CN"/>
              </w:rPr>
              <w:t>；</w:t>
            </w:r>
            <w:r>
              <w:rPr>
                <w:rFonts w:hint="eastAsia" w:cs="Times New Roman"/>
                <w:smallCaps w:val="0"/>
                <w:color w:val="0000FF"/>
                <w:spacing w:val="0"/>
                <w:highlight w:val="none"/>
                <w:lang w:eastAsia="zh-CN"/>
              </w:rPr>
              <w:t>生活垃圾处置参照《中华人民共和国生态环境法典》（主席令第七十号，2026年8月15日施行）第二编第六分编第二十一章 “生活垃圾污染防治”相关规定执行。</w:t>
            </w:r>
          </w:p>
          <w:p w14:paraId="01BE4155">
            <w:pPr>
              <w:pStyle w:val="172"/>
              <w:keepNext w:val="0"/>
              <w:keepLines w:val="0"/>
              <w:suppressLineNumbers w:val="0"/>
              <w:spacing w:before="0" w:beforeAutospacing="0" w:after="0" w:afterAutospacing="0"/>
              <w:ind w:left="0" w:right="0" w:firstLine="480"/>
              <w:rPr>
                <w:rFonts w:hint="eastAsia" w:cs="Times New Roman"/>
                <w:smallCaps w:val="0"/>
                <w:color w:val="auto"/>
                <w:spacing w:val="0"/>
                <w:highlight w:val="none"/>
                <w:lang w:eastAsia="zh-CN"/>
              </w:rPr>
            </w:pPr>
          </w:p>
          <w:p w14:paraId="3D1ECD91">
            <w:pPr>
              <w:pStyle w:val="172"/>
              <w:keepNext w:val="0"/>
              <w:keepLines w:val="0"/>
              <w:suppressLineNumbers w:val="0"/>
              <w:spacing w:before="0" w:beforeAutospacing="0" w:after="0" w:afterAutospacing="0"/>
              <w:ind w:left="0" w:right="0" w:firstLine="480"/>
              <w:rPr>
                <w:rFonts w:hint="eastAsia" w:cs="Times New Roman"/>
                <w:smallCaps w:val="0"/>
                <w:color w:val="auto"/>
                <w:spacing w:val="0"/>
                <w:highlight w:val="none"/>
                <w:lang w:eastAsia="zh-CN"/>
              </w:rPr>
            </w:pPr>
          </w:p>
          <w:p w14:paraId="141B0390">
            <w:pPr>
              <w:pStyle w:val="172"/>
              <w:keepNext w:val="0"/>
              <w:keepLines w:val="0"/>
              <w:suppressLineNumbers w:val="0"/>
              <w:spacing w:before="0" w:beforeAutospacing="0" w:after="0" w:afterAutospacing="0"/>
              <w:ind w:left="0" w:right="0" w:firstLine="480"/>
              <w:rPr>
                <w:rFonts w:hint="eastAsia" w:cs="Times New Roman"/>
                <w:smallCaps w:val="0"/>
                <w:color w:val="auto"/>
                <w:spacing w:val="0"/>
                <w:highlight w:val="none"/>
                <w:lang w:eastAsia="zh-CN"/>
              </w:rPr>
            </w:pPr>
          </w:p>
          <w:p w14:paraId="52370EBF">
            <w:pPr>
              <w:pStyle w:val="172"/>
              <w:keepNext w:val="0"/>
              <w:keepLines w:val="0"/>
              <w:suppressLineNumbers w:val="0"/>
              <w:spacing w:before="0" w:beforeAutospacing="0" w:after="0" w:afterAutospacing="0"/>
              <w:ind w:left="0" w:leftChars="0" w:right="0" w:firstLine="0" w:firstLineChars="0"/>
              <w:rPr>
                <w:rFonts w:hint="default" w:ascii="Times New Roman" w:hAnsi="Times New Roman" w:cs="Times New Roman"/>
                <w:smallCaps w:val="0"/>
                <w:color w:val="auto"/>
                <w:spacing w:val="0"/>
                <w:highlight w:val="none"/>
              </w:rPr>
            </w:pPr>
          </w:p>
        </w:tc>
      </w:tr>
      <w:tr w14:paraId="580EB2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330" w:hRule="atLeast"/>
          <w:jc w:val="center"/>
        </w:trPr>
        <w:tc>
          <w:tcPr>
            <w:tcW w:w="372" w:type="pct"/>
            <w:vAlign w:val="center"/>
          </w:tcPr>
          <w:p w14:paraId="3977EB3A">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总量</w:t>
            </w:r>
          </w:p>
          <w:p w14:paraId="1F920567">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 w:val="24"/>
                <w:szCs w:val="21"/>
                <w:highlight w:val="none"/>
              </w:rPr>
            </w:pPr>
            <w:r>
              <w:rPr>
                <w:rFonts w:hint="default" w:ascii="Times New Roman" w:hAnsi="Times New Roman" w:cs="Times New Roman"/>
                <w:smallCaps w:val="0"/>
                <w:color w:val="auto"/>
                <w:spacing w:val="0"/>
                <w:kern w:val="0"/>
                <w:sz w:val="24"/>
                <w:szCs w:val="21"/>
                <w:highlight w:val="none"/>
              </w:rPr>
              <w:t>控制</w:t>
            </w:r>
          </w:p>
          <w:p w14:paraId="7C88973B">
            <w:pPr>
              <w:keepNext w:val="0"/>
              <w:keepLines w:val="0"/>
              <w:suppressLineNumbers w:val="0"/>
              <w:adjustRightInd w:val="0"/>
              <w:snapToGrid w:val="0"/>
              <w:spacing w:before="0" w:beforeAutospacing="0" w:after="0" w:afterAutospacing="0"/>
              <w:ind w:left="0" w:right="0"/>
              <w:jc w:val="center"/>
              <w:rPr>
                <w:rFonts w:hint="default" w:ascii="Times New Roman" w:hAnsi="Times New Roman" w:cs="Times New Roman"/>
                <w:smallCaps w:val="0"/>
                <w:color w:val="auto"/>
                <w:spacing w:val="0"/>
                <w:kern w:val="0"/>
                <w:szCs w:val="21"/>
                <w:highlight w:val="none"/>
              </w:rPr>
            </w:pPr>
            <w:r>
              <w:rPr>
                <w:rFonts w:hint="default" w:ascii="Times New Roman" w:hAnsi="Times New Roman" w:cs="Times New Roman"/>
                <w:smallCaps w:val="0"/>
                <w:color w:val="auto"/>
                <w:spacing w:val="0"/>
                <w:kern w:val="0"/>
                <w:sz w:val="24"/>
                <w:szCs w:val="21"/>
                <w:highlight w:val="none"/>
              </w:rPr>
              <w:t>指标</w:t>
            </w:r>
          </w:p>
        </w:tc>
        <w:tc>
          <w:tcPr>
            <w:tcW w:w="4627" w:type="pct"/>
            <w:vAlign w:val="center"/>
          </w:tcPr>
          <w:p w14:paraId="2A7689F8">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eastAsia"/>
                <w:smallCaps w:val="0"/>
                <w:color w:val="auto"/>
                <w:spacing w:val="0"/>
                <w:highlight w:val="none"/>
              </w:rPr>
              <w:t>根据</w:t>
            </w:r>
            <w:r>
              <w:rPr>
                <w:rFonts w:hint="eastAsia"/>
                <w:smallCaps w:val="0"/>
                <w:color w:val="auto"/>
                <w:spacing w:val="0"/>
                <w:highlight w:val="none"/>
                <w:lang w:eastAsia="zh-CN"/>
              </w:rPr>
              <w:t>《河北省主要污染物排污权确权管理暂行办法》（冀环办字函〔2024〕256号）</w:t>
            </w:r>
            <w:r>
              <w:rPr>
                <w:rFonts w:hint="eastAsia"/>
                <w:smallCaps w:val="0"/>
                <w:color w:val="auto"/>
                <w:spacing w:val="0"/>
                <w:highlight w:val="none"/>
              </w:rPr>
              <w:t>相关规定，项目污染物排放总量控制指标为COD、氨氮、SO</w:t>
            </w:r>
            <w:r>
              <w:rPr>
                <w:rFonts w:hint="eastAsia"/>
                <w:smallCaps w:val="0"/>
                <w:color w:val="auto"/>
                <w:spacing w:val="0"/>
                <w:highlight w:val="none"/>
                <w:vertAlign w:val="subscript"/>
              </w:rPr>
              <w:t>2</w:t>
            </w:r>
            <w:r>
              <w:rPr>
                <w:rFonts w:hint="eastAsia"/>
                <w:smallCaps w:val="0"/>
                <w:color w:val="auto"/>
                <w:spacing w:val="0"/>
                <w:highlight w:val="none"/>
              </w:rPr>
              <w:t>、氮氧化物、挥发性有机物、颗粒物</w:t>
            </w:r>
            <w:r>
              <w:rPr>
                <w:rFonts w:hint="default" w:ascii="Times New Roman" w:hAnsi="Times New Roman" w:cs="Times New Roman"/>
                <w:smallCaps w:val="0"/>
                <w:color w:val="auto"/>
                <w:spacing w:val="0"/>
                <w:highlight w:val="none"/>
              </w:rPr>
              <w:t>。</w:t>
            </w:r>
          </w:p>
          <w:p w14:paraId="4F4C5CC3">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46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zh-CN"/>
              </w:rPr>
              <w:t>（</w:t>
            </w:r>
            <w:r>
              <w:rPr>
                <w:rFonts w:hint="eastAsia" w:ascii="Times New Roman" w:hAnsi="Times New Roman"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zh-CN"/>
              </w:rPr>
              <w:t>）</w:t>
            </w:r>
            <w:r>
              <w:rPr>
                <w:rFonts w:hint="default" w:ascii="Times New Roman" w:hAnsi="Times New Roman" w:eastAsia="宋体" w:cs="Times New Roman"/>
                <w:color w:val="auto"/>
                <w:sz w:val="24"/>
                <w:szCs w:val="24"/>
                <w:highlight w:val="none"/>
                <w:lang w:val="en-US" w:eastAsia="zh-CN"/>
              </w:rPr>
              <w:t>废水污染物</w:t>
            </w:r>
          </w:p>
          <w:p w14:paraId="1AF114A9">
            <w:pPr>
              <w:pStyle w:val="172"/>
              <w:keepNext w:val="0"/>
              <w:keepLines w:val="0"/>
              <w:suppressLineNumbers w:val="0"/>
              <w:spacing w:before="0" w:beforeAutospacing="0" w:after="0" w:afterAutospacing="0"/>
              <w:ind w:left="0" w:right="0" w:firstLine="480"/>
              <w:rPr>
                <w:rFonts w:hint="default"/>
                <w:color w:val="auto"/>
                <w:sz w:val="24"/>
                <w:highlight w:val="none"/>
              </w:rPr>
            </w:pPr>
            <w:r>
              <w:rPr>
                <w:rFonts w:hint="eastAsia"/>
                <w:color w:val="auto"/>
                <w:sz w:val="24"/>
                <w:highlight w:val="none"/>
                <w:lang w:eastAsia="zh-CN"/>
              </w:rPr>
              <w:t>本项目淬火、回火冷却水循环使用不外排；生活污水经化粪池处理后定期由吸粪车抽走，无废水外排</w:t>
            </w:r>
            <w:r>
              <w:rPr>
                <w:rFonts w:hint="eastAsia"/>
                <w:color w:val="auto"/>
                <w:sz w:val="24"/>
                <w:highlight w:val="none"/>
                <w:lang w:val="en-US" w:eastAsia="zh-CN"/>
              </w:rPr>
              <w:t>，</w:t>
            </w:r>
            <w:r>
              <w:rPr>
                <w:rFonts w:hint="default"/>
                <w:color w:val="auto"/>
                <w:sz w:val="24"/>
                <w:szCs w:val="22"/>
                <w:highlight w:val="none"/>
              </w:rPr>
              <w:t>故</w:t>
            </w:r>
            <w:r>
              <w:rPr>
                <w:rFonts w:hint="eastAsia"/>
                <w:color w:val="auto"/>
                <w:sz w:val="24"/>
                <w:szCs w:val="22"/>
                <w:highlight w:val="none"/>
                <w:lang w:val="en-US" w:eastAsia="zh-CN"/>
              </w:rPr>
              <w:t>不</w:t>
            </w:r>
            <w:r>
              <w:rPr>
                <w:rFonts w:hint="default"/>
                <w:color w:val="auto"/>
                <w:sz w:val="24"/>
                <w:highlight w:val="none"/>
              </w:rPr>
              <w:t>涉及废水污染物</w:t>
            </w:r>
            <w:r>
              <w:rPr>
                <w:rFonts w:hint="default"/>
                <w:color w:val="auto"/>
                <w:sz w:val="24"/>
                <w:highlight w:val="none"/>
                <w:lang w:val="zh-CN"/>
              </w:rPr>
              <w:t>COD</w:t>
            </w:r>
            <w:r>
              <w:rPr>
                <w:rFonts w:hint="default"/>
                <w:color w:val="auto"/>
                <w:sz w:val="24"/>
                <w:highlight w:val="none"/>
              </w:rPr>
              <w:t>、</w:t>
            </w:r>
            <w:r>
              <w:rPr>
                <w:rFonts w:hint="default"/>
                <w:color w:val="auto"/>
                <w:sz w:val="24"/>
                <w:highlight w:val="none"/>
                <w:lang w:val="zh-CN"/>
              </w:rPr>
              <w:t>NH</w:t>
            </w:r>
            <w:r>
              <w:rPr>
                <w:rFonts w:hint="default"/>
                <w:color w:val="auto"/>
                <w:sz w:val="24"/>
                <w:highlight w:val="none"/>
                <w:vertAlign w:val="subscript"/>
                <w:lang w:val="zh-CN"/>
              </w:rPr>
              <w:t>3</w:t>
            </w:r>
            <w:r>
              <w:rPr>
                <w:rFonts w:hint="default"/>
                <w:color w:val="auto"/>
                <w:sz w:val="24"/>
                <w:highlight w:val="none"/>
                <w:lang w:val="zh-CN"/>
              </w:rPr>
              <w:t>-N</w:t>
            </w:r>
            <w:r>
              <w:rPr>
                <w:rFonts w:hint="default"/>
                <w:color w:val="auto"/>
                <w:sz w:val="24"/>
                <w:highlight w:val="none"/>
              </w:rPr>
              <w:t>的排放。</w:t>
            </w:r>
          </w:p>
          <w:p w14:paraId="326B9FF7">
            <w:pPr>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460" w:lineRule="exact"/>
              <w:ind w:left="0" w:right="0"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zh-CN"/>
              </w:rPr>
              <w:t>（</w:t>
            </w:r>
            <w:r>
              <w:rPr>
                <w:rFonts w:hint="eastAsia"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zh-CN"/>
              </w:rPr>
              <w:t>）</w:t>
            </w:r>
            <w:r>
              <w:rPr>
                <w:rFonts w:hint="default" w:ascii="Times New Roman" w:hAnsi="Times New Roman" w:eastAsia="宋体" w:cs="Times New Roman"/>
                <w:color w:val="auto"/>
                <w:sz w:val="24"/>
                <w:szCs w:val="24"/>
                <w:highlight w:val="none"/>
                <w:lang w:val="en-US" w:eastAsia="zh-CN"/>
              </w:rPr>
              <w:t>废气污染物</w:t>
            </w:r>
          </w:p>
          <w:p w14:paraId="1AEE51C8">
            <w:pPr>
              <w:keepNext w:val="0"/>
              <w:keepLines w:val="0"/>
              <w:suppressLineNumbers w:val="0"/>
              <w:autoSpaceDE w:val="0"/>
              <w:autoSpaceDN w:val="0"/>
              <w:adjustRightInd w:val="0"/>
              <w:spacing w:before="0" w:beforeAutospacing="0" w:after="0" w:afterAutospacing="0" w:line="500" w:lineRule="exact"/>
              <w:ind w:left="0" w:right="0" w:firstLine="480" w:firstLineChars="200"/>
              <w:rPr>
                <w:rFonts w:hint="default"/>
                <w:color w:val="auto"/>
                <w:sz w:val="24"/>
                <w:szCs w:val="20"/>
                <w:highlight w:val="none"/>
              </w:rPr>
            </w:pPr>
            <w:r>
              <w:rPr>
                <w:rFonts w:hint="eastAsia"/>
                <w:color w:val="auto"/>
                <w:sz w:val="24"/>
                <w:szCs w:val="20"/>
                <w:highlight w:val="none"/>
                <w:lang w:eastAsia="zh-CN"/>
              </w:rPr>
              <w:t>项目生产采用电加热</w:t>
            </w:r>
            <w:r>
              <w:rPr>
                <w:rFonts w:hint="eastAsia"/>
                <w:color w:val="auto"/>
                <w:sz w:val="24"/>
                <w:szCs w:val="20"/>
                <w:highlight w:val="none"/>
              </w:rPr>
              <w:t>，职工日常办公供暖由空调提供，</w:t>
            </w:r>
            <w:r>
              <w:rPr>
                <w:rFonts w:hint="eastAsia"/>
                <w:color w:val="auto"/>
                <w:sz w:val="24"/>
                <w:szCs w:val="20"/>
                <w:highlight w:val="none"/>
                <w:lang w:val="zh-CN"/>
              </w:rPr>
              <w:t>不设燃煤燃气等供热设施，</w:t>
            </w:r>
            <w:r>
              <w:rPr>
                <w:rFonts w:hint="default"/>
                <w:color w:val="auto"/>
                <w:sz w:val="24"/>
                <w:szCs w:val="20"/>
                <w:highlight w:val="none"/>
              </w:rPr>
              <w:t>故不涉及废气污染物SO</w:t>
            </w:r>
            <w:r>
              <w:rPr>
                <w:rFonts w:hint="default"/>
                <w:color w:val="auto"/>
                <w:sz w:val="24"/>
                <w:szCs w:val="20"/>
                <w:highlight w:val="none"/>
                <w:vertAlign w:val="subscript"/>
              </w:rPr>
              <w:t>2</w:t>
            </w:r>
            <w:r>
              <w:rPr>
                <w:rFonts w:hint="default"/>
                <w:color w:val="auto"/>
                <w:sz w:val="24"/>
                <w:szCs w:val="20"/>
                <w:highlight w:val="none"/>
              </w:rPr>
              <w:t>、NO</w:t>
            </w:r>
            <w:r>
              <w:rPr>
                <w:rFonts w:hint="default"/>
                <w:color w:val="auto"/>
                <w:sz w:val="24"/>
                <w:szCs w:val="20"/>
                <w:highlight w:val="none"/>
                <w:vertAlign w:val="subscript"/>
              </w:rPr>
              <w:t>X</w:t>
            </w:r>
            <w:r>
              <w:rPr>
                <w:rFonts w:hint="default"/>
                <w:color w:val="auto"/>
                <w:sz w:val="24"/>
                <w:szCs w:val="20"/>
                <w:highlight w:val="none"/>
              </w:rPr>
              <w:t>的排放。因此，项目废气污染物SO</w:t>
            </w:r>
            <w:r>
              <w:rPr>
                <w:rFonts w:hint="default"/>
                <w:color w:val="auto"/>
                <w:sz w:val="24"/>
                <w:szCs w:val="20"/>
                <w:highlight w:val="none"/>
                <w:vertAlign w:val="subscript"/>
              </w:rPr>
              <w:t>2</w:t>
            </w:r>
            <w:r>
              <w:rPr>
                <w:rFonts w:hint="default"/>
                <w:color w:val="auto"/>
                <w:sz w:val="24"/>
                <w:szCs w:val="20"/>
                <w:highlight w:val="none"/>
              </w:rPr>
              <w:t>、NO</w:t>
            </w:r>
            <w:r>
              <w:rPr>
                <w:rFonts w:hint="default"/>
                <w:color w:val="auto"/>
                <w:sz w:val="24"/>
                <w:szCs w:val="20"/>
                <w:highlight w:val="none"/>
                <w:vertAlign w:val="subscript"/>
              </w:rPr>
              <w:t>X</w:t>
            </w:r>
            <w:r>
              <w:rPr>
                <w:rFonts w:hint="default"/>
                <w:color w:val="auto"/>
                <w:sz w:val="24"/>
                <w:szCs w:val="20"/>
                <w:highlight w:val="none"/>
              </w:rPr>
              <w:t>核算排放量均为0t/a。</w:t>
            </w:r>
            <w:r>
              <w:rPr>
                <w:rFonts w:hint="eastAsia"/>
                <w:color w:val="auto"/>
                <w:sz w:val="24"/>
                <w:szCs w:val="20"/>
                <w:highlight w:val="none"/>
              </w:rPr>
              <w:t>项目</w:t>
            </w:r>
            <w:r>
              <w:rPr>
                <w:rFonts w:hint="eastAsia"/>
                <w:color w:val="auto"/>
                <w:sz w:val="24"/>
                <w:szCs w:val="20"/>
                <w:highlight w:val="none"/>
                <w:lang w:val="en-US" w:eastAsia="zh-CN"/>
              </w:rPr>
              <w:t>不</w:t>
            </w:r>
            <w:r>
              <w:rPr>
                <w:rFonts w:hint="eastAsia"/>
                <w:color w:val="auto"/>
                <w:sz w:val="24"/>
                <w:szCs w:val="20"/>
                <w:highlight w:val="none"/>
              </w:rPr>
              <w:t>涉及</w:t>
            </w:r>
            <w:r>
              <w:rPr>
                <w:rFonts w:hint="eastAsia"/>
                <w:color w:val="auto"/>
                <w:sz w:val="24"/>
                <w:szCs w:val="20"/>
                <w:highlight w:val="none"/>
                <w:lang w:val="en-US" w:eastAsia="zh-CN"/>
              </w:rPr>
              <w:t>挥发性有机物。</w:t>
            </w:r>
          </w:p>
          <w:p w14:paraId="12B56562">
            <w:pPr>
              <w:keepNext w:val="0"/>
              <w:keepLines w:val="0"/>
              <w:suppressLineNumbers w:val="0"/>
              <w:tabs>
                <w:tab w:val="left" w:pos="4720"/>
              </w:tabs>
              <w:autoSpaceDE w:val="0"/>
              <w:autoSpaceDN w:val="0"/>
              <w:adjustRightInd w:val="0"/>
              <w:spacing w:before="0" w:beforeAutospacing="0" w:after="0" w:afterAutospacing="0" w:line="500" w:lineRule="exact"/>
              <w:ind w:left="0" w:right="0" w:firstLine="480" w:firstLineChars="200"/>
              <w:rPr>
                <w:rFonts w:hint="eastAsia" w:eastAsia="宋体"/>
                <w:color w:val="auto"/>
                <w:sz w:val="24"/>
                <w:szCs w:val="20"/>
                <w:highlight w:val="none"/>
                <w:lang w:eastAsia="zh-CN"/>
              </w:rPr>
            </w:pPr>
            <w:r>
              <w:rPr>
                <w:rFonts w:hint="eastAsia"/>
                <w:color w:val="auto"/>
                <w:sz w:val="24"/>
                <w:szCs w:val="20"/>
                <w:highlight w:val="none"/>
              </w:rPr>
              <w:t>项目涉及</w:t>
            </w:r>
            <w:r>
              <w:rPr>
                <w:rFonts w:hint="eastAsia"/>
                <w:color w:val="auto"/>
                <w:sz w:val="24"/>
                <w:szCs w:val="20"/>
                <w:highlight w:val="none"/>
                <w:lang w:val="en-US" w:eastAsia="zh-CN"/>
              </w:rPr>
              <w:t>颗粒物</w:t>
            </w:r>
            <w:r>
              <w:rPr>
                <w:rFonts w:hint="eastAsia"/>
                <w:color w:val="auto"/>
                <w:sz w:val="24"/>
                <w:szCs w:val="20"/>
                <w:highlight w:val="none"/>
              </w:rPr>
              <w:t>排放。核算见下</w:t>
            </w:r>
            <w:r>
              <w:rPr>
                <w:rFonts w:hint="eastAsia"/>
                <w:color w:val="auto"/>
                <w:sz w:val="24"/>
                <w:szCs w:val="20"/>
                <w:highlight w:val="none"/>
                <w:lang w:eastAsia="zh-CN"/>
              </w:rPr>
              <w:t>：</w:t>
            </w:r>
            <w:r>
              <w:rPr>
                <w:rFonts w:hint="eastAsia"/>
                <w:color w:val="auto"/>
                <w:sz w:val="24"/>
                <w:szCs w:val="20"/>
                <w:highlight w:val="none"/>
                <w:lang w:eastAsia="zh-CN"/>
              </w:rPr>
              <w:tab/>
            </w:r>
          </w:p>
          <w:p w14:paraId="2CD05756">
            <w:pPr>
              <w:keepNext w:val="0"/>
              <w:keepLines w:val="0"/>
              <w:suppressLineNumbers w:val="0"/>
              <w:adjustRightInd w:val="0"/>
              <w:snapToGrid w:val="0"/>
              <w:spacing w:before="0" w:beforeAutospacing="0" w:after="0" w:afterAutospacing="0"/>
              <w:ind w:left="0" w:right="0"/>
              <w:jc w:val="center"/>
              <w:rPr>
                <w:rFonts w:hint="default"/>
                <w:b/>
                <w:color w:val="auto"/>
                <w:sz w:val="24"/>
                <w:szCs w:val="20"/>
                <w:highlight w:val="none"/>
                <w:lang w:val="zh-CN"/>
              </w:rPr>
            </w:pPr>
            <w:r>
              <w:rPr>
                <w:rFonts w:hint="default"/>
                <w:b/>
                <w:color w:val="auto"/>
                <w:sz w:val="24"/>
                <w:szCs w:val="20"/>
                <w:highlight w:val="none"/>
                <w:lang w:val="zh-CN"/>
              </w:rPr>
              <w:t>表</w:t>
            </w:r>
            <w:r>
              <w:rPr>
                <w:rFonts w:hint="default"/>
                <w:b/>
                <w:color w:val="auto"/>
                <w:sz w:val="24"/>
                <w:szCs w:val="20"/>
                <w:highlight w:val="none"/>
              </w:rPr>
              <w:t>3</w:t>
            </w:r>
            <w:r>
              <w:rPr>
                <w:rFonts w:hint="eastAsia"/>
                <w:b/>
                <w:color w:val="auto"/>
                <w:sz w:val="24"/>
                <w:szCs w:val="20"/>
                <w:highlight w:val="none"/>
                <w:lang w:val="en-US" w:eastAsia="zh-CN"/>
              </w:rPr>
              <w:t>-9</w:t>
            </w:r>
            <w:r>
              <w:rPr>
                <w:rFonts w:hint="default"/>
                <w:b/>
                <w:color w:val="auto"/>
                <w:sz w:val="24"/>
                <w:szCs w:val="20"/>
                <w:highlight w:val="none"/>
                <w:lang w:val="zh-CN"/>
              </w:rPr>
              <w:t xml:space="preserve"> </w:t>
            </w:r>
            <w:r>
              <w:rPr>
                <w:rFonts w:hint="default"/>
                <w:b/>
                <w:color w:val="auto"/>
                <w:sz w:val="24"/>
                <w:szCs w:val="20"/>
                <w:highlight w:val="none"/>
              </w:rPr>
              <w:t xml:space="preserve"> </w:t>
            </w:r>
            <w:r>
              <w:rPr>
                <w:rFonts w:hint="default"/>
                <w:b/>
                <w:color w:val="auto"/>
                <w:sz w:val="24"/>
                <w:szCs w:val="20"/>
                <w:highlight w:val="none"/>
                <w:lang w:val="zh-CN"/>
              </w:rPr>
              <w:t>污染物总量控制指标计算</w:t>
            </w:r>
          </w:p>
          <w:tbl>
            <w:tblPr>
              <w:tblStyle w:val="47"/>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52"/>
              <w:gridCol w:w="1117"/>
              <w:gridCol w:w="985"/>
              <w:gridCol w:w="1275"/>
              <w:gridCol w:w="1350"/>
              <w:gridCol w:w="1978"/>
            </w:tblGrid>
            <w:tr w14:paraId="4B0A9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1" w:type="pct"/>
                  <w:tcBorders>
                    <w:top w:val="single" w:color="auto" w:sz="4" w:space="0"/>
                    <w:left w:val="single" w:color="auto" w:sz="4" w:space="0"/>
                    <w:bottom w:val="single" w:color="auto" w:sz="4" w:space="0"/>
                    <w:right w:val="single" w:color="auto" w:sz="4" w:space="0"/>
                  </w:tcBorders>
                  <w:noWrap w:val="0"/>
                  <w:vAlign w:val="center"/>
                </w:tcPr>
                <w:p w14:paraId="620C3FC8">
                  <w:pPr>
                    <w:keepNext w:val="0"/>
                    <w:keepLines w:val="0"/>
                    <w:suppressLineNumbers w:val="0"/>
                    <w:spacing w:before="0" w:beforeAutospacing="0" w:after="0" w:afterAutospacing="0"/>
                    <w:ind w:left="0" w:right="0"/>
                    <w:jc w:val="center"/>
                    <w:rPr>
                      <w:rFonts w:hint="default"/>
                      <w:b/>
                      <w:bCs/>
                      <w:color w:val="auto"/>
                      <w:szCs w:val="21"/>
                      <w:highlight w:val="none"/>
                    </w:rPr>
                  </w:pPr>
                  <w:r>
                    <w:rPr>
                      <w:rFonts w:hint="default"/>
                      <w:b/>
                      <w:bCs/>
                      <w:color w:val="auto"/>
                      <w:szCs w:val="21"/>
                      <w:highlight w:val="none"/>
                    </w:rPr>
                    <w:t>项目</w:t>
                  </w:r>
                </w:p>
              </w:tc>
              <w:tc>
                <w:tcPr>
                  <w:tcW w:w="729" w:type="pct"/>
                  <w:tcBorders>
                    <w:top w:val="single" w:color="auto" w:sz="4" w:space="0"/>
                    <w:left w:val="single" w:color="auto" w:sz="4" w:space="0"/>
                    <w:bottom w:val="single" w:color="auto" w:sz="4" w:space="0"/>
                    <w:right w:val="single" w:color="auto" w:sz="4" w:space="0"/>
                  </w:tcBorders>
                  <w:noWrap w:val="0"/>
                  <w:vAlign w:val="center"/>
                </w:tcPr>
                <w:p w14:paraId="50A56C4E">
                  <w:pPr>
                    <w:keepNext w:val="0"/>
                    <w:keepLines w:val="0"/>
                    <w:suppressLineNumbers w:val="0"/>
                    <w:spacing w:before="0" w:beforeAutospacing="0" w:after="0" w:afterAutospacing="0"/>
                    <w:ind w:left="0" w:right="0"/>
                    <w:jc w:val="center"/>
                    <w:rPr>
                      <w:rFonts w:hint="default" w:eastAsia="宋体"/>
                      <w:b/>
                      <w:bCs/>
                      <w:color w:val="auto"/>
                      <w:szCs w:val="21"/>
                      <w:highlight w:val="none"/>
                      <w:lang w:val="en-US" w:eastAsia="zh-CN"/>
                    </w:rPr>
                  </w:pPr>
                  <w:r>
                    <w:rPr>
                      <w:rFonts w:hint="eastAsia"/>
                      <w:b/>
                      <w:bCs/>
                      <w:color w:val="auto"/>
                      <w:szCs w:val="21"/>
                      <w:highlight w:val="none"/>
                      <w:lang w:val="en-US" w:eastAsia="zh-CN"/>
                    </w:rPr>
                    <w:t>排气筒编号</w:t>
                  </w:r>
                </w:p>
              </w:tc>
              <w:tc>
                <w:tcPr>
                  <w:tcW w:w="643"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E48EB0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
                      <w:bCs/>
                      <w:color w:val="auto"/>
                      <w:kern w:val="2"/>
                      <w:sz w:val="21"/>
                      <w:szCs w:val="21"/>
                      <w:highlight w:val="none"/>
                      <w:lang w:val="en-US" w:eastAsia="zh-CN" w:bidi="ar-SA"/>
                    </w:rPr>
                  </w:pPr>
                  <w:r>
                    <w:rPr>
                      <w:rFonts w:hint="eastAsia"/>
                      <w:b/>
                      <w:bCs/>
                      <w:color w:val="auto"/>
                      <w:szCs w:val="21"/>
                      <w:highlight w:val="none"/>
                      <w:lang w:val="en-US" w:eastAsia="zh-CN"/>
                    </w:rPr>
                    <w:t>排放标准</w:t>
                  </w:r>
                  <w:r>
                    <w:rPr>
                      <w:rFonts w:hint="default"/>
                      <w:b/>
                      <w:bCs/>
                      <w:color w:val="auto"/>
                      <w:szCs w:val="21"/>
                      <w:highlight w:val="none"/>
                    </w:rPr>
                    <w:t>（mg/m</w:t>
                  </w:r>
                  <w:r>
                    <w:rPr>
                      <w:rFonts w:hint="default"/>
                      <w:b/>
                      <w:bCs/>
                      <w:color w:val="auto"/>
                      <w:szCs w:val="21"/>
                      <w:highlight w:val="none"/>
                      <w:vertAlign w:val="superscript"/>
                    </w:rPr>
                    <w:t>3</w:t>
                  </w:r>
                  <w:r>
                    <w:rPr>
                      <w:rFonts w:hint="default"/>
                      <w:b/>
                      <w:bCs/>
                      <w:color w:val="auto"/>
                      <w:szCs w:val="21"/>
                      <w:highlight w:val="none"/>
                    </w:rPr>
                    <w:t>）</w:t>
                  </w:r>
                </w:p>
              </w:tc>
              <w:tc>
                <w:tcPr>
                  <w:tcW w:w="832" w:type="pct"/>
                  <w:tcBorders>
                    <w:top w:val="single" w:color="auto" w:sz="4" w:space="0"/>
                    <w:left w:val="single" w:color="auto" w:sz="4" w:space="0"/>
                    <w:bottom w:val="single" w:color="auto" w:sz="4" w:space="0"/>
                    <w:right w:val="single" w:color="auto" w:sz="4" w:space="0"/>
                  </w:tcBorders>
                  <w:noWrap w:val="0"/>
                  <w:vAlign w:val="center"/>
                </w:tcPr>
                <w:p w14:paraId="15750C93">
                  <w:pPr>
                    <w:keepNext w:val="0"/>
                    <w:keepLines w:val="0"/>
                    <w:suppressLineNumbers w:val="0"/>
                    <w:spacing w:before="0" w:beforeAutospacing="0" w:after="0" w:afterAutospacing="0"/>
                    <w:ind w:left="0" w:right="0"/>
                    <w:jc w:val="center"/>
                    <w:rPr>
                      <w:rFonts w:hint="default" w:eastAsia="宋体"/>
                      <w:b/>
                      <w:bCs/>
                      <w:color w:val="auto"/>
                      <w:szCs w:val="21"/>
                      <w:highlight w:val="none"/>
                      <w:lang w:val="en-US" w:eastAsia="zh-CN"/>
                    </w:rPr>
                  </w:pPr>
                  <w:r>
                    <w:rPr>
                      <w:rFonts w:hint="default"/>
                      <w:b/>
                      <w:bCs/>
                      <w:color w:val="auto"/>
                      <w:szCs w:val="21"/>
                      <w:highlight w:val="none"/>
                    </w:rPr>
                    <w:t>废气量（m</w:t>
                  </w:r>
                  <w:r>
                    <w:rPr>
                      <w:rFonts w:hint="default"/>
                      <w:b/>
                      <w:bCs/>
                      <w:color w:val="auto"/>
                      <w:szCs w:val="21"/>
                      <w:highlight w:val="none"/>
                      <w:vertAlign w:val="superscript"/>
                    </w:rPr>
                    <w:t>3</w:t>
                  </w:r>
                  <w:r>
                    <w:rPr>
                      <w:rFonts w:hint="default"/>
                      <w:b/>
                      <w:bCs/>
                      <w:color w:val="auto"/>
                      <w:szCs w:val="21"/>
                      <w:highlight w:val="none"/>
                    </w:rPr>
                    <w:t>/h）</w:t>
                  </w:r>
                </w:p>
              </w:tc>
              <w:tc>
                <w:tcPr>
                  <w:tcW w:w="881" w:type="pct"/>
                  <w:tcBorders>
                    <w:top w:val="single" w:color="auto" w:sz="4" w:space="0"/>
                    <w:left w:val="single" w:color="auto" w:sz="4" w:space="0"/>
                    <w:bottom w:val="single" w:color="auto" w:sz="4" w:space="0"/>
                    <w:right w:val="single" w:color="auto" w:sz="4" w:space="0"/>
                  </w:tcBorders>
                  <w:noWrap w:val="0"/>
                  <w:vAlign w:val="center"/>
                </w:tcPr>
                <w:p w14:paraId="7196921D">
                  <w:pPr>
                    <w:keepNext w:val="0"/>
                    <w:keepLines w:val="0"/>
                    <w:suppressLineNumbers w:val="0"/>
                    <w:spacing w:before="0" w:beforeAutospacing="0" w:after="0" w:afterAutospacing="0"/>
                    <w:ind w:left="0" w:right="0"/>
                    <w:jc w:val="center"/>
                    <w:rPr>
                      <w:rFonts w:hint="eastAsia" w:eastAsia="宋体"/>
                      <w:b/>
                      <w:bCs/>
                      <w:color w:val="auto"/>
                      <w:szCs w:val="21"/>
                      <w:highlight w:val="none"/>
                      <w:lang w:val="en-US" w:eastAsia="zh-CN"/>
                    </w:rPr>
                  </w:pPr>
                  <w:r>
                    <w:rPr>
                      <w:rFonts w:hint="default"/>
                      <w:b/>
                      <w:bCs/>
                      <w:color w:val="auto"/>
                      <w:szCs w:val="21"/>
                      <w:highlight w:val="none"/>
                    </w:rPr>
                    <w:t>运行时间（h/a）</w:t>
                  </w:r>
                </w:p>
              </w:tc>
              <w:tc>
                <w:tcPr>
                  <w:tcW w:w="1291" w:type="pct"/>
                  <w:tcBorders>
                    <w:top w:val="single" w:color="auto" w:sz="4" w:space="0"/>
                    <w:left w:val="single" w:color="auto" w:sz="4" w:space="0"/>
                    <w:bottom w:val="single" w:color="auto" w:sz="4" w:space="0"/>
                    <w:right w:val="single" w:color="auto" w:sz="4" w:space="0"/>
                  </w:tcBorders>
                  <w:noWrap w:val="0"/>
                  <w:vAlign w:val="center"/>
                </w:tcPr>
                <w:p w14:paraId="62E12B14">
                  <w:pPr>
                    <w:keepNext w:val="0"/>
                    <w:keepLines w:val="0"/>
                    <w:suppressLineNumbers w:val="0"/>
                    <w:spacing w:before="0" w:beforeAutospacing="0" w:after="0" w:afterAutospacing="0"/>
                    <w:ind w:left="0" w:right="0"/>
                    <w:jc w:val="center"/>
                    <w:rPr>
                      <w:rFonts w:hint="eastAsia"/>
                      <w:b/>
                      <w:bCs/>
                      <w:color w:val="auto"/>
                      <w:szCs w:val="21"/>
                      <w:highlight w:val="none"/>
                    </w:rPr>
                  </w:pPr>
                  <w:r>
                    <w:rPr>
                      <w:rFonts w:hint="default"/>
                      <w:b/>
                      <w:bCs/>
                      <w:color w:val="auto"/>
                      <w:szCs w:val="21"/>
                      <w:highlight w:val="none"/>
                    </w:rPr>
                    <w:t>污染物年排放量（t/a）</w:t>
                  </w:r>
                </w:p>
              </w:tc>
            </w:tr>
            <w:tr w14:paraId="2C574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1" w:type="pct"/>
                  <w:tcBorders>
                    <w:top w:val="single" w:color="auto" w:sz="4" w:space="0"/>
                    <w:left w:val="single" w:color="auto" w:sz="4" w:space="0"/>
                    <w:right w:val="single" w:color="auto" w:sz="4" w:space="0"/>
                  </w:tcBorders>
                  <w:shd w:val="clear" w:color="auto" w:fill="auto"/>
                  <w:noWrap w:val="0"/>
                  <w:vAlign w:val="center"/>
                </w:tcPr>
                <w:p w14:paraId="16D8271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颗粒物</w:t>
                  </w:r>
                </w:p>
              </w:tc>
              <w:tc>
                <w:tcPr>
                  <w:tcW w:w="729" w:type="pct"/>
                  <w:tcBorders>
                    <w:top w:val="single" w:color="auto" w:sz="4" w:space="0"/>
                    <w:left w:val="single" w:color="auto" w:sz="4" w:space="0"/>
                    <w:right w:val="single" w:color="auto" w:sz="4" w:space="0"/>
                  </w:tcBorders>
                  <w:shd w:val="clear" w:color="auto" w:fill="auto"/>
                  <w:noWrap w:val="0"/>
                  <w:vAlign w:val="center"/>
                </w:tcPr>
                <w:p w14:paraId="38226BA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DA001</w:t>
                  </w:r>
                </w:p>
              </w:tc>
              <w:tc>
                <w:tcPr>
                  <w:tcW w:w="643" w:type="pct"/>
                  <w:tcBorders>
                    <w:top w:val="single" w:color="auto" w:sz="4" w:space="0"/>
                    <w:left w:val="single" w:color="auto" w:sz="4" w:space="0"/>
                    <w:right w:val="single" w:color="auto" w:sz="4" w:space="0"/>
                  </w:tcBorders>
                  <w:shd w:val="clear" w:color="auto" w:fill="auto"/>
                  <w:noWrap w:val="0"/>
                  <w:vAlign w:val="center"/>
                </w:tcPr>
                <w:p w14:paraId="675AB17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120</w:t>
                  </w:r>
                </w:p>
              </w:tc>
              <w:tc>
                <w:tcPr>
                  <w:tcW w:w="832"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44EC31B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20000</w:t>
                  </w:r>
                </w:p>
              </w:tc>
              <w:tc>
                <w:tcPr>
                  <w:tcW w:w="88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2F90DED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7200</w:t>
                  </w:r>
                </w:p>
              </w:tc>
              <w:tc>
                <w:tcPr>
                  <w:tcW w:w="129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2FEA3C47">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17.28</w:t>
                  </w:r>
                </w:p>
              </w:tc>
            </w:tr>
            <w:tr w14:paraId="40074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1" w:type="pct"/>
                  <w:tcBorders>
                    <w:top w:val="single" w:color="auto" w:sz="4" w:space="0"/>
                    <w:left w:val="single" w:color="auto" w:sz="4" w:space="0"/>
                    <w:right w:val="single" w:color="auto" w:sz="4" w:space="0"/>
                  </w:tcBorders>
                  <w:shd w:val="clear" w:color="auto" w:fill="auto"/>
                  <w:noWrap w:val="0"/>
                  <w:vAlign w:val="center"/>
                </w:tcPr>
                <w:p w14:paraId="6E1449EC">
                  <w:pPr>
                    <w:keepNext w:val="0"/>
                    <w:keepLines w:val="0"/>
                    <w:suppressLineNumbers w:val="0"/>
                    <w:spacing w:before="0" w:beforeAutospacing="0" w:after="0" w:afterAutospacing="0"/>
                    <w:ind w:left="0" w:leftChars="0" w:right="0" w:rightChars="0"/>
                    <w:jc w:val="center"/>
                    <w:rPr>
                      <w:rFonts w:hint="eastAsia"/>
                      <w:color w:val="auto"/>
                      <w:szCs w:val="21"/>
                      <w:highlight w:val="none"/>
                      <w:lang w:val="en-US" w:eastAsia="zh-CN"/>
                    </w:rPr>
                  </w:pPr>
                  <w:r>
                    <w:rPr>
                      <w:rFonts w:hint="eastAsia"/>
                      <w:color w:val="auto"/>
                      <w:szCs w:val="21"/>
                      <w:highlight w:val="none"/>
                      <w:lang w:val="en-US" w:eastAsia="zh-CN"/>
                    </w:rPr>
                    <w:t>颗粒物</w:t>
                  </w:r>
                </w:p>
              </w:tc>
              <w:tc>
                <w:tcPr>
                  <w:tcW w:w="729" w:type="pct"/>
                  <w:tcBorders>
                    <w:top w:val="single" w:color="auto" w:sz="4" w:space="0"/>
                    <w:left w:val="single" w:color="auto" w:sz="4" w:space="0"/>
                    <w:right w:val="single" w:color="auto" w:sz="4" w:space="0"/>
                  </w:tcBorders>
                  <w:shd w:val="clear" w:color="auto" w:fill="auto"/>
                  <w:noWrap w:val="0"/>
                  <w:vAlign w:val="center"/>
                </w:tcPr>
                <w:p w14:paraId="46692FB2">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DA002</w:t>
                  </w:r>
                </w:p>
              </w:tc>
              <w:tc>
                <w:tcPr>
                  <w:tcW w:w="985" w:type="dxa"/>
                  <w:tcBorders>
                    <w:top w:val="single" w:color="auto" w:sz="4" w:space="0"/>
                    <w:left w:val="single" w:color="auto" w:sz="4" w:space="0"/>
                    <w:right w:val="single" w:color="auto" w:sz="4" w:space="0"/>
                  </w:tcBorders>
                  <w:shd w:val="clear" w:color="auto" w:fill="auto"/>
                  <w:noWrap w:val="0"/>
                  <w:vAlign w:val="center"/>
                </w:tcPr>
                <w:p w14:paraId="296AE8C5">
                  <w:pPr>
                    <w:keepNext w:val="0"/>
                    <w:keepLines w:val="0"/>
                    <w:suppressLineNumbers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120</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EC084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20000</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741EF4">
                  <w:pPr>
                    <w:keepNext w:val="0"/>
                    <w:keepLines w:val="0"/>
                    <w:suppressLineNumbers w:val="0"/>
                    <w:spacing w:before="0" w:beforeAutospacing="0" w:after="0" w:afterAutospacing="0"/>
                    <w:ind w:left="0" w:leftChars="0" w:right="0" w:rightChars="0"/>
                    <w:jc w:val="center"/>
                    <w:rPr>
                      <w:rFonts w:hint="eastAsia"/>
                      <w:color w:val="auto"/>
                      <w:szCs w:val="21"/>
                      <w:highlight w:val="none"/>
                      <w:lang w:val="en-US" w:eastAsia="zh-CN"/>
                    </w:rPr>
                  </w:pPr>
                  <w:r>
                    <w:rPr>
                      <w:rFonts w:hint="eastAsia"/>
                      <w:color w:val="auto"/>
                      <w:szCs w:val="21"/>
                      <w:highlight w:val="none"/>
                      <w:lang w:val="en-US" w:eastAsia="zh-CN"/>
                    </w:rPr>
                    <w:t>7200</w:t>
                  </w:r>
                </w:p>
              </w:tc>
              <w:tc>
                <w:tcPr>
                  <w:tcW w:w="129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34D70DE">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17.28</w:t>
                  </w:r>
                </w:p>
              </w:tc>
            </w:tr>
            <w:tr w14:paraId="63463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1" w:type="pct"/>
                  <w:tcBorders>
                    <w:top w:val="single" w:color="auto" w:sz="4" w:space="0"/>
                    <w:left w:val="single" w:color="auto" w:sz="4" w:space="0"/>
                    <w:right w:val="single" w:color="auto" w:sz="4" w:space="0"/>
                  </w:tcBorders>
                  <w:shd w:val="clear" w:color="auto" w:fill="auto"/>
                  <w:noWrap w:val="0"/>
                  <w:vAlign w:val="center"/>
                </w:tcPr>
                <w:p w14:paraId="6684F2CA">
                  <w:pPr>
                    <w:keepNext w:val="0"/>
                    <w:keepLines w:val="0"/>
                    <w:suppressLineNumbers w:val="0"/>
                    <w:spacing w:before="0" w:beforeAutospacing="0" w:after="0" w:afterAutospacing="0"/>
                    <w:ind w:left="0" w:leftChars="0" w:right="0" w:rightChars="0"/>
                    <w:jc w:val="center"/>
                    <w:rPr>
                      <w:rFonts w:hint="eastAsia"/>
                      <w:color w:val="auto"/>
                      <w:szCs w:val="21"/>
                      <w:highlight w:val="none"/>
                      <w:lang w:val="en-US" w:eastAsia="zh-CN"/>
                    </w:rPr>
                  </w:pPr>
                  <w:r>
                    <w:rPr>
                      <w:rFonts w:hint="eastAsia"/>
                      <w:color w:val="auto"/>
                      <w:szCs w:val="21"/>
                      <w:highlight w:val="none"/>
                      <w:lang w:val="en-US" w:eastAsia="zh-CN"/>
                    </w:rPr>
                    <w:t>颗粒物</w:t>
                  </w:r>
                </w:p>
              </w:tc>
              <w:tc>
                <w:tcPr>
                  <w:tcW w:w="729" w:type="pct"/>
                  <w:tcBorders>
                    <w:top w:val="single" w:color="auto" w:sz="4" w:space="0"/>
                    <w:left w:val="single" w:color="auto" w:sz="4" w:space="0"/>
                    <w:right w:val="single" w:color="auto" w:sz="4" w:space="0"/>
                  </w:tcBorders>
                  <w:shd w:val="clear" w:color="auto" w:fill="auto"/>
                  <w:noWrap w:val="0"/>
                  <w:vAlign w:val="center"/>
                </w:tcPr>
                <w:p w14:paraId="52F1BC53">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DA003</w:t>
                  </w:r>
                </w:p>
              </w:tc>
              <w:tc>
                <w:tcPr>
                  <w:tcW w:w="985" w:type="dxa"/>
                  <w:tcBorders>
                    <w:top w:val="single" w:color="auto" w:sz="4" w:space="0"/>
                    <w:left w:val="single" w:color="auto" w:sz="4" w:space="0"/>
                    <w:right w:val="single" w:color="auto" w:sz="4" w:space="0"/>
                  </w:tcBorders>
                  <w:shd w:val="clear" w:color="auto" w:fill="auto"/>
                  <w:noWrap w:val="0"/>
                  <w:vAlign w:val="center"/>
                </w:tcPr>
                <w:p w14:paraId="430DD31E">
                  <w:pPr>
                    <w:keepNext w:val="0"/>
                    <w:keepLines w:val="0"/>
                    <w:suppressLineNumbers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120</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5394C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20000</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C2376B">
                  <w:pPr>
                    <w:keepNext w:val="0"/>
                    <w:keepLines w:val="0"/>
                    <w:suppressLineNumbers w:val="0"/>
                    <w:spacing w:before="0" w:beforeAutospacing="0" w:after="0" w:afterAutospacing="0"/>
                    <w:ind w:left="0" w:leftChars="0" w:right="0" w:rightChars="0"/>
                    <w:jc w:val="center"/>
                    <w:rPr>
                      <w:rFonts w:hint="eastAsia"/>
                      <w:color w:val="auto"/>
                      <w:szCs w:val="21"/>
                      <w:highlight w:val="none"/>
                      <w:lang w:val="en-US" w:eastAsia="zh-CN"/>
                    </w:rPr>
                  </w:pPr>
                  <w:r>
                    <w:rPr>
                      <w:rFonts w:hint="eastAsia"/>
                      <w:color w:val="auto"/>
                      <w:szCs w:val="21"/>
                      <w:highlight w:val="none"/>
                      <w:lang w:val="en-US" w:eastAsia="zh-CN"/>
                    </w:rPr>
                    <w:t>7200</w:t>
                  </w:r>
                </w:p>
              </w:tc>
              <w:tc>
                <w:tcPr>
                  <w:tcW w:w="129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F1C8BC3">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17.28</w:t>
                  </w:r>
                </w:p>
              </w:tc>
            </w:tr>
            <w:tr w14:paraId="0C042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1" w:type="pct"/>
                  <w:tcBorders>
                    <w:top w:val="single" w:color="auto" w:sz="4" w:space="0"/>
                    <w:left w:val="single" w:color="auto" w:sz="4" w:space="0"/>
                    <w:right w:val="single" w:color="auto" w:sz="4" w:space="0"/>
                  </w:tcBorders>
                  <w:shd w:val="clear" w:color="auto" w:fill="auto"/>
                  <w:noWrap w:val="0"/>
                  <w:vAlign w:val="center"/>
                </w:tcPr>
                <w:p w14:paraId="269BF7BC">
                  <w:pPr>
                    <w:keepNext w:val="0"/>
                    <w:keepLines w:val="0"/>
                    <w:suppressLineNumbers w:val="0"/>
                    <w:spacing w:before="0" w:beforeAutospacing="0" w:after="0" w:afterAutospacing="0"/>
                    <w:ind w:left="0" w:leftChars="0" w:right="0" w:rightChars="0"/>
                    <w:jc w:val="center"/>
                    <w:rPr>
                      <w:rFonts w:hint="eastAsia"/>
                      <w:color w:val="auto"/>
                      <w:szCs w:val="21"/>
                      <w:highlight w:val="none"/>
                      <w:lang w:val="en-US" w:eastAsia="zh-CN"/>
                    </w:rPr>
                  </w:pPr>
                  <w:r>
                    <w:rPr>
                      <w:rFonts w:hint="eastAsia"/>
                      <w:color w:val="auto"/>
                      <w:szCs w:val="21"/>
                      <w:highlight w:val="none"/>
                      <w:lang w:val="en-US" w:eastAsia="zh-CN"/>
                    </w:rPr>
                    <w:t>颗粒物</w:t>
                  </w:r>
                </w:p>
              </w:tc>
              <w:tc>
                <w:tcPr>
                  <w:tcW w:w="729" w:type="pct"/>
                  <w:tcBorders>
                    <w:top w:val="single" w:color="auto" w:sz="4" w:space="0"/>
                    <w:left w:val="single" w:color="auto" w:sz="4" w:space="0"/>
                    <w:right w:val="single" w:color="auto" w:sz="4" w:space="0"/>
                  </w:tcBorders>
                  <w:shd w:val="clear" w:color="auto" w:fill="auto"/>
                  <w:noWrap w:val="0"/>
                  <w:vAlign w:val="center"/>
                </w:tcPr>
                <w:p w14:paraId="66220D37">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DA004</w:t>
                  </w:r>
                </w:p>
              </w:tc>
              <w:tc>
                <w:tcPr>
                  <w:tcW w:w="985" w:type="dxa"/>
                  <w:tcBorders>
                    <w:top w:val="single" w:color="auto" w:sz="4" w:space="0"/>
                    <w:left w:val="single" w:color="auto" w:sz="4" w:space="0"/>
                    <w:right w:val="single" w:color="auto" w:sz="4" w:space="0"/>
                  </w:tcBorders>
                  <w:shd w:val="clear" w:color="auto" w:fill="auto"/>
                  <w:noWrap w:val="0"/>
                  <w:vAlign w:val="center"/>
                </w:tcPr>
                <w:p w14:paraId="455D962B">
                  <w:pPr>
                    <w:keepNext w:val="0"/>
                    <w:keepLines w:val="0"/>
                    <w:suppressLineNumbers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120</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D3474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20000</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3C98A6">
                  <w:pPr>
                    <w:keepNext w:val="0"/>
                    <w:keepLines w:val="0"/>
                    <w:suppressLineNumbers w:val="0"/>
                    <w:spacing w:before="0" w:beforeAutospacing="0" w:after="0" w:afterAutospacing="0"/>
                    <w:ind w:left="0" w:leftChars="0" w:right="0" w:rightChars="0"/>
                    <w:jc w:val="center"/>
                    <w:rPr>
                      <w:rFonts w:hint="eastAsia"/>
                      <w:color w:val="auto"/>
                      <w:szCs w:val="21"/>
                      <w:highlight w:val="none"/>
                      <w:lang w:val="en-US" w:eastAsia="zh-CN"/>
                    </w:rPr>
                  </w:pPr>
                  <w:r>
                    <w:rPr>
                      <w:rFonts w:hint="eastAsia"/>
                      <w:color w:val="auto"/>
                      <w:szCs w:val="21"/>
                      <w:highlight w:val="none"/>
                      <w:lang w:val="en-US" w:eastAsia="zh-CN"/>
                    </w:rPr>
                    <w:t>7200</w:t>
                  </w:r>
                </w:p>
              </w:tc>
              <w:tc>
                <w:tcPr>
                  <w:tcW w:w="129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0D6E82C">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17.28</w:t>
                  </w:r>
                </w:p>
              </w:tc>
            </w:tr>
            <w:tr w14:paraId="0D02E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1" w:type="pct"/>
                  <w:tcBorders>
                    <w:top w:val="single" w:color="auto" w:sz="4" w:space="0"/>
                    <w:left w:val="single" w:color="auto" w:sz="4" w:space="0"/>
                    <w:right w:val="single" w:color="auto" w:sz="4" w:space="0"/>
                  </w:tcBorders>
                  <w:shd w:val="clear" w:color="auto" w:fill="auto"/>
                  <w:noWrap w:val="0"/>
                  <w:vAlign w:val="center"/>
                </w:tcPr>
                <w:p w14:paraId="71692DF1">
                  <w:pPr>
                    <w:keepNext w:val="0"/>
                    <w:keepLines w:val="0"/>
                    <w:suppressLineNumbers w:val="0"/>
                    <w:spacing w:before="0" w:beforeAutospacing="0" w:after="0" w:afterAutospacing="0"/>
                    <w:ind w:left="0" w:leftChars="0" w:right="0" w:rightChars="0"/>
                    <w:jc w:val="center"/>
                    <w:rPr>
                      <w:rFonts w:hint="eastAsia"/>
                      <w:color w:val="auto"/>
                      <w:szCs w:val="21"/>
                      <w:highlight w:val="none"/>
                      <w:lang w:val="en-US" w:eastAsia="zh-CN"/>
                    </w:rPr>
                  </w:pPr>
                  <w:r>
                    <w:rPr>
                      <w:rFonts w:hint="eastAsia"/>
                      <w:color w:val="auto"/>
                      <w:szCs w:val="21"/>
                      <w:highlight w:val="none"/>
                      <w:lang w:val="en-US" w:eastAsia="zh-CN"/>
                    </w:rPr>
                    <w:t>颗粒物</w:t>
                  </w:r>
                </w:p>
              </w:tc>
              <w:tc>
                <w:tcPr>
                  <w:tcW w:w="729" w:type="pct"/>
                  <w:tcBorders>
                    <w:top w:val="single" w:color="auto" w:sz="4" w:space="0"/>
                    <w:left w:val="single" w:color="auto" w:sz="4" w:space="0"/>
                    <w:right w:val="single" w:color="auto" w:sz="4" w:space="0"/>
                  </w:tcBorders>
                  <w:shd w:val="clear" w:color="auto" w:fill="auto"/>
                  <w:noWrap w:val="0"/>
                  <w:vAlign w:val="center"/>
                </w:tcPr>
                <w:p w14:paraId="4008975A">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DA005</w:t>
                  </w:r>
                </w:p>
              </w:tc>
              <w:tc>
                <w:tcPr>
                  <w:tcW w:w="985" w:type="dxa"/>
                  <w:tcBorders>
                    <w:top w:val="single" w:color="auto" w:sz="4" w:space="0"/>
                    <w:left w:val="single" w:color="auto" w:sz="4" w:space="0"/>
                    <w:right w:val="single" w:color="auto" w:sz="4" w:space="0"/>
                  </w:tcBorders>
                  <w:shd w:val="clear" w:color="auto" w:fill="auto"/>
                  <w:noWrap w:val="0"/>
                  <w:vAlign w:val="center"/>
                </w:tcPr>
                <w:p w14:paraId="7B5D09EA">
                  <w:pPr>
                    <w:keepNext w:val="0"/>
                    <w:keepLines w:val="0"/>
                    <w:suppressLineNumbers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120</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131BC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20000</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8B19A6">
                  <w:pPr>
                    <w:keepNext w:val="0"/>
                    <w:keepLines w:val="0"/>
                    <w:suppressLineNumbers w:val="0"/>
                    <w:spacing w:before="0" w:beforeAutospacing="0" w:after="0" w:afterAutospacing="0"/>
                    <w:ind w:left="0" w:leftChars="0" w:right="0" w:rightChars="0"/>
                    <w:jc w:val="center"/>
                    <w:rPr>
                      <w:rFonts w:hint="eastAsia"/>
                      <w:color w:val="auto"/>
                      <w:szCs w:val="21"/>
                      <w:highlight w:val="none"/>
                      <w:lang w:val="en-US" w:eastAsia="zh-CN"/>
                    </w:rPr>
                  </w:pPr>
                  <w:r>
                    <w:rPr>
                      <w:rFonts w:hint="eastAsia"/>
                      <w:color w:val="auto"/>
                      <w:szCs w:val="21"/>
                      <w:highlight w:val="none"/>
                      <w:lang w:val="en-US" w:eastAsia="zh-CN"/>
                    </w:rPr>
                    <w:t>7200</w:t>
                  </w:r>
                </w:p>
              </w:tc>
              <w:tc>
                <w:tcPr>
                  <w:tcW w:w="129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777C81F">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17.28</w:t>
                  </w:r>
                </w:p>
              </w:tc>
            </w:tr>
            <w:tr w14:paraId="7B51C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1" w:type="pct"/>
                  <w:tcBorders>
                    <w:top w:val="single" w:color="auto" w:sz="4" w:space="0"/>
                    <w:left w:val="single" w:color="auto" w:sz="4" w:space="0"/>
                    <w:right w:val="single" w:color="auto" w:sz="4" w:space="0"/>
                  </w:tcBorders>
                  <w:shd w:val="clear" w:color="auto" w:fill="auto"/>
                  <w:noWrap w:val="0"/>
                  <w:vAlign w:val="center"/>
                </w:tcPr>
                <w:p w14:paraId="213C6B9A">
                  <w:pPr>
                    <w:keepNext w:val="0"/>
                    <w:keepLines w:val="0"/>
                    <w:suppressLineNumbers w:val="0"/>
                    <w:spacing w:before="0" w:beforeAutospacing="0" w:after="0" w:afterAutospacing="0"/>
                    <w:ind w:left="0" w:leftChars="0" w:right="0" w:rightChars="0"/>
                    <w:jc w:val="center"/>
                    <w:rPr>
                      <w:rFonts w:hint="default"/>
                      <w:color w:val="auto"/>
                      <w:szCs w:val="21"/>
                      <w:highlight w:val="none"/>
                      <w:lang w:val="en-US" w:eastAsia="zh-CN"/>
                    </w:rPr>
                  </w:pPr>
                  <w:r>
                    <w:rPr>
                      <w:rFonts w:hint="eastAsia"/>
                      <w:color w:val="auto"/>
                      <w:szCs w:val="21"/>
                      <w:highlight w:val="none"/>
                      <w:lang w:val="en-US" w:eastAsia="zh-CN"/>
                    </w:rPr>
                    <w:t>合计</w:t>
                  </w:r>
                </w:p>
              </w:tc>
              <w:tc>
                <w:tcPr>
                  <w:tcW w:w="729" w:type="pct"/>
                  <w:tcBorders>
                    <w:top w:val="single" w:color="auto" w:sz="4" w:space="0"/>
                    <w:left w:val="single" w:color="auto" w:sz="4" w:space="0"/>
                    <w:right w:val="single" w:color="auto" w:sz="4" w:space="0"/>
                  </w:tcBorders>
                  <w:shd w:val="clear" w:color="auto" w:fill="auto"/>
                  <w:noWrap w:val="0"/>
                  <w:vAlign w:val="center"/>
                </w:tcPr>
                <w:p w14:paraId="0B4E26CD">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c>
                <w:tcPr>
                  <w:tcW w:w="985" w:type="dxa"/>
                  <w:tcBorders>
                    <w:top w:val="single" w:color="auto" w:sz="4" w:space="0"/>
                    <w:left w:val="single" w:color="auto" w:sz="4" w:space="0"/>
                    <w:right w:val="single" w:color="auto" w:sz="4" w:space="0"/>
                  </w:tcBorders>
                  <w:shd w:val="clear" w:color="auto" w:fill="auto"/>
                  <w:noWrap w:val="0"/>
                  <w:vAlign w:val="center"/>
                </w:tcPr>
                <w:p w14:paraId="6E42D6E2">
                  <w:pPr>
                    <w:keepNext w:val="0"/>
                    <w:keepLines w:val="0"/>
                    <w:suppressLineNumbers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c>
                <w:tcPr>
                  <w:tcW w:w="127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983A12">
                  <w:pPr>
                    <w:keepNext w:val="0"/>
                    <w:keepLines w:val="0"/>
                    <w:suppressLineNumbers w:val="0"/>
                    <w:spacing w:before="0" w:beforeAutospacing="0" w:after="0" w:afterAutospacing="0"/>
                    <w:ind w:left="0" w:leftChars="0" w:right="0" w:rightChars="0"/>
                    <w:jc w:val="center"/>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c>
                <w:tcPr>
                  <w:tcW w:w="13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DC2139">
                  <w:pPr>
                    <w:keepNext w:val="0"/>
                    <w:keepLines w:val="0"/>
                    <w:suppressLineNumbers w:val="0"/>
                    <w:spacing w:before="0" w:beforeAutospacing="0" w:after="0" w:afterAutospacing="0"/>
                    <w:ind w:left="0" w:leftChars="0" w:right="0" w:rightChars="0"/>
                    <w:jc w:val="center"/>
                    <w:rPr>
                      <w:rFonts w:hint="eastAsia"/>
                      <w:color w:val="auto"/>
                      <w:szCs w:val="21"/>
                      <w:highlight w:val="none"/>
                      <w:lang w:val="en-US" w:eastAsia="zh-CN"/>
                    </w:rPr>
                  </w:pPr>
                  <w:r>
                    <w:rPr>
                      <w:rFonts w:hint="eastAsia" w:cs="Times New Roman"/>
                      <w:color w:val="auto"/>
                      <w:kern w:val="2"/>
                      <w:sz w:val="21"/>
                      <w:szCs w:val="21"/>
                      <w:highlight w:val="none"/>
                      <w:lang w:val="en-US" w:eastAsia="zh-CN" w:bidi="ar-SA"/>
                    </w:rPr>
                    <w:t>-</w:t>
                  </w:r>
                </w:p>
              </w:tc>
              <w:tc>
                <w:tcPr>
                  <w:tcW w:w="1291"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3415DADD">
                  <w:pPr>
                    <w:keepNext w:val="0"/>
                    <w:keepLines w:val="0"/>
                    <w:suppressLineNumbers w:val="0"/>
                    <w:spacing w:before="0" w:beforeAutospacing="0" w:after="0" w:afterAutospacing="0"/>
                    <w:ind w:left="0" w:leftChars="0" w:right="0" w:rightChars="0"/>
                    <w:jc w:val="center"/>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86.4</w:t>
                  </w:r>
                </w:p>
              </w:tc>
            </w:tr>
            <w:tr w14:paraId="00916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621" w:type="pct"/>
                  <w:tcBorders>
                    <w:top w:val="single" w:color="auto" w:sz="4" w:space="0"/>
                    <w:left w:val="single" w:color="auto" w:sz="4" w:space="0"/>
                    <w:bottom w:val="single" w:color="auto" w:sz="4" w:space="0"/>
                    <w:right w:val="single" w:color="auto" w:sz="4" w:space="0"/>
                  </w:tcBorders>
                  <w:noWrap w:val="0"/>
                  <w:vAlign w:val="center"/>
                </w:tcPr>
                <w:p w14:paraId="290996DB">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核算公式</w:t>
                  </w:r>
                </w:p>
              </w:tc>
              <w:tc>
                <w:tcPr>
                  <w:tcW w:w="4378" w:type="pct"/>
                  <w:gridSpan w:val="5"/>
                  <w:tcBorders>
                    <w:top w:val="single" w:color="auto" w:sz="4" w:space="0"/>
                    <w:left w:val="single" w:color="auto" w:sz="4" w:space="0"/>
                    <w:bottom w:val="single" w:color="auto" w:sz="4" w:space="0"/>
                    <w:right w:val="single" w:color="auto" w:sz="4" w:space="0"/>
                  </w:tcBorders>
                  <w:noWrap w:val="0"/>
                  <w:vAlign w:val="center"/>
                </w:tcPr>
                <w:p w14:paraId="49EE3034">
                  <w:pPr>
                    <w:keepNext w:val="0"/>
                    <w:keepLines w:val="0"/>
                    <w:suppressLineNumbers w:val="0"/>
                    <w:spacing w:before="0" w:beforeAutospacing="0" w:after="0" w:afterAutospacing="0"/>
                    <w:ind w:left="0" w:right="0"/>
                    <w:jc w:val="center"/>
                    <w:rPr>
                      <w:rFonts w:hint="eastAsia" w:eastAsia="宋体"/>
                      <w:color w:val="auto"/>
                      <w:szCs w:val="21"/>
                      <w:highlight w:val="none"/>
                      <w:vertAlign w:val="superscript"/>
                      <w:lang w:eastAsia="zh-CN"/>
                    </w:rPr>
                  </w:pPr>
                  <w:r>
                    <w:rPr>
                      <w:rFonts w:hint="default"/>
                      <w:color w:val="auto"/>
                      <w:szCs w:val="21"/>
                      <w:highlight w:val="none"/>
                    </w:rPr>
                    <w:t>污染物排放量（t/a）=污染物浓度（mg/</w:t>
                  </w:r>
                  <w:r>
                    <w:rPr>
                      <w:rFonts w:hint="eastAsia"/>
                      <w:color w:val="auto"/>
                      <w:szCs w:val="21"/>
                      <w:highlight w:val="none"/>
                      <w:lang w:val="en-US" w:eastAsia="zh-CN"/>
                    </w:rPr>
                    <w:t>L</w:t>
                  </w:r>
                  <w:r>
                    <w:rPr>
                      <w:rFonts w:hint="default"/>
                      <w:color w:val="auto"/>
                      <w:szCs w:val="21"/>
                      <w:highlight w:val="none"/>
                    </w:rPr>
                    <w:t>）×废</w:t>
                  </w:r>
                  <w:r>
                    <w:rPr>
                      <w:rFonts w:hint="eastAsia"/>
                      <w:color w:val="auto"/>
                      <w:szCs w:val="21"/>
                      <w:highlight w:val="none"/>
                      <w:lang w:val="en-US" w:eastAsia="zh-CN"/>
                    </w:rPr>
                    <w:t>水</w:t>
                  </w:r>
                  <w:r>
                    <w:rPr>
                      <w:rFonts w:hint="default"/>
                      <w:color w:val="auto"/>
                      <w:szCs w:val="21"/>
                      <w:highlight w:val="none"/>
                    </w:rPr>
                    <w:t>量（m</w:t>
                  </w:r>
                  <w:r>
                    <w:rPr>
                      <w:rFonts w:hint="default"/>
                      <w:color w:val="auto"/>
                      <w:szCs w:val="21"/>
                      <w:highlight w:val="none"/>
                      <w:vertAlign w:val="superscript"/>
                    </w:rPr>
                    <w:t>3</w:t>
                  </w:r>
                  <w:r>
                    <w:rPr>
                      <w:rFonts w:hint="default"/>
                      <w:color w:val="auto"/>
                      <w:szCs w:val="21"/>
                      <w:highlight w:val="none"/>
                    </w:rPr>
                    <w:t>/</w:t>
                  </w:r>
                  <w:r>
                    <w:rPr>
                      <w:rFonts w:hint="eastAsia"/>
                      <w:color w:val="auto"/>
                      <w:szCs w:val="21"/>
                      <w:highlight w:val="none"/>
                      <w:lang w:val="en-US" w:eastAsia="zh-CN"/>
                    </w:rPr>
                    <w:t>d</w:t>
                  </w:r>
                  <w:r>
                    <w:rPr>
                      <w:rFonts w:hint="default"/>
                      <w:color w:val="auto"/>
                      <w:szCs w:val="21"/>
                      <w:highlight w:val="none"/>
                    </w:rPr>
                    <w:t>）×运行时间（</w:t>
                  </w:r>
                  <w:r>
                    <w:rPr>
                      <w:rFonts w:hint="eastAsia"/>
                      <w:color w:val="auto"/>
                      <w:szCs w:val="21"/>
                      <w:highlight w:val="none"/>
                      <w:lang w:val="en-US" w:eastAsia="zh-CN"/>
                    </w:rPr>
                    <w:t>d</w:t>
                  </w:r>
                  <w:r>
                    <w:rPr>
                      <w:rFonts w:hint="default"/>
                      <w:color w:val="auto"/>
                      <w:szCs w:val="21"/>
                      <w:highlight w:val="none"/>
                    </w:rPr>
                    <w:t>/a）/10</w:t>
                  </w:r>
                  <w:r>
                    <w:rPr>
                      <w:rFonts w:hint="eastAsia"/>
                      <w:color w:val="auto"/>
                      <w:szCs w:val="21"/>
                      <w:highlight w:val="none"/>
                      <w:vertAlign w:val="superscript"/>
                      <w:lang w:val="en-US" w:eastAsia="zh-CN"/>
                    </w:rPr>
                    <w:t>6</w:t>
                  </w:r>
                </w:p>
                <w:p w14:paraId="6F59237A">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污染物排放量（t/a）=污染物浓度（mg/m</w:t>
                  </w:r>
                  <w:r>
                    <w:rPr>
                      <w:rFonts w:hint="default"/>
                      <w:color w:val="auto"/>
                      <w:szCs w:val="21"/>
                      <w:highlight w:val="none"/>
                      <w:vertAlign w:val="superscript"/>
                    </w:rPr>
                    <w:t>3</w:t>
                  </w:r>
                  <w:r>
                    <w:rPr>
                      <w:rFonts w:hint="default"/>
                      <w:color w:val="auto"/>
                      <w:szCs w:val="21"/>
                      <w:highlight w:val="none"/>
                    </w:rPr>
                    <w:t>）×废气量（m</w:t>
                  </w:r>
                  <w:r>
                    <w:rPr>
                      <w:rFonts w:hint="default"/>
                      <w:color w:val="auto"/>
                      <w:szCs w:val="21"/>
                      <w:highlight w:val="none"/>
                      <w:vertAlign w:val="superscript"/>
                    </w:rPr>
                    <w:t>3</w:t>
                  </w:r>
                  <w:r>
                    <w:rPr>
                      <w:rFonts w:hint="default"/>
                      <w:color w:val="auto"/>
                      <w:szCs w:val="21"/>
                      <w:highlight w:val="none"/>
                    </w:rPr>
                    <w:t>/h）×运行时间（h/a）/10</w:t>
                  </w:r>
                  <w:r>
                    <w:rPr>
                      <w:rFonts w:hint="default"/>
                      <w:color w:val="auto"/>
                      <w:szCs w:val="21"/>
                      <w:highlight w:val="none"/>
                      <w:vertAlign w:val="superscript"/>
                    </w:rPr>
                    <w:t>9</w:t>
                  </w:r>
                </w:p>
              </w:tc>
            </w:tr>
            <w:tr w14:paraId="19614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0" w:hRule="atLeast"/>
                <w:jc w:val="center"/>
              </w:trPr>
              <w:tc>
                <w:tcPr>
                  <w:tcW w:w="621" w:type="pct"/>
                  <w:tcBorders>
                    <w:top w:val="single" w:color="auto" w:sz="4" w:space="0"/>
                    <w:left w:val="single" w:color="auto" w:sz="4" w:space="0"/>
                    <w:bottom w:val="single" w:color="auto" w:sz="4" w:space="0"/>
                    <w:right w:val="single" w:color="auto" w:sz="4" w:space="0"/>
                  </w:tcBorders>
                  <w:noWrap w:val="0"/>
                  <w:vAlign w:val="center"/>
                </w:tcPr>
                <w:p w14:paraId="6CFCEAAA">
                  <w:pPr>
                    <w:keepNext w:val="0"/>
                    <w:keepLines w:val="0"/>
                    <w:suppressLineNumbers w:val="0"/>
                    <w:spacing w:before="0" w:beforeAutospacing="0" w:after="0" w:afterAutospacing="0"/>
                    <w:ind w:left="0" w:right="0"/>
                    <w:jc w:val="center"/>
                    <w:rPr>
                      <w:rFonts w:hint="default"/>
                      <w:color w:val="auto"/>
                      <w:szCs w:val="21"/>
                      <w:highlight w:val="none"/>
                    </w:rPr>
                  </w:pPr>
                  <w:r>
                    <w:rPr>
                      <w:rFonts w:hint="default"/>
                      <w:color w:val="auto"/>
                      <w:szCs w:val="21"/>
                      <w:highlight w:val="none"/>
                    </w:rPr>
                    <w:t>核算结果</w:t>
                  </w:r>
                </w:p>
              </w:tc>
              <w:tc>
                <w:tcPr>
                  <w:tcW w:w="4378" w:type="pct"/>
                  <w:gridSpan w:val="5"/>
                  <w:tcBorders>
                    <w:top w:val="single" w:color="auto" w:sz="4" w:space="0"/>
                    <w:left w:val="single" w:color="auto" w:sz="4" w:space="0"/>
                    <w:bottom w:val="single" w:color="auto" w:sz="4" w:space="0"/>
                    <w:right w:val="single" w:color="auto" w:sz="4" w:space="0"/>
                  </w:tcBorders>
                  <w:noWrap w:val="0"/>
                  <w:vAlign w:val="center"/>
                </w:tcPr>
                <w:p w14:paraId="6A163A8A">
                  <w:pPr>
                    <w:keepNext w:val="0"/>
                    <w:keepLines w:val="0"/>
                    <w:suppressLineNumbers w:val="0"/>
                    <w:spacing w:before="0" w:beforeAutospacing="0" w:after="0" w:afterAutospacing="0"/>
                    <w:ind w:left="0" w:right="0"/>
                    <w:jc w:val="center"/>
                    <w:rPr>
                      <w:rFonts w:hint="eastAsia"/>
                      <w:color w:val="auto"/>
                      <w:szCs w:val="21"/>
                      <w:highlight w:val="none"/>
                    </w:rPr>
                  </w:pPr>
                  <w:r>
                    <w:rPr>
                      <w:rFonts w:hint="default"/>
                      <w:color w:val="auto"/>
                      <w:szCs w:val="21"/>
                      <w:highlight w:val="none"/>
                    </w:rPr>
                    <w:t>由公式核算可知，污染物总量指标为</w:t>
                  </w:r>
                  <w:r>
                    <w:rPr>
                      <w:rFonts w:hint="eastAsia"/>
                      <w:color w:val="auto"/>
                      <w:szCs w:val="21"/>
                      <w:highlight w:val="none"/>
                      <w:lang w:eastAsia="zh-CN"/>
                    </w:rPr>
                    <w:t>：</w:t>
                  </w:r>
                  <w:r>
                    <w:rPr>
                      <w:rFonts w:hint="default"/>
                      <w:color w:val="auto"/>
                      <w:szCs w:val="21"/>
                      <w:highlight w:val="none"/>
                    </w:rPr>
                    <w:t>COD</w:t>
                  </w:r>
                  <w:r>
                    <w:rPr>
                      <w:rFonts w:hint="eastAsia"/>
                      <w:color w:val="auto"/>
                      <w:szCs w:val="21"/>
                      <w:highlight w:val="none"/>
                      <w:lang w:eastAsia="zh-CN"/>
                    </w:rPr>
                    <w:t>：</w:t>
                  </w:r>
                  <w:r>
                    <w:rPr>
                      <w:rFonts w:hint="eastAsia"/>
                      <w:color w:val="auto"/>
                      <w:szCs w:val="21"/>
                      <w:highlight w:val="none"/>
                      <w:lang w:val="en-US" w:eastAsia="zh-CN"/>
                    </w:rPr>
                    <w:t>0</w:t>
                  </w:r>
                  <w:r>
                    <w:rPr>
                      <w:rFonts w:hint="default"/>
                      <w:color w:val="auto"/>
                      <w:szCs w:val="21"/>
                      <w:highlight w:val="none"/>
                    </w:rPr>
                    <w:t>t/a、氨氮</w:t>
                  </w:r>
                  <w:r>
                    <w:rPr>
                      <w:rFonts w:hint="eastAsia"/>
                      <w:color w:val="auto"/>
                      <w:szCs w:val="21"/>
                      <w:highlight w:val="none"/>
                      <w:lang w:eastAsia="zh-CN"/>
                    </w:rPr>
                    <w:t>：</w:t>
                  </w:r>
                  <w:r>
                    <w:rPr>
                      <w:rFonts w:hint="eastAsia"/>
                      <w:color w:val="auto"/>
                      <w:szCs w:val="21"/>
                      <w:highlight w:val="none"/>
                      <w:lang w:val="en-US" w:eastAsia="zh-CN"/>
                    </w:rPr>
                    <w:t>0</w:t>
                  </w:r>
                  <w:r>
                    <w:rPr>
                      <w:rFonts w:hint="default"/>
                      <w:color w:val="auto"/>
                      <w:szCs w:val="21"/>
                      <w:highlight w:val="none"/>
                    </w:rPr>
                    <w:t>t/a</w:t>
                  </w:r>
                  <w:r>
                    <w:rPr>
                      <w:rFonts w:hint="eastAsia"/>
                      <w:color w:val="auto"/>
                      <w:szCs w:val="21"/>
                      <w:highlight w:val="none"/>
                    </w:rPr>
                    <w:t>、</w:t>
                  </w:r>
                  <w:r>
                    <w:rPr>
                      <w:rFonts w:hint="default"/>
                      <w:color w:val="auto"/>
                      <w:szCs w:val="21"/>
                      <w:highlight w:val="none"/>
                    </w:rPr>
                    <w:t>SO</w:t>
                  </w:r>
                  <w:r>
                    <w:rPr>
                      <w:rFonts w:hint="default"/>
                      <w:color w:val="auto"/>
                      <w:szCs w:val="21"/>
                      <w:highlight w:val="none"/>
                      <w:vertAlign w:val="subscript"/>
                    </w:rPr>
                    <w:t>2</w:t>
                  </w:r>
                  <w:r>
                    <w:rPr>
                      <w:rFonts w:hint="eastAsia"/>
                      <w:color w:val="auto"/>
                      <w:szCs w:val="21"/>
                      <w:highlight w:val="none"/>
                      <w:lang w:eastAsia="zh-CN"/>
                    </w:rPr>
                    <w:t>：</w:t>
                  </w:r>
                  <w:r>
                    <w:rPr>
                      <w:rFonts w:hint="default"/>
                      <w:color w:val="auto"/>
                      <w:szCs w:val="21"/>
                      <w:highlight w:val="none"/>
                    </w:rPr>
                    <w:t>0t/a、NOx</w:t>
                  </w:r>
                  <w:r>
                    <w:rPr>
                      <w:rFonts w:hint="eastAsia"/>
                      <w:color w:val="auto"/>
                      <w:szCs w:val="21"/>
                      <w:highlight w:val="none"/>
                      <w:lang w:eastAsia="zh-CN"/>
                    </w:rPr>
                    <w:t>：</w:t>
                  </w:r>
                  <w:r>
                    <w:rPr>
                      <w:rFonts w:hint="default"/>
                      <w:color w:val="auto"/>
                      <w:szCs w:val="21"/>
                      <w:highlight w:val="none"/>
                    </w:rPr>
                    <w:t>0t/a</w:t>
                  </w:r>
                  <w:r>
                    <w:rPr>
                      <w:rFonts w:hint="eastAsia"/>
                      <w:color w:val="auto"/>
                      <w:szCs w:val="21"/>
                      <w:highlight w:val="none"/>
                      <w:lang w:eastAsia="zh-CN"/>
                    </w:rPr>
                    <w:t>、</w:t>
                  </w:r>
                  <w:r>
                    <w:rPr>
                      <w:rFonts w:hint="eastAsia"/>
                      <w:color w:val="auto"/>
                      <w:szCs w:val="21"/>
                      <w:highlight w:val="none"/>
                      <w:lang w:val="en-US" w:eastAsia="zh-CN"/>
                    </w:rPr>
                    <w:t>挥发性有机物：0t/a</w:t>
                  </w:r>
                  <w:r>
                    <w:rPr>
                      <w:rFonts w:hint="eastAsia"/>
                      <w:color w:val="auto"/>
                      <w:szCs w:val="21"/>
                      <w:highlight w:val="none"/>
                    </w:rPr>
                    <w:t>、颗粒物</w:t>
                  </w:r>
                  <w:r>
                    <w:rPr>
                      <w:rFonts w:hint="eastAsia"/>
                      <w:color w:val="auto"/>
                      <w:szCs w:val="21"/>
                      <w:highlight w:val="none"/>
                      <w:lang w:eastAsia="zh-CN"/>
                    </w:rPr>
                    <w:t>：</w:t>
                  </w:r>
                  <w:r>
                    <w:rPr>
                      <w:rFonts w:hint="eastAsia"/>
                      <w:color w:val="auto"/>
                      <w:szCs w:val="21"/>
                      <w:highlight w:val="none"/>
                      <w:lang w:val="en-US" w:eastAsia="zh-CN"/>
                    </w:rPr>
                    <w:t>86.4</w:t>
                  </w:r>
                  <w:r>
                    <w:rPr>
                      <w:rFonts w:hint="default"/>
                      <w:color w:val="auto"/>
                      <w:szCs w:val="21"/>
                      <w:highlight w:val="none"/>
                    </w:rPr>
                    <w:t>t/a</w:t>
                  </w:r>
                  <w:r>
                    <w:rPr>
                      <w:rFonts w:hint="eastAsia"/>
                      <w:color w:val="auto"/>
                      <w:szCs w:val="21"/>
                      <w:highlight w:val="none"/>
                    </w:rPr>
                    <w:t>。</w:t>
                  </w:r>
                </w:p>
              </w:tc>
            </w:tr>
          </w:tbl>
          <w:p w14:paraId="68E3C98D">
            <w:pPr>
              <w:keepNext w:val="0"/>
              <w:keepLines w:val="0"/>
              <w:suppressLineNumbers w:val="0"/>
              <w:spacing w:before="0" w:beforeAutospacing="0" w:after="0" w:afterAutospacing="0" w:line="500" w:lineRule="exact"/>
              <w:ind w:left="0" w:right="0" w:firstLine="480" w:firstLineChars="200"/>
              <w:rPr>
                <w:rFonts w:hint="eastAsia"/>
                <w:color w:val="auto"/>
                <w:sz w:val="24"/>
                <w:szCs w:val="20"/>
                <w:highlight w:val="none"/>
                <w:lang w:eastAsia="zh-CN"/>
              </w:rPr>
            </w:pPr>
            <w:r>
              <w:rPr>
                <w:rFonts w:hint="default"/>
                <w:bCs/>
                <w:color w:val="auto"/>
                <w:kern w:val="0"/>
                <w:sz w:val="24"/>
                <w:szCs w:val="20"/>
                <w:highlight w:val="none"/>
              </w:rPr>
              <w:t>根据分析结果，项目实施后上述各污染因子的总量控制值为</w:t>
            </w:r>
            <w:r>
              <w:rPr>
                <w:rFonts w:hint="eastAsia"/>
                <w:bCs/>
                <w:color w:val="auto"/>
                <w:kern w:val="0"/>
                <w:sz w:val="24"/>
                <w:szCs w:val="20"/>
                <w:highlight w:val="none"/>
                <w:lang w:eastAsia="zh-CN"/>
              </w:rPr>
              <w:t>：</w:t>
            </w:r>
            <w:r>
              <w:rPr>
                <w:rFonts w:hint="default"/>
                <w:bCs/>
                <w:color w:val="auto"/>
                <w:kern w:val="0"/>
                <w:sz w:val="24"/>
                <w:szCs w:val="20"/>
                <w:highlight w:val="none"/>
              </w:rPr>
              <w:t>COD</w:t>
            </w:r>
            <w:r>
              <w:rPr>
                <w:rFonts w:hint="eastAsia"/>
                <w:bCs/>
                <w:color w:val="auto"/>
                <w:kern w:val="0"/>
                <w:sz w:val="24"/>
                <w:szCs w:val="20"/>
                <w:highlight w:val="none"/>
                <w:lang w:eastAsia="zh-CN"/>
              </w:rPr>
              <w:t>：</w:t>
            </w:r>
            <w:r>
              <w:rPr>
                <w:rFonts w:hint="eastAsia"/>
                <w:bCs/>
                <w:color w:val="auto"/>
                <w:kern w:val="0"/>
                <w:sz w:val="24"/>
                <w:szCs w:val="20"/>
                <w:highlight w:val="none"/>
                <w:lang w:val="en-US" w:eastAsia="zh-CN"/>
              </w:rPr>
              <w:t>0</w:t>
            </w:r>
            <w:r>
              <w:rPr>
                <w:rFonts w:hint="default"/>
                <w:bCs/>
                <w:color w:val="auto"/>
                <w:kern w:val="0"/>
                <w:sz w:val="24"/>
                <w:szCs w:val="20"/>
                <w:highlight w:val="none"/>
              </w:rPr>
              <w:t>t/a、氨氮</w:t>
            </w:r>
            <w:r>
              <w:rPr>
                <w:rFonts w:hint="eastAsia"/>
                <w:bCs/>
                <w:color w:val="auto"/>
                <w:kern w:val="0"/>
                <w:sz w:val="24"/>
                <w:szCs w:val="20"/>
                <w:highlight w:val="none"/>
                <w:lang w:eastAsia="zh-CN"/>
              </w:rPr>
              <w:t>：</w:t>
            </w:r>
            <w:r>
              <w:rPr>
                <w:rFonts w:hint="default"/>
                <w:bCs/>
                <w:color w:val="auto"/>
                <w:kern w:val="0"/>
                <w:sz w:val="24"/>
                <w:szCs w:val="20"/>
                <w:highlight w:val="none"/>
              </w:rPr>
              <w:t>0t/a</w:t>
            </w:r>
            <w:r>
              <w:rPr>
                <w:rFonts w:hint="eastAsia"/>
                <w:color w:val="auto"/>
                <w:sz w:val="24"/>
                <w:szCs w:val="20"/>
                <w:highlight w:val="none"/>
              </w:rPr>
              <w:t>、</w:t>
            </w:r>
            <w:r>
              <w:rPr>
                <w:rFonts w:hint="default"/>
                <w:bCs/>
                <w:color w:val="auto"/>
                <w:kern w:val="0"/>
                <w:sz w:val="24"/>
                <w:szCs w:val="20"/>
                <w:highlight w:val="none"/>
              </w:rPr>
              <w:t>SO</w:t>
            </w:r>
            <w:r>
              <w:rPr>
                <w:rFonts w:hint="default"/>
                <w:bCs/>
                <w:color w:val="auto"/>
                <w:kern w:val="0"/>
                <w:sz w:val="24"/>
                <w:szCs w:val="20"/>
                <w:highlight w:val="none"/>
                <w:vertAlign w:val="subscript"/>
              </w:rPr>
              <w:t>2</w:t>
            </w:r>
            <w:r>
              <w:rPr>
                <w:rFonts w:hint="eastAsia"/>
                <w:bCs/>
                <w:color w:val="auto"/>
                <w:kern w:val="0"/>
                <w:sz w:val="24"/>
                <w:szCs w:val="20"/>
                <w:highlight w:val="none"/>
                <w:lang w:eastAsia="zh-CN"/>
              </w:rPr>
              <w:t>：</w:t>
            </w:r>
            <w:r>
              <w:rPr>
                <w:rFonts w:hint="default"/>
                <w:bCs/>
                <w:color w:val="auto"/>
                <w:kern w:val="0"/>
                <w:sz w:val="24"/>
                <w:szCs w:val="20"/>
                <w:highlight w:val="none"/>
              </w:rPr>
              <w:t>0t/a、NOx</w:t>
            </w:r>
            <w:r>
              <w:rPr>
                <w:rFonts w:hint="eastAsia"/>
                <w:bCs/>
                <w:color w:val="auto"/>
                <w:kern w:val="0"/>
                <w:sz w:val="24"/>
                <w:szCs w:val="20"/>
                <w:highlight w:val="none"/>
                <w:lang w:eastAsia="zh-CN"/>
              </w:rPr>
              <w:t>：</w:t>
            </w:r>
            <w:r>
              <w:rPr>
                <w:rFonts w:hint="default"/>
                <w:bCs/>
                <w:color w:val="auto"/>
                <w:kern w:val="0"/>
                <w:sz w:val="24"/>
                <w:szCs w:val="20"/>
                <w:highlight w:val="none"/>
              </w:rPr>
              <w:t>0t/a</w:t>
            </w:r>
            <w:r>
              <w:rPr>
                <w:rFonts w:hint="eastAsia"/>
                <w:bCs/>
                <w:color w:val="auto"/>
                <w:kern w:val="0"/>
                <w:sz w:val="24"/>
                <w:szCs w:val="20"/>
                <w:highlight w:val="none"/>
              </w:rPr>
              <w:t>、挥发性有机物</w:t>
            </w:r>
            <w:r>
              <w:rPr>
                <w:rFonts w:hint="eastAsia"/>
                <w:bCs/>
                <w:color w:val="auto"/>
                <w:kern w:val="0"/>
                <w:sz w:val="24"/>
                <w:szCs w:val="20"/>
                <w:highlight w:val="none"/>
                <w:lang w:eastAsia="zh-CN"/>
              </w:rPr>
              <w:t>：</w:t>
            </w:r>
            <w:r>
              <w:rPr>
                <w:rFonts w:hint="eastAsia"/>
                <w:bCs/>
                <w:color w:val="auto"/>
                <w:kern w:val="0"/>
                <w:sz w:val="24"/>
                <w:szCs w:val="20"/>
                <w:highlight w:val="none"/>
                <w:lang w:val="en-US" w:eastAsia="zh-CN"/>
              </w:rPr>
              <w:t>0</w:t>
            </w:r>
            <w:r>
              <w:rPr>
                <w:rFonts w:hint="eastAsia"/>
                <w:bCs/>
                <w:color w:val="auto"/>
                <w:kern w:val="0"/>
                <w:sz w:val="24"/>
                <w:szCs w:val="20"/>
                <w:highlight w:val="none"/>
              </w:rPr>
              <w:t>t/a</w:t>
            </w:r>
            <w:r>
              <w:rPr>
                <w:rFonts w:hint="eastAsia"/>
                <w:color w:val="auto"/>
                <w:sz w:val="24"/>
                <w:szCs w:val="20"/>
                <w:highlight w:val="none"/>
              </w:rPr>
              <w:t>、颗粒物</w:t>
            </w:r>
            <w:r>
              <w:rPr>
                <w:rFonts w:hint="eastAsia"/>
                <w:color w:val="auto"/>
                <w:sz w:val="24"/>
                <w:szCs w:val="20"/>
                <w:highlight w:val="none"/>
                <w:lang w:eastAsia="zh-CN"/>
              </w:rPr>
              <w:t>：</w:t>
            </w:r>
            <w:r>
              <w:rPr>
                <w:rFonts w:hint="eastAsia"/>
                <w:color w:val="auto"/>
                <w:sz w:val="24"/>
                <w:szCs w:val="20"/>
                <w:highlight w:val="none"/>
                <w:lang w:val="en-US" w:eastAsia="zh-CN"/>
              </w:rPr>
              <w:t>86.4</w:t>
            </w:r>
            <w:r>
              <w:rPr>
                <w:rFonts w:hint="default"/>
                <w:color w:val="auto"/>
                <w:sz w:val="24"/>
                <w:szCs w:val="20"/>
                <w:highlight w:val="none"/>
              </w:rPr>
              <w:t>t/a</w:t>
            </w:r>
            <w:r>
              <w:rPr>
                <w:rFonts w:hint="eastAsia"/>
                <w:color w:val="auto"/>
                <w:sz w:val="24"/>
                <w:szCs w:val="20"/>
                <w:highlight w:val="none"/>
                <w:lang w:eastAsia="zh-CN"/>
              </w:rPr>
              <w:t>。</w:t>
            </w:r>
          </w:p>
          <w:p w14:paraId="0EA00851">
            <w:pPr>
              <w:pStyle w:val="172"/>
              <w:keepNext w:val="0"/>
              <w:keepLines w:val="0"/>
              <w:suppressLineNumbers w:val="0"/>
              <w:spacing w:before="0" w:beforeAutospacing="0" w:after="0" w:afterAutospacing="0"/>
              <w:ind w:left="0" w:right="0" w:firstLine="480"/>
              <w:rPr>
                <w:rFonts w:hint="eastAsia" w:cs="Times New Roman"/>
                <w:smallCaps w:val="0"/>
                <w:color w:val="auto"/>
                <w:spacing w:val="0"/>
                <w:szCs w:val="20"/>
                <w:highlight w:val="none"/>
                <w:lang w:val="en-US" w:eastAsia="zh-CN"/>
              </w:rPr>
            </w:pPr>
            <w:r>
              <w:rPr>
                <w:rFonts w:hint="eastAsia"/>
                <w:color w:val="auto"/>
                <w:szCs w:val="20"/>
                <w:highlight w:val="none"/>
                <w:lang w:val="en-US" w:eastAsia="zh-CN"/>
              </w:rPr>
              <w:t>本项目建成后全厂总量控制指标：</w:t>
            </w:r>
            <w:r>
              <w:rPr>
                <w:rFonts w:hint="eastAsia"/>
                <w:color w:val="auto"/>
                <w:sz w:val="24"/>
                <w:highlight w:val="none"/>
              </w:rPr>
              <w:t>SO</w:t>
            </w:r>
            <w:r>
              <w:rPr>
                <w:rFonts w:hint="eastAsia"/>
                <w:color w:val="auto"/>
                <w:sz w:val="24"/>
                <w:highlight w:val="none"/>
                <w:vertAlign w:val="subscript"/>
              </w:rPr>
              <w:t>2</w:t>
            </w:r>
            <w:r>
              <w:rPr>
                <w:rFonts w:hint="eastAsia"/>
                <w:color w:val="auto"/>
                <w:sz w:val="24"/>
                <w:highlight w:val="none"/>
                <w:lang w:eastAsia="zh-CN"/>
              </w:rPr>
              <w:t>：</w:t>
            </w:r>
            <w:r>
              <w:rPr>
                <w:rFonts w:hint="eastAsia"/>
                <w:color w:val="auto"/>
                <w:sz w:val="24"/>
                <w:highlight w:val="none"/>
              </w:rPr>
              <w:t>0t/a、NO</w:t>
            </w:r>
            <w:r>
              <w:rPr>
                <w:rFonts w:hint="eastAsia"/>
                <w:color w:val="auto"/>
                <w:sz w:val="24"/>
                <w:highlight w:val="none"/>
                <w:vertAlign w:val="subscript"/>
              </w:rPr>
              <w:t>X</w:t>
            </w:r>
            <w:r>
              <w:rPr>
                <w:rFonts w:hint="eastAsia"/>
                <w:color w:val="auto"/>
                <w:sz w:val="24"/>
                <w:highlight w:val="none"/>
                <w:lang w:eastAsia="zh-CN"/>
              </w:rPr>
              <w:t>：</w:t>
            </w:r>
            <w:r>
              <w:rPr>
                <w:rFonts w:hint="eastAsia"/>
                <w:color w:val="auto"/>
                <w:sz w:val="24"/>
                <w:highlight w:val="none"/>
              </w:rPr>
              <w:t>0t/a、COD</w:t>
            </w:r>
            <w:r>
              <w:rPr>
                <w:rFonts w:hint="eastAsia"/>
                <w:color w:val="auto"/>
                <w:sz w:val="24"/>
                <w:highlight w:val="none"/>
                <w:lang w:eastAsia="zh-CN"/>
              </w:rPr>
              <w:t>：</w:t>
            </w:r>
            <w:r>
              <w:rPr>
                <w:rFonts w:hint="eastAsia"/>
                <w:color w:val="auto"/>
                <w:sz w:val="24"/>
                <w:highlight w:val="none"/>
              </w:rPr>
              <w:t>0t/a、NH</w:t>
            </w:r>
            <w:r>
              <w:rPr>
                <w:rFonts w:hint="eastAsia"/>
                <w:color w:val="auto"/>
                <w:sz w:val="24"/>
                <w:highlight w:val="none"/>
                <w:vertAlign w:val="subscript"/>
              </w:rPr>
              <w:t>3</w:t>
            </w:r>
            <w:r>
              <w:rPr>
                <w:rFonts w:hint="eastAsia"/>
                <w:color w:val="auto"/>
                <w:sz w:val="24"/>
                <w:highlight w:val="none"/>
              </w:rPr>
              <w:t>-N</w:t>
            </w:r>
            <w:r>
              <w:rPr>
                <w:rFonts w:hint="eastAsia"/>
                <w:color w:val="auto"/>
                <w:sz w:val="24"/>
                <w:highlight w:val="none"/>
                <w:lang w:eastAsia="zh-CN"/>
              </w:rPr>
              <w:t>：</w:t>
            </w:r>
            <w:r>
              <w:rPr>
                <w:rFonts w:hint="eastAsia"/>
                <w:color w:val="auto"/>
                <w:sz w:val="24"/>
                <w:highlight w:val="none"/>
              </w:rPr>
              <w:t>0t/a</w:t>
            </w:r>
            <w:r>
              <w:rPr>
                <w:rFonts w:hint="eastAsia"/>
                <w:color w:val="auto"/>
                <w:sz w:val="24"/>
                <w:highlight w:val="none"/>
                <w:lang w:eastAsia="zh-CN"/>
              </w:rPr>
              <w:t>、</w:t>
            </w:r>
            <w:r>
              <w:rPr>
                <w:rFonts w:hint="eastAsia"/>
                <w:bCs/>
                <w:color w:val="auto"/>
                <w:kern w:val="0"/>
                <w:sz w:val="24"/>
                <w:szCs w:val="20"/>
                <w:highlight w:val="none"/>
              </w:rPr>
              <w:t>挥发性有机物</w:t>
            </w:r>
            <w:r>
              <w:rPr>
                <w:rFonts w:hint="eastAsia"/>
                <w:bCs/>
                <w:color w:val="auto"/>
                <w:kern w:val="0"/>
                <w:sz w:val="24"/>
                <w:szCs w:val="20"/>
                <w:highlight w:val="none"/>
                <w:lang w:eastAsia="zh-CN"/>
              </w:rPr>
              <w:t>：</w:t>
            </w:r>
            <w:r>
              <w:rPr>
                <w:rFonts w:hint="eastAsia"/>
                <w:bCs/>
                <w:color w:val="auto"/>
                <w:kern w:val="0"/>
                <w:sz w:val="24"/>
                <w:szCs w:val="20"/>
                <w:highlight w:val="none"/>
                <w:lang w:val="en-US" w:eastAsia="zh-CN"/>
              </w:rPr>
              <w:t>0</w:t>
            </w:r>
            <w:r>
              <w:rPr>
                <w:rFonts w:hint="eastAsia"/>
                <w:bCs/>
                <w:color w:val="auto"/>
                <w:kern w:val="0"/>
                <w:sz w:val="24"/>
                <w:szCs w:val="20"/>
                <w:highlight w:val="none"/>
              </w:rPr>
              <w:t>t/a</w:t>
            </w:r>
            <w:r>
              <w:rPr>
                <w:rFonts w:hint="eastAsia"/>
                <w:color w:val="auto"/>
                <w:sz w:val="24"/>
                <w:szCs w:val="20"/>
                <w:highlight w:val="none"/>
              </w:rPr>
              <w:t>、颗粒物</w:t>
            </w:r>
            <w:r>
              <w:rPr>
                <w:rFonts w:hint="eastAsia"/>
                <w:color w:val="auto"/>
                <w:sz w:val="24"/>
                <w:szCs w:val="20"/>
                <w:highlight w:val="none"/>
                <w:lang w:eastAsia="zh-CN"/>
              </w:rPr>
              <w:t>：</w:t>
            </w:r>
            <w:r>
              <w:rPr>
                <w:rFonts w:hint="eastAsia"/>
                <w:color w:val="auto"/>
                <w:sz w:val="24"/>
                <w:szCs w:val="20"/>
                <w:highlight w:val="none"/>
                <w:lang w:val="en-US" w:eastAsia="zh-CN"/>
              </w:rPr>
              <w:t>86.4</w:t>
            </w:r>
            <w:r>
              <w:rPr>
                <w:rFonts w:hint="default"/>
                <w:color w:val="auto"/>
                <w:sz w:val="24"/>
                <w:szCs w:val="20"/>
                <w:highlight w:val="none"/>
              </w:rPr>
              <w:t>t/a</w:t>
            </w:r>
            <w:r>
              <w:rPr>
                <w:rFonts w:hint="eastAsia"/>
                <w:color w:val="auto"/>
                <w:highlight w:val="none"/>
                <w:lang w:eastAsia="zh-CN"/>
              </w:rPr>
              <w:t>。</w:t>
            </w:r>
          </w:p>
          <w:p w14:paraId="061EAF71">
            <w:pPr>
              <w:keepNext w:val="0"/>
              <w:keepLines w:val="0"/>
              <w:suppressLineNumbers w:val="0"/>
              <w:spacing w:before="0" w:beforeAutospacing="0" w:after="0" w:afterAutospacing="0" w:line="500" w:lineRule="exact"/>
              <w:ind w:left="0" w:right="0"/>
              <w:rPr>
                <w:rFonts w:hint="eastAsia" w:ascii="Times New Roman" w:hAnsi="Times New Roman" w:eastAsia="宋体" w:cs="Times New Roman"/>
                <w:smallCaps w:val="0"/>
                <w:color w:val="auto"/>
                <w:spacing w:val="0"/>
                <w:szCs w:val="20"/>
                <w:highlight w:val="none"/>
                <w:lang w:val="en-US" w:eastAsia="zh-CN"/>
              </w:rPr>
            </w:pPr>
          </w:p>
        </w:tc>
      </w:tr>
    </w:tbl>
    <w:p w14:paraId="0CD6EF1A">
      <w:pPr>
        <w:pStyle w:val="41"/>
        <w:pageBreakBefore/>
        <w:jc w:val="center"/>
        <w:outlineLvl w:val="0"/>
        <w:rPr>
          <w:rFonts w:hint="default" w:ascii="Times New Roman" w:hAnsi="Times New Roman" w:eastAsia="黑体" w:cs="Times New Roman"/>
          <w:smallCaps w:val="0"/>
          <w:snapToGrid w:val="0"/>
          <w:color w:val="auto"/>
          <w:spacing w:val="0"/>
          <w:sz w:val="30"/>
          <w:szCs w:val="30"/>
          <w:highlight w:val="none"/>
        </w:rPr>
      </w:pPr>
      <w:bookmarkStart w:id="9" w:name="_Toc10441"/>
      <w:r>
        <w:rPr>
          <w:rFonts w:hint="default" w:ascii="Times New Roman" w:hAnsi="Times New Roman" w:eastAsia="黑体" w:cs="Times New Roman"/>
          <w:smallCaps w:val="0"/>
          <w:snapToGrid w:val="0"/>
          <w:color w:val="auto"/>
          <w:spacing w:val="0"/>
          <w:sz w:val="30"/>
          <w:szCs w:val="30"/>
          <w:highlight w:val="none"/>
        </w:rPr>
        <w:t>四、主要环境影响和保护措施</w:t>
      </w:r>
      <w:bookmarkEnd w:id="9"/>
    </w:p>
    <w:tbl>
      <w:tblPr>
        <w:tblStyle w:val="4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067"/>
      </w:tblGrid>
      <w:tr w14:paraId="49D21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7" w:type="pct"/>
            <w:vAlign w:val="center"/>
          </w:tcPr>
          <w:p w14:paraId="2777BA3B">
            <w:pPr>
              <w:pStyle w:val="41"/>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smallCaps w:val="0"/>
                <w:color w:val="auto"/>
                <w:spacing w:val="0"/>
                <w:kern w:val="2"/>
                <w:szCs w:val="21"/>
                <w:highlight w:val="none"/>
              </w:rPr>
            </w:pPr>
            <w:r>
              <w:rPr>
                <w:rFonts w:hint="default" w:ascii="Times New Roman" w:hAnsi="Times New Roman" w:eastAsia="宋体" w:cs="Times New Roman"/>
                <w:smallCaps w:val="0"/>
                <w:color w:val="auto"/>
                <w:spacing w:val="0"/>
                <w:kern w:val="2"/>
                <w:szCs w:val="21"/>
                <w:highlight w:val="none"/>
              </w:rPr>
              <w:t>施工</w:t>
            </w:r>
          </w:p>
          <w:p w14:paraId="01873D40">
            <w:pPr>
              <w:pStyle w:val="41"/>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smallCaps w:val="0"/>
                <w:color w:val="auto"/>
                <w:spacing w:val="0"/>
                <w:kern w:val="2"/>
                <w:szCs w:val="21"/>
                <w:highlight w:val="none"/>
              </w:rPr>
            </w:pPr>
            <w:r>
              <w:rPr>
                <w:rFonts w:hint="default" w:ascii="Times New Roman" w:hAnsi="Times New Roman" w:eastAsia="宋体" w:cs="Times New Roman"/>
                <w:smallCaps w:val="0"/>
                <w:color w:val="auto"/>
                <w:spacing w:val="0"/>
                <w:kern w:val="2"/>
                <w:szCs w:val="21"/>
                <w:highlight w:val="none"/>
              </w:rPr>
              <w:t>期环</w:t>
            </w:r>
          </w:p>
          <w:p w14:paraId="4F6D156B">
            <w:pPr>
              <w:pStyle w:val="41"/>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smallCaps w:val="0"/>
                <w:color w:val="auto"/>
                <w:spacing w:val="0"/>
                <w:kern w:val="2"/>
                <w:szCs w:val="21"/>
                <w:highlight w:val="none"/>
              </w:rPr>
            </w:pPr>
            <w:r>
              <w:rPr>
                <w:rFonts w:hint="default" w:ascii="Times New Roman" w:hAnsi="Times New Roman" w:eastAsia="宋体" w:cs="Times New Roman"/>
                <w:smallCaps w:val="0"/>
                <w:color w:val="auto"/>
                <w:spacing w:val="0"/>
                <w:kern w:val="2"/>
                <w:szCs w:val="21"/>
                <w:highlight w:val="none"/>
              </w:rPr>
              <w:t>境保</w:t>
            </w:r>
          </w:p>
          <w:p w14:paraId="6B6D1F75">
            <w:pPr>
              <w:pStyle w:val="41"/>
              <w:keepNext w:val="0"/>
              <w:keepLines w:val="0"/>
              <w:suppressLineNumbers w:val="0"/>
              <w:adjustRightInd w:val="0"/>
              <w:snapToGrid w:val="0"/>
              <w:spacing w:before="0" w:beforeAutospacing="0" w:after="0" w:afterAutospacing="0"/>
              <w:ind w:left="0" w:right="0"/>
              <w:rPr>
                <w:rFonts w:hint="default" w:ascii="Times New Roman" w:hAnsi="Times New Roman" w:eastAsia="宋体" w:cs="Times New Roman"/>
                <w:smallCaps w:val="0"/>
                <w:color w:val="auto"/>
                <w:spacing w:val="0"/>
                <w:kern w:val="2"/>
                <w:szCs w:val="21"/>
                <w:highlight w:val="none"/>
              </w:rPr>
            </w:pPr>
            <w:r>
              <w:rPr>
                <w:rFonts w:hint="default" w:ascii="Times New Roman" w:hAnsi="Times New Roman" w:eastAsia="宋体" w:cs="Times New Roman"/>
                <w:smallCaps w:val="0"/>
                <w:color w:val="auto"/>
                <w:spacing w:val="0"/>
                <w:kern w:val="2"/>
                <w:szCs w:val="21"/>
                <w:highlight w:val="none"/>
              </w:rPr>
              <w:t>护措施</w:t>
            </w:r>
          </w:p>
        </w:tc>
        <w:tc>
          <w:tcPr>
            <w:tcW w:w="4732" w:type="pct"/>
          </w:tcPr>
          <w:p w14:paraId="4E19C52E">
            <w:pPr>
              <w:pStyle w:val="172"/>
              <w:keepNext w:val="0"/>
              <w:keepLines w:val="0"/>
              <w:pageBreakBefore w:val="0"/>
              <w:suppressLineNumbers w:val="0"/>
              <w:kinsoku/>
              <w:wordWrap/>
              <w:overflowPunct/>
              <w:topLinePunct w:val="0"/>
              <w:autoSpaceDE/>
              <w:autoSpaceDN/>
              <w:bidi w:val="0"/>
              <w:adjustRightInd/>
              <w:snapToGrid/>
              <w:spacing w:before="0" w:beforeAutospacing="0" w:after="0" w:afterAutospacing="0" w:line="420" w:lineRule="exact"/>
              <w:ind w:left="0" w:right="0" w:firstLine="482"/>
              <w:textAlignment w:val="auto"/>
              <w:rPr>
                <w:rFonts w:hint="default" w:ascii="Times New Roman" w:hAnsi="Times New Roman" w:eastAsia="宋体" w:cs="Times New Roman"/>
                <w:b/>
                <w:smallCaps w:val="0"/>
                <w:color w:val="auto"/>
                <w:spacing w:val="0"/>
                <w:highlight w:val="none"/>
              </w:rPr>
            </w:pPr>
            <w:r>
              <w:rPr>
                <w:rFonts w:hint="default" w:ascii="Times New Roman" w:hAnsi="Times New Roman" w:eastAsia="宋体" w:cs="Times New Roman"/>
                <w:b/>
                <w:smallCaps w:val="0"/>
                <w:color w:val="auto"/>
                <w:spacing w:val="0"/>
                <w:highlight w:val="none"/>
              </w:rPr>
              <w:t>1、施工期大气环境影响和保护措施</w:t>
            </w:r>
          </w:p>
          <w:p w14:paraId="43D49995">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项目施工期对大气环境的影响主要为厂房土建施工和设备安装时产生的粉尘。为减轻项目施工对周围环境的影响，结合《河北省</w:t>
            </w:r>
            <w:r>
              <w:rPr>
                <w:rFonts w:hint="default" w:ascii="Times New Roman" w:hAnsi="Times New Roman" w:eastAsia="宋体" w:cs="Times New Roman"/>
                <w:smallCaps w:val="0"/>
                <w:color w:val="auto"/>
                <w:spacing w:val="0"/>
                <w:highlight w:val="none"/>
                <w:lang w:val="en-US" w:eastAsia="zh-CN"/>
              </w:rPr>
              <w:t>2024</w:t>
            </w:r>
            <w:r>
              <w:rPr>
                <w:rFonts w:hint="default" w:ascii="Times New Roman" w:hAnsi="Times New Roman" w:eastAsia="宋体" w:cs="Times New Roman"/>
                <w:smallCaps w:val="0"/>
                <w:color w:val="auto"/>
                <w:spacing w:val="0"/>
                <w:highlight w:val="none"/>
              </w:rPr>
              <w:t>年建筑施工扬尘污染防治工作方案》（</w:t>
            </w:r>
            <w:r>
              <w:rPr>
                <w:rFonts w:hint="default" w:ascii="Times New Roman" w:hAnsi="Times New Roman" w:eastAsia="宋体" w:cs="Times New Roman"/>
                <w:smallCaps w:val="0"/>
                <w:color w:val="auto"/>
                <w:spacing w:val="0"/>
                <w:highlight w:val="none"/>
                <w:lang w:eastAsia="zh-CN"/>
              </w:rPr>
              <w:t>冀建质安函〔202</w:t>
            </w:r>
            <w:r>
              <w:rPr>
                <w:rFonts w:hint="default" w:ascii="Times New Roman" w:hAnsi="Times New Roman" w:eastAsia="宋体" w:cs="Times New Roman"/>
                <w:smallCaps w:val="0"/>
                <w:color w:val="auto"/>
                <w:spacing w:val="0"/>
                <w:highlight w:val="none"/>
                <w:lang w:val="en-US" w:eastAsia="zh-CN"/>
              </w:rPr>
              <w:t>4</w:t>
            </w:r>
            <w:r>
              <w:rPr>
                <w:rFonts w:hint="default"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lang w:val="en-US" w:eastAsia="zh-CN"/>
              </w:rPr>
              <w:t>115</w:t>
            </w:r>
            <w:r>
              <w:rPr>
                <w:rFonts w:hint="default" w:ascii="Times New Roman" w:hAnsi="Times New Roman" w:eastAsia="宋体" w:cs="Times New Roman"/>
                <w:smallCaps w:val="0"/>
                <w:color w:val="auto"/>
                <w:spacing w:val="0"/>
                <w:highlight w:val="none"/>
                <w:lang w:eastAsia="zh-CN"/>
              </w:rPr>
              <w:t>号</w:t>
            </w:r>
            <w:r>
              <w:rPr>
                <w:rFonts w:hint="default" w:ascii="Times New Roman" w:hAnsi="Times New Roman" w:eastAsia="宋体" w:cs="Times New Roman"/>
                <w:smallCaps w:val="0"/>
                <w:color w:val="auto"/>
                <w:spacing w:val="0"/>
                <w:highlight w:val="none"/>
              </w:rPr>
              <w:t>）要求，同时根据类比调查结果及其它施工场地采取的抑尘措施，对本项目施工期提出以下要求和建议：</w:t>
            </w:r>
          </w:p>
          <w:p w14:paraId="47EFF984">
            <w:pPr>
              <w:pStyle w:val="172"/>
              <w:keepNext w:val="0"/>
              <w:keepLines w:val="0"/>
              <w:numPr>
                <w:ilvl w:val="0"/>
                <w:numId w:val="4"/>
              </w:numPr>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现场主要道路及场地硬化，并保持地面整洁；</w:t>
            </w:r>
          </w:p>
          <w:p w14:paraId="39D44CBD">
            <w:pPr>
              <w:pStyle w:val="172"/>
              <w:keepNext w:val="0"/>
              <w:keepLines w:val="0"/>
              <w:numPr>
                <w:ilvl w:val="0"/>
                <w:numId w:val="4"/>
              </w:numPr>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规范设置公示牌、周边围挡和车辆清洗设施，有条件的工地落实“三段式”（清洗池、自动冲洗、人工冲洗）车辆清洗措施；</w:t>
            </w:r>
          </w:p>
          <w:p w14:paraId="75C742FF">
            <w:pPr>
              <w:pStyle w:val="172"/>
              <w:keepNext w:val="0"/>
              <w:keepLines w:val="0"/>
              <w:numPr>
                <w:ilvl w:val="0"/>
                <w:numId w:val="4"/>
              </w:numPr>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渣土运输车车厢封闭严密，冲洗干净；</w:t>
            </w:r>
          </w:p>
          <w:p w14:paraId="19496296">
            <w:pPr>
              <w:pStyle w:val="172"/>
              <w:keepNext w:val="0"/>
              <w:keepLines w:val="0"/>
              <w:numPr>
                <w:ilvl w:val="0"/>
                <w:numId w:val="4"/>
              </w:numPr>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土石方作业和清扫时洒水、喷雾降尘、抑尘；</w:t>
            </w:r>
          </w:p>
          <w:p w14:paraId="51FAD07D">
            <w:pPr>
              <w:pStyle w:val="172"/>
              <w:keepNext w:val="0"/>
              <w:keepLines w:val="0"/>
              <w:numPr>
                <w:ilvl w:val="0"/>
                <w:numId w:val="4"/>
              </w:numPr>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在保证施工安全前提下，工程主体作业层采取密目式安全网封闭，并保持整洁、无破损；</w:t>
            </w:r>
          </w:p>
          <w:p w14:paraId="474FAFB6">
            <w:pPr>
              <w:pStyle w:val="172"/>
              <w:keepNext w:val="0"/>
              <w:keepLines w:val="0"/>
              <w:numPr>
                <w:ilvl w:val="0"/>
                <w:numId w:val="4"/>
              </w:numPr>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土方和颗粒状物料等采取遮盖、密闭存放等措施；</w:t>
            </w:r>
          </w:p>
          <w:p w14:paraId="0C00B423">
            <w:pPr>
              <w:pStyle w:val="172"/>
              <w:keepNext w:val="0"/>
              <w:keepLines w:val="0"/>
              <w:numPr>
                <w:ilvl w:val="0"/>
                <w:numId w:val="4"/>
              </w:numPr>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施工层建筑垃圾采用封闭式管道或装袋运送，禁止高空抛撒；</w:t>
            </w:r>
          </w:p>
          <w:p w14:paraId="1E5C10FD">
            <w:pPr>
              <w:pStyle w:val="172"/>
              <w:keepNext w:val="0"/>
              <w:keepLines w:val="0"/>
              <w:numPr>
                <w:ilvl w:val="0"/>
                <w:numId w:val="4"/>
              </w:numPr>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施工现场设置建筑垃圾临时存放点，建筑垃圾及时清运或密闭存放；按规定使用预拌混凝土、预拌砂浆。</w:t>
            </w:r>
          </w:p>
          <w:p w14:paraId="435257A7">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综上所述，本项目在施工中加强管理、切实落实好以上措施</w:t>
            </w:r>
            <w:r>
              <w:rPr>
                <w:rFonts w:hint="default"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lang w:val="en-US" w:eastAsia="zh-CN"/>
              </w:rPr>
              <w:t>并避开大风天气施工</w:t>
            </w:r>
            <w:r>
              <w:rPr>
                <w:rFonts w:hint="default" w:ascii="Times New Roman" w:hAnsi="Times New Roman" w:eastAsia="宋体" w:cs="Times New Roman"/>
                <w:smallCaps w:val="0"/>
                <w:color w:val="auto"/>
                <w:spacing w:val="0"/>
                <w:highlight w:val="none"/>
              </w:rPr>
              <w:t>，施工扬尘对周围环境的影响可降至最低程度，能够满足河北省地方标准《施工场地扬尘排放标准》（DB13/2934-2019）表1扬尘排放浓度限值要求。</w:t>
            </w:r>
          </w:p>
          <w:p w14:paraId="40492FF5">
            <w:pPr>
              <w:pStyle w:val="172"/>
              <w:keepNext w:val="0"/>
              <w:keepLines w:val="0"/>
              <w:suppressLineNumbers w:val="0"/>
              <w:spacing w:before="0" w:beforeAutospacing="0" w:after="0" w:afterAutospacing="0"/>
              <w:ind w:left="0" w:right="0" w:firstLine="482"/>
              <w:rPr>
                <w:rFonts w:hint="default" w:ascii="Times New Roman" w:hAnsi="Times New Roman" w:eastAsia="宋体" w:cs="Times New Roman"/>
                <w:b/>
                <w:smallCaps w:val="0"/>
                <w:color w:val="auto"/>
                <w:spacing w:val="0"/>
                <w:highlight w:val="none"/>
              </w:rPr>
            </w:pPr>
            <w:r>
              <w:rPr>
                <w:rFonts w:hint="default" w:ascii="Times New Roman" w:hAnsi="Times New Roman" w:eastAsia="宋体" w:cs="Times New Roman"/>
                <w:b/>
                <w:smallCaps w:val="0"/>
                <w:color w:val="auto"/>
                <w:spacing w:val="0"/>
                <w:highlight w:val="none"/>
              </w:rPr>
              <w:t>2、施工期噪声环境影响和保护措施</w:t>
            </w:r>
          </w:p>
          <w:p w14:paraId="177FE4A8">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施工期产生的噪声源主要为装载机以及各种运输车辆等机械产生的噪声，其特点是间歇或阵发性的，并具备流动性的特征。为减少施工噪声对</w:t>
            </w:r>
            <w:r>
              <w:rPr>
                <w:rFonts w:hint="eastAsia" w:ascii="Times New Roman" w:hAnsi="Times New Roman" w:eastAsia="宋体" w:cs="Times New Roman"/>
                <w:smallCaps w:val="0"/>
                <w:color w:val="auto"/>
                <w:spacing w:val="0"/>
                <w:highlight w:val="none"/>
                <w:lang w:val="en-US" w:eastAsia="zh-CN"/>
              </w:rPr>
              <w:t>周围声环境</w:t>
            </w:r>
            <w:r>
              <w:rPr>
                <w:rFonts w:hint="default" w:ascii="Times New Roman" w:hAnsi="Times New Roman" w:eastAsia="宋体" w:cs="Times New Roman"/>
                <w:smallCaps w:val="0"/>
                <w:color w:val="auto"/>
                <w:spacing w:val="0"/>
                <w:highlight w:val="none"/>
              </w:rPr>
              <w:t>影响，结合施工进展，采取如下防治措施：</w:t>
            </w:r>
          </w:p>
          <w:p w14:paraId="51437349">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（1）施工单位应合理安排施工时间，做到文明施工，除工程必需外，严禁在中午12</w:t>
            </w:r>
            <w:r>
              <w:rPr>
                <w:rFonts w:hint="eastAsia"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rPr>
              <w:t>00~14</w:t>
            </w:r>
            <w:r>
              <w:rPr>
                <w:rFonts w:hint="eastAsia"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rPr>
              <w:t>00、夜间22</w:t>
            </w:r>
            <w:r>
              <w:rPr>
                <w:rFonts w:hint="eastAsia"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rPr>
              <w:t>00~6</w:t>
            </w:r>
            <w:r>
              <w:rPr>
                <w:rFonts w:hint="eastAsia"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rPr>
              <w:t>00期间进行施工；</w:t>
            </w:r>
          </w:p>
          <w:p w14:paraId="194DCB98">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（2）项目施工布置时将噪声源强较高的施工设备远离周边敏感点；</w:t>
            </w:r>
          </w:p>
          <w:p w14:paraId="7E33A03F">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（3）运输车辆要选择合适的时间及路线进行运输，尽量避开居民点和环境敏感点，车辆进出现场时应减速、禁鸣；</w:t>
            </w:r>
          </w:p>
          <w:p w14:paraId="39DC3304">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（4）在项目四周设置围挡，围挡不低于2.5m，从噪声传播途径上进行消减等措施。</w:t>
            </w:r>
          </w:p>
          <w:p w14:paraId="54677B53">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通过采取以上措施，施工噪声对周边敏感点影响程度较小</w:t>
            </w:r>
            <w:r>
              <w:rPr>
                <w:rFonts w:hint="default"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lang w:val="en-US" w:eastAsia="zh-CN"/>
              </w:rPr>
              <w:t>满足</w:t>
            </w:r>
            <w:r>
              <w:rPr>
                <w:rFonts w:hint="eastAsia" w:cs="Times New Roman"/>
                <w:smallCaps w:val="0"/>
                <w:color w:val="auto"/>
                <w:spacing w:val="0"/>
                <w:highlight w:val="none"/>
                <w:lang w:val="en-US" w:eastAsia="zh-CN"/>
              </w:rPr>
              <w:t>《建筑施工噪声排放标准》（GB12523-2025）</w:t>
            </w:r>
            <w:r>
              <w:rPr>
                <w:rFonts w:hint="default" w:ascii="Times New Roman" w:hAnsi="Times New Roman" w:eastAsia="宋体" w:cs="Times New Roman"/>
                <w:smallCaps w:val="0"/>
                <w:color w:val="auto"/>
                <w:spacing w:val="0"/>
                <w:highlight w:val="none"/>
                <w:lang w:val="en-US" w:eastAsia="zh-CN"/>
              </w:rPr>
              <w:t>中的相关标准要求</w:t>
            </w:r>
            <w:r>
              <w:rPr>
                <w:rFonts w:hint="default" w:ascii="Times New Roman" w:hAnsi="Times New Roman" w:eastAsia="宋体" w:cs="Times New Roman"/>
                <w:smallCaps w:val="0"/>
                <w:color w:val="auto"/>
                <w:spacing w:val="0"/>
                <w:highlight w:val="none"/>
              </w:rPr>
              <w:t>。</w:t>
            </w:r>
          </w:p>
          <w:p w14:paraId="0B834573">
            <w:pPr>
              <w:pStyle w:val="172"/>
              <w:keepNext w:val="0"/>
              <w:keepLines w:val="0"/>
              <w:suppressLineNumbers w:val="0"/>
              <w:spacing w:before="0" w:beforeAutospacing="0" w:after="0" w:afterAutospacing="0"/>
              <w:ind w:left="0" w:right="0" w:firstLine="482"/>
              <w:rPr>
                <w:rFonts w:hint="default" w:ascii="Times New Roman" w:hAnsi="Times New Roman" w:eastAsia="宋体" w:cs="Times New Roman"/>
                <w:b/>
                <w:smallCaps w:val="0"/>
                <w:color w:val="auto"/>
                <w:spacing w:val="0"/>
                <w:highlight w:val="none"/>
              </w:rPr>
            </w:pPr>
            <w:r>
              <w:rPr>
                <w:rFonts w:hint="default" w:ascii="Times New Roman" w:hAnsi="Times New Roman" w:eastAsia="宋体" w:cs="Times New Roman"/>
                <w:b/>
                <w:smallCaps w:val="0"/>
                <w:color w:val="auto"/>
                <w:spacing w:val="0"/>
                <w:highlight w:val="none"/>
              </w:rPr>
              <w:t>3、施工期水环境影响分析</w:t>
            </w:r>
          </w:p>
          <w:p w14:paraId="1195FCC6">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项目施工期废水主要为施工人员生活污水和施工废水。施工废水经沉淀池沉淀后全部用于厂区泼洒抑尘，施工人员盥洗废水泼洒抑尘，</w:t>
            </w:r>
            <w:r>
              <w:rPr>
                <w:rFonts w:hint="default" w:ascii="Times New Roman" w:hAnsi="Times New Roman" w:eastAsia="宋体" w:cs="Times New Roman"/>
                <w:smallCaps w:val="0"/>
                <w:color w:val="auto"/>
                <w:spacing w:val="0"/>
                <w:highlight w:val="none"/>
                <w:lang w:val="en-US" w:eastAsia="zh-CN"/>
              </w:rPr>
              <w:t>设置临时旱厕，定期清掏，用作农肥，施工期结束拆除临时旱厕</w:t>
            </w:r>
            <w:r>
              <w:rPr>
                <w:rFonts w:hint="default" w:ascii="Times New Roman" w:hAnsi="Times New Roman" w:eastAsia="宋体" w:cs="Times New Roman"/>
                <w:smallCaps w:val="0"/>
                <w:color w:val="auto"/>
                <w:spacing w:val="0"/>
                <w:highlight w:val="none"/>
              </w:rPr>
              <w:t>，不会对当地水环境产生影响。</w:t>
            </w:r>
          </w:p>
          <w:p w14:paraId="4B6041A9">
            <w:pPr>
              <w:pStyle w:val="172"/>
              <w:keepNext w:val="0"/>
              <w:keepLines w:val="0"/>
              <w:suppressLineNumbers w:val="0"/>
              <w:spacing w:before="0" w:beforeAutospacing="0" w:after="0" w:afterAutospacing="0"/>
              <w:ind w:left="0" w:right="0" w:firstLine="482"/>
              <w:rPr>
                <w:rFonts w:hint="default" w:ascii="Times New Roman" w:hAnsi="Times New Roman" w:eastAsia="宋体" w:cs="Times New Roman"/>
                <w:b/>
                <w:smallCaps w:val="0"/>
                <w:color w:val="auto"/>
                <w:spacing w:val="0"/>
                <w:highlight w:val="none"/>
              </w:rPr>
            </w:pPr>
            <w:r>
              <w:rPr>
                <w:rFonts w:hint="default" w:ascii="Times New Roman" w:hAnsi="Times New Roman" w:eastAsia="宋体" w:cs="Times New Roman"/>
                <w:b/>
                <w:smallCaps w:val="0"/>
                <w:color w:val="auto"/>
                <w:spacing w:val="0"/>
                <w:highlight w:val="none"/>
              </w:rPr>
              <w:t>4、施工期固废环境影响和保护措施</w:t>
            </w:r>
          </w:p>
          <w:p w14:paraId="08A55DFF">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施工期固体废弃物主要是施工过程中产生的建筑垃圾</w:t>
            </w:r>
            <w:r>
              <w:rPr>
                <w:rFonts w:hint="default"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lang w:val="en-US" w:eastAsia="zh-CN"/>
              </w:rPr>
              <w:t>废包装</w:t>
            </w:r>
            <w:r>
              <w:rPr>
                <w:rFonts w:hint="default" w:ascii="Times New Roman" w:hAnsi="Times New Roman" w:eastAsia="宋体" w:cs="Times New Roman"/>
                <w:smallCaps w:val="0"/>
                <w:color w:val="auto"/>
                <w:spacing w:val="0"/>
                <w:highlight w:val="none"/>
              </w:rPr>
              <w:t>以及施工人员的生活垃圾，均属一般固体废物。</w:t>
            </w:r>
          </w:p>
          <w:p w14:paraId="3531C09A">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上述固体废物应及时收集，不能随意抛弃、转移和扩散，施工过程中产生的建筑垃圾</w:t>
            </w:r>
            <w:r>
              <w:rPr>
                <w:rFonts w:hint="default"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lang w:val="en-US" w:eastAsia="zh-CN"/>
              </w:rPr>
              <w:t>废包装</w:t>
            </w:r>
            <w:r>
              <w:rPr>
                <w:rFonts w:hint="default" w:ascii="Times New Roman" w:hAnsi="Times New Roman" w:eastAsia="宋体" w:cs="Times New Roman"/>
                <w:smallCaps w:val="0"/>
                <w:color w:val="auto"/>
                <w:spacing w:val="0"/>
                <w:highlight w:val="none"/>
              </w:rPr>
              <w:t>按要求送至指定地点统一处置；生活垃圾由环卫部门统一送至垃圾填埋场。</w:t>
            </w:r>
          </w:p>
          <w:p w14:paraId="5C4EA5AA">
            <w:pPr>
              <w:keepNext w:val="0"/>
              <w:keepLines w:val="0"/>
              <w:suppressLineNumbers w:val="0"/>
              <w:spacing w:before="0" w:beforeAutospacing="0" w:after="0" w:afterAutospacing="0"/>
              <w:ind w:left="0" w:right="0" w:firstLine="480"/>
              <w:jc w:val="left"/>
              <w:rPr>
                <w:rFonts w:hint="default" w:ascii="Times New Roman" w:hAnsi="Times New Roman" w:eastAsia="宋体" w:cs="Times New Roman"/>
                <w:smallCaps w:val="0"/>
                <w:color w:val="auto"/>
                <w:spacing w:val="0"/>
                <w:szCs w:val="20"/>
                <w:highlight w:val="none"/>
                <w:lang w:eastAsia="zh-CN"/>
              </w:rPr>
            </w:pPr>
            <w:r>
              <w:rPr>
                <w:rFonts w:hint="default" w:ascii="Times New Roman" w:hAnsi="Times New Roman" w:eastAsia="宋体" w:cs="Times New Roman"/>
                <w:smallCaps w:val="0"/>
                <w:color w:val="auto"/>
                <w:spacing w:val="0"/>
                <w:szCs w:val="20"/>
                <w:highlight w:val="none"/>
              </w:rPr>
              <w:t>采取以上措施后，施工期固废可得到妥善处置，对周围环境影响较小</w:t>
            </w:r>
            <w:r>
              <w:rPr>
                <w:rFonts w:hint="default" w:ascii="Times New Roman" w:hAnsi="Times New Roman" w:eastAsia="宋体" w:cs="Times New Roman"/>
                <w:smallCaps w:val="0"/>
                <w:color w:val="auto"/>
                <w:spacing w:val="0"/>
                <w:szCs w:val="20"/>
                <w:highlight w:val="none"/>
                <w:lang w:eastAsia="zh-CN"/>
              </w:rPr>
              <w:t>。</w:t>
            </w:r>
          </w:p>
          <w:p w14:paraId="140341B3">
            <w:pPr>
              <w:keepNext w:val="0"/>
              <w:keepLines w:val="0"/>
              <w:widowControl/>
              <w:suppressLineNumbers w:val="0"/>
              <w:spacing w:before="0" w:beforeAutospacing="0" w:after="0" w:afterAutospacing="0" w:line="440" w:lineRule="exact"/>
              <w:ind w:left="0" w:right="0" w:firstLine="480" w:firstLineChars="200"/>
              <w:jc w:val="left"/>
              <w:rPr>
                <w:rFonts w:hint="default" w:ascii="Times New Roman" w:hAnsi="Times New Roman" w:eastAsia="宋体" w:cs="Times New Roman"/>
                <w:b/>
                <w:bCs/>
                <w:smallCaps w:val="0"/>
                <w:color w:val="auto"/>
                <w:spacing w:val="0"/>
                <w:kern w:val="0"/>
                <w:sz w:val="24"/>
                <w:szCs w:val="20"/>
                <w:highlight w:val="none"/>
                <w:lang w:bidi="ar"/>
              </w:rPr>
            </w:pPr>
            <w:r>
              <w:rPr>
                <w:rFonts w:hint="default" w:ascii="Times New Roman" w:hAnsi="Times New Roman" w:eastAsia="宋体" w:cs="Times New Roman"/>
                <w:b/>
                <w:bCs/>
                <w:smallCaps w:val="0"/>
                <w:color w:val="auto"/>
                <w:spacing w:val="0"/>
                <w:kern w:val="0"/>
                <w:sz w:val="24"/>
                <w:szCs w:val="20"/>
                <w:highlight w:val="none"/>
                <w:lang w:bidi="ar"/>
              </w:rPr>
              <w:t>5、生态影响防治措施</w:t>
            </w:r>
          </w:p>
          <w:p w14:paraId="1D2301A9">
            <w:pPr>
              <w:keepNext w:val="0"/>
              <w:keepLines w:val="0"/>
              <w:suppressLineNumbers w:val="0"/>
              <w:spacing w:before="0" w:beforeAutospacing="0" w:after="0" w:afterAutospacing="0" w:line="420" w:lineRule="exact"/>
              <w:ind w:left="0" w:right="0" w:firstLine="480" w:firstLineChars="200"/>
              <w:jc w:val="left"/>
              <w:rPr>
                <w:rFonts w:hint="default" w:ascii="Times New Roman" w:hAnsi="Times New Roman" w:eastAsia="宋体" w:cs="Times New Roman"/>
                <w:smallCaps w:val="0"/>
                <w:color w:val="auto"/>
                <w:spacing w:val="0"/>
                <w:sz w:val="24"/>
                <w:szCs w:val="20"/>
                <w:highlight w:val="none"/>
              </w:rPr>
            </w:pPr>
            <w:r>
              <w:rPr>
                <w:rFonts w:hint="default" w:ascii="Times New Roman" w:hAnsi="Times New Roman" w:eastAsia="宋体" w:cs="Times New Roman"/>
                <w:smallCaps w:val="0"/>
                <w:color w:val="auto"/>
                <w:spacing w:val="0"/>
                <w:sz w:val="24"/>
                <w:szCs w:val="20"/>
                <w:highlight w:val="none"/>
                <w:lang w:val="en-US" w:eastAsia="zh-CN"/>
              </w:rPr>
              <w:t>项目位于石家庄矿区工业园区的石钢片区，周围无生态保护目标</w:t>
            </w:r>
            <w:r>
              <w:rPr>
                <w:rFonts w:hint="default" w:ascii="Times New Roman" w:hAnsi="Times New Roman" w:eastAsia="宋体" w:cs="Times New Roman"/>
                <w:smallCaps w:val="0"/>
                <w:color w:val="auto"/>
                <w:spacing w:val="0"/>
                <w:sz w:val="24"/>
                <w:szCs w:val="20"/>
                <w:highlight w:val="none"/>
              </w:rPr>
              <w:t>。</w:t>
            </w:r>
          </w:p>
          <w:p w14:paraId="4597711A">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eastAsia="宋体" w:cs="Times New Roman"/>
                <w:smallCaps w:val="0"/>
                <w:color w:val="auto"/>
                <w:spacing w:val="0"/>
                <w:sz w:val="24"/>
                <w:highlight w:val="none"/>
                <w:lang w:val="en-US" w:eastAsia="zh-CN"/>
              </w:rPr>
              <w:t>综上所述，</w:t>
            </w:r>
            <w:r>
              <w:rPr>
                <w:rFonts w:hint="default" w:ascii="Times New Roman" w:hAnsi="Times New Roman" w:eastAsia="宋体" w:cs="Times New Roman"/>
                <w:smallCaps w:val="0"/>
                <w:color w:val="auto"/>
                <w:spacing w:val="0"/>
                <w:sz w:val="24"/>
                <w:highlight w:val="none"/>
              </w:rPr>
              <w:t>施工期对周围环境的影响是局部的、暂时的，随着工程施工结束而消失</w:t>
            </w:r>
            <w:r>
              <w:rPr>
                <w:rFonts w:hint="default" w:ascii="Times New Roman" w:hAnsi="Times New Roman" w:eastAsia="宋体" w:cs="Times New Roman"/>
                <w:smallCaps w:val="0"/>
                <w:color w:val="auto"/>
                <w:spacing w:val="0"/>
                <w:sz w:val="24"/>
                <w:highlight w:val="none"/>
                <w:lang w:eastAsia="zh-CN"/>
              </w:rPr>
              <w:t>。</w:t>
            </w:r>
          </w:p>
        </w:tc>
      </w:tr>
      <w:tr w14:paraId="21205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shd w:val="clear" w:color="auto" w:fill="auto"/>
            <w:vAlign w:val="center"/>
          </w:tcPr>
          <w:p w14:paraId="181BBB54">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mallCaps w:val="0"/>
                <w:color w:val="auto"/>
                <w:spacing w:val="0"/>
                <w:sz w:val="24"/>
                <w:szCs w:val="21"/>
                <w:highlight w:val="none"/>
              </w:rPr>
            </w:pPr>
            <w:r>
              <w:rPr>
                <w:rFonts w:hint="default" w:ascii="Times New Roman" w:hAnsi="Times New Roman" w:eastAsia="宋体" w:cs="Times New Roman"/>
                <w:bCs/>
                <w:smallCaps w:val="0"/>
                <w:color w:val="auto"/>
                <w:spacing w:val="0"/>
                <w:sz w:val="24"/>
                <w:szCs w:val="21"/>
                <w:highlight w:val="none"/>
              </w:rPr>
              <w:t>运营</w:t>
            </w:r>
          </w:p>
          <w:p w14:paraId="6CEF46DC">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mallCaps w:val="0"/>
                <w:color w:val="auto"/>
                <w:spacing w:val="0"/>
                <w:sz w:val="24"/>
                <w:szCs w:val="21"/>
                <w:highlight w:val="none"/>
              </w:rPr>
            </w:pPr>
            <w:r>
              <w:rPr>
                <w:rFonts w:hint="default" w:ascii="Times New Roman" w:hAnsi="Times New Roman" w:eastAsia="宋体" w:cs="Times New Roman"/>
                <w:bCs/>
                <w:smallCaps w:val="0"/>
                <w:color w:val="auto"/>
                <w:spacing w:val="0"/>
                <w:sz w:val="24"/>
                <w:szCs w:val="21"/>
                <w:highlight w:val="none"/>
              </w:rPr>
              <w:t>期环</w:t>
            </w:r>
          </w:p>
          <w:p w14:paraId="309C490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mallCaps w:val="0"/>
                <w:color w:val="auto"/>
                <w:spacing w:val="0"/>
                <w:sz w:val="24"/>
                <w:szCs w:val="21"/>
                <w:highlight w:val="none"/>
              </w:rPr>
            </w:pPr>
            <w:r>
              <w:rPr>
                <w:rFonts w:hint="default" w:ascii="Times New Roman" w:hAnsi="Times New Roman" w:eastAsia="宋体" w:cs="Times New Roman"/>
                <w:bCs/>
                <w:smallCaps w:val="0"/>
                <w:color w:val="auto"/>
                <w:spacing w:val="0"/>
                <w:sz w:val="24"/>
                <w:szCs w:val="21"/>
                <w:highlight w:val="none"/>
              </w:rPr>
              <w:t>境影</w:t>
            </w:r>
          </w:p>
          <w:p w14:paraId="101B1A9D">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mallCaps w:val="0"/>
                <w:color w:val="auto"/>
                <w:spacing w:val="0"/>
                <w:sz w:val="24"/>
                <w:szCs w:val="21"/>
                <w:highlight w:val="none"/>
              </w:rPr>
            </w:pPr>
            <w:r>
              <w:rPr>
                <w:rFonts w:hint="default" w:ascii="Times New Roman" w:hAnsi="Times New Roman" w:eastAsia="宋体" w:cs="Times New Roman"/>
                <w:bCs/>
                <w:smallCaps w:val="0"/>
                <w:color w:val="auto"/>
                <w:spacing w:val="0"/>
                <w:sz w:val="24"/>
                <w:szCs w:val="21"/>
                <w:highlight w:val="none"/>
              </w:rPr>
              <w:t>响和</w:t>
            </w:r>
          </w:p>
          <w:p w14:paraId="7E74F3D5">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4"/>
                <w:szCs w:val="21"/>
                <w:highlight w:val="none"/>
                <w:lang w:val="en-US" w:eastAsia="zh-CN" w:bidi="ar-SA"/>
              </w:rPr>
            </w:pPr>
            <w:r>
              <w:rPr>
                <w:rFonts w:hint="default" w:ascii="Times New Roman" w:hAnsi="Times New Roman" w:eastAsia="宋体" w:cs="Times New Roman"/>
                <w:bCs/>
                <w:smallCaps w:val="0"/>
                <w:color w:val="auto"/>
                <w:spacing w:val="0"/>
                <w:sz w:val="24"/>
                <w:szCs w:val="21"/>
                <w:highlight w:val="none"/>
              </w:rPr>
              <w:t>保护措施</w:t>
            </w:r>
          </w:p>
        </w:tc>
        <w:tc>
          <w:tcPr>
            <w:tcW w:w="8067" w:type="dxa"/>
            <w:shd w:val="clear" w:color="auto" w:fill="auto"/>
            <w:vAlign w:val="top"/>
          </w:tcPr>
          <w:p w14:paraId="78542131">
            <w:pPr>
              <w:pStyle w:val="172"/>
              <w:keepNext w:val="0"/>
              <w:keepLines w:val="0"/>
              <w:suppressLineNumbers w:val="0"/>
              <w:spacing w:before="0" w:beforeAutospacing="0" w:after="0" w:afterAutospacing="0"/>
              <w:ind w:left="0" w:right="0" w:firstLine="482"/>
              <w:jc w:val="both"/>
              <w:rPr>
                <w:rFonts w:hint="default" w:ascii="Times New Roman" w:hAnsi="Times New Roman" w:eastAsia="宋体" w:cs="Times New Roman"/>
                <w:b/>
                <w:smallCaps w:val="0"/>
                <w:color w:val="auto"/>
                <w:spacing w:val="0"/>
                <w:highlight w:val="none"/>
              </w:rPr>
            </w:pPr>
            <w:r>
              <w:rPr>
                <w:rFonts w:hint="default" w:ascii="Times New Roman" w:hAnsi="Times New Roman" w:eastAsia="宋体" w:cs="Times New Roman"/>
                <w:b/>
                <w:smallCaps w:val="0"/>
                <w:color w:val="auto"/>
                <w:spacing w:val="0"/>
                <w:highlight w:val="none"/>
              </w:rPr>
              <w:t>1、废气</w:t>
            </w:r>
          </w:p>
          <w:p w14:paraId="28F7DED2">
            <w:pPr>
              <w:keepNext w:val="0"/>
              <w:keepLines w:val="0"/>
              <w:suppressLineNumbers w:val="0"/>
              <w:adjustRightInd w:val="0"/>
              <w:spacing w:before="0" w:beforeAutospacing="0" w:after="0" w:afterAutospacing="0" w:line="440" w:lineRule="exact"/>
              <w:ind w:left="0" w:right="0" w:firstLine="480" w:firstLineChars="200"/>
              <w:rPr>
                <w:rFonts w:hint="default"/>
                <w:color w:val="auto"/>
                <w:sz w:val="24"/>
                <w:szCs w:val="20"/>
                <w:highlight w:val="none"/>
                <w:lang w:val="zh-CN"/>
              </w:rPr>
            </w:pPr>
            <w:r>
              <w:rPr>
                <w:rFonts w:hint="default"/>
                <w:color w:val="auto"/>
                <w:sz w:val="24"/>
                <w:szCs w:val="20"/>
                <w:highlight w:val="none"/>
                <w:lang w:val="zh-CN"/>
              </w:rPr>
              <w:t>（</w:t>
            </w:r>
            <w:r>
              <w:rPr>
                <w:rFonts w:hint="default"/>
                <w:color w:val="auto"/>
                <w:sz w:val="24"/>
                <w:szCs w:val="20"/>
                <w:highlight w:val="none"/>
              </w:rPr>
              <w:t>1</w:t>
            </w:r>
            <w:r>
              <w:rPr>
                <w:rFonts w:hint="default"/>
                <w:color w:val="auto"/>
                <w:sz w:val="24"/>
                <w:szCs w:val="20"/>
                <w:highlight w:val="none"/>
                <w:lang w:val="zh-CN"/>
              </w:rPr>
              <w:t>）废气污染源及治理措施</w:t>
            </w:r>
          </w:p>
          <w:p w14:paraId="7AC12FC3">
            <w:pPr>
              <w:pStyle w:val="5"/>
              <w:keepNext w:val="0"/>
              <w:keepLines w:val="0"/>
              <w:suppressLineNumbers w:val="0"/>
              <w:adjustRightInd w:val="0"/>
              <w:spacing w:before="0" w:beforeAutospacing="0" w:after="0" w:afterAutospacing="0" w:line="440" w:lineRule="exact"/>
              <w:ind w:left="0" w:right="0"/>
              <w:rPr>
                <w:rFonts w:hint="default" w:eastAsia="宋体"/>
                <w:color w:val="auto"/>
                <w:sz w:val="24"/>
                <w:szCs w:val="20"/>
                <w:highlight w:val="none"/>
                <w:lang w:val="en-US" w:eastAsia="zh-CN"/>
              </w:rPr>
            </w:pPr>
            <w:r>
              <w:rPr>
                <w:rFonts w:hint="eastAsia"/>
                <w:color w:val="auto"/>
                <w:sz w:val="24"/>
                <w:szCs w:val="20"/>
                <w:highlight w:val="none"/>
                <w:lang w:val="en-US" w:eastAsia="zh-CN"/>
              </w:rPr>
              <w:t>项目废气主要为修磨废气及未被收集废气。修磨废气经集气罩收集后由5套“脉冲布袋除尘器+15m高排气筒”排放。</w:t>
            </w:r>
          </w:p>
          <w:p w14:paraId="3D53A3A5">
            <w:pPr>
              <w:pStyle w:val="5"/>
              <w:keepNext w:val="0"/>
              <w:keepLines w:val="0"/>
              <w:suppressLineNumbers w:val="0"/>
              <w:adjustRightInd w:val="0"/>
              <w:snapToGrid w:val="0"/>
              <w:spacing w:before="0" w:beforeAutospacing="0" w:after="0" w:afterAutospacing="0" w:line="440" w:lineRule="exact"/>
              <w:ind w:left="0" w:right="0" w:firstLine="480"/>
              <w:rPr>
                <w:rFonts w:hint="eastAsia" w:eastAsia="宋体"/>
                <w:color w:val="auto"/>
                <w:kern w:val="21"/>
                <w:sz w:val="24"/>
                <w:szCs w:val="20"/>
                <w:highlight w:val="none"/>
                <w:lang w:eastAsia="zh-CN"/>
              </w:rPr>
            </w:pPr>
            <w:r>
              <w:rPr>
                <w:rFonts w:hint="eastAsia"/>
                <w:color w:val="auto"/>
                <w:kern w:val="21"/>
                <w:sz w:val="24"/>
                <w:szCs w:val="20"/>
                <w:highlight w:val="none"/>
                <w:lang w:val="en-US" w:eastAsia="zh-CN"/>
              </w:rPr>
              <w:t>①</w:t>
            </w:r>
            <w:r>
              <w:rPr>
                <w:rFonts w:hint="eastAsia"/>
                <w:color w:val="auto"/>
                <w:sz w:val="24"/>
                <w:szCs w:val="20"/>
                <w:highlight w:val="none"/>
                <w:lang w:val="en-US" w:eastAsia="zh-CN"/>
              </w:rPr>
              <w:t>修磨废气</w:t>
            </w:r>
            <w:r>
              <w:rPr>
                <w:rFonts w:hint="eastAsia"/>
                <w:color w:val="auto"/>
                <w:kern w:val="21"/>
                <w:sz w:val="24"/>
                <w:szCs w:val="21"/>
                <w:highlight w:val="none"/>
                <w:lang w:eastAsia="zh-CN"/>
              </w:rPr>
              <w:t>。</w:t>
            </w:r>
          </w:p>
          <w:p w14:paraId="673A747F">
            <w:pPr>
              <w:pStyle w:val="5"/>
              <w:keepNext w:val="0"/>
              <w:keepLines w:val="0"/>
              <w:suppressLineNumbers w:val="0"/>
              <w:adjustRightInd w:val="0"/>
              <w:snapToGrid w:val="0"/>
              <w:spacing w:before="0" w:beforeAutospacing="0" w:after="0" w:afterAutospacing="0" w:line="440" w:lineRule="exact"/>
              <w:ind w:left="0" w:right="0" w:firstLine="480"/>
              <w:rPr>
                <w:rFonts w:hint="default"/>
                <w:color w:val="auto"/>
                <w:sz w:val="24"/>
                <w:szCs w:val="20"/>
                <w:highlight w:val="none"/>
                <w:lang w:val="en-US" w:eastAsia="zh-CN"/>
              </w:rPr>
            </w:pPr>
            <w:r>
              <w:rPr>
                <w:rFonts w:hint="eastAsia"/>
                <w:color w:val="auto"/>
                <w:sz w:val="24"/>
                <w:szCs w:val="20"/>
                <w:highlight w:val="none"/>
                <w:lang w:val="en-US" w:eastAsia="zh-CN"/>
              </w:rPr>
              <w:t>根据《排放源统计调查产排污核算方法和系数手册》-33金属制品业、34通用设备制造业、35专用设备制造业、36汽车制造业、37铁路、船舶、航空航天和其他运输设备制造业、431金属制品修理、432通用设备修理、433专用设备修理、434铁路、船舶、航空航天等运输设备修理（不包括电镀工艺）行业系数手册-06预处理，打磨颗粒物产污系数为2.19千克/吨-原料，项目圆管、方钢、圆棒消耗量为629400t/a，则修磨颗粒物产生量为1378.386t/a。</w:t>
            </w:r>
          </w:p>
          <w:p w14:paraId="6D615B26">
            <w:pPr>
              <w:pStyle w:val="5"/>
              <w:keepNext w:val="0"/>
              <w:keepLines w:val="0"/>
              <w:suppressLineNumbers w:val="0"/>
              <w:adjustRightInd w:val="0"/>
              <w:snapToGrid w:val="0"/>
              <w:spacing w:before="0" w:beforeAutospacing="0" w:after="0" w:afterAutospacing="0" w:line="440" w:lineRule="exact"/>
              <w:ind w:left="0" w:right="0" w:firstLine="480"/>
              <w:rPr>
                <w:rFonts w:hint="default" w:eastAsia="宋体"/>
                <w:color w:val="auto"/>
                <w:sz w:val="24"/>
                <w:szCs w:val="20"/>
                <w:highlight w:val="none"/>
                <w:lang w:val="en-US" w:eastAsia="zh-CN"/>
              </w:rPr>
            </w:pPr>
            <w:r>
              <w:rPr>
                <w:rFonts w:hint="eastAsia"/>
                <w:color w:val="auto"/>
                <w:sz w:val="24"/>
                <w:szCs w:val="20"/>
                <w:highlight w:val="none"/>
                <w:lang w:val="en-US" w:eastAsia="zh-CN"/>
              </w:rPr>
              <w:t>项目集气罩设计依据参考《袋式除尘工程通用技术规范》（HJ2020-2012），集气罩的收集效率为90%，脉冲布袋除尘器设计去除效率为99.9%。项目年运行7200小时。</w:t>
            </w:r>
          </w:p>
          <w:p w14:paraId="36AE3B77">
            <w:pPr>
              <w:pStyle w:val="5"/>
              <w:keepNext w:val="0"/>
              <w:keepLines w:val="0"/>
              <w:suppressLineNumbers w:val="0"/>
              <w:adjustRightInd w:val="0"/>
              <w:spacing w:before="0" w:beforeAutospacing="0" w:after="0" w:afterAutospacing="0" w:line="440" w:lineRule="exact"/>
              <w:ind w:left="0" w:right="0"/>
              <w:rPr>
                <w:rFonts w:hint="eastAsia" w:eastAsia="宋体"/>
                <w:color w:val="auto"/>
                <w:sz w:val="24"/>
                <w:szCs w:val="20"/>
                <w:highlight w:val="none"/>
                <w:lang w:eastAsia="zh-CN"/>
              </w:rPr>
            </w:pPr>
            <w:r>
              <w:rPr>
                <w:rFonts w:hint="default"/>
                <w:color w:val="auto"/>
                <w:sz w:val="24"/>
                <w:szCs w:val="20"/>
                <w:highlight w:val="none"/>
              </w:rPr>
              <w:t>依据《局部排风设施控制风速检测与评估技术规范》（AQ/T4274-2016）、《排风罩的分类及技术条件》（GB/T16758-2008），项目风量确定如下</w:t>
            </w:r>
            <w:r>
              <w:rPr>
                <w:rFonts w:hint="eastAsia"/>
                <w:color w:val="auto"/>
                <w:sz w:val="24"/>
                <w:szCs w:val="20"/>
                <w:highlight w:val="none"/>
                <w:lang w:eastAsia="zh-CN"/>
              </w:rPr>
              <w:t>：</w:t>
            </w:r>
          </w:p>
          <w:p w14:paraId="69391904">
            <w:pPr>
              <w:pStyle w:val="5"/>
              <w:keepNext w:val="0"/>
              <w:keepLines w:val="0"/>
              <w:suppressLineNumbers w:val="0"/>
              <w:adjustRightInd w:val="0"/>
              <w:spacing w:before="0" w:beforeAutospacing="0" w:after="0" w:afterAutospacing="0" w:line="440" w:lineRule="exact"/>
              <w:ind w:left="0" w:right="0"/>
              <w:rPr>
                <w:rFonts w:hint="default"/>
                <w:color w:val="auto"/>
                <w:sz w:val="24"/>
                <w:szCs w:val="20"/>
                <w:highlight w:val="none"/>
              </w:rPr>
            </w:pPr>
            <w:r>
              <w:rPr>
                <w:rFonts w:hint="default"/>
                <w:color w:val="auto"/>
                <w:sz w:val="24"/>
                <w:szCs w:val="20"/>
                <w:highlight w:val="none"/>
              </w:rPr>
              <w:t>Q=Fv</w:t>
            </w:r>
          </w:p>
          <w:p w14:paraId="0698401C">
            <w:pPr>
              <w:pStyle w:val="5"/>
              <w:keepNext w:val="0"/>
              <w:keepLines w:val="0"/>
              <w:suppressLineNumbers w:val="0"/>
              <w:adjustRightInd w:val="0"/>
              <w:spacing w:before="0" w:beforeAutospacing="0" w:after="0" w:afterAutospacing="0" w:line="440" w:lineRule="exact"/>
              <w:ind w:left="0" w:right="0"/>
              <w:rPr>
                <w:rFonts w:hint="eastAsia" w:eastAsia="宋体"/>
                <w:color w:val="auto"/>
                <w:sz w:val="24"/>
                <w:szCs w:val="20"/>
                <w:highlight w:val="none"/>
                <w:lang w:eastAsia="zh-CN"/>
              </w:rPr>
            </w:pPr>
            <w:r>
              <w:rPr>
                <w:rFonts w:hint="default"/>
                <w:color w:val="auto"/>
                <w:sz w:val="24"/>
                <w:szCs w:val="20"/>
                <w:highlight w:val="none"/>
              </w:rPr>
              <w:t>式中</w:t>
            </w:r>
            <w:r>
              <w:rPr>
                <w:rFonts w:hint="eastAsia"/>
                <w:color w:val="auto"/>
                <w:sz w:val="24"/>
                <w:szCs w:val="20"/>
                <w:highlight w:val="none"/>
                <w:lang w:eastAsia="zh-CN"/>
              </w:rPr>
              <w:t>：</w:t>
            </w:r>
          </w:p>
          <w:p w14:paraId="723FC5C9">
            <w:pPr>
              <w:pStyle w:val="5"/>
              <w:keepNext w:val="0"/>
              <w:keepLines w:val="0"/>
              <w:suppressLineNumbers w:val="0"/>
              <w:adjustRightInd w:val="0"/>
              <w:spacing w:before="0" w:beforeAutospacing="0" w:after="0" w:afterAutospacing="0" w:line="440" w:lineRule="exact"/>
              <w:ind w:left="0" w:right="0"/>
              <w:rPr>
                <w:rFonts w:hint="default"/>
                <w:color w:val="auto"/>
                <w:sz w:val="24"/>
                <w:szCs w:val="20"/>
                <w:highlight w:val="none"/>
              </w:rPr>
            </w:pPr>
            <w:r>
              <w:rPr>
                <w:rFonts w:hint="default"/>
                <w:color w:val="auto"/>
                <w:sz w:val="24"/>
                <w:szCs w:val="20"/>
                <w:highlight w:val="none"/>
              </w:rPr>
              <w:t>Q-排风罩的排风量，单位为m³/s；</w:t>
            </w:r>
          </w:p>
          <w:p w14:paraId="26B6DE6B">
            <w:pPr>
              <w:pStyle w:val="5"/>
              <w:keepNext w:val="0"/>
              <w:keepLines w:val="0"/>
              <w:suppressLineNumbers w:val="0"/>
              <w:adjustRightInd w:val="0"/>
              <w:spacing w:before="0" w:beforeAutospacing="0" w:after="0" w:afterAutospacing="0" w:line="440" w:lineRule="exact"/>
              <w:ind w:left="0" w:right="0"/>
              <w:rPr>
                <w:rFonts w:hint="default"/>
                <w:color w:val="auto"/>
                <w:sz w:val="24"/>
                <w:szCs w:val="20"/>
                <w:highlight w:val="none"/>
              </w:rPr>
            </w:pPr>
            <w:r>
              <w:rPr>
                <w:rFonts w:hint="default"/>
                <w:color w:val="auto"/>
                <w:sz w:val="24"/>
                <w:szCs w:val="20"/>
                <w:highlight w:val="none"/>
              </w:rPr>
              <w:t>F-排风罩罩口面积，单位为㎡；</w:t>
            </w:r>
          </w:p>
          <w:p w14:paraId="63C51BA5">
            <w:pPr>
              <w:pStyle w:val="5"/>
              <w:keepNext w:val="0"/>
              <w:keepLines w:val="0"/>
              <w:suppressLineNumbers w:val="0"/>
              <w:adjustRightInd w:val="0"/>
              <w:spacing w:before="0" w:beforeAutospacing="0" w:after="0" w:afterAutospacing="0" w:line="440" w:lineRule="exact"/>
              <w:ind w:left="0" w:right="0"/>
              <w:rPr>
                <w:rFonts w:hint="default"/>
                <w:color w:val="auto"/>
                <w:sz w:val="24"/>
                <w:szCs w:val="20"/>
                <w:highlight w:val="none"/>
              </w:rPr>
            </w:pPr>
            <w:r>
              <w:rPr>
                <w:rFonts w:hint="default"/>
                <w:color w:val="auto"/>
                <w:sz w:val="24"/>
                <w:szCs w:val="20"/>
                <w:highlight w:val="none"/>
              </w:rPr>
              <w:t>V-排风罩罩口风速，单位为m/s；</w:t>
            </w:r>
          </w:p>
          <w:p w14:paraId="13C743AD">
            <w:pPr>
              <w:pStyle w:val="5"/>
              <w:keepNext w:val="0"/>
              <w:keepLines w:val="0"/>
              <w:suppressLineNumbers w:val="0"/>
              <w:adjustRightInd w:val="0"/>
              <w:spacing w:before="0" w:beforeAutospacing="0" w:after="0" w:afterAutospacing="0" w:line="440" w:lineRule="exact"/>
              <w:ind w:left="0" w:right="0"/>
              <w:rPr>
                <w:rFonts w:hint="default"/>
                <w:color w:val="auto"/>
                <w:sz w:val="24"/>
                <w:szCs w:val="20"/>
                <w:highlight w:val="none"/>
              </w:rPr>
            </w:pPr>
            <w:r>
              <w:rPr>
                <w:rFonts w:hint="eastAsia"/>
                <w:color w:val="auto"/>
                <w:sz w:val="24"/>
                <w:szCs w:val="20"/>
                <w:highlight w:val="none"/>
                <w:lang w:val="en-US" w:eastAsia="zh-CN"/>
              </w:rPr>
              <w:t>项目修磨采用集气罩，每个集气罩长宽为3.8×1.2m</w:t>
            </w:r>
            <w:r>
              <w:rPr>
                <w:rFonts w:hint="eastAsia"/>
                <w:color w:val="auto"/>
                <w:sz w:val="24"/>
                <w:szCs w:val="20"/>
                <w:highlight w:val="none"/>
              </w:rPr>
              <w:t>，</w:t>
            </w:r>
            <w:r>
              <w:rPr>
                <w:rFonts w:hint="default"/>
                <w:color w:val="auto"/>
                <w:sz w:val="24"/>
                <w:szCs w:val="20"/>
                <w:highlight w:val="none"/>
              </w:rPr>
              <w:t>根据规范要求，风速按1.2m/s设计，经计算</w:t>
            </w:r>
            <w:r>
              <w:rPr>
                <w:rFonts w:hint="eastAsia"/>
                <w:color w:val="auto"/>
                <w:sz w:val="24"/>
                <w:szCs w:val="20"/>
                <w:highlight w:val="none"/>
                <w:lang w:eastAsia="zh-CN"/>
              </w:rPr>
              <w:t>，</w:t>
            </w:r>
            <w:r>
              <w:rPr>
                <w:rFonts w:hint="eastAsia"/>
                <w:color w:val="auto"/>
                <w:sz w:val="24"/>
                <w:szCs w:val="20"/>
                <w:highlight w:val="none"/>
                <w:lang w:val="en-US" w:eastAsia="zh-CN"/>
              </w:rPr>
              <w:t>每个修磨机所需废气量为19699.2</w:t>
            </w:r>
            <w:r>
              <w:rPr>
                <w:rFonts w:hint="default"/>
                <w:color w:val="auto"/>
                <w:sz w:val="24"/>
                <w:szCs w:val="20"/>
                <w:highlight w:val="none"/>
              </w:rPr>
              <w:t>m³/h，项目</w:t>
            </w:r>
            <w:r>
              <w:rPr>
                <w:rFonts w:hint="eastAsia"/>
                <w:color w:val="auto"/>
                <w:sz w:val="24"/>
                <w:szCs w:val="20"/>
                <w:highlight w:val="none"/>
                <w:lang w:val="en-US" w:eastAsia="zh-CN"/>
              </w:rPr>
              <w:t>废气量</w:t>
            </w:r>
            <w:r>
              <w:rPr>
                <w:rFonts w:hint="default"/>
                <w:color w:val="auto"/>
                <w:sz w:val="24"/>
                <w:szCs w:val="20"/>
                <w:highlight w:val="none"/>
              </w:rPr>
              <w:t>约</w:t>
            </w:r>
            <w:r>
              <w:rPr>
                <w:rFonts w:hint="eastAsia"/>
                <w:color w:val="auto"/>
                <w:sz w:val="24"/>
                <w:szCs w:val="20"/>
                <w:highlight w:val="none"/>
                <w:lang w:val="en-US" w:eastAsia="zh-CN"/>
              </w:rPr>
              <w:t>为20000</w:t>
            </w:r>
            <w:r>
              <w:rPr>
                <w:rFonts w:hint="default"/>
                <w:color w:val="auto"/>
                <w:sz w:val="24"/>
                <w:szCs w:val="20"/>
                <w:highlight w:val="none"/>
              </w:rPr>
              <w:t>m³/h，可满足废气收集需求。</w:t>
            </w:r>
          </w:p>
          <w:p w14:paraId="0B2D5DC8">
            <w:pPr>
              <w:pStyle w:val="5"/>
              <w:keepNext w:val="0"/>
              <w:keepLines w:val="0"/>
              <w:suppressLineNumbers w:val="0"/>
              <w:adjustRightInd w:val="0"/>
              <w:snapToGrid w:val="0"/>
              <w:spacing w:before="0" w:beforeAutospacing="0" w:after="0" w:afterAutospacing="0" w:line="440" w:lineRule="exact"/>
              <w:ind w:left="0" w:right="0"/>
              <w:rPr>
                <w:rFonts w:hint="default"/>
                <w:color w:val="auto"/>
                <w:kern w:val="21"/>
                <w:sz w:val="24"/>
                <w:szCs w:val="20"/>
                <w:highlight w:val="none"/>
                <w:lang w:val="en-US" w:eastAsia="zh-CN"/>
              </w:rPr>
            </w:pPr>
            <w:r>
              <w:rPr>
                <w:rFonts w:hint="eastAsia"/>
                <w:color w:val="auto"/>
                <w:sz w:val="24"/>
                <w:szCs w:val="20"/>
                <w:highlight w:val="none"/>
              </w:rPr>
              <w:t>综上所述，</w:t>
            </w:r>
            <w:r>
              <w:rPr>
                <w:rFonts w:hint="eastAsia"/>
                <w:color w:val="auto"/>
                <w:sz w:val="24"/>
                <w:szCs w:val="20"/>
                <w:highlight w:val="none"/>
                <w:lang w:val="en-US" w:eastAsia="zh-CN"/>
              </w:rPr>
              <w:t>每套修磨废气</w:t>
            </w:r>
            <w:r>
              <w:rPr>
                <w:rFonts w:hint="eastAsia"/>
                <w:color w:val="auto"/>
                <w:sz w:val="24"/>
                <w:szCs w:val="20"/>
                <w:highlight w:val="none"/>
              </w:rPr>
              <w:t>中</w:t>
            </w:r>
            <w:r>
              <w:rPr>
                <w:rFonts w:hint="eastAsia"/>
                <w:color w:val="auto"/>
                <w:sz w:val="24"/>
                <w:szCs w:val="20"/>
                <w:highlight w:val="none"/>
                <w:lang w:val="en-US" w:eastAsia="zh-CN"/>
              </w:rPr>
              <w:t>颗粒物</w:t>
            </w:r>
            <w:r>
              <w:rPr>
                <w:rFonts w:hint="eastAsia"/>
                <w:color w:val="auto"/>
                <w:sz w:val="24"/>
                <w:szCs w:val="20"/>
                <w:highlight w:val="none"/>
              </w:rPr>
              <w:t>产生量为</w:t>
            </w:r>
            <w:r>
              <w:rPr>
                <w:rFonts w:hint="eastAsia"/>
                <w:color w:val="auto"/>
                <w:sz w:val="24"/>
                <w:szCs w:val="20"/>
                <w:highlight w:val="none"/>
                <w:lang w:val="en-US" w:eastAsia="zh-CN"/>
              </w:rPr>
              <w:t>275.6772</w:t>
            </w:r>
            <w:r>
              <w:rPr>
                <w:rFonts w:hint="eastAsia"/>
                <w:color w:val="auto"/>
                <w:sz w:val="24"/>
                <w:szCs w:val="20"/>
                <w:highlight w:val="none"/>
              </w:rPr>
              <w:t>t/a，收集量为</w:t>
            </w:r>
            <w:r>
              <w:rPr>
                <w:rFonts w:hint="eastAsia"/>
                <w:color w:val="auto"/>
                <w:sz w:val="24"/>
                <w:szCs w:val="20"/>
                <w:highlight w:val="none"/>
                <w:lang w:val="en-US" w:eastAsia="zh-CN"/>
              </w:rPr>
              <w:t>248.109</w:t>
            </w:r>
            <w:r>
              <w:rPr>
                <w:rFonts w:hint="eastAsia"/>
                <w:color w:val="auto"/>
                <w:sz w:val="24"/>
                <w:szCs w:val="20"/>
                <w:highlight w:val="none"/>
              </w:rPr>
              <w:t>t/a，收集速率为</w:t>
            </w:r>
            <w:r>
              <w:rPr>
                <w:rFonts w:hint="eastAsia"/>
                <w:color w:val="auto"/>
                <w:sz w:val="24"/>
                <w:szCs w:val="20"/>
                <w:highlight w:val="none"/>
                <w:lang w:val="en-US" w:eastAsia="zh-CN"/>
              </w:rPr>
              <w:t>34.460</w:t>
            </w:r>
            <w:r>
              <w:rPr>
                <w:rFonts w:hint="eastAsia"/>
                <w:color w:val="auto"/>
                <w:sz w:val="24"/>
                <w:szCs w:val="20"/>
                <w:highlight w:val="none"/>
              </w:rPr>
              <w:t>kg/h，收集浓度为</w:t>
            </w:r>
            <w:r>
              <w:rPr>
                <w:rFonts w:hint="eastAsia"/>
                <w:color w:val="auto"/>
                <w:sz w:val="24"/>
                <w:szCs w:val="20"/>
                <w:highlight w:val="none"/>
                <w:lang w:val="en-US" w:eastAsia="zh-CN"/>
              </w:rPr>
              <w:t>1722.983</w:t>
            </w:r>
            <w:r>
              <w:rPr>
                <w:rFonts w:hint="default"/>
                <w:color w:val="auto"/>
                <w:sz w:val="24"/>
                <w:szCs w:val="20"/>
                <w:highlight w:val="none"/>
              </w:rPr>
              <w:t>mg/m</w:t>
            </w:r>
            <w:r>
              <w:rPr>
                <w:rFonts w:hint="default"/>
                <w:color w:val="auto"/>
                <w:sz w:val="24"/>
                <w:szCs w:val="20"/>
                <w:highlight w:val="none"/>
                <w:vertAlign w:val="superscript"/>
              </w:rPr>
              <w:t>3</w:t>
            </w:r>
            <w:r>
              <w:rPr>
                <w:rFonts w:hint="default"/>
                <w:color w:val="auto"/>
                <w:sz w:val="24"/>
                <w:szCs w:val="20"/>
                <w:highlight w:val="none"/>
              </w:rPr>
              <w:t>，</w:t>
            </w:r>
            <w:r>
              <w:rPr>
                <w:rFonts w:hint="eastAsia"/>
                <w:color w:val="auto"/>
                <w:sz w:val="24"/>
                <w:szCs w:val="20"/>
                <w:highlight w:val="none"/>
              </w:rPr>
              <w:t>排放量为</w:t>
            </w:r>
            <w:r>
              <w:rPr>
                <w:rFonts w:hint="eastAsia"/>
                <w:color w:val="auto"/>
                <w:sz w:val="24"/>
                <w:szCs w:val="20"/>
                <w:highlight w:val="none"/>
                <w:lang w:val="en-US" w:eastAsia="zh-CN"/>
              </w:rPr>
              <w:t>0.248</w:t>
            </w:r>
            <w:r>
              <w:rPr>
                <w:rFonts w:hint="eastAsia"/>
                <w:color w:val="auto"/>
                <w:sz w:val="24"/>
                <w:szCs w:val="20"/>
                <w:highlight w:val="none"/>
              </w:rPr>
              <w:t>t/a，</w:t>
            </w:r>
            <w:r>
              <w:rPr>
                <w:rFonts w:hint="default"/>
                <w:color w:val="auto"/>
                <w:sz w:val="24"/>
                <w:szCs w:val="20"/>
                <w:highlight w:val="none"/>
              </w:rPr>
              <w:t>排放速率为</w:t>
            </w:r>
            <w:r>
              <w:rPr>
                <w:rFonts w:hint="eastAsia"/>
                <w:color w:val="auto"/>
                <w:sz w:val="24"/>
                <w:szCs w:val="20"/>
                <w:highlight w:val="none"/>
                <w:lang w:val="en-US" w:eastAsia="zh-CN"/>
              </w:rPr>
              <w:t>7.2</w:t>
            </w:r>
            <w:r>
              <w:rPr>
                <w:rFonts w:hint="default"/>
                <w:color w:val="auto"/>
                <w:sz w:val="24"/>
                <w:szCs w:val="20"/>
                <w:highlight w:val="none"/>
              </w:rPr>
              <w:t>kg/h</w:t>
            </w:r>
            <w:r>
              <w:rPr>
                <w:rFonts w:hint="eastAsia"/>
                <w:color w:val="auto"/>
                <w:sz w:val="24"/>
                <w:szCs w:val="20"/>
                <w:highlight w:val="none"/>
              </w:rPr>
              <w:t>，</w:t>
            </w:r>
            <w:r>
              <w:rPr>
                <w:rFonts w:hint="default"/>
                <w:color w:val="auto"/>
                <w:sz w:val="24"/>
                <w:szCs w:val="20"/>
                <w:highlight w:val="none"/>
              </w:rPr>
              <w:t>排放浓度为</w:t>
            </w:r>
            <w:r>
              <w:rPr>
                <w:rFonts w:hint="eastAsia"/>
                <w:color w:val="auto"/>
                <w:sz w:val="24"/>
                <w:szCs w:val="20"/>
                <w:highlight w:val="none"/>
                <w:lang w:val="en-US" w:eastAsia="zh-CN"/>
              </w:rPr>
              <w:t>1.72</w:t>
            </w:r>
            <w:r>
              <w:rPr>
                <w:rFonts w:hint="default"/>
                <w:color w:val="auto"/>
                <w:sz w:val="24"/>
                <w:szCs w:val="20"/>
                <w:highlight w:val="none"/>
              </w:rPr>
              <w:t>mg/m</w:t>
            </w:r>
            <w:r>
              <w:rPr>
                <w:rFonts w:hint="default"/>
                <w:color w:val="auto"/>
                <w:sz w:val="24"/>
                <w:szCs w:val="20"/>
                <w:highlight w:val="none"/>
                <w:vertAlign w:val="superscript"/>
              </w:rPr>
              <w:t>3</w:t>
            </w:r>
            <w:r>
              <w:rPr>
                <w:rFonts w:hint="eastAsia"/>
                <w:color w:val="auto"/>
                <w:sz w:val="24"/>
                <w:szCs w:val="20"/>
                <w:highlight w:val="none"/>
                <w:lang w:eastAsia="zh-CN"/>
              </w:rPr>
              <w:t>，</w:t>
            </w:r>
            <w:r>
              <w:rPr>
                <w:rFonts w:hint="eastAsia"/>
                <w:color w:val="auto"/>
                <w:sz w:val="24"/>
                <w:szCs w:val="20"/>
                <w:highlight w:val="none"/>
                <w:lang w:val="en-US" w:eastAsia="zh-CN"/>
              </w:rPr>
              <w:t>颗粒物排放浓度及速率均满足</w:t>
            </w:r>
            <w:r>
              <w:rPr>
                <w:rFonts w:hint="eastAsia"/>
                <w:color w:val="auto"/>
                <w:sz w:val="24"/>
                <w:szCs w:val="20"/>
                <w:highlight w:val="none"/>
                <w:lang w:eastAsia="zh-CN"/>
              </w:rPr>
              <w:t>《大气污染物综合排放标准》（GB16297-1996）表2（其他）二级标准</w:t>
            </w:r>
            <w:r>
              <w:rPr>
                <w:rFonts w:hint="eastAsia"/>
                <w:color w:val="auto"/>
                <w:kern w:val="21"/>
                <w:sz w:val="24"/>
                <w:szCs w:val="20"/>
                <w:highlight w:val="none"/>
                <w:lang w:val="en-US" w:eastAsia="zh-CN"/>
              </w:rPr>
              <w:t>。</w:t>
            </w:r>
          </w:p>
          <w:p w14:paraId="157A0339">
            <w:pPr>
              <w:pStyle w:val="46"/>
              <w:keepNext w:val="0"/>
              <w:keepLines w:val="0"/>
              <w:suppressLineNumbers w:val="0"/>
              <w:spacing w:before="0" w:beforeAutospacing="0" w:after="0" w:afterAutospacing="0"/>
              <w:ind w:left="0" w:leftChars="0" w:right="0" w:firstLine="0" w:firstLineChars="0"/>
              <w:jc w:val="center"/>
              <w:rPr>
                <w:rFonts w:hint="default" w:ascii="Times New Roman" w:hAnsi="Times New Roman" w:eastAsia="宋体" w:cs="Times New Roman"/>
                <w:b/>
                <w:smallCaps w:val="0"/>
                <w:color w:val="auto"/>
                <w:kern w:val="2"/>
                <w:sz w:val="24"/>
                <w:szCs w:val="24"/>
                <w:highlight w:val="none"/>
                <w:lang w:val="en-US" w:eastAsia="zh-CN" w:bidi="ar-SA"/>
              </w:rPr>
            </w:pPr>
            <w:r>
              <w:rPr>
                <w:rFonts w:hint="default" w:ascii="Times New Roman" w:hAnsi="Times New Roman" w:eastAsia="宋体" w:cs="Times New Roman"/>
                <w:b/>
                <w:smallCaps w:val="0"/>
                <w:color w:val="auto"/>
                <w:kern w:val="2"/>
                <w:sz w:val="24"/>
                <w:szCs w:val="24"/>
                <w:highlight w:val="none"/>
                <w:lang w:val="en-US" w:eastAsia="zh-CN" w:bidi="ar-SA"/>
              </w:rPr>
              <w:t>表</w:t>
            </w:r>
            <w:r>
              <w:rPr>
                <w:rFonts w:hint="eastAsia" w:ascii="Times New Roman" w:hAnsi="Times New Roman" w:eastAsia="宋体" w:cs="Times New Roman"/>
                <w:b/>
                <w:smallCaps w:val="0"/>
                <w:color w:val="auto"/>
                <w:kern w:val="2"/>
                <w:sz w:val="24"/>
                <w:szCs w:val="24"/>
                <w:highlight w:val="none"/>
                <w:lang w:val="en-US" w:eastAsia="zh-CN" w:bidi="ar-SA"/>
              </w:rPr>
              <w:t>4-1</w:t>
            </w:r>
            <w:r>
              <w:rPr>
                <w:rFonts w:hint="default" w:ascii="Times New Roman" w:hAnsi="Times New Roman" w:eastAsia="宋体" w:cs="Times New Roman"/>
                <w:b/>
                <w:smallCaps w:val="0"/>
                <w:color w:val="auto"/>
                <w:kern w:val="2"/>
                <w:sz w:val="24"/>
                <w:szCs w:val="24"/>
                <w:highlight w:val="none"/>
                <w:lang w:val="en-US" w:eastAsia="zh-CN" w:bidi="ar-SA"/>
              </w:rPr>
              <w:t xml:space="preserve">   </w:t>
            </w:r>
            <w:r>
              <w:rPr>
                <w:rFonts w:hint="eastAsia" w:ascii="Times New Roman" w:hAnsi="Times New Roman" w:eastAsia="宋体" w:cs="Times New Roman"/>
                <w:b/>
                <w:smallCaps w:val="0"/>
                <w:color w:val="auto"/>
                <w:kern w:val="2"/>
                <w:sz w:val="24"/>
                <w:szCs w:val="24"/>
                <w:highlight w:val="none"/>
                <w:lang w:val="en-US" w:eastAsia="zh-CN" w:bidi="ar-SA"/>
              </w:rPr>
              <w:t>项目</w:t>
            </w:r>
            <w:r>
              <w:rPr>
                <w:rFonts w:hint="eastAsia" w:ascii="Times New Roman" w:cs="Times New Roman"/>
                <w:b/>
                <w:smallCaps w:val="0"/>
                <w:color w:val="auto"/>
                <w:kern w:val="2"/>
                <w:sz w:val="24"/>
                <w:szCs w:val="24"/>
                <w:highlight w:val="none"/>
                <w:lang w:val="en-US" w:eastAsia="zh-CN" w:bidi="ar-SA"/>
              </w:rPr>
              <w:t>修磨废气汇总表</w:t>
            </w:r>
          </w:p>
          <w:tbl>
            <w:tblPr>
              <w:tblStyle w:val="47"/>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28" w:type="dxa"/>
                <w:bottom w:w="0" w:type="dxa"/>
                <w:right w:w="28" w:type="dxa"/>
              </w:tblCellMar>
            </w:tblPr>
            <w:tblGrid>
              <w:gridCol w:w="1812"/>
              <w:gridCol w:w="2026"/>
              <w:gridCol w:w="2340"/>
              <w:gridCol w:w="1660"/>
            </w:tblGrid>
            <w:tr w14:paraId="510A49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97" w:hRule="atLeast"/>
                <w:jc w:val="center"/>
              </w:trPr>
              <w:tc>
                <w:tcPr>
                  <w:tcW w:w="1812" w:type="dxa"/>
                  <w:noWrap w:val="0"/>
                  <w:vAlign w:val="center"/>
                </w:tcPr>
                <w:p w14:paraId="66310CAC">
                  <w:pPr>
                    <w:keepNext w:val="0"/>
                    <w:keepLines w:val="0"/>
                    <w:suppressLineNumbers w:val="0"/>
                    <w:spacing w:before="0" w:beforeAutospacing="0" w:after="0" w:afterAutospacing="0"/>
                    <w:ind w:left="0" w:right="0"/>
                    <w:jc w:val="center"/>
                    <w:rPr>
                      <w:rFonts w:hint="default" w:eastAsia="宋体"/>
                      <w:bCs/>
                      <w:smallCaps w:val="0"/>
                      <w:color w:val="auto"/>
                      <w:szCs w:val="20"/>
                      <w:highlight w:val="none"/>
                      <w:lang w:val="en-US" w:eastAsia="zh-CN"/>
                    </w:rPr>
                  </w:pPr>
                  <w:r>
                    <w:rPr>
                      <w:rFonts w:hint="eastAsia"/>
                      <w:bCs/>
                      <w:smallCaps w:val="0"/>
                      <w:color w:val="auto"/>
                      <w:szCs w:val="20"/>
                      <w:highlight w:val="none"/>
                      <w:lang w:val="en-US" w:eastAsia="zh-CN"/>
                    </w:rPr>
                    <w:t>产排污节点</w:t>
                  </w:r>
                </w:p>
              </w:tc>
              <w:tc>
                <w:tcPr>
                  <w:tcW w:w="2026" w:type="dxa"/>
                  <w:noWrap w:val="0"/>
                  <w:vAlign w:val="center"/>
                </w:tcPr>
                <w:p w14:paraId="251C1077">
                  <w:pPr>
                    <w:keepNext w:val="0"/>
                    <w:keepLines w:val="0"/>
                    <w:suppressLineNumbers w:val="0"/>
                    <w:spacing w:before="0" w:beforeAutospacing="0" w:after="0" w:afterAutospacing="0"/>
                    <w:ind w:left="0" w:right="0"/>
                    <w:jc w:val="center"/>
                    <w:rPr>
                      <w:rFonts w:hint="default" w:eastAsia="宋体"/>
                      <w:bCs/>
                      <w:smallCaps w:val="0"/>
                      <w:color w:val="auto"/>
                      <w:szCs w:val="20"/>
                      <w:highlight w:val="none"/>
                      <w:lang w:val="en-US" w:eastAsia="zh-CN"/>
                    </w:rPr>
                  </w:pPr>
                  <w:r>
                    <w:rPr>
                      <w:rFonts w:hint="eastAsia"/>
                      <w:bCs/>
                      <w:smallCaps w:val="0"/>
                      <w:color w:val="auto"/>
                      <w:szCs w:val="20"/>
                      <w:highlight w:val="none"/>
                      <w:lang w:val="en-US" w:eastAsia="zh-CN"/>
                    </w:rPr>
                    <w:t>产生量t/a</w:t>
                  </w:r>
                </w:p>
              </w:tc>
              <w:tc>
                <w:tcPr>
                  <w:tcW w:w="2340" w:type="dxa"/>
                  <w:noWrap w:val="0"/>
                  <w:vAlign w:val="center"/>
                </w:tcPr>
                <w:p w14:paraId="36CF3F04">
                  <w:pPr>
                    <w:keepNext w:val="0"/>
                    <w:keepLines w:val="0"/>
                    <w:suppressLineNumbers w:val="0"/>
                    <w:spacing w:before="0" w:beforeAutospacing="0" w:after="0" w:afterAutospacing="0"/>
                    <w:ind w:left="0" w:right="0"/>
                    <w:jc w:val="center"/>
                    <w:rPr>
                      <w:rFonts w:hint="default" w:eastAsia="宋体"/>
                      <w:bCs/>
                      <w:smallCaps w:val="0"/>
                      <w:color w:val="auto"/>
                      <w:szCs w:val="20"/>
                      <w:highlight w:val="none"/>
                      <w:lang w:val="en-US" w:eastAsia="zh-CN"/>
                    </w:rPr>
                  </w:pPr>
                  <w:r>
                    <w:rPr>
                      <w:rFonts w:hint="eastAsia"/>
                      <w:bCs/>
                      <w:smallCaps w:val="0"/>
                      <w:color w:val="auto"/>
                      <w:szCs w:val="20"/>
                      <w:highlight w:val="none"/>
                      <w:lang w:val="en-US" w:eastAsia="zh-CN"/>
                    </w:rPr>
                    <w:t>排放量t/a</w:t>
                  </w:r>
                </w:p>
              </w:tc>
              <w:tc>
                <w:tcPr>
                  <w:tcW w:w="1660" w:type="dxa"/>
                  <w:noWrap w:val="0"/>
                  <w:vAlign w:val="center"/>
                </w:tcPr>
                <w:p w14:paraId="61593706">
                  <w:pPr>
                    <w:keepNext w:val="0"/>
                    <w:keepLines w:val="0"/>
                    <w:suppressLineNumbers w:val="0"/>
                    <w:spacing w:before="0" w:beforeAutospacing="0" w:after="0" w:afterAutospacing="0"/>
                    <w:ind w:left="0" w:right="0"/>
                    <w:jc w:val="center"/>
                    <w:rPr>
                      <w:rFonts w:hint="default" w:eastAsia="宋体"/>
                      <w:bCs/>
                      <w:smallCaps w:val="0"/>
                      <w:color w:val="auto"/>
                      <w:szCs w:val="20"/>
                      <w:highlight w:val="none"/>
                      <w:lang w:val="en-US" w:eastAsia="zh-CN"/>
                    </w:rPr>
                  </w:pPr>
                  <w:r>
                    <w:rPr>
                      <w:rFonts w:hint="eastAsia"/>
                      <w:bCs/>
                      <w:smallCaps w:val="0"/>
                      <w:color w:val="auto"/>
                      <w:szCs w:val="20"/>
                      <w:highlight w:val="none"/>
                      <w:lang w:val="en-US" w:eastAsia="zh-CN"/>
                    </w:rPr>
                    <w:t>排放速率kg/h</w:t>
                  </w:r>
                </w:p>
              </w:tc>
            </w:tr>
            <w:tr w14:paraId="6558A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21" w:hRule="atLeast"/>
                <w:jc w:val="center"/>
              </w:trPr>
              <w:tc>
                <w:tcPr>
                  <w:tcW w:w="1812" w:type="dxa"/>
                  <w:noWrap w:val="0"/>
                  <w:vAlign w:val="center"/>
                </w:tcPr>
                <w:p w14:paraId="6DACE408">
                  <w:pPr>
                    <w:keepNext w:val="0"/>
                    <w:keepLines w:val="0"/>
                    <w:suppressLineNumbers w:val="0"/>
                    <w:spacing w:before="0" w:beforeAutospacing="0" w:after="0" w:afterAutospacing="0"/>
                    <w:ind w:left="0" w:right="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1#修磨废气</w:t>
                  </w:r>
                </w:p>
              </w:tc>
              <w:tc>
                <w:tcPr>
                  <w:tcW w:w="2026" w:type="dxa"/>
                  <w:noWrap w:val="0"/>
                  <w:vAlign w:val="center"/>
                </w:tcPr>
                <w:p w14:paraId="5D6F3AAC">
                  <w:pPr>
                    <w:keepNext w:val="0"/>
                    <w:keepLines w:val="0"/>
                    <w:suppressLineNumbers w:val="0"/>
                    <w:spacing w:before="0" w:beforeAutospacing="0" w:after="0" w:afterAutospacing="0"/>
                    <w:ind w:left="0" w:right="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275.6772</w:t>
                  </w:r>
                </w:p>
              </w:tc>
              <w:tc>
                <w:tcPr>
                  <w:tcW w:w="2340" w:type="dxa"/>
                  <w:noWrap w:val="0"/>
                  <w:vAlign w:val="center"/>
                </w:tcPr>
                <w:p w14:paraId="34724B7D">
                  <w:pPr>
                    <w:keepNext w:val="0"/>
                    <w:keepLines w:val="0"/>
                    <w:suppressLineNumbers w:val="0"/>
                    <w:spacing w:before="0" w:beforeAutospacing="0" w:after="0" w:afterAutospacing="0"/>
                    <w:ind w:left="0" w:right="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0.248</w:t>
                  </w:r>
                </w:p>
              </w:tc>
              <w:tc>
                <w:tcPr>
                  <w:tcW w:w="1660" w:type="dxa"/>
                  <w:noWrap w:val="0"/>
                  <w:vAlign w:val="center"/>
                </w:tcPr>
                <w:p w14:paraId="082763C8">
                  <w:pPr>
                    <w:keepNext w:val="0"/>
                    <w:keepLines w:val="0"/>
                    <w:suppressLineNumbers w:val="0"/>
                    <w:spacing w:before="0" w:beforeAutospacing="0" w:after="0" w:afterAutospacing="0"/>
                    <w:ind w:left="0" w:right="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7.2</w:t>
                  </w:r>
                </w:p>
              </w:tc>
            </w:tr>
            <w:tr w14:paraId="28A19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21" w:hRule="atLeast"/>
                <w:jc w:val="center"/>
              </w:trPr>
              <w:tc>
                <w:tcPr>
                  <w:tcW w:w="1812" w:type="dxa"/>
                  <w:noWrap w:val="0"/>
                  <w:vAlign w:val="center"/>
                </w:tcPr>
                <w:p w14:paraId="06DDE414">
                  <w:pPr>
                    <w:keepNext w:val="0"/>
                    <w:keepLines w:val="0"/>
                    <w:suppressLineNumbers w:val="0"/>
                    <w:spacing w:before="0" w:beforeAutospacing="0" w:after="0" w:afterAutospacing="0"/>
                    <w:ind w:left="0" w:right="0"/>
                    <w:jc w:val="center"/>
                    <w:rPr>
                      <w:rFonts w:hint="eastAsia" w:eastAsia="宋体"/>
                      <w:smallCaps w:val="0"/>
                      <w:color w:val="auto"/>
                      <w:szCs w:val="20"/>
                      <w:highlight w:val="none"/>
                      <w:lang w:eastAsia="zh-CN"/>
                    </w:rPr>
                  </w:pPr>
                  <w:r>
                    <w:rPr>
                      <w:rFonts w:hint="eastAsia"/>
                      <w:smallCaps w:val="0"/>
                      <w:color w:val="auto"/>
                      <w:szCs w:val="20"/>
                      <w:highlight w:val="none"/>
                      <w:lang w:val="en-US" w:eastAsia="zh-CN"/>
                    </w:rPr>
                    <w:t>2#修磨废气</w:t>
                  </w:r>
                </w:p>
              </w:tc>
              <w:tc>
                <w:tcPr>
                  <w:tcW w:w="2026" w:type="dxa"/>
                  <w:noWrap w:val="0"/>
                  <w:vAlign w:val="center"/>
                </w:tcPr>
                <w:p w14:paraId="5460A654">
                  <w:pPr>
                    <w:keepNext w:val="0"/>
                    <w:keepLines w:val="0"/>
                    <w:suppressLineNumbers w:val="0"/>
                    <w:spacing w:before="0" w:beforeAutospacing="0" w:after="0" w:afterAutospacing="0"/>
                    <w:ind w:left="0" w:leftChars="0" w:right="0" w:rightChars="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275.6772</w:t>
                  </w:r>
                </w:p>
              </w:tc>
              <w:tc>
                <w:tcPr>
                  <w:tcW w:w="2340" w:type="dxa"/>
                  <w:noWrap w:val="0"/>
                  <w:vAlign w:val="center"/>
                </w:tcPr>
                <w:p w14:paraId="12B41B65">
                  <w:pPr>
                    <w:keepNext w:val="0"/>
                    <w:keepLines w:val="0"/>
                    <w:suppressLineNumbers w:val="0"/>
                    <w:spacing w:before="0" w:beforeAutospacing="0" w:after="0" w:afterAutospacing="0"/>
                    <w:ind w:left="0" w:leftChars="0" w:right="0" w:rightChars="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0.248</w:t>
                  </w:r>
                </w:p>
              </w:tc>
              <w:tc>
                <w:tcPr>
                  <w:tcW w:w="1660" w:type="dxa"/>
                  <w:noWrap w:val="0"/>
                  <w:vAlign w:val="center"/>
                </w:tcPr>
                <w:p w14:paraId="3DED1509">
                  <w:pPr>
                    <w:keepNext w:val="0"/>
                    <w:keepLines w:val="0"/>
                    <w:suppressLineNumbers w:val="0"/>
                    <w:spacing w:before="0" w:beforeAutospacing="0" w:after="0" w:afterAutospacing="0"/>
                    <w:ind w:left="0" w:leftChars="0" w:right="0" w:rightChars="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7.2</w:t>
                  </w:r>
                </w:p>
              </w:tc>
            </w:tr>
            <w:tr w14:paraId="70BEB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21" w:hRule="atLeast"/>
                <w:jc w:val="center"/>
              </w:trPr>
              <w:tc>
                <w:tcPr>
                  <w:tcW w:w="1812" w:type="dxa"/>
                  <w:noWrap w:val="0"/>
                  <w:vAlign w:val="center"/>
                </w:tcPr>
                <w:p w14:paraId="3D31D7B4">
                  <w:pPr>
                    <w:keepNext w:val="0"/>
                    <w:keepLines w:val="0"/>
                    <w:suppressLineNumbers w:val="0"/>
                    <w:spacing w:before="0" w:beforeAutospacing="0" w:after="0" w:afterAutospacing="0"/>
                    <w:ind w:left="0" w:right="0"/>
                    <w:jc w:val="center"/>
                    <w:rPr>
                      <w:rFonts w:hint="default"/>
                      <w:smallCaps w:val="0"/>
                      <w:color w:val="auto"/>
                      <w:szCs w:val="20"/>
                      <w:highlight w:val="none"/>
                      <w:lang w:val="en-US" w:eastAsia="zh-CN"/>
                    </w:rPr>
                  </w:pPr>
                  <w:r>
                    <w:rPr>
                      <w:rFonts w:hint="eastAsia"/>
                      <w:smallCaps w:val="0"/>
                      <w:color w:val="auto"/>
                      <w:szCs w:val="20"/>
                      <w:highlight w:val="none"/>
                      <w:lang w:val="en-US" w:eastAsia="zh-CN"/>
                    </w:rPr>
                    <w:t>3#修磨废气</w:t>
                  </w:r>
                </w:p>
              </w:tc>
              <w:tc>
                <w:tcPr>
                  <w:tcW w:w="2026" w:type="dxa"/>
                  <w:noWrap w:val="0"/>
                  <w:vAlign w:val="center"/>
                </w:tcPr>
                <w:p w14:paraId="11898FAF">
                  <w:pPr>
                    <w:keepNext w:val="0"/>
                    <w:keepLines w:val="0"/>
                    <w:suppressLineNumbers w:val="0"/>
                    <w:spacing w:before="0" w:beforeAutospacing="0" w:after="0" w:afterAutospacing="0"/>
                    <w:ind w:left="0" w:leftChars="0" w:right="0" w:rightChars="0"/>
                    <w:jc w:val="center"/>
                    <w:rPr>
                      <w:rFonts w:hint="default"/>
                      <w:smallCaps w:val="0"/>
                      <w:color w:val="auto"/>
                      <w:szCs w:val="20"/>
                      <w:highlight w:val="none"/>
                      <w:lang w:val="en-US" w:eastAsia="zh-CN"/>
                    </w:rPr>
                  </w:pPr>
                  <w:r>
                    <w:rPr>
                      <w:rFonts w:hint="eastAsia"/>
                      <w:smallCaps w:val="0"/>
                      <w:color w:val="auto"/>
                      <w:szCs w:val="20"/>
                      <w:highlight w:val="none"/>
                      <w:lang w:val="en-US" w:eastAsia="zh-CN"/>
                    </w:rPr>
                    <w:t>275.6772</w:t>
                  </w:r>
                </w:p>
              </w:tc>
              <w:tc>
                <w:tcPr>
                  <w:tcW w:w="2340" w:type="dxa"/>
                  <w:noWrap w:val="0"/>
                  <w:vAlign w:val="center"/>
                </w:tcPr>
                <w:p w14:paraId="47424FA8">
                  <w:pPr>
                    <w:keepNext w:val="0"/>
                    <w:keepLines w:val="0"/>
                    <w:suppressLineNumbers w:val="0"/>
                    <w:spacing w:before="0" w:beforeAutospacing="0" w:after="0" w:afterAutospacing="0"/>
                    <w:ind w:left="0" w:leftChars="0" w:right="0" w:rightChars="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0.248</w:t>
                  </w:r>
                </w:p>
              </w:tc>
              <w:tc>
                <w:tcPr>
                  <w:tcW w:w="1660" w:type="dxa"/>
                  <w:noWrap w:val="0"/>
                  <w:vAlign w:val="center"/>
                </w:tcPr>
                <w:p w14:paraId="1D4FBAC9">
                  <w:pPr>
                    <w:keepNext w:val="0"/>
                    <w:keepLines w:val="0"/>
                    <w:suppressLineNumbers w:val="0"/>
                    <w:spacing w:before="0" w:beforeAutospacing="0" w:after="0" w:afterAutospacing="0"/>
                    <w:ind w:left="0" w:leftChars="0" w:right="0" w:rightChars="0"/>
                    <w:jc w:val="center"/>
                    <w:rPr>
                      <w:rFonts w:hint="default"/>
                      <w:smallCaps w:val="0"/>
                      <w:color w:val="auto"/>
                      <w:szCs w:val="20"/>
                      <w:highlight w:val="none"/>
                      <w:lang w:val="en-US" w:eastAsia="zh-CN"/>
                    </w:rPr>
                  </w:pPr>
                  <w:r>
                    <w:rPr>
                      <w:rFonts w:hint="eastAsia"/>
                      <w:smallCaps w:val="0"/>
                      <w:color w:val="auto"/>
                      <w:szCs w:val="20"/>
                      <w:highlight w:val="none"/>
                      <w:lang w:val="en-US" w:eastAsia="zh-CN"/>
                    </w:rPr>
                    <w:t>7.2</w:t>
                  </w:r>
                </w:p>
              </w:tc>
            </w:tr>
            <w:tr w14:paraId="1AF31D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21" w:hRule="atLeast"/>
                <w:jc w:val="center"/>
              </w:trPr>
              <w:tc>
                <w:tcPr>
                  <w:tcW w:w="1812" w:type="dxa"/>
                  <w:noWrap w:val="0"/>
                  <w:vAlign w:val="center"/>
                </w:tcPr>
                <w:p w14:paraId="2818186F">
                  <w:pPr>
                    <w:keepNext w:val="0"/>
                    <w:keepLines w:val="0"/>
                    <w:suppressLineNumbers w:val="0"/>
                    <w:spacing w:before="0" w:beforeAutospacing="0" w:after="0" w:afterAutospacing="0"/>
                    <w:ind w:left="0" w:right="0"/>
                    <w:jc w:val="center"/>
                    <w:rPr>
                      <w:rFonts w:hint="default"/>
                      <w:smallCaps w:val="0"/>
                      <w:color w:val="auto"/>
                      <w:szCs w:val="20"/>
                      <w:highlight w:val="none"/>
                    </w:rPr>
                  </w:pPr>
                  <w:r>
                    <w:rPr>
                      <w:rFonts w:hint="eastAsia"/>
                      <w:smallCaps w:val="0"/>
                      <w:color w:val="auto"/>
                      <w:szCs w:val="20"/>
                      <w:highlight w:val="none"/>
                      <w:lang w:val="en-US" w:eastAsia="zh-CN"/>
                    </w:rPr>
                    <w:t>4#修磨废气</w:t>
                  </w:r>
                </w:p>
              </w:tc>
              <w:tc>
                <w:tcPr>
                  <w:tcW w:w="2026" w:type="dxa"/>
                  <w:noWrap w:val="0"/>
                  <w:vAlign w:val="center"/>
                </w:tcPr>
                <w:p w14:paraId="7AEF8D84">
                  <w:pPr>
                    <w:keepNext w:val="0"/>
                    <w:keepLines w:val="0"/>
                    <w:suppressLineNumbers w:val="0"/>
                    <w:spacing w:before="0" w:beforeAutospacing="0" w:after="0" w:afterAutospacing="0"/>
                    <w:ind w:left="0" w:leftChars="0" w:right="0" w:rightChars="0"/>
                    <w:jc w:val="center"/>
                    <w:rPr>
                      <w:rFonts w:hint="default"/>
                      <w:smallCaps w:val="0"/>
                      <w:color w:val="auto"/>
                      <w:szCs w:val="20"/>
                      <w:highlight w:val="none"/>
                    </w:rPr>
                  </w:pPr>
                  <w:r>
                    <w:rPr>
                      <w:rFonts w:hint="eastAsia"/>
                      <w:smallCaps w:val="0"/>
                      <w:color w:val="auto"/>
                      <w:szCs w:val="20"/>
                      <w:highlight w:val="none"/>
                      <w:lang w:val="en-US" w:eastAsia="zh-CN"/>
                    </w:rPr>
                    <w:t>275.6772</w:t>
                  </w:r>
                </w:p>
              </w:tc>
              <w:tc>
                <w:tcPr>
                  <w:tcW w:w="2340" w:type="dxa"/>
                  <w:noWrap w:val="0"/>
                  <w:vAlign w:val="center"/>
                </w:tcPr>
                <w:p w14:paraId="77A77258">
                  <w:pPr>
                    <w:keepNext w:val="0"/>
                    <w:keepLines w:val="0"/>
                    <w:suppressLineNumbers w:val="0"/>
                    <w:spacing w:before="0" w:beforeAutospacing="0" w:after="0" w:afterAutospacing="0"/>
                    <w:ind w:left="0" w:leftChars="0" w:right="0" w:rightChars="0"/>
                    <w:jc w:val="center"/>
                    <w:rPr>
                      <w:rFonts w:hint="default"/>
                      <w:smallCaps w:val="0"/>
                      <w:color w:val="auto"/>
                      <w:szCs w:val="20"/>
                      <w:highlight w:val="none"/>
                    </w:rPr>
                  </w:pPr>
                  <w:r>
                    <w:rPr>
                      <w:rFonts w:hint="eastAsia"/>
                      <w:smallCaps w:val="0"/>
                      <w:color w:val="auto"/>
                      <w:szCs w:val="20"/>
                      <w:highlight w:val="none"/>
                      <w:lang w:val="en-US" w:eastAsia="zh-CN"/>
                    </w:rPr>
                    <w:t>0.248</w:t>
                  </w:r>
                </w:p>
              </w:tc>
              <w:tc>
                <w:tcPr>
                  <w:tcW w:w="1660" w:type="dxa"/>
                  <w:noWrap w:val="0"/>
                  <w:vAlign w:val="center"/>
                </w:tcPr>
                <w:p w14:paraId="0E36AE1D">
                  <w:pPr>
                    <w:keepNext w:val="0"/>
                    <w:keepLines w:val="0"/>
                    <w:suppressLineNumbers w:val="0"/>
                    <w:spacing w:before="0" w:beforeAutospacing="0" w:after="0" w:afterAutospacing="0"/>
                    <w:ind w:left="0" w:leftChars="0" w:right="0" w:rightChars="0"/>
                    <w:jc w:val="center"/>
                    <w:rPr>
                      <w:rFonts w:hint="default"/>
                      <w:smallCaps w:val="0"/>
                      <w:color w:val="auto"/>
                      <w:szCs w:val="20"/>
                      <w:highlight w:val="none"/>
                    </w:rPr>
                  </w:pPr>
                  <w:r>
                    <w:rPr>
                      <w:rFonts w:hint="eastAsia"/>
                      <w:smallCaps w:val="0"/>
                      <w:color w:val="auto"/>
                      <w:szCs w:val="20"/>
                      <w:highlight w:val="none"/>
                      <w:lang w:val="en-US" w:eastAsia="zh-CN"/>
                    </w:rPr>
                    <w:t>7.2</w:t>
                  </w:r>
                </w:p>
              </w:tc>
            </w:tr>
            <w:tr w14:paraId="074BA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21" w:hRule="atLeast"/>
                <w:jc w:val="center"/>
              </w:trPr>
              <w:tc>
                <w:tcPr>
                  <w:tcW w:w="1812" w:type="dxa"/>
                  <w:noWrap w:val="0"/>
                  <w:vAlign w:val="center"/>
                </w:tcPr>
                <w:p w14:paraId="56F12675">
                  <w:pPr>
                    <w:keepNext w:val="0"/>
                    <w:keepLines w:val="0"/>
                    <w:suppressLineNumbers w:val="0"/>
                    <w:spacing w:before="0" w:beforeAutospacing="0" w:after="0" w:afterAutospacing="0"/>
                    <w:ind w:left="0" w:right="0"/>
                    <w:jc w:val="center"/>
                    <w:rPr>
                      <w:rFonts w:hint="eastAsia"/>
                      <w:smallCaps w:val="0"/>
                      <w:color w:val="auto"/>
                      <w:szCs w:val="20"/>
                      <w:highlight w:val="none"/>
                      <w:lang w:val="en-US" w:eastAsia="zh-CN"/>
                    </w:rPr>
                  </w:pPr>
                  <w:r>
                    <w:rPr>
                      <w:rFonts w:hint="eastAsia"/>
                      <w:smallCaps w:val="0"/>
                      <w:color w:val="auto"/>
                      <w:szCs w:val="20"/>
                      <w:highlight w:val="none"/>
                      <w:lang w:val="en-US" w:eastAsia="zh-CN"/>
                    </w:rPr>
                    <w:t>5#修磨废气</w:t>
                  </w:r>
                </w:p>
              </w:tc>
              <w:tc>
                <w:tcPr>
                  <w:tcW w:w="2026" w:type="dxa"/>
                  <w:noWrap w:val="0"/>
                  <w:vAlign w:val="center"/>
                </w:tcPr>
                <w:p w14:paraId="0BDF0BC8">
                  <w:pPr>
                    <w:keepNext w:val="0"/>
                    <w:keepLines w:val="0"/>
                    <w:suppressLineNumbers w:val="0"/>
                    <w:spacing w:before="0" w:beforeAutospacing="0" w:after="0" w:afterAutospacing="0"/>
                    <w:ind w:left="0" w:leftChars="0" w:right="0" w:rightChars="0"/>
                    <w:jc w:val="center"/>
                    <w:rPr>
                      <w:rFonts w:hint="default"/>
                      <w:smallCaps w:val="0"/>
                      <w:color w:val="auto"/>
                      <w:szCs w:val="20"/>
                      <w:highlight w:val="none"/>
                    </w:rPr>
                  </w:pPr>
                  <w:r>
                    <w:rPr>
                      <w:rFonts w:hint="eastAsia"/>
                      <w:smallCaps w:val="0"/>
                      <w:color w:val="auto"/>
                      <w:szCs w:val="20"/>
                      <w:highlight w:val="none"/>
                      <w:lang w:val="en-US" w:eastAsia="zh-CN"/>
                    </w:rPr>
                    <w:t>275.6772</w:t>
                  </w:r>
                </w:p>
              </w:tc>
              <w:tc>
                <w:tcPr>
                  <w:tcW w:w="2340" w:type="dxa"/>
                  <w:noWrap w:val="0"/>
                  <w:vAlign w:val="center"/>
                </w:tcPr>
                <w:p w14:paraId="5C62353B">
                  <w:pPr>
                    <w:keepNext w:val="0"/>
                    <w:keepLines w:val="0"/>
                    <w:suppressLineNumbers w:val="0"/>
                    <w:spacing w:before="0" w:beforeAutospacing="0" w:after="0" w:afterAutospacing="0"/>
                    <w:ind w:left="0" w:leftChars="0" w:right="0" w:rightChars="0"/>
                    <w:jc w:val="center"/>
                    <w:rPr>
                      <w:rFonts w:hint="default"/>
                      <w:smallCaps w:val="0"/>
                      <w:color w:val="auto"/>
                      <w:szCs w:val="20"/>
                      <w:highlight w:val="none"/>
                    </w:rPr>
                  </w:pPr>
                  <w:r>
                    <w:rPr>
                      <w:rFonts w:hint="eastAsia"/>
                      <w:smallCaps w:val="0"/>
                      <w:color w:val="auto"/>
                      <w:szCs w:val="20"/>
                      <w:highlight w:val="none"/>
                      <w:lang w:val="en-US" w:eastAsia="zh-CN"/>
                    </w:rPr>
                    <w:t>0.248</w:t>
                  </w:r>
                </w:p>
              </w:tc>
              <w:tc>
                <w:tcPr>
                  <w:tcW w:w="1660" w:type="dxa"/>
                  <w:noWrap w:val="0"/>
                  <w:vAlign w:val="center"/>
                </w:tcPr>
                <w:p w14:paraId="02C140B8">
                  <w:pPr>
                    <w:keepNext w:val="0"/>
                    <w:keepLines w:val="0"/>
                    <w:suppressLineNumbers w:val="0"/>
                    <w:spacing w:before="0" w:beforeAutospacing="0" w:after="0" w:afterAutospacing="0"/>
                    <w:ind w:left="0" w:leftChars="0" w:right="0" w:rightChars="0"/>
                    <w:jc w:val="center"/>
                    <w:rPr>
                      <w:rFonts w:hint="default"/>
                      <w:smallCaps w:val="0"/>
                      <w:color w:val="auto"/>
                      <w:szCs w:val="20"/>
                      <w:highlight w:val="none"/>
                    </w:rPr>
                  </w:pPr>
                  <w:r>
                    <w:rPr>
                      <w:rFonts w:hint="eastAsia"/>
                      <w:smallCaps w:val="0"/>
                      <w:color w:val="auto"/>
                      <w:szCs w:val="20"/>
                      <w:highlight w:val="none"/>
                      <w:lang w:val="en-US" w:eastAsia="zh-CN"/>
                    </w:rPr>
                    <w:t>7.2</w:t>
                  </w:r>
                </w:p>
              </w:tc>
            </w:tr>
            <w:tr w14:paraId="18C91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21" w:hRule="atLeast"/>
                <w:jc w:val="center"/>
              </w:trPr>
              <w:tc>
                <w:tcPr>
                  <w:tcW w:w="1812" w:type="dxa"/>
                  <w:noWrap w:val="0"/>
                  <w:vAlign w:val="center"/>
                </w:tcPr>
                <w:p w14:paraId="69C65A62">
                  <w:pPr>
                    <w:keepNext w:val="0"/>
                    <w:keepLines w:val="0"/>
                    <w:suppressLineNumbers w:val="0"/>
                    <w:spacing w:before="0" w:beforeAutospacing="0" w:after="0" w:afterAutospacing="0"/>
                    <w:ind w:left="0" w:right="0"/>
                    <w:jc w:val="center"/>
                    <w:rPr>
                      <w:rFonts w:hint="default"/>
                      <w:smallCaps w:val="0"/>
                      <w:color w:val="auto"/>
                      <w:szCs w:val="20"/>
                      <w:highlight w:val="none"/>
                      <w:lang w:val="en-US" w:eastAsia="zh-CN"/>
                    </w:rPr>
                  </w:pPr>
                  <w:r>
                    <w:rPr>
                      <w:rFonts w:hint="eastAsia"/>
                      <w:smallCaps w:val="0"/>
                      <w:color w:val="auto"/>
                      <w:szCs w:val="20"/>
                      <w:highlight w:val="none"/>
                      <w:lang w:val="en-US" w:eastAsia="zh-CN"/>
                    </w:rPr>
                    <w:t>合计</w:t>
                  </w:r>
                </w:p>
              </w:tc>
              <w:tc>
                <w:tcPr>
                  <w:tcW w:w="2026" w:type="dxa"/>
                  <w:noWrap w:val="0"/>
                  <w:vAlign w:val="center"/>
                </w:tcPr>
                <w:p w14:paraId="4B9FA888">
                  <w:pPr>
                    <w:keepNext w:val="0"/>
                    <w:keepLines w:val="0"/>
                    <w:suppressLineNumbers w:val="0"/>
                    <w:spacing w:before="0" w:beforeAutospacing="0" w:after="0" w:afterAutospacing="0"/>
                    <w:ind w:left="0" w:right="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1378.386</w:t>
                  </w:r>
                </w:p>
              </w:tc>
              <w:tc>
                <w:tcPr>
                  <w:tcW w:w="2340" w:type="dxa"/>
                  <w:noWrap w:val="0"/>
                  <w:vAlign w:val="center"/>
                </w:tcPr>
                <w:p w14:paraId="5363AF3A">
                  <w:pPr>
                    <w:keepNext w:val="0"/>
                    <w:keepLines w:val="0"/>
                    <w:suppressLineNumbers w:val="0"/>
                    <w:spacing w:before="0" w:beforeAutospacing="0" w:after="0" w:afterAutospacing="0"/>
                    <w:ind w:left="0" w:right="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1.241</w:t>
                  </w:r>
                </w:p>
              </w:tc>
              <w:tc>
                <w:tcPr>
                  <w:tcW w:w="1660" w:type="dxa"/>
                  <w:noWrap w:val="0"/>
                  <w:vAlign w:val="center"/>
                </w:tcPr>
                <w:p w14:paraId="0658CD18">
                  <w:pPr>
                    <w:keepNext w:val="0"/>
                    <w:keepLines w:val="0"/>
                    <w:suppressLineNumbers w:val="0"/>
                    <w:spacing w:before="0" w:beforeAutospacing="0" w:after="0" w:afterAutospacing="0"/>
                    <w:ind w:left="0" w:right="0"/>
                    <w:jc w:val="center"/>
                    <w:rPr>
                      <w:rFonts w:hint="default" w:eastAsia="宋体"/>
                      <w:smallCaps w:val="0"/>
                      <w:color w:val="auto"/>
                      <w:szCs w:val="20"/>
                      <w:highlight w:val="none"/>
                      <w:lang w:val="en-US" w:eastAsia="zh-CN"/>
                    </w:rPr>
                  </w:pPr>
                  <w:r>
                    <w:rPr>
                      <w:rFonts w:hint="eastAsia"/>
                      <w:smallCaps w:val="0"/>
                      <w:color w:val="auto"/>
                      <w:szCs w:val="20"/>
                      <w:highlight w:val="none"/>
                      <w:lang w:val="en-US" w:eastAsia="zh-CN"/>
                    </w:rPr>
                    <w:t>7.2</w:t>
                  </w:r>
                </w:p>
              </w:tc>
            </w:tr>
          </w:tbl>
          <w:p w14:paraId="3CF6868B">
            <w:pPr>
              <w:pStyle w:val="5"/>
              <w:keepNext w:val="0"/>
              <w:keepLines w:val="0"/>
              <w:suppressLineNumbers w:val="0"/>
              <w:adjustRightInd w:val="0"/>
              <w:snapToGrid w:val="0"/>
              <w:spacing w:before="0" w:beforeAutospacing="0" w:after="0" w:afterAutospacing="0" w:line="440" w:lineRule="exact"/>
              <w:ind w:left="0" w:right="0"/>
              <w:rPr>
                <w:rFonts w:hint="eastAsia"/>
                <w:color w:val="auto"/>
                <w:kern w:val="21"/>
                <w:sz w:val="24"/>
                <w:szCs w:val="20"/>
                <w:highlight w:val="none"/>
                <w:lang w:val="en-US" w:eastAsia="zh-CN"/>
              </w:rPr>
            </w:pPr>
            <w:r>
              <w:rPr>
                <w:rFonts w:hint="eastAsia"/>
                <w:color w:val="auto"/>
                <w:kern w:val="21"/>
                <w:sz w:val="24"/>
                <w:szCs w:val="20"/>
                <w:highlight w:val="none"/>
                <w:lang w:val="en-US" w:eastAsia="zh-CN"/>
              </w:rPr>
              <w:t>②无组织废气</w:t>
            </w:r>
          </w:p>
          <w:p w14:paraId="439B49C7">
            <w:pPr>
              <w:pStyle w:val="5"/>
              <w:keepNext w:val="0"/>
              <w:keepLines w:val="0"/>
              <w:suppressLineNumbers w:val="0"/>
              <w:adjustRightInd w:val="0"/>
              <w:snapToGrid w:val="0"/>
              <w:spacing w:before="0" w:beforeAutospacing="0" w:after="0" w:afterAutospacing="0" w:line="440" w:lineRule="exact"/>
              <w:ind w:left="0" w:right="0"/>
              <w:rPr>
                <w:rFonts w:hint="eastAsia" w:eastAsia="宋体"/>
                <w:color w:val="auto"/>
                <w:kern w:val="21"/>
                <w:sz w:val="24"/>
                <w:szCs w:val="20"/>
                <w:highlight w:val="none"/>
                <w:lang w:val="en-US" w:eastAsia="zh-CN"/>
              </w:rPr>
            </w:pPr>
            <w:r>
              <w:rPr>
                <w:rFonts w:hint="eastAsia"/>
                <w:color w:val="auto"/>
                <w:kern w:val="21"/>
                <w:sz w:val="24"/>
                <w:szCs w:val="20"/>
                <w:highlight w:val="none"/>
                <w:lang w:val="en-US" w:eastAsia="zh-CN"/>
              </w:rPr>
              <w:t>项目无组织废气主要为未被收集的废气。项目未被收集的颗粒物为137.839t/a，根据《排放源统计调查产排污核算方法和系数手册》中“工业源固体物料堆场颗粒物核算系数手册”中产排污系数，经车间密闭后降尘99%，无组织颗粒物排放量为1.378t/a，排放速率为0.191kg/h，根据AERSCREEN模式预测结果，颗粒物排放浓度为0.086</w:t>
            </w:r>
            <w:r>
              <w:rPr>
                <w:rFonts w:hint="default"/>
                <w:color w:val="auto"/>
                <w:sz w:val="24"/>
                <w:szCs w:val="20"/>
                <w:highlight w:val="none"/>
              </w:rPr>
              <w:t>mg/m</w:t>
            </w:r>
            <w:r>
              <w:rPr>
                <w:rFonts w:hint="default"/>
                <w:color w:val="auto"/>
                <w:sz w:val="24"/>
                <w:szCs w:val="20"/>
                <w:highlight w:val="none"/>
                <w:vertAlign w:val="superscript"/>
              </w:rPr>
              <w:t>3</w:t>
            </w:r>
            <w:r>
              <w:rPr>
                <w:rFonts w:hint="default"/>
                <w:color w:val="auto"/>
                <w:sz w:val="24"/>
                <w:szCs w:val="20"/>
                <w:highlight w:val="none"/>
              </w:rPr>
              <w:t>，排放满足《大气污染物综合排放标准》（GB16297-1996）表2无组织排放监控浓度限值</w:t>
            </w:r>
            <w:r>
              <w:rPr>
                <w:rFonts w:hint="eastAsia"/>
                <w:color w:val="auto"/>
                <w:sz w:val="24"/>
                <w:szCs w:val="20"/>
                <w:highlight w:val="none"/>
                <w:lang w:eastAsia="zh-CN"/>
              </w:rPr>
              <w:t>；</w:t>
            </w:r>
          </w:p>
          <w:p w14:paraId="569243F8">
            <w:pPr>
              <w:keepNext w:val="0"/>
              <w:keepLines w:val="0"/>
              <w:widowControl/>
              <w:suppressLineNumbers w:val="0"/>
              <w:adjustRightInd w:val="0"/>
              <w:snapToGrid w:val="0"/>
              <w:spacing w:before="0" w:beforeAutospacing="0" w:after="0" w:afterAutospacing="0" w:line="460" w:lineRule="exact"/>
              <w:ind w:left="0" w:right="0" w:firstLine="480" w:firstLineChars="200"/>
              <w:rPr>
                <w:rFonts w:hint="default"/>
                <w:color w:val="auto"/>
                <w:sz w:val="24"/>
                <w:szCs w:val="20"/>
                <w:highlight w:val="none"/>
              </w:rPr>
            </w:pPr>
            <w:r>
              <w:rPr>
                <w:rFonts w:hint="default"/>
                <w:color w:val="auto"/>
                <w:sz w:val="24"/>
                <w:szCs w:val="20"/>
                <w:highlight w:val="none"/>
              </w:rPr>
              <w:t>（2）废气产排污情况</w:t>
            </w:r>
          </w:p>
          <w:p w14:paraId="31E0114B">
            <w:pPr>
              <w:pStyle w:val="172"/>
              <w:keepNext w:val="0"/>
              <w:keepLines w:val="0"/>
              <w:suppressLineNumbers w:val="0"/>
              <w:spacing w:before="0" w:beforeAutospacing="0" w:after="0" w:afterAutospacing="0"/>
              <w:ind w:left="0" w:leftChars="0" w:right="0" w:rightChars="0" w:firstLine="480" w:firstLineChars="200"/>
              <w:jc w:val="both"/>
              <w:rPr>
                <w:rFonts w:hint="eastAsia" w:cs="Times New Roman"/>
                <w:color w:val="auto"/>
                <w:highlight w:val="none"/>
                <w:lang w:val="en-US" w:eastAsia="zh-CN"/>
              </w:rPr>
            </w:pPr>
            <w:r>
              <w:rPr>
                <w:rFonts w:hint="default" w:ascii="Times New Roman" w:hAnsi="Times New Roman" w:cs="Times New Roman"/>
                <w:color w:val="auto"/>
                <w:highlight w:val="none"/>
              </w:rPr>
              <w:t>废气产排污情况汇总见表4-</w:t>
            </w:r>
            <w:r>
              <w:rPr>
                <w:rFonts w:hint="eastAsia" w:cs="Times New Roman"/>
                <w:color w:val="auto"/>
                <w:highlight w:val="none"/>
                <w:lang w:val="en-US" w:eastAsia="zh-CN"/>
              </w:rPr>
              <w:t>2。</w:t>
            </w:r>
          </w:p>
          <w:p w14:paraId="5BEEE10B">
            <w:pPr>
              <w:pStyle w:val="172"/>
              <w:keepNext w:val="0"/>
              <w:keepLines w:val="0"/>
              <w:suppressLineNumbers w:val="0"/>
              <w:spacing w:before="0" w:beforeAutospacing="0" w:after="0" w:afterAutospacing="0"/>
              <w:ind w:left="0" w:leftChars="0" w:right="0" w:rightChars="0" w:firstLine="480" w:firstLineChars="200"/>
              <w:jc w:val="both"/>
              <w:rPr>
                <w:rFonts w:hint="eastAsia" w:cs="Times New Roman"/>
                <w:color w:val="auto"/>
                <w:highlight w:val="none"/>
                <w:lang w:val="en-US" w:eastAsia="zh-CN"/>
              </w:rPr>
            </w:pPr>
          </w:p>
          <w:p w14:paraId="719CFFCE">
            <w:pPr>
              <w:pStyle w:val="172"/>
              <w:keepNext w:val="0"/>
              <w:keepLines w:val="0"/>
              <w:suppressLineNumbers w:val="0"/>
              <w:spacing w:before="0" w:beforeAutospacing="0" w:after="0" w:afterAutospacing="0"/>
              <w:ind w:left="0" w:leftChars="0" w:right="0" w:rightChars="0" w:firstLine="480" w:firstLineChars="200"/>
              <w:jc w:val="both"/>
              <w:rPr>
                <w:rFonts w:hint="eastAsia" w:cs="Times New Roman"/>
                <w:color w:val="auto"/>
                <w:highlight w:val="none"/>
                <w:lang w:val="en-US" w:eastAsia="zh-CN"/>
              </w:rPr>
            </w:pPr>
          </w:p>
          <w:p w14:paraId="00BA7D3A">
            <w:pPr>
              <w:pStyle w:val="172"/>
              <w:keepNext w:val="0"/>
              <w:keepLines w:val="0"/>
              <w:suppressLineNumbers w:val="0"/>
              <w:spacing w:before="0" w:beforeAutospacing="0" w:after="0" w:afterAutospacing="0"/>
              <w:ind w:left="0" w:leftChars="0" w:right="0" w:rightChars="0" w:firstLine="480" w:firstLineChars="200"/>
              <w:jc w:val="both"/>
              <w:rPr>
                <w:rFonts w:hint="eastAsia" w:cs="Times New Roman"/>
                <w:color w:val="auto"/>
                <w:highlight w:val="none"/>
                <w:lang w:val="en-US" w:eastAsia="zh-CN"/>
              </w:rPr>
            </w:pPr>
          </w:p>
          <w:p w14:paraId="7D56FAA4">
            <w:pPr>
              <w:pStyle w:val="172"/>
              <w:keepNext w:val="0"/>
              <w:keepLines w:val="0"/>
              <w:suppressLineNumbers w:val="0"/>
              <w:spacing w:before="0" w:beforeAutospacing="0" w:after="0" w:afterAutospacing="0"/>
              <w:ind w:left="0" w:leftChars="0" w:right="0" w:rightChars="0" w:firstLine="480" w:firstLineChars="200"/>
              <w:jc w:val="both"/>
              <w:rPr>
                <w:rFonts w:hint="eastAsia" w:cs="Times New Roman"/>
                <w:color w:val="auto"/>
                <w:highlight w:val="none"/>
                <w:lang w:val="en-US" w:eastAsia="zh-CN"/>
              </w:rPr>
            </w:pPr>
          </w:p>
          <w:p w14:paraId="1B1890E9">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11302929">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3B17568E">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5366FBE6">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490963C1">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26D4B034">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609966B9">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340F9897">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30F278AD">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1F1D127F">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1AD46F60">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22C369C4">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70718FA9">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0618AC36">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6C5D1F5F">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3B82B433">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41D383DB">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78210F9B">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631949F8">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09804795">
            <w:pPr>
              <w:pStyle w:val="172"/>
              <w:keepNext w:val="0"/>
              <w:keepLines w:val="0"/>
              <w:suppressLineNumbers w:val="0"/>
              <w:spacing w:before="0" w:beforeAutospacing="0" w:after="0" w:afterAutospacing="0"/>
              <w:ind w:left="0" w:leftChars="0" w:right="0" w:rightChars="0" w:firstLine="420" w:firstLineChars="200"/>
              <w:jc w:val="both"/>
              <w:rPr>
                <w:rFonts w:hint="eastAsia" w:cs="Times New Roman"/>
                <w:color w:val="auto"/>
                <w:kern w:val="2"/>
                <w:sz w:val="21"/>
                <w:szCs w:val="20"/>
                <w:highlight w:val="none"/>
                <w:lang w:val="en-US" w:eastAsia="zh-CN" w:bidi="ar-SA"/>
              </w:rPr>
            </w:pPr>
          </w:p>
          <w:p w14:paraId="1698D70E">
            <w:pPr>
              <w:pStyle w:val="172"/>
              <w:keepNext w:val="0"/>
              <w:keepLines w:val="0"/>
              <w:suppressLineNumbers w:val="0"/>
              <w:spacing w:before="0" w:beforeAutospacing="0" w:after="0" w:afterAutospacing="0"/>
              <w:ind w:left="0" w:leftChars="0" w:right="0" w:rightChars="0" w:firstLine="420" w:firstLineChars="200"/>
              <w:jc w:val="both"/>
              <w:rPr>
                <w:rFonts w:hint="default" w:ascii="Times New Roman" w:hAnsi="Times New Roman" w:eastAsia="宋体" w:cs="Times New Roman"/>
                <w:color w:val="auto"/>
                <w:kern w:val="2"/>
                <w:sz w:val="21"/>
                <w:szCs w:val="20"/>
                <w:highlight w:val="none"/>
                <w:lang w:val="en-US" w:eastAsia="zh-CN" w:bidi="ar-SA"/>
              </w:rPr>
            </w:pPr>
          </w:p>
        </w:tc>
      </w:tr>
    </w:tbl>
    <w:p w14:paraId="16C85386">
      <w:pPr>
        <w:keepNext w:val="0"/>
        <w:keepLines w:val="0"/>
        <w:suppressLineNumbers w:val="0"/>
        <w:adjustRightInd w:val="0"/>
        <w:snapToGrid w:val="0"/>
        <w:spacing w:before="0" w:beforeAutospacing="0" w:after="0" w:afterAutospacing="0"/>
        <w:ind w:left="0" w:right="0"/>
        <w:jc w:val="center"/>
        <w:outlineLvl w:val="9"/>
        <w:rPr>
          <w:rFonts w:hint="default" w:ascii="Times New Roman" w:hAnsi="Times New Roman" w:eastAsia="宋体" w:cs="Times New Roman"/>
          <w:bCs/>
          <w:smallCaps w:val="0"/>
          <w:color w:val="auto"/>
          <w:spacing w:val="0"/>
          <w:sz w:val="24"/>
          <w:szCs w:val="21"/>
          <w:highlight w:val="none"/>
        </w:rPr>
        <w:sectPr>
          <w:pgSz w:w="11907" w:h="16840"/>
          <w:pgMar w:top="1440" w:right="1800" w:bottom="1440" w:left="1800" w:header="851" w:footer="992" w:gutter="0"/>
          <w:cols w:space="720" w:num="1"/>
          <w:docGrid w:type="linesAndChars" w:linePitch="319" w:charSpace="0"/>
        </w:sectPr>
      </w:pPr>
      <w:r>
        <w:rPr>
          <w:rFonts w:hint="default" w:ascii="Times New Roman" w:hAnsi="Times New Roman" w:eastAsia="宋体" w:cs="Times New Roman"/>
          <w:bCs/>
          <w:smallCaps w:val="0"/>
          <w:color w:val="auto"/>
          <w:spacing w:val="0"/>
          <w:sz w:val="24"/>
          <w:szCs w:val="21"/>
          <w:highlight w:val="none"/>
        </w:rPr>
        <w:br w:type="page"/>
      </w: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13452"/>
      </w:tblGrid>
      <w:tr w14:paraId="01EA8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24" w:type="dxa"/>
          </w:tcPr>
          <w:p w14:paraId="1DAA0C44">
            <w:pPr>
              <w:keepNext w:val="0"/>
              <w:keepLines w:val="0"/>
              <w:suppressLineNumbers w:val="0"/>
              <w:spacing w:before="0" w:beforeAutospacing="0" w:after="0" w:afterAutospacing="0"/>
              <w:ind w:left="0" w:right="0"/>
              <w:rPr>
                <w:rFonts w:hint="default" w:ascii="Times New Roman" w:hAnsi="Times New Roman" w:eastAsia="宋体" w:cs="Times New Roman"/>
                <w:bCs/>
                <w:smallCaps w:val="0"/>
                <w:color w:val="auto"/>
                <w:spacing w:val="0"/>
                <w:sz w:val="24"/>
                <w:szCs w:val="21"/>
                <w:highlight w:val="none"/>
                <w:vertAlign w:val="baseline"/>
              </w:rPr>
            </w:pPr>
          </w:p>
        </w:tc>
        <w:tc>
          <w:tcPr>
            <w:tcW w:w="13452" w:type="dxa"/>
          </w:tcPr>
          <w:p w14:paraId="7B92D532">
            <w:pPr>
              <w:pStyle w:val="187"/>
              <w:keepNext w:val="0"/>
              <w:keepLines w:val="0"/>
              <w:suppressLineNumbers w:val="0"/>
              <w:tabs>
                <w:tab w:val="left" w:pos="6521"/>
              </w:tabs>
              <w:spacing w:before="0" w:beforeAutospacing="0" w:after="0" w:afterAutospacing="0" w:line="440" w:lineRule="exact"/>
              <w:ind w:left="0" w:right="0"/>
              <w:rPr>
                <w:rFonts w:hint="default"/>
                <w:color w:val="auto"/>
                <w:highlight w:val="none"/>
              </w:rPr>
            </w:pPr>
            <w:r>
              <w:rPr>
                <w:rFonts w:hint="default"/>
                <w:color w:val="auto"/>
                <w:highlight w:val="none"/>
              </w:rPr>
              <w:t>表4-</w:t>
            </w:r>
            <w:r>
              <w:rPr>
                <w:rFonts w:hint="eastAsia"/>
                <w:color w:val="auto"/>
                <w:highlight w:val="none"/>
                <w:lang w:val="en-US" w:eastAsia="zh-CN"/>
              </w:rPr>
              <w:t>2</w:t>
            </w:r>
            <w:r>
              <w:rPr>
                <w:rFonts w:hint="default"/>
                <w:color w:val="auto"/>
                <w:highlight w:val="none"/>
              </w:rPr>
              <w:t xml:space="preserve">    废气污染物排放源情况一览表</w:t>
            </w:r>
          </w:p>
          <w:tbl>
            <w:tblPr>
              <w:tblStyle w:val="47"/>
              <w:tblW w:w="132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08"/>
              <w:gridCol w:w="534"/>
              <w:gridCol w:w="442"/>
              <w:gridCol w:w="478"/>
              <w:gridCol w:w="361"/>
              <w:gridCol w:w="446"/>
              <w:gridCol w:w="446"/>
              <w:gridCol w:w="520"/>
              <w:gridCol w:w="489"/>
              <w:gridCol w:w="361"/>
              <w:gridCol w:w="552"/>
              <w:gridCol w:w="442"/>
              <w:gridCol w:w="500"/>
              <w:gridCol w:w="543"/>
              <w:gridCol w:w="748"/>
              <w:gridCol w:w="2119"/>
              <w:gridCol w:w="412"/>
              <w:gridCol w:w="412"/>
              <w:gridCol w:w="413"/>
              <w:gridCol w:w="491"/>
              <w:gridCol w:w="616"/>
              <w:gridCol w:w="1293"/>
            </w:tblGrid>
            <w:tr w14:paraId="4C13F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08" w:type="dxa"/>
                  <w:vMerge w:val="restart"/>
                  <w:noWrap/>
                  <w:vAlign w:val="center"/>
                </w:tcPr>
                <w:p w14:paraId="2E1AC166">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产排污环节</w:t>
                  </w:r>
                </w:p>
              </w:tc>
              <w:tc>
                <w:tcPr>
                  <w:tcW w:w="534" w:type="dxa"/>
                  <w:vMerge w:val="restart"/>
                  <w:noWrap/>
                  <w:vAlign w:val="center"/>
                </w:tcPr>
                <w:p w14:paraId="357F339E">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污染物种类</w:t>
                  </w:r>
                </w:p>
              </w:tc>
              <w:tc>
                <w:tcPr>
                  <w:tcW w:w="442" w:type="dxa"/>
                  <w:vMerge w:val="restart"/>
                  <w:noWrap/>
                  <w:vAlign w:val="center"/>
                </w:tcPr>
                <w:p w14:paraId="2C5B5742">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产生量t/a</w:t>
                  </w:r>
                </w:p>
              </w:tc>
              <w:tc>
                <w:tcPr>
                  <w:tcW w:w="3653" w:type="dxa"/>
                  <w:gridSpan w:val="8"/>
                  <w:noWrap/>
                  <w:vAlign w:val="center"/>
                </w:tcPr>
                <w:p w14:paraId="5175C221">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污染防治措施</w:t>
                  </w:r>
                </w:p>
              </w:tc>
              <w:tc>
                <w:tcPr>
                  <w:tcW w:w="442" w:type="dxa"/>
                  <w:vMerge w:val="restart"/>
                  <w:noWrap/>
                  <w:vAlign w:val="center"/>
                </w:tcPr>
                <w:p w14:paraId="04A38870">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排放量</w:t>
                  </w:r>
                </w:p>
                <w:p w14:paraId="260EA302">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t/a</w:t>
                  </w:r>
                </w:p>
              </w:tc>
              <w:tc>
                <w:tcPr>
                  <w:tcW w:w="500" w:type="dxa"/>
                  <w:vMerge w:val="restart"/>
                  <w:noWrap/>
                  <w:vAlign w:val="center"/>
                </w:tcPr>
                <w:p w14:paraId="6AC78D8E">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排放速率kg/h</w:t>
                  </w:r>
                </w:p>
              </w:tc>
              <w:tc>
                <w:tcPr>
                  <w:tcW w:w="543" w:type="dxa"/>
                  <w:vMerge w:val="restart"/>
                  <w:noWrap/>
                  <w:vAlign w:val="center"/>
                </w:tcPr>
                <w:p w14:paraId="5E8677F9">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排放浓度mg/m</w:t>
                  </w:r>
                  <w:r>
                    <w:rPr>
                      <w:rFonts w:hint="default"/>
                      <w:color w:val="auto"/>
                      <w:szCs w:val="21"/>
                      <w:highlight w:val="none"/>
                      <w:vertAlign w:val="superscript"/>
                    </w:rPr>
                    <w:t>3</w:t>
                  </w:r>
                </w:p>
              </w:tc>
              <w:tc>
                <w:tcPr>
                  <w:tcW w:w="748" w:type="dxa"/>
                  <w:vMerge w:val="restart"/>
                  <w:noWrap/>
                  <w:vAlign w:val="center"/>
                </w:tcPr>
                <w:p w14:paraId="20FA10B7">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排放形式</w:t>
                  </w:r>
                </w:p>
              </w:tc>
              <w:tc>
                <w:tcPr>
                  <w:tcW w:w="2119" w:type="dxa"/>
                  <w:vMerge w:val="restart"/>
                  <w:noWrap/>
                  <w:vAlign w:val="center"/>
                </w:tcPr>
                <w:p w14:paraId="3B10728C">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排放标准</w:t>
                  </w:r>
                </w:p>
              </w:tc>
              <w:tc>
                <w:tcPr>
                  <w:tcW w:w="3637" w:type="dxa"/>
                  <w:gridSpan w:val="6"/>
                  <w:noWrap/>
                  <w:vAlign w:val="center"/>
                </w:tcPr>
                <w:p w14:paraId="7CEE1654">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排放口基本情况</w:t>
                  </w:r>
                </w:p>
              </w:tc>
            </w:tr>
            <w:tr w14:paraId="74F7C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08" w:type="dxa"/>
                  <w:vMerge w:val="continue"/>
                  <w:noWrap/>
                  <w:vAlign w:val="center"/>
                </w:tcPr>
                <w:p w14:paraId="268E5080">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p>
              </w:tc>
              <w:tc>
                <w:tcPr>
                  <w:tcW w:w="534" w:type="dxa"/>
                  <w:vMerge w:val="continue"/>
                  <w:noWrap/>
                  <w:vAlign w:val="center"/>
                </w:tcPr>
                <w:p w14:paraId="66A911B6">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p>
              </w:tc>
              <w:tc>
                <w:tcPr>
                  <w:tcW w:w="442" w:type="dxa"/>
                  <w:vMerge w:val="continue"/>
                  <w:noWrap/>
                  <w:vAlign w:val="center"/>
                </w:tcPr>
                <w:p w14:paraId="67036DC4">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p>
              </w:tc>
              <w:tc>
                <w:tcPr>
                  <w:tcW w:w="478" w:type="dxa"/>
                  <w:shd w:val="clear" w:color="auto" w:fill="auto"/>
                  <w:noWrap/>
                  <w:vAlign w:val="center"/>
                </w:tcPr>
                <w:p w14:paraId="6CC91539">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名称</w:t>
                  </w:r>
                </w:p>
              </w:tc>
              <w:tc>
                <w:tcPr>
                  <w:tcW w:w="361" w:type="dxa"/>
                  <w:shd w:val="clear" w:color="auto" w:fill="auto"/>
                  <w:noWrap/>
                  <w:vAlign w:val="center"/>
                </w:tcPr>
                <w:p w14:paraId="7B355E9C">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收集效率%</w:t>
                  </w:r>
                </w:p>
              </w:tc>
              <w:tc>
                <w:tcPr>
                  <w:tcW w:w="446" w:type="dxa"/>
                  <w:shd w:val="clear" w:color="auto" w:fill="auto"/>
                  <w:noWrap/>
                  <w:vAlign w:val="center"/>
                </w:tcPr>
                <w:p w14:paraId="0DB4CE4D">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eastAsia"/>
                      <w:color w:val="auto"/>
                      <w:szCs w:val="21"/>
                      <w:highlight w:val="none"/>
                    </w:rPr>
                    <w:t>收集量t/a</w:t>
                  </w:r>
                </w:p>
              </w:tc>
              <w:tc>
                <w:tcPr>
                  <w:tcW w:w="446" w:type="dxa"/>
                  <w:shd w:val="clear" w:color="auto" w:fill="auto"/>
                  <w:noWrap/>
                  <w:vAlign w:val="center"/>
                </w:tcPr>
                <w:p w14:paraId="26362CDD">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eastAsia"/>
                      <w:color w:val="auto"/>
                      <w:szCs w:val="21"/>
                      <w:highlight w:val="none"/>
                    </w:rPr>
                    <w:t>收集</w:t>
                  </w:r>
                  <w:r>
                    <w:rPr>
                      <w:rFonts w:hint="default"/>
                      <w:color w:val="auto"/>
                      <w:szCs w:val="21"/>
                      <w:highlight w:val="none"/>
                    </w:rPr>
                    <w:t>速率kg/h</w:t>
                  </w:r>
                </w:p>
              </w:tc>
              <w:tc>
                <w:tcPr>
                  <w:tcW w:w="520" w:type="dxa"/>
                  <w:shd w:val="clear" w:color="auto" w:fill="auto"/>
                  <w:noWrap/>
                  <w:vAlign w:val="center"/>
                </w:tcPr>
                <w:p w14:paraId="297D9233">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eastAsia"/>
                      <w:color w:val="auto"/>
                      <w:szCs w:val="21"/>
                      <w:highlight w:val="none"/>
                    </w:rPr>
                    <w:t>收集</w:t>
                  </w:r>
                  <w:r>
                    <w:rPr>
                      <w:rFonts w:hint="default"/>
                      <w:color w:val="auto"/>
                      <w:szCs w:val="21"/>
                      <w:highlight w:val="none"/>
                    </w:rPr>
                    <w:t>浓度</w:t>
                  </w:r>
                </w:p>
                <w:p w14:paraId="1B1F7C82">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mg/m</w:t>
                  </w:r>
                  <w:r>
                    <w:rPr>
                      <w:rFonts w:hint="default"/>
                      <w:color w:val="auto"/>
                      <w:szCs w:val="21"/>
                      <w:highlight w:val="none"/>
                      <w:vertAlign w:val="superscript"/>
                    </w:rPr>
                    <w:t>3</w:t>
                  </w:r>
                </w:p>
              </w:tc>
              <w:tc>
                <w:tcPr>
                  <w:tcW w:w="489" w:type="dxa"/>
                  <w:noWrap/>
                  <w:vAlign w:val="center"/>
                </w:tcPr>
                <w:p w14:paraId="124DD916">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处理能力m</w:t>
                  </w:r>
                  <w:r>
                    <w:rPr>
                      <w:rFonts w:hint="default"/>
                      <w:color w:val="auto"/>
                      <w:szCs w:val="21"/>
                      <w:highlight w:val="none"/>
                      <w:vertAlign w:val="superscript"/>
                    </w:rPr>
                    <w:t>3</w:t>
                  </w:r>
                  <w:r>
                    <w:rPr>
                      <w:rFonts w:hint="default"/>
                      <w:color w:val="auto"/>
                      <w:szCs w:val="21"/>
                      <w:highlight w:val="none"/>
                    </w:rPr>
                    <w:t>/h</w:t>
                  </w:r>
                </w:p>
              </w:tc>
              <w:tc>
                <w:tcPr>
                  <w:tcW w:w="361" w:type="dxa"/>
                  <w:noWrap/>
                  <w:vAlign w:val="center"/>
                </w:tcPr>
                <w:p w14:paraId="1FA45FEB">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去除率%</w:t>
                  </w:r>
                </w:p>
              </w:tc>
              <w:tc>
                <w:tcPr>
                  <w:tcW w:w="552" w:type="dxa"/>
                  <w:noWrap/>
                  <w:vAlign w:val="center"/>
                </w:tcPr>
                <w:p w14:paraId="4B03DDD7">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是否为可行技术</w:t>
                  </w:r>
                </w:p>
              </w:tc>
              <w:tc>
                <w:tcPr>
                  <w:tcW w:w="442" w:type="dxa"/>
                  <w:vMerge w:val="continue"/>
                  <w:noWrap/>
                  <w:vAlign w:val="center"/>
                </w:tcPr>
                <w:p w14:paraId="5B291404">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p>
              </w:tc>
              <w:tc>
                <w:tcPr>
                  <w:tcW w:w="500" w:type="dxa"/>
                  <w:vMerge w:val="continue"/>
                  <w:noWrap/>
                  <w:vAlign w:val="center"/>
                </w:tcPr>
                <w:p w14:paraId="1E9F178D">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p>
              </w:tc>
              <w:tc>
                <w:tcPr>
                  <w:tcW w:w="543" w:type="dxa"/>
                  <w:vMerge w:val="continue"/>
                  <w:noWrap/>
                  <w:vAlign w:val="center"/>
                </w:tcPr>
                <w:p w14:paraId="68BBC7E0">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p>
              </w:tc>
              <w:tc>
                <w:tcPr>
                  <w:tcW w:w="748" w:type="dxa"/>
                  <w:vMerge w:val="continue"/>
                  <w:noWrap/>
                  <w:vAlign w:val="center"/>
                </w:tcPr>
                <w:p w14:paraId="2EC0D4FE">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p>
              </w:tc>
              <w:tc>
                <w:tcPr>
                  <w:tcW w:w="2119" w:type="dxa"/>
                  <w:vMerge w:val="continue"/>
                  <w:noWrap/>
                  <w:vAlign w:val="center"/>
                </w:tcPr>
                <w:p w14:paraId="3040FA2B">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p>
              </w:tc>
              <w:tc>
                <w:tcPr>
                  <w:tcW w:w="412" w:type="dxa"/>
                  <w:noWrap/>
                  <w:vAlign w:val="center"/>
                </w:tcPr>
                <w:p w14:paraId="4890DAA4">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高度m</w:t>
                  </w:r>
                </w:p>
              </w:tc>
              <w:tc>
                <w:tcPr>
                  <w:tcW w:w="412" w:type="dxa"/>
                  <w:noWrap/>
                  <w:vAlign w:val="center"/>
                </w:tcPr>
                <w:p w14:paraId="176CC5F6">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内径m</w:t>
                  </w:r>
                </w:p>
              </w:tc>
              <w:tc>
                <w:tcPr>
                  <w:tcW w:w="413" w:type="dxa"/>
                  <w:noWrap/>
                  <w:vAlign w:val="center"/>
                </w:tcPr>
                <w:p w14:paraId="70C90D6F">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温度℃</w:t>
                  </w:r>
                </w:p>
              </w:tc>
              <w:tc>
                <w:tcPr>
                  <w:tcW w:w="491" w:type="dxa"/>
                  <w:noWrap/>
                  <w:vAlign w:val="center"/>
                </w:tcPr>
                <w:p w14:paraId="26758AA3">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编号</w:t>
                  </w:r>
                </w:p>
              </w:tc>
              <w:tc>
                <w:tcPr>
                  <w:tcW w:w="616" w:type="dxa"/>
                  <w:noWrap/>
                  <w:vAlign w:val="center"/>
                </w:tcPr>
                <w:p w14:paraId="0CFE77C3">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类型</w:t>
                  </w:r>
                </w:p>
              </w:tc>
              <w:tc>
                <w:tcPr>
                  <w:tcW w:w="1293" w:type="dxa"/>
                  <w:noWrap/>
                  <w:vAlign w:val="center"/>
                </w:tcPr>
                <w:p w14:paraId="7F8BE550">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color w:val="auto"/>
                      <w:szCs w:val="21"/>
                      <w:highlight w:val="none"/>
                    </w:rPr>
                  </w:pPr>
                  <w:r>
                    <w:rPr>
                      <w:rFonts w:hint="default"/>
                      <w:color w:val="auto"/>
                      <w:szCs w:val="21"/>
                      <w:highlight w:val="none"/>
                    </w:rPr>
                    <w:t>地理坐标</w:t>
                  </w:r>
                </w:p>
              </w:tc>
            </w:tr>
            <w:tr w14:paraId="0278C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jc w:val="center"/>
              </w:trPr>
              <w:tc>
                <w:tcPr>
                  <w:tcW w:w="608" w:type="dxa"/>
                  <w:noWrap/>
                  <w:vAlign w:val="center"/>
                </w:tcPr>
                <w:p w14:paraId="36A90911">
                  <w:pPr>
                    <w:pStyle w:val="41"/>
                    <w:keepNext w:val="0"/>
                    <w:keepLines w:val="0"/>
                    <w:widowControl w:val="0"/>
                    <w:suppressLineNumbers w:val="0"/>
                    <w:topLinePunct/>
                    <w:autoSpaceDE w:val="0"/>
                    <w:autoSpaceDN w:val="0"/>
                    <w:adjustRightInd w:val="0"/>
                    <w:snapToGrid w:val="0"/>
                    <w:spacing w:before="0" w:beforeAutospacing="0" w:after="0" w:afterAutospacing="0" w:line="320" w:lineRule="exact"/>
                    <w:ind w:left="0" w:right="0"/>
                    <w:jc w:val="center"/>
                    <w:textAlignment w:val="baseline"/>
                    <w:rPr>
                      <w:rFonts w:hint="default" w:ascii="Times New Roman" w:hAnsi="Times New Roman" w:cs="Times New Roman"/>
                      <w:bCs/>
                      <w:color w:val="auto"/>
                      <w:sz w:val="21"/>
                      <w:szCs w:val="21"/>
                      <w:highlight w:val="none"/>
                    </w:rPr>
                  </w:pPr>
                  <w:r>
                    <w:rPr>
                      <w:rFonts w:hint="eastAsia" w:ascii="Times New Roman" w:hAnsi="Times New Roman" w:cs="Times New Roman"/>
                      <w:bCs/>
                      <w:color w:val="auto"/>
                      <w:sz w:val="21"/>
                      <w:szCs w:val="21"/>
                      <w:highlight w:val="none"/>
                      <w:lang w:val="en-US" w:eastAsia="zh-CN"/>
                    </w:rPr>
                    <w:t>1#修磨废气</w:t>
                  </w:r>
                </w:p>
              </w:tc>
              <w:tc>
                <w:tcPr>
                  <w:tcW w:w="534" w:type="dxa"/>
                  <w:noWrap/>
                  <w:vAlign w:val="center"/>
                </w:tcPr>
                <w:p w14:paraId="3621AB7E">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颗粒物</w:t>
                  </w:r>
                </w:p>
              </w:tc>
              <w:tc>
                <w:tcPr>
                  <w:tcW w:w="442" w:type="dxa"/>
                  <w:noWrap/>
                  <w:vAlign w:val="center"/>
                </w:tcPr>
                <w:p w14:paraId="331B18BC">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275.6772</w:t>
                  </w:r>
                </w:p>
              </w:tc>
              <w:tc>
                <w:tcPr>
                  <w:tcW w:w="478" w:type="dxa"/>
                  <w:noWrap/>
                  <w:vAlign w:val="center"/>
                </w:tcPr>
                <w:p w14:paraId="021C44A1">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脉冲布袋除尘器</w:t>
                  </w:r>
                </w:p>
              </w:tc>
              <w:tc>
                <w:tcPr>
                  <w:tcW w:w="361" w:type="dxa"/>
                  <w:noWrap/>
                  <w:vAlign w:val="center"/>
                </w:tcPr>
                <w:p w14:paraId="17A0E39E">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90</w:t>
                  </w:r>
                </w:p>
              </w:tc>
              <w:tc>
                <w:tcPr>
                  <w:tcW w:w="446" w:type="dxa"/>
                  <w:shd w:val="clear" w:color="auto" w:fill="auto"/>
                  <w:noWrap/>
                  <w:vAlign w:val="center"/>
                </w:tcPr>
                <w:p w14:paraId="3978C422">
                  <w:pPr>
                    <w:keepNext w:val="0"/>
                    <w:keepLines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248.109</w:t>
                  </w:r>
                </w:p>
              </w:tc>
              <w:tc>
                <w:tcPr>
                  <w:tcW w:w="446" w:type="dxa"/>
                  <w:noWrap/>
                  <w:vAlign w:val="center"/>
                </w:tcPr>
                <w:p w14:paraId="11BDDDBB">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34.460</w:t>
                  </w:r>
                </w:p>
              </w:tc>
              <w:tc>
                <w:tcPr>
                  <w:tcW w:w="520" w:type="dxa"/>
                  <w:noWrap/>
                  <w:vAlign w:val="center"/>
                </w:tcPr>
                <w:p w14:paraId="5B9A5CE1">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1722.98</w:t>
                  </w:r>
                </w:p>
              </w:tc>
              <w:tc>
                <w:tcPr>
                  <w:tcW w:w="489" w:type="dxa"/>
                  <w:noWrap/>
                  <w:vAlign w:val="center"/>
                </w:tcPr>
                <w:p w14:paraId="3C8AB2F9">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20000</w:t>
                  </w:r>
                </w:p>
              </w:tc>
              <w:tc>
                <w:tcPr>
                  <w:tcW w:w="361" w:type="dxa"/>
                  <w:noWrap/>
                  <w:vAlign w:val="center"/>
                </w:tcPr>
                <w:p w14:paraId="179154F4">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99.9</w:t>
                  </w:r>
                </w:p>
              </w:tc>
              <w:tc>
                <w:tcPr>
                  <w:tcW w:w="552" w:type="dxa"/>
                  <w:noWrap/>
                  <w:vAlign w:val="center"/>
                </w:tcPr>
                <w:p w14:paraId="73E02E55">
                  <w:pPr>
                    <w:keepNext w:val="0"/>
                    <w:keepLines w:val="0"/>
                    <w:suppressLineNumbers w:val="0"/>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rPr>
                    <w:t>是</w:t>
                  </w:r>
                </w:p>
              </w:tc>
              <w:tc>
                <w:tcPr>
                  <w:tcW w:w="442" w:type="dxa"/>
                  <w:shd w:val="clear" w:color="auto" w:fill="auto"/>
                  <w:noWrap/>
                  <w:vAlign w:val="center"/>
                </w:tcPr>
                <w:p w14:paraId="010A6B27">
                  <w:pPr>
                    <w:keepNext w:val="0"/>
                    <w:keepLines w:val="0"/>
                    <w:suppressLineNumbers w:val="0"/>
                    <w:autoSpaceDE w:val="0"/>
                    <w:autoSpaceDN w:val="0"/>
                    <w:adjustRightInd w:val="0"/>
                    <w:spacing w:before="0" w:beforeAutospacing="0" w:after="0" w:afterAutospacing="0" w:line="320" w:lineRule="exact"/>
                    <w:ind w:left="0" w:right="0"/>
                    <w:jc w:val="center"/>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0.248</w:t>
                  </w:r>
                </w:p>
              </w:tc>
              <w:tc>
                <w:tcPr>
                  <w:tcW w:w="500" w:type="dxa"/>
                  <w:shd w:val="clear" w:color="auto" w:fill="auto"/>
                  <w:noWrap/>
                  <w:vAlign w:val="center"/>
                </w:tcPr>
                <w:p w14:paraId="5FAAE241">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7.2</w:t>
                  </w:r>
                </w:p>
              </w:tc>
              <w:tc>
                <w:tcPr>
                  <w:tcW w:w="543" w:type="dxa"/>
                  <w:shd w:val="clear" w:color="auto" w:fill="auto"/>
                  <w:noWrap/>
                  <w:vAlign w:val="center"/>
                </w:tcPr>
                <w:p w14:paraId="58353247">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1.72</w:t>
                  </w:r>
                </w:p>
              </w:tc>
              <w:tc>
                <w:tcPr>
                  <w:tcW w:w="748" w:type="dxa"/>
                  <w:noWrap/>
                  <w:vAlign w:val="center"/>
                </w:tcPr>
                <w:p w14:paraId="63578128">
                  <w:pPr>
                    <w:keepNext w:val="0"/>
                    <w:keepLines w:val="0"/>
                    <w:suppressLineNumbers w:val="0"/>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rPr>
                    <w:t>有组织</w:t>
                  </w:r>
                </w:p>
              </w:tc>
              <w:tc>
                <w:tcPr>
                  <w:tcW w:w="2119" w:type="dxa"/>
                  <w:noWrap/>
                  <w:vAlign w:val="center"/>
                </w:tcPr>
                <w:p w14:paraId="4B4A2CA9">
                  <w:pPr>
                    <w:keepNext w:val="0"/>
                    <w:keepLines w:val="0"/>
                    <w:suppressLineNumbers w:val="0"/>
                    <w:adjustRightInd w:val="0"/>
                    <w:snapToGrid w:val="0"/>
                    <w:spacing w:before="0" w:beforeAutospacing="0" w:after="0" w:afterAutospacing="0"/>
                    <w:ind w:left="0" w:leftChars="0" w:right="0" w:rightChars="0"/>
                    <w:jc w:val="center"/>
                    <w:rPr>
                      <w:rFonts w:hint="eastAsia" w:eastAsia="宋体"/>
                      <w:bCs/>
                      <w:color w:val="auto"/>
                      <w:szCs w:val="21"/>
                      <w:highlight w:val="none"/>
                      <w:lang w:eastAsia="zh-CN"/>
                    </w:rPr>
                  </w:pPr>
                  <w:r>
                    <w:rPr>
                      <w:rFonts w:hint="eastAsia" w:cs="Times New Roman"/>
                      <w:smallCaps w:val="0"/>
                      <w:color w:val="auto"/>
                      <w:spacing w:val="0"/>
                      <w:szCs w:val="21"/>
                      <w:highlight w:val="none"/>
                      <w:lang w:eastAsia="zh-CN"/>
                    </w:rPr>
                    <w:t>《大气污染物综合排放标准》（GB16297-1996）表2（其他）二级标准</w:t>
                  </w:r>
                </w:p>
              </w:tc>
              <w:tc>
                <w:tcPr>
                  <w:tcW w:w="412" w:type="dxa"/>
                  <w:noWrap/>
                  <w:vAlign w:val="center"/>
                </w:tcPr>
                <w:p w14:paraId="30E698CC">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15</w:t>
                  </w:r>
                </w:p>
              </w:tc>
              <w:tc>
                <w:tcPr>
                  <w:tcW w:w="412" w:type="dxa"/>
                  <w:noWrap/>
                  <w:vAlign w:val="center"/>
                </w:tcPr>
                <w:p w14:paraId="53A156E2">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0.68</w:t>
                  </w:r>
                </w:p>
              </w:tc>
              <w:tc>
                <w:tcPr>
                  <w:tcW w:w="413" w:type="dxa"/>
                  <w:noWrap/>
                  <w:vAlign w:val="center"/>
                </w:tcPr>
                <w:p w14:paraId="43F1E4D5">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25</w:t>
                  </w:r>
                </w:p>
              </w:tc>
              <w:tc>
                <w:tcPr>
                  <w:tcW w:w="491" w:type="dxa"/>
                  <w:noWrap/>
                  <w:vAlign w:val="center"/>
                </w:tcPr>
                <w:p w14:paraId="2DB73049">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eastAsia="zh-CN"/>
                    </w:rPr>
                    <w:t>DA001</w:t>
                  </w:r>
                </w:p>
              </w:tc>
              <w:tc>
                <w:tcPr>
                  <w:tcW w:w="616" w:type="dxa"/>
                  <w:noWrap/>
                  <w:vAlign w:val="center"/>
                </w:tcPr>
                <w:p w14:paraId="5AA6C6C3">
                  <w:pPr>
                    <w:keepNext w:val="0"/>
                    <w:keepLines w:val="0"/>
                    <w:suppressLineNumbers w:val="0"/>
                    <w:autoSpaceDE w:val="0"/>
                    <w:autoSpaceDN w:val="0"/>
                    <w:adjustRightInd w:val="0"/>
                    <w:spacing w:before="0" w:beforeAutospacing="0" w:after="0" w:afterAutospacing="0" w:line="320" w:lineRule="exact"/>
                    <w:ind w:left="0" w:right="0"/>
                    <w:jc w:val="center"/>
                    <w:rPr>
                      <w:rFonts w:hint="default"/>
                      <w:snapToGrid w:val="0"/>
                      <w:color w:val="auto"/>
                      <w:szCs w:val="21"/>
                      <w:highlight w:val="none"/>
                    </w:rPr>
                  </w:pPr>
                  <w:r>
                    <w:rPr>
                      <w:rFonts w:hint="default"/>
                      <w:snapToGrid w:val="0"/>
                      <w:color w:val="auto"/>
                      <w:szCs w:val="21"/>
                      <w:highlight w:val="none"/>
                    </w:rPr>
                    <w:t>一般排放口</w:t>
                  </w:r>
                </w:p>
              </w:tc>
              <w:tc>
                <w:tcPr>
                  <w:tcW w:w="1293" w:type="dxa"/>
                  <w:noWrap/>
                  <w:vAlign w:val="center"/>
                </w:tcPr>
                <w:p w14:paraId="298E7F24">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lang w:val="en-US" w:eastAsia="zh-CN"/>
                    </w:rPr>
                    <w:t>E</w:t>
                  </w:r>
                  <w:r>
                    <w:rPr>
                      <w:rFonts w:hint="default"/>
                      <w:bCs/>
                      <w:color w:val="auto"/>
                      <w:szCs w:val="21"/>
                      <w:highlight w:val="none"/>
                    </w:rPr>
                    <w:t>114.02595</w:t>
                  </w:r>
                  <w:r>
                    <w:rPr>
                      <w:rFonts w:hint="eastAsia"/>
                      <w:bCs/>
                      <w:color w:val="auto"/>
                      <w:szCs w:val="21"/>
                      <w:highlight w:val="none"/>
                      <w:lang w:val="en-US" w:eastAsia="zh-CN"/>
                    </w:rPr>
                    <w:t>4</w:t>
                  </w:r>
                  <w:r>
                    <w:rPr>
                      <w:rFonts w:hint="default"/>
                      <w:bCs/>
                      <w:color w:val="auto"/>
                      <w:szCs w:val="21"/>
                      <w:highlight w:val="none"/>
                    </w:rPr>
                    <w:t>°</w:t>
                  </w:r>
                </w:p>
                <w:p w14:paraId="60383928">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N</w:t>
                  </w:r>
                  <w:r>
                    <w:rPr>
                      <w:rFonts w:hint="default"/>
                      <w:bCs/>
                      <w:color w:val="auto"/>
                      <w:szCs w:val="21"/>
                      <w:highlight w:val="none"/>
                    </w:rPr>
                    <w:t>38.069903°</w:t>
                  </w:r>
                </w:p>
              </w:tc>
            </w:tr>
            <w:tr w14:paraId="62DE0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jc w:val="center"/>
              </w:trPr>
              <w:tc>
                <w:tcPr>
                  <w:tcW w:w="608" w:type="dxa"/>
                  <w:noWrap/>
                  <w:vAlign w:val="center"/>
                </w:tcPr>
                <w:p w14:paraId="5B36182C">
                  <w:pPr>
                    <w:pStyle w:val="41"/>
                    <w:keepNext w:val="0"/>
                    <w:keepLines w:val="0"/>
                    <w:widowControl w:val="0"/>
                    <w:suppressLineNumbers w:val="0"/>
                    <w:topLinePunct/>
                    <w:autoSpaceDE w:val="0"/>
                    <w:autoSpaceDN w:val="0"/>
                    <w:adjustRightInd w:val="0"/>
                    <w:snapToGrid w:val="0"/>
                    <w:spacing w:before="0" w:beforeAutospacing="0" w:after="0" w:afterAutospacing="0" w:line="320" w:lineRule="exact"/>
                    <w:ind w:left="0" w:leftChars="0" w:right="0" w:rightChars="0"/>
                    <w:jc w:val="center"/>
                    <w:textAlignment w:val="baseline"/>
                    <w:rPr>
                      <w:rFonts w:hint="eastAsia"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2#修磨废气</w:t>
                  </w:r>
                </w:p>
              </w:tc>
              <w:tc>
                <w:tcPr>
                  <w:tcW w:w="534" w:type="dxa"/>
                  <w:noWrap/>
                  <w:vAlign w:val="center"/>
                </w:tcPr>
                <w:p w14:paraId="5E9EFE4E">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颗粒物</w:t>
                  </w:r>
                </w:p>
              </w:tc>
              <w:tc>
                <w:tcPr>
                  <w:tcW w:w="442" w:type="dxa"/>
                  <w:noWrap/>
                  <w:vAlign w:val="center"/>
                </w:tcPr>
                <w:p w14:paraId="348CFB18">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275.6772</w:t>
                  </w:r>
                </w:p>
              </w:tc>
              <w:tc>
                <w:tcPr>
                  <w:tcW w:w="478" w:type="dxa"/>
                  <w:noWrap/>
                  <w:vAlign w:val="center"/>
                </w:tcPr>
                <w:p w14:paraId="16EC318B">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脉冲布袋除尘器</w:t>
                  </w:r>
                </w:p>
              </w:tc>
              <w:tc>
                <w:tcPr>
                  <w:tcW w:w="361" w:type="dxa"/>
                  <w:noWrap/>
                  <w:vAlign w:val="center"/>
                </w:tcPr>
                <w:p w14:paraId="18D151A3">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90</w:t>
                  </w:r>
                </w:p>
              </w:tc>
              <w:tc>
                <w:tcPr>
                  <w:tcW w:w="446" w:type="dxa"/>
                  <w:shd w:val="clear" w:color="auto" w:fill="auto"/>
                  <w:noWrap/>
                  <w:vAlign w:val="center"/>
                </w:tcPr>
                <w:p w14:paraId="798A206E">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248.109</w:t>
                  </w:r>
                </w:p>
              </w:tc>
              <w:tc>
                <w:tcPr>
                  <w:tcW w:w="446" w:type="dxa"/>
                  <w:noWrap/>
                  <w:vAlign w:val="center"/>
                </w:tcPr>
                <w:p w14:paraId="64143525">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34.460</w:t>
                  </w:r>
                </w:p>
              </w:tc>
              <w:tc>
                <w:tcPr>
                  <w:tcW w:w="520" w:type="dxa"/>
                  <w:noWrap/>
                  <w:vAlign w:val="center"/>
                </w:tcPr>
                <w:p w14:paraId="52A53ACD">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1722.98</w:t>
                  </w:r>
                </w:p>
              </w:tc>
              <w:tc>
                <w:tcPr>
                  <w:tcW w:w="489" w:type="dxa"/>
                  <w:noWrap/>
                  <w:vAlign w:val="center"/>
                </w:tcPr>
                <w:p w14:paraId="100844B4">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20000</w:t>
                  </w:r>
                </w:p>
              </w:tc>
              <w:tc>
                <w:tcPr>
                  <w:tcW w:w="361" w:type="dxa"/>
                  <w:noWrap/>
                  <w:vAlign w:val="center"/>
                </w:tcPr>
                <w:p w14:paraId="1C087A00">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99.9</w:t>
                  </w:r>
                </w:p>
              </w:tc>
              <w:tc>
                <w:tcPr>
                  <w:tcW w:w="552" w:type="dxa"/>
                  <w:noWrap/>
                  <w:vAlign w:val="center"/>
                </w:tcPr>
                <w:p w14:paraId="4ABCC2AA">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rPr>
                  </w:pPr>
                  <w:r>
                    <w:rPr>
                      <w:rFonts w:hint="eastAsia"/>
                      <w:bCs/>
                      <w:color w:val="auto"/>
                      <w:szCs w:val="21"/>
                      <w:highlight w:val="none"/>
                    </w:rPr>
                    <w:t>是</w:t>
                  </w:r>
                </w:p>
              </w:tc>
              <w:tc>
                <w:tcPr>
                  <w:tcW w:w="442" w:type="dxa"/>
                  <w:shd w:val="clear" w:color="auto" w:fill="auto"/>
                  <w:noWrap/>
                  <w:vAlign w:val="center"/>
                </w:tcPr>
                <w:p w14:paraId="54E7040F">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0.248</w:t>
                  </w:r>
                </w:p>
              </w:tc>
              <w:tc>
                <w:tcPr>
                  <w:tcW w:w="500" w:type="dxa"/>
                  <w:shd w:val="clear" w:color="auto" w:fill="auto"/>
                  <w:noWrap/>
                  <w:vAlign w:val="center"/>
                </w:tcPr>
                <w:p w14:paraId="5D786F82">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7.2</w:t>
                  </w:r>
                </w:p>
              </w:tc>
              <w:tc>
                <w:tcPr>
                  <w:tcW w:w="543" w:type="dxa"/>
                  <w:shd w:val="clear" w:color="auto" w:fill="auto"/>
                  <w:noWrap/>
                  <w:vAlign w:val="center"/>
                </w:tcPr>
                <w:p w14:paraId="108563D9">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1.72</w:t>
                  </w:r>
                </w:p>
              </w:tc>
              <w:tc>
                <w:tcPr>
                  <w:tcW w:w="748" w:type="dxa"/>
                  <w:noWrap/>
                  <w:vAlign w:val="center"/>
                </w:tcPr>
                <w:p w14:paraId="0BAA873B">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rPr>
                  </w:pPr>
                  <w:r>
                    <w:rPr>
                      <w:rFonts w:hint="eastAsia"/>
                      <w:bCs/>
                      <w:color w:val="auto"/>
                      <w:szCs w:val="21"/>
                      <w:highlight w:val="none"/>
                    </w:rPr>
                    <w:t>有组织</w:t>
                  </w:r>
                </w:p>
              </w:tc>
              <w:tc>
                <w:tcPr>
                  <w:tcW w:w="2119" w:type="dxa"/>
                  <w:noWrap/>
                  <w:vAlign w:val="center"/>
                </w:tcPr>
                <w:p w14:paraId="4A9C4A45">
                  <w:pPr>
                    <w:keepNext w:val="0"/>
                    <w:keepLines w:val="0"/>
                    <w:suppressLineNumbers w:val="0"/>
                    <w:adjustRightInd w:val="0"/>
                    <w:snapToGrid w:val="0"/>
                    <w:spacing w:before="0" w:beforeAutospacing="0" w:after="0" w:afterAutospacing="0"/>
                    <w:ind w:left="0" w:leftChars="0" w:right="0" w:rightChars="0"/>
                    <w:jc w:val="center"/>
                    <w:rPr>
                      <w:rFonts w:hint="eastAsia" w:cs="Times New Roman"/>
                      <w:smallCaps w:val="0"/>
                      <w:color w:val="auto"/>
                      <w:spacing w:val="0"/>
                      <w:szCs w:val="21"/>
                      <w:highlight w:val="none"/>
                      <w:lang w:eastAsia="zh-CN"/>
                    </w:rPr>
                  </w:pPr>
                  <w:r>
                    <w:rPr>
                      <w:rFonts w:hint="eastAsia" w:cs="Times New Roman"/>
                      <w:smallCaps w:val="0"/>
                      <w:color w:val="auto"/>
                      <w:spacing w:val="0"/>
                      <w:szCs w:val="21"/>
                      <w:highlight w:val="none"/>
                      <w:lang w:eastAsia="zh-CN"/>
                    </w:rPr>
                    <w:t>《大气污染物综合排放标准》（GB16297-1996）表2（其他）二级标准</w:t>
                  </w:r>
                </w:p>
              </w:tc>
              <w:tc>
                <w:tcPr>
                  <w:tcW w:w="412" w:type="dxa"/>
                  <w:noWrap/>
                  <w:vAlign w:val="center"/>
                </w:tcPr>
                <w:p w14:paraId="3425A511">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15</w:t>
                  </w:r>
                </w:p>
              </w:tc>
              <w:tc>
                <w:tcPr>
                  <w:tcW w:w="412" w:type="dxa"/>
                  <w:noWrap/>
                  <w:vAlign w:val="center"/>
                </w:tcPr>
                <w:p w14:paraId="4A2D09A2">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0.68</w:t>
                  </w:r>
                </w:p>
              </w:tc>
              <w:tc>
                <w:tcPr>
                  <w:tcW w:w="413" w:type="dxa"/>
                  <w:noWrap/>
                  <w:vAlign w:val="center"/>
                </w:tcPr>
                <w:p w14:paraId="673C52EE">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25</w:t>
                  </w:r>
                </w:p>
              </w:tc>
              <w:tc>
                <w:tcPr>
                  <w:tcW w:w="491" w:type="dxa"/>
                  <w:noWrap/>
                  <w:vAlign w:val="center"/>
                </w:tcPr>
                <w:p w14:paraId="1DFFD828">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default"/>
                      <w:bCs/>
                      <w:color w:val="auto"/>
                      <w:szCs w:val="21"/>
                      <w:highlight w:val="none"/>
                      <w:lang w:val="en-US" w:eastAsia="zh-CN"/>
                    </w:rPr>
                  </w:pPr>
                  <w:r>
                    <w:rPr>
                      <w:rFonts w:hint="eastAsia"/>
                      <w:bCs/>
                      <w:color w:val="auto"/>
                      <w:szCs w:val="21"/>
                      <w:highlight w:val="none"/>
                      <w:lang w:eastAsia="zh-CN"/>
                    </w:rPr>
                    <w:t>DA00</w:t>
                  </w:r>
                  <w:r>
                    <w:rPr>
                      <w:rFonts w:hint="eastAsia"/>
                      <w:bCs/>
                      <w:color w:val="auto"/>
                      <w:szCs w:val="21"/>
                      <w:highlight w:val="none"/>
                      <w:lang w:val="en-US" w:eastAsia="zh-CN"/>
                    </w:rPr>
                    <w:t>2</w:t>
                  </w:r>
                </w:p>
              </w:tc>
              <w:tc>
                <w:tcPr>
                  <w:tcW w:w="616" w:type="dxa"/>
                  <w:noWrap/>
                  <w:vAlign w:val="center"/>
                </w:tcPr>
                <w:p w14:paraId="531B1F08">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default"/>
                      <w:snapToGrid w:val="0"/>
                      <w:color w:val="auto"/>
                      <w:szCs w:val="21"/>
                      <w:highlight w:val="none"/>
                    </w:rPr>
                  </w:pPr>
                  <w:r>
                    <w:rPr>
                      <w:rFonts w:hint="default"/>
                      <w:snapToGrid w:val="0"/>
                      <w:color w:val="auto"/>
                      <w:szCs w:val="21"/>
                      <w:highlight w:val="none"/>
                    </w:rPr>
                    <w:t>一般排放口</w:t>
                  </w:r>
                </w:p>
              </w:tc>
              <w:tc>
                <w:tcPr>
                  <w:tcW w:w="1293" w:type="dxa"/>
                  <w:noWrap/>
                  <w:vAlign w:val="center"/>
                </w:tcPr>
                <w:p w14:paraId="764F00DF">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lang w:val="en-US" w:eastAsia="zh-CN"/>
                    </w:rPr>
                    <w:t>E</w:t>
                  </w:r>
                  <w:r>
                    <w:rPr>
                      <w:rFonts w:hint="default"/>
                      <w:bCs/>
                      <w:color w:val="auto"/>
                      <w:szCs w:val="21"/>
                      <w:highlight w:val="none"/>
                    </w:rPr>
                    <w:t>114.025594°</w:t>
                  </w:r>
                </w:p>
                <w:p w14:paraId="3FD3CDA2">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eastAsia"/>
                      <w:bCs/>
                      <w:color w:val="auto"/>
                      <w:szCs w:val="21"/>
                      <w:highlight w:val="none"/>
                      <w:lang w:val="en-US" w:eastAsia="zh-CN"/>
                    </w:rPr>
                  </w:pPr>
                  <w:r>
                    <w:rPr>
                      <w:rFonts w:hint="eastAsia"/>
                      <w:bCs/>
                      <w:color w:val="auto"/>
                      <w:szCs w:val="21"/>
                      <w:highlight w:val="none"/>
                      <w:lang w:val="en-US" w:eastAsia="zh-CN"/>
                    </w:rPr>
                    <w:t>N</w:t>
                  </w:r>
                  <w:r>
                    <w:rPr>
                      <w:rFonts w:hint="default"/>
                      <w:bCs/>
                      <w:color w:val="auto"/>
                      <w:szCs w:val="21"/>
                      <w:highlight w:val="none"/>
                    </w:rPr>
                    <w:t>38.069828°</w:t>
                  </w:r>
                </w:p>
              </w:tc>
            </w:tr>
            <w:tr w14:paraId="2C607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jc w:val="center"/>
              </w:trPr>
              <w:tc>
                <w:tcPr>
                  <w:tcW w:w="608" w:type="dxa"/>
                  <w:noWrap/>
                  <w:vAlign w:val="center"/>
                </w:tcPr>
                <w:p w14:paraId="2B7A014A">
                  <w:pPr>
                    <w:keepNext w:val="0"/>
                    <w:keepLines w:val="0"/>
                    <w:widowControl w:val="0"/>
                    <w:suppressLineNumbers w:val="0"/>
                    <w:topLinePunct/>
                    <w:autoSpaceDE w:val="0"/>
                    <w:autoSpaceDN w:val="0"/>
                    <w:adjustRightInd w:val="0"/>
                    <w:snapToGrid w:val="0"/>
                    <w:spacing w:before="0" w:beforeAutospacing="0" w:after="0" w:afterAutospacing="0" w:line="320" w:lineRule="exact"/>
                    <w:ind w:left="0" w:leftChars="0" w:right="0" w:rightChars="0"/>
                    <w:jc w:val="center"/>
                    <w:textAlignment w:val="baseline"/>
                    <w:rPr>
                      <w:rFonts w:hint="eastAsia" w:ascii="Times New Roman" w:hAnsi="Times New Roman" w:cs="Times New Roman"/>
                      <w:bCs/>
                      <w:color w:val="auto"/>
                      <w:sz w:val="21"/>
                      <w:szCs w:val="21"/>
                      <w:highlight w:val="none"/>
                      <w:lang w:val="en-US" w:eastAsia="zh-CN"/>
                    </w:rPr>
                  </w:pPr>
                  <w:r>
                    <w:rPr>
                      <w:rFonts w:hint="eastAsia" w:cs="Times New Roman"/>
                      <w:bCs/>
                      <w:color w:val="auto"/>
                      <w:sz w:val="21"/>
                      <w:szCs w:val="21"/>
                      <w:highlight w:val="none"/>
                      <w:lang w:val="en-US" w:eastAsia="zh-CN"/>
                    </w:rPr>
                    <w:t>3</w:t>
                  </w:r>
                  <w:r>
                    <w:rPr>
                      <w:rFonts w:hint="eastAsia" w:ascii="Times New Roman" w:hAnsi="Times New Roman" w:cs="Times New Roman"/>
                      <w:bCs/>
                      <w:color w:val="auto"/>
                      <w:sz w:val="21"/>
                      <w:szCs w:val="21"/>
                      <w:highlight w:val="none"/>
                      <w:lang w:val="en-US" w:eastAsia="zh-CN"/>
                    </w:rPr>
                    <w:t>#修磨废</w:t>
                  </w:r>
                </w:p>
              </w:tc>
              <w:tc>
                <w:tcPr>
                  <w:tcW w:w="534" w:type="dxa"/>
                  <w:noWrap/>
                  <w:vAlign w:val="center"/>
                </w:tcPr>
                <w:p w14:paraId="26DE5CF9">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颗粒物</w:t>
                  </w:r>
                </w:p>
              </w:tc>
              <w:tc>
                <w:tcPr>
                  <w:tcW w:w="442" w:type="dxa"/>
                  <w:noWrap/>
                  <w:vAlign w:val="center"/>
                </w:tcPr>
                <w:p w14:paraId="6824757F">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275.6772</w:t>
                  </w:r>
                </w:p>
              </w:tc>
              <w:tc>
                <w:tcPr>
                  <w:tcW w:w="478" w:type="dxa"/>
                  <w:noWrap/>
                  <w:vAlign w:val="center"/>
                </w:tcPr>
                <w:p w14:paraId="07A5B83C">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脉冲布袋除尘器</w:t>
                  </w:r>
                </w:p>
              </w:tc>
              <w:tc>
                <w:tcPr>
                  <w:tcW w:w="361" w:type="dxa"/>
                  <w:noWrap/>
                  <w:vAlign w:val="center"/>
                </w:tcPr>
                <w:p w14:paraId="5D5D0713">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90</w:t>
                  </w:r>
                </w:p>
              </w:tc>
              <w:tc>
                <w:tcPr>
                  <w:tcW w:w="446" w:type="dxa"/>
                  <w:shd w:val="clear" w:color="auto" w:fill="auto"/>
                  <w:noWrap/>
                  <w:vAlign w:val="center"/>
                </w:tcPr>
                <w:p w14:paraId="15757F44">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248.109</w:t>
                  </w:r>
                </w:p>
              </w:tc>
              <w:tc>
                <w:tcPr>
                  <w:tcW w:w="446" w:type="dxa"/>
                  <w:noWrap/>
                  <w:vAlign w:val="center"/>
                </w:tcPr>
                <w:p w14:paraId="1BA8F894">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34.460</w:t>
                  </w:r>
                </w:p>
              </w:tc>
              <w:tc>
                <w:tcPr>
                  <w:tcW w:w="520" w:type="dxa"/>
                  <w:noWrap/>
                  <w:vAlign w:val="center"/>
                </w:tcPr>
                <w:p w14:paraId="49C58387">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1722.98</w:t>
                  </w:r>
                </w:p>
              </w:tc>
              <w:tc>
                <w:tcPr>
                  <w:tcW w:w="489" w:type="dxa"/>
                  <w:noWrap/>
                  <w:vAlign w:val="center"/>
                </w:tcPr>
                <w:p w14:paraId="19315C05">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20000</w:t>
                  </w:r>
                </w:p>
              </w:tc>
              <w:tc>
                <w:tcPr>
                  <w:tcW w:w="361" w:type="dxa"/>
                  <w:noWrap/>
                  <w:vAlign w:val="center"/>
                </w:tcPr>
                <w:p w14:paraId="1201F932">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99.9</w:t>
                  </w:r>
                </w:p>
              </w:tc>
              <w:tc>
                <w:tcPr>
                  <w:tcW w:w="552" w:type="dxa"/>
                  <w:noWrap/>
                  <w:vAlign w:val="center"/>
                </w:tcPr>
                <w:p w14:paraId="61344A98">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rPr>
                  </w:pPr>
                  <w:r>
                    <w:rPr>
                      <w:rFonts w:hint="eastAsia"/>
                      <w:bCs/>
                      <w:color w:val="auto"/>
                      <w:szCs w:val="21"/>
                      <w:highlight w:val="none"/>
                    </w:rPr>
                    <w:t>是</w:t>
                  </w:r>
                </w:p>
              </w:tc>
              <w:tc>
                <w:tcPr>
                  <w:tcW w:w="442" w:type="dxa"/>
                  <w:shd w:val="clear" w:color="auto" w:fill="auto"/>
                  <w:noWrap/>
                  <w:vAlign w:val="center"/>
                </w:tcPr>
                <w:p w14:paraId="476B9ECA">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0.248</w:t>
                  </w:r>
                </w:p>
              </w:tc>
              <w:tc>
                <w:tcPr>
                  <w:tcW w:w="500" w:type="dxa"/>
                  <w:shd w:val="clear" w:color="auto" w:fill="auto"/>
                  <w:noWrap/>
                  <w:vAlign w:val="center"/>
                </w:tcPr>
                <w:p w14:paraId="280C03F6">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7.2</w:t>
                  </w:r>
                </w:p>
              </w:tc>
              <w:tc>
                <w:tcPr>
                  <w:tcW w:w="543" w:type="dxa"/>
                  <w:shd w:val="clear" w:color="auto" w:fill="auto"/>
                  <w:noWrap/>
                  <w:vAlign w:val="center"/>
                </w:tcPr>
                <w:p w14:paraId="4E87DA32">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1.72</w:t>
                  </w:r>
                </w:p>
              </w:tc>
              <w:tc>
                <w:tcPr>
                  <w:tcW w:w="748" w:type="dxa"/>
                  <w:noWrap/>
                  <w:vAlign w:val="center"/>
                </w:tcPr>
                <w:p w14:paraId="3AF789C6">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rPr>
                  </w:pPr>
                  <w:r>
                    <w:rPr>
                      <w:rFonts w:hint="eastAsia"/>
                      <w:bCs/>
                      <w:color w:val="auto"/>
                      <w:szCs w:val="21"/>
                      <w:highlight w:val="none"/>
                    </w:rPr>
                    <w:t>有组织</w:t>
                  </w:r>
                </w:p>
              </w:tc>
              <w:tc>
                <w:tcPr>
                  <w:tcW w:w="2119" w:type="dxa"/>
                  <w:noWrap/>
                  <w:vAlign w:val="center"/>
                </w:tcPr>
                <w:p w14:paraId="1029871C">
                  <w:pPr>
                    <w:keepNext w:val="0"/>
                    <w:keepLines w:val="0"/>
                    <w:suppressLineNumbers w:val="0"/>
                    <w:adjustRightInd w:val="0"/>
                    <w:snapToGrid w:val="0"/>
                    <w:spacing w:before="0" w:beforeAutospacing="0" w:after="0" w:afterAutospacing="0"/>
                    <w:ind w:left="0" w:leftChars="0" w:right="0" w:rightChars="0"/>
                    <w:jc w:val="center"/>
                    <w:rPr>
                      <w:rFonts w:hint="eastAsia" w:cs="Times New Roman"/>
                      <w:smallCaps w:val="0"/>
                      <w:color w:val="auto"/>
                      <w:spacing w:val="0"/>
                      <w:szCs w:val="21"/>
                      <w:highlight w:val="none"/>
                      <w:lang w:eastAsia="zh-CN"/>
                    </w:rPr>
                  </w:pPr>
                  <w:r>
                    <w:rPr>
                      <w:rFonts w:hint="eastAsia" w:cs="Times New Roman"/>
                      <w:smallCaps w:val="0"/>
                      <w:color w:val="auto"/>
                      <w:spacing w:val="0"/>
                      <w:szCs w:val="21"/>
                      <w:highlight w:val="none"/>
                      <w:lang w:eastAsia="zh-CN"/>
                    </w:rPr>
                    <w:t>《大气污染物综合排放标准》（GB16297-1996）表2（其他）二级标准</w:t>
                  </w:r>
                </w:p>
              </w:tc>
              <w:tc>
                <w:tcPr>
                  <w:tcW w:w="412" w:type="dxa"/>
                  <w:noWrap/>
                  <w:vAlign w:val="center"/>
                </w:tcPr>
                <w:p w14:paraId="76C945D0">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15</w:t>
                  </w:r>
                </w:p>
              </w:tc>
              <w:tc>
                <w:tcPr>
                  <w:tcW w:w="412" w:type="dxa"/>
                  <w:noWrap/>
                  <w:vAlign w:val="center"/>
                </w:tcPr>
                <w:p w14:paraId="6B4E1798">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0.68</w:t>
                  </w:r>
                </w:p>
              </w:tc>
              <w:tc>
                <w:tcPr>
                  <w:tcW w:w="413" w:type="dxa"/>
                  <w:noWrap/>
                  <w:vAlign w:val="center"/>
                </w:tcPr>
                <w:p w14:paraId="0CD429A6">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25</w:t>
                  </w:r>
                </w:p>
              </w:tc>
              <w:tc>
                <w:tcPr>
                  <w:tcW w:w="491" w:type="dxa"/>
                  <w:noWrap/>
                  <w:vAlign w:val="center"/>
                </w:tcPr>
                <w:p w14:paraId="38424EB4">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default"/>
                      <w:bCs/>
                      <w:color w:val="auto"/>
                      <w:szCs w:val="21"/>
                      <w:highlight w:val="none"/>
                      <w:lang w:val="en-US" w:eastAsia="zh-CN"/>
                    </w:rPr>
                  </w:pPr>
                  <w:r>
                    <w:rPr>
                      <w:rFonts w:hint="eastAsia"/>
                      <w:bCs/>
                      <w:color w:val="auto"/>
                      <w:szCs w:val="21"/>
                      <w:highlight w:val="none"/>
                      <w:lang w:eastAsia="zh-CN"/>
                    </w:rPr>
                    <w:t>DA00</w:t>
                  </w:r>
                  <w:r>
                    <w:rPr>
                      <w:rFonts w:hint="eastAsia"/>
                      <w:bCs/>
                      <w:color w:val="auto"/>
                      <w:szCs w:val="21"/>
                      <w:highlight w:val="none"/>
                      <w:lang w:val="en-US" w:eastAsia="zh-CN"/>
                    </w:rPr>
                    <w:t>3</w:t>
                  </w:r>
                </w:p>
              </w:tc>
              <w:tc>
                <w:tcPr>
                  <w:tcW w:w="616" w:type="dxa"/>
                  <w:noWrap/>
                  <w:vAlign w:val="center"/>
                </w:tcPr>
                <w:p w14:paraId="3016F8DF">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default"/>
                      <w:snapToGrid w:val="0"/>
                      <w:color w:val="auto"/>
                      <w:szCs w:val="21"/>
                      <w:highlight w:val="none"/>
                    </w:rPr>
                  </w:pPr>
                  <w:r>
                    <w:rPr>
                      <w:rFonts w:hint="default"/>
                      <w:snapToGrid w:val="0"/>
                      <w:color w:val="auto"/>
                      <w:szCs w:val="21"/>
                      <w:highlight w:val="none"/>
                    </w:rPr>
                    <w:t>一般排放口</w:t>
                  </w:r>
                </w:p>
              </w:tc>
              <w:tc>
                <w:tcPr>
                  <w:tcW w:w="1293" w:type="dxa"/>
                  <w:noWrap/>
                  <w:vAlign w:val="center"/>
                </w:tcPr>
                <w:p w14:paraId="74E2F03F">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lang w:val="en-US" w:eastAsia="zh-CN"/>
                    </w:rPr>
                    <w:t>E</w:t>
                  </w:r>
                  <w:r>
                    <w:rPr>
                      <w:rFonts w:hint="default"/>
                      <w:bCs/>
                      <w:color w:val="auto"/>
                      <w:szCs w:val="21"/>
                      <w:highlight w:val="none"/>
                    </w:rPr>
                    <w:t>114.025326°</w:t>
                  </w:r>
                </w:p>
                <w:p w14:paraId="6C05BD80">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eastAsia"/>
                      <w:bCs/>
                      <w:color w:val="auto"/>
                      <w:szCs w:val="21"/>
                      <w:highlight w:val="none"/>
                      <w:lang w:val="en-US" w:eastAsia="zh-CN"/>
                    </w:rPr>
                  </w:pPr>
                  <w:r>
                    <w:rPr>
                      <w:rFonts w:hint="eastAsia"/>
                      <w:bCs/>
                      <w:color w:val="auto"/>
                      <w:szCs w:val="21"/>
                      <w:highlight w:val="none"/>
                      <w:lang w:val="en-US" w:eastAsia="zh-CN"/>
                    </w:rPr>
                    <w:t>N</w:t>
                  </w:r>
                  <w:r>
                    <w:rPr>
                      <w:rFonts w:hint="default"/>
                      <w:bCs/>
                      <w:color w:val="auto"/>
                      <w:szCs w:val="21"/>
                      <w:highlight w:val="none"/>
                    </w:rPr>
                    <w:t>38.06975</w:t>
                  </w:r>
                  <w:r>
                    <w:rPr>
                      <w:rFonts w:hint="eastAsia"/>
                      <w:bCs/>
                      <w:color w:val="auto"/>
                      <w:szCs w:val="21"/>
                      <w:highlight w:val="none"/>
                      <w:lang w:val="en-US" w:eastAsia="zh-CN"/>
                    </w:rPr>
                    <w:t>3</w:t>
                  </w:r>
                  <w:r>
                    <w:rPr>
                      <w:rFonts w:hint="default"/>
                      <w:bCs/>
                      <w:color w:val="auto"/>
                      <w:szCs w:val="21"/>
                      <w:highlight w:val="none"/>
                    </w:rPr>
                    <w:t>°</w:t>
                  </w:r>
                </w:p>
              </w:tc>
            </w:tr>
            <w:tr w14:paraId="35773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jc w:val="center"/>
              </w:trPr>
              <w:tc>
                <w:tcPr>
                  <w:tcW w:w="608" w:type="dxa"/>
                  <w:noWrap/>
                  <w:vAlign w:val="center"/>
                </w:tcPr>
                <w:p w14:paraId="50A82912">
                  <w:pPr>
                    <w:keepNext w:val="0"/>
                    <w:keepLines w:val="0"/>
                    <w:widowControl w:val="0"/>
                    <w:suppressLineNumbers w:val="0"/>
                    <w:topLinePunct/>
                    <w:autoSpaceDE w:val="0"/>
                    <w:autoSpaceDN w:val="0"/>
                    <w:adjustRightInd w:val="0"/>
                    <w:snapToGrid w:val="0"/>
                    <w:spacing w:before="0" w:beforeAutospacing="0" w:after="0" w:afterAutospacing="0" w:line="320" w:lineRule="exact"/>
                    <w:ind w:left="0" w:leftChars="0" w:right="0" w:rightChars="0"/>
                    <w:jc w:val="center"/>
                    <w:textAlignment w:val="baseline"/>
                    <w:rPr>
                      <w:rFonts w:hint="eastAsia" w:ascii="Times New Roman" w:hAnsi="Times New Roman" w:cs="Times New Roman"/>
                      <w:bCs/>
                      <w:color w:val="auto"/>
                      <w:sz w:val="21"/>
                      <w:szCs w:val="21"/>
                      <w:highlight w:val="none"/>
                      <w:lang w:val="en-US" w:eastAsia="zh-CN"/>
                    </w:rPr>
                  </w:pPr>
                  <w:r>
                    <w:rPr>
                      <w:rFonts w:hint="eastAsia" w:cs="Times New Roman"/>
                      <w:bCs/>
                      <w:color w:val="auto"/>
                      <w:sz w:val="21"/>
                      <w:szCs w:val="21"/>
                      <w:highlight w:val="none"/>
                      <w:lang w:val="en-US" w:eastAsia="zh-CN"/>
                    </w:rPr>
                    <w:t>4</w:t>
                  </w:r>
                  <w:r>
                    <w:rPr>
                      <w:rFonts w:hint="eastAsia" w:ascii="Times New Roman" w:hAnsi="Times New Roman" w:cs="Times New Roman"/>
                      <w:bCs/>
                      <w:color w:val="auto"/>
                      <w:sz w:val="21"/>
                      <w:szCs w:val="21"/>
                      <w:highlight w:val="none"/>
                      <w:lang w:val="en-US" w:eastAsia="zh-CN"/>
                    </w:rPr>
                    <w:t>#修磨废</w:t>
                  </w:r>
                </w:p>
              </w:tc>
              <w:tc>
                <w:tcPr>
                  <w:tcW w:w="534" w:type="dxa"/>
                  <w:noWrap/>
                  <w:vAlign w:val="center"/>
                </w:tcPr>
                <w:p w14:paraId="0D6BA5B6">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颗粒物</w:t>
                  </w:r>
                </w:p>
              </w:tc>
              <w:tc>
                <w:tcPr>
                  <w:tcW w:w="442" w:type="dxa"/>
                  <w:noWrap/>
                  <w:vAlign w:val="center"/>
                </w:tcPr>
                <w:p w14:paraId="25AADE44">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275.6772</w:t>
                  </w:r>
                </w:p>
              </w:tc>
              <w:tc>
                <w:tcPr>
                  <w:tcW w:w="478" w:type="dxa"/>
                  <w:noWrap/>
                  <w:vAlign w:val="center"/>
                </w:tcPr>
                <w:p w14:paraId="6ABAF110">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脉冲布袋除尘器</w:t>
                  </w:r>
                </w:p>
              </w:tc>
              <w:tc>
                <w:tcPr>
                  <w:tcW w:w="361" w:type="dxa"/>
                  <w:noWrap/>
                  <w:vAlign w:val="center"/>
                </w:tcPr>
                <w:p w14:paraId="74B76A5D">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90</w:t>
                  </w:r>
                </w:p>
              </w:tc>
              <w:tc>
                <w:tcPr>
                  <w:tcW w:w="446" w:type="dxa"/>
                  <w:shd w:val="clear" w:color="auto" w:fill="auto"/>
                  <w:noWrap/>
                  <w:vAlign w:val="center"/>
                </w:tcPr>
                <w:p w14:paraId="2AD7068F">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248.109</w:t>
                  </w:r>
                </w:p>
              </w:tc>
              <w:tc>
                <w:tcPr>
                  <w:tcW w:w="446" w:type="dxa"/>
                  <w:noWrap/>
                  <w:vAlign w:val="center"/>
                </w:tcPr>
                <w:p w14:paraId="68037435">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34.460</w:t>
                  </w:r>
                </w:p>
              </w:tc>
              <w:tc>
                <w:tcPr>
                  <w:tcW w:w="520" w:type="dxa"/>
                  <w:noWrap/>
                  <w:vAlign w:val="center"/>
                </w:tcPr>
                <w:p w14:paraId="5911FA9E">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1722.98</w:t>
                  </w:r>
                </w:p>
              </w:tc>
              <w:tc>
                <w:tcPr>
                  <w:tcW w:w="489" w:type="dxa"/>
                  <w:noWrap/>
                  <w:vAlign w:val="center"/>
                </w:tcPr>
                <w:p w14:paraId="6BA8AE06">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20000</w:t>
                  </w:r>
                </w:p>
              </w:tc>
              <w:tc>
                <w:tcPr>
                  <w:tcW w:w="361" w:type="dxa"/>
                  <w:noWrap/>
                  <w:vAlign w:val="center"/>
                </w:tcPr>
                <w:p w14:paraId="3650507F">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99.9</w:t>
                  </w:r>
                </w:p>
              </w:tc>
              <w:tc>
                <w:tcPr>
                  <w:tcW w:w="552" w:type="dxa"/>
                  <w:noWrap/>
                  <w:vAlign w:val="center"/>
                </w:tcPr>
                <w:p w14:paraId="6EDE9949">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rPr>
                  </w:pPr>
                  <w:r>
                    <w:rPr>
                      <w:rFonts w:hint="eastAsia"/>
                      <w:bCs/>
                      <w:color w:val="auto"/>
                      <w:szCs w:val="21"/>
                      <w:highlight w:val="none"/>
                    </w:rPr>
                    <w:t>是</w:t>
                  </w:r>
                </w:p>
              </w:tc>
              <w:tc>
                <w:tcPr>
                  <w:tcW w:w="442" w:type="dxa"/>
                  <w:shd w:val="clear" w:color="auto" w:fill="auto"/>
                  <w:noWrap/>
                  <w:vAlign w:val="center"/>
                </w:tcPr>
                <w:p w14:paraId="770966A0">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0.248</w:t>
                  </w:r>
                </w:p>
              </w:tc>
              <w:tc>
                <w:tcPr>
                  <w:tcW w:w="500" w:type="dxa"/>
                  <w:shd w:val="clear" w:color="auto" w:fill="auto"/>
                  <w:noWrap/>
                  <w:vAlign w:val="center"/>
                </w:tcPr>
                <w:p w14:paraId="261B07A8">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7.2</w:t>
                  </w:r>
                </w:p>
              </w:tc>
              <w:tc>
                <w:tcPr>
                  <w:tcW w:w="543" w:type="dxa"/>
                  <w:shd w:val="clear" w:color="auto" w:fill="auto"/>
                  <w:noWrap/>
                  <w:vAlign w:val="center"/>
                </w:tcPr>
                <w:p w14:paraId="1E2200EB">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1.72</w:t>
                  </w:r>
                </w:p>
              </w:tc>
              <w:tc>
                <w:tcPr>
                  <w:tcW w:w="748" w:type="dxa"/>
                  <w:noWrap/>
                  <w:vAlign w:val="center"/>
                </w:tcPr>
                <w:p w14:paraId="6B625C9C">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rPr>
                  </w:pPr>
                  <w:r>
                    <w:rPr>
                      <w:rFonts w:hint="eastAsia"/>
                      <w:bCs/>
                      <w:color w:val="auto"/>
                      <w:szCs w:val="21"/>
                      <w:highlight w:val="none"/>
                    </w:rPr>
                    <w:t>有组织</w:t>
                  </w:r>
                </w:p>
              </w:tc>
              <w:tc>
                <w:tcPr>
                  <w:tcW w:w="2119" w:type="dxa"/>
                  <w:noWrap/>
                  <w:vAlign w:val="center"/>
                </w:tcPr>
                <w:p w14:paraId="0E62D160">
                  <w:pPr>
                    <w:keepNext w:val="0"/>
                    <w:keepLines w:val="0"/>
                    <w:suppressLineNumbers w:val="0"/>
                    <w:adjustRightInd w:val="0"/>
                    <w:snapToGrid w:val="0"/>
                    <w:spacing w:before="0" w:beforeAutospacing="0" w:after="0" w:afterAutospacing="0"/>
                    <w:ind w:left="0" w:leftChars="0" w:right="0" w:rightChars="0"/>
                    <w:jc w:val="center"/>
                    <w:rPr>
                      <w:rFonts w:hint="eastAsia" w:cs="Times New Roman"/>
                      <w:smallCaps w:val="0"/>
                      <w:color w:val="auto"/>
                      <w:spacing w:val="0"/>
                      <w:szCs w:val="21"/>
                      <w:highlight w:val="none"/>
                      <w:lang w:eastAsia="zh-CN"/>
                    </w:rPr>
                  </w:pPr>
                  <w:r>
                    <w:rPr>
                      <w:rFonts w:hint="eastAsia" w:cs="Times New Roman"/>
                      <w:smallCaps w:val="0"/>
                      <w:color w:val="auto"/>
                      <w:spacing w:val="0"/>
                      <w:szCs w:val="21"/>
                      <w:highlight w:val="none"/>
                      <w:lang w:eastAsia="zh-CN"/>
                    </w:rPr>
                    <w:t>《大气污染物综合排放标准》（GB16297-1996）表2（其他）二级标准</w:t>
                  </w:r>
                </w:p>
              </w:tc>
              <w:tc>
                <w:tcPr>
                  <w:tcW w:w="412" w:type="dxa"/>
                  <w:noWrap/>
                  <w:vAlign w:val="center"/>
                </w:tcPr>
                <w:p w14:paraId="4965CFA8">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15</w:t>
                  </w:r>
                </w:p>
              </w:tc>
              <w:tc>
                <w:tcPr>
                  <w:tcW w:w="412" w:type="dxa"/>
                  <w:noWrap/>
                  <w:vAlign w:val="center"/>
                </w:tcPr>
                <w:p w14:paraId="5ACB996A">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0.68</w:t>
                  </w:r>
                </w:p>
              </w:tc>
              <w:tc>
                <w:tcPr>
                  <w:tcW w:w="413" w:type="dxa"/>
                  <w:noWrap/>
                  <w:vAlign w:val="center"/>
                </w:tcPr>
                <w:p w14:paraId="7E25EDA2">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25</w:t>
                  </w:r>
                </w:p>
              </w:tc>
              <w:tc>
                <w:tcPr>
                  <w:tcW w:w="491" w:type="dxa"/>
                  <w:noWrap/>
                  <w:vAlign w:val="center"/>
                </w:tcPr>
                <w:p w14:paraId="691DF316">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default"/>
                      <w:bCs/>
                      <w:color w:val="auto"/>
                      <w:szCs w:val="21"/>
                      <w:highlight w:val="none"/>
                      <w:lang w:val="en-US" w:eastAsia="zh-CN"/>
                    </w:rPr>
                  </w:pPr>
                  <w:r>
                    <w:rPr>
                      <w:rFonts w:hint="eastAsia"/>
                      <w:bCs/>
                      <w:color w:val="auto"/>
                      <w:szCs w:val="21"/>
                      <w:highlight w:val="none"/>
                      <w:lang w:eastAsia="zh-CN"/>
                    </w:rPr>
                    <w:t>DA00</w:t>
                  </w:r>
                  <w:r>
                    <w:rPr>
                      <w:rFonts w:hint="eastAsia"/>
                      <w:bCs/>
                      <w:color w:val="auto"/>
                      <w:szCs w:val="21"/>
                      <w:highlight w:val="none"/>
                      <w:lang w:val="en-US" w:eastAsia="zh-CN"/>
                    </w:rPr>
                    <w:t>4</w:t>
                  </w:r>
                </w:p>
              </w:tc>
              <w:tc>
                <w:tcPr>
                  <w:tcW w:w="616" w:type="dxa"/>
                  <w:noWrap/>
                  <w:vAlign w:val="center"/>
                </w:tcPr>
                <w:p w14:paraId="1DFABB1A">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default"/>
                      <w:snapToGrid w:val="0"/>
                      <w:color w:val="auto"/>
                      <w:szCs w:val="21"/>
                      <w:highlight w:val="none"/>
                    </w:rPr>
                  </w:pPr>
                  <w:r>
                    <w:rPr>
                      <w:rFonts w:hint="default"/>
                      <w:snapToGrid w:val="0"/>
                      <w:color w:val="auto"/>
                      <w:szCs w:val="21"/>
                      <w:highlight w:val="none"/>
                    </w:rPr>
                    <w:t>一般排放口</w:t>
                  </w:r>
                </w:p>
              </w:tc>
              <w:tc>
                <w:tcPr>
                  <w:tcW w:w="1293" w:type="dxa"/>
                  <w:noWrap/>
                  <w:vAlign w:val="center"/>
                </w:tcPr>
                <w:p w14:paraId="10434979">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lang w:val="en-US" w:eastAsia="zh-CN"/>
                    </w:rPr>
                    <w:t>E</w:t>
                  </w:r>
                  <w:r>
                    <w:rPr>
                      <w:rFonts w:hint="default"/>
                      <w:bCs/>
                      <w:color w:val="auto"/>
                      <w:szCs w:val="21"/>
                      <w:highlight w:val="none"/>
                    </w:rPr>
                    <w:t>114.02506</w:t>
                  </w:r>
                  <w:r>
                    <w:rPr>
                      <w:rFonts w:hint="eastAsia"/>
                      <w:bCs/>
                      <w:color w:val="auto"/>
                      <w:szCs w:val="21"/>
                      <w:highlight w:val="none"/>
                      <w:lang w:val="en-US" w:eastAsia="zh-CN"/>
                    </w:rPr>
                    <w:t>9</w:t>
                  </w:r>
                  <w:r>
                    <w:rPr>
                      <w:rFonts w:hint="default"/>
                      <w:bCs/>
                      <w:color w:val="auto"/>
                      <w:szCs w:val="21"/>
                      <w:highlight w:val="none"/>
                    </w:rPr>
                    <w:t>°</w:t>
                  </w:r>
                </w:p>
                <w:p w14:paraId="6540DFFC">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eastAsia"/>
                      <w:bCs/>
                      <w:color w:val="auto"/>
                      <w:szCs w:val="21"/>
                      <w:highlight w:val="none"/>
                      <w:lang w:val="en-US" w:eastAsia="zh-CN"/>
                    </w:rPr>
                  </w:pPr>
                  <w:r>
                    <w:rPr>
                      <w:rFonts w:hint="eastAsia"/>
                      <w:bCs/>
                      <w:color w:val="auto"/>
                      <w:szCs w:val="21"/>
                      <w:highlight w:val="none"/>
                      <w:lang w:val="en-US" w:eastAsia="zh-CN"/>
                    </w:rPr>
                    <w:t>N</w:t>
                  </w:r>
                  <w:r>
                    <w:rPr>
                      <w:rFonts w:hint="default"/>
                      <w:bCs/>
                      <w:color w:val="auto"/>
                      <w:szCs w:val="21"/>
                      <w:highlight w:val="none"/>
                    </w:rPr>
                    <w:t>38.069656°</w:t>
                  </w:r>
                </w:p>
              </w:tc>
            </w:tr>
            <w:tr w14:paraId="599CE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jc w:val="center"/>
              </w:trPr>
              <w:tc>
                <w:tcPr>
                  <w:tcW w:w="608" w:type="dxa"/>
                  <w:noWrap/>
                  <w:vAlign w:val="center"/>
                </w:tcPr>
                <w:p w14:paraId="62462ADF">
                  <w:pPr>
                    <w:keepNext w:val="0"/>
                    <w:keepLines w:val="0"/>
                    <w:widowControl w:val="0"/>
                    <w:suppressLineNumbers w:val="0"/>
                    <w:topLinePunct/>
                    <w:autoSpaceDE w:val="0"/>
                    <w:autoSpaceDN w:val="0"/>
                    <w:adjustRightInd w:val="0"/>
                    <w:snapToGrid w:val="0"/>
                    <w:spacing w:before="0" w:beforeAutospacing="0" w:after="0" w:afterAutospacing="0" w:line="320" w:lineRule="exact"/>
                    <w:ind w:left="0" w:leftChars="0" w:right="0" w:rightChars="0"/>
                    <w:jc w:val="center"/>
                    <w:textAlignment w:val="baseline"/>
                    <w:rPr>
                      <w:rFonts w:hint="eastAsia" w:ascii="Times New Roman" w:hAnsi="Times New Roman" w:cs="Times New Roman"/>
                      <w:bCs/>
                      <w:color w:val="auto"/>
                      <w:sz w:val="21"/>
                      <w:szCs w:val="21"/>
                      <w:highlight w:val="none"/>
                      <w:lang w:val="en-US" w:eastAsia="zh-CN"/>
                    </w:rPr>
                  </w:pPr>
                  <w:r>
                    <w:rPr>
                      <w:rFonts w:hint="eastAsia" w:cs="Times New Roman"/>
                      <w:bCs/>
                      <w:color w:val="auto"/>
                      <w:sz w:val="21"/>
                      <w:szCs w:val="21"/>
                      <w:highlight w:val="none"/>
                      <w:lang w:val="en-US" w:eastAsia="zh-CN"/>
                    </w:rPr>
                    <w:t>5</w:t>
                  </w:r>
                  <w:r>
                    <w:rPr>
                      <w:rFonts w:hint="eastAsia" w:ascii="Times New Roman" w:hAnsi="Times New Roman" w:cs="Times New Roman"/>
                      <w:bCs/>
                      <w:color w:val="auto"/>
                      <w:sz w:val="21"/>
                      <w:szCs w:val="21"/>
                      <w:highlight w:val="none"/>
                      <w:lang w:val="en-US" w:eastAsia="zh-CN"/>
                    </w:rPr>
                    <w:t>#修磨废</w:t>
                  </w:r>
                </w:p>
              </w:tc>
              <w:tc>
                <w:tcPr>
                  <w:tcW w:w="534" w:type="dxa"/>
                  <w:noWrap/>
                  <w:vAlign w:val="center"/>
                </w:tcPr>
                <w:p w14:paraId="6C4BB8A3">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颗粒物</w:t>
                  </w:r>
                </w:p>
              </w:tc>
              <w:tc>
                <w:tcPr>
                  <w:tcW w:w="442" w:type="dxa"/>
                  <w:noWrap/>
                  <w:vAlign w:val="center"/>
                </w:tcPr>
                <w:p w14:paraId="73D6127E">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275.6772</w:t>
                  </w:r>
                </w:p>
              </w:tc>
              <w:tc>
                <w:tcPr>
                  <w:tcW w:w="478" w:type="dxa"/>
                  <w:noWrap/>
                  <w:vAlign w:val="center"/>
                </w:tcPr>
                <w:p w14:paraId="5C804E89">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脉冲布袋除尘器</w:t>
                  </w:r>
                </w:p>
              </w:tc>
              <w:tc>
                <w:tcPr>
                  <w:tcW w:w="361" w:type="dxa"/>
                  <w:noWrap/>
                  <w:vAlign w:val="center"/>
                </w:tcPr>
                <w:p w14:paraId="1A3C38D5">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90</w:t>
                  </w:r>
                </w:p>
              </w:tc>
              <w:tc>
                <w:tcPr>
                  <w:tcW w:w="446" w:type="dxa"/>
                  <w:shd w:val="clear" w:color="auto" w:fill="auto"/>
                  <w:noWrap/>
                  <w:vAlign w:val="center"/>
                </w:tcPr>
                <w:p w14:paraId="7D540746">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248.109</w:t>
                  </w:r>
                </w:p>
              </w:tc>
              <w:tc>
                <w:tcPr>
                  <w:tcW w:w="446" w:type="dxa"/>
                  <w:noWrap/>
                  <w:vAlign w:val="center"/>
                </w:tcPr>
                <w:p w14:paraId="063B9E8D">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34.460</w:t>
                  </w:r>
                </w:p>
              </w:tc>
              <w:tc>
                <w:tcPr>
                  <w:tcW w:w="520" w:type="dxa"/>
                  <w:noWrap/>
                  <w:vAlign w:val="center"/>
                </w:tcPr>
                <w:p w14:paraId="4364F533">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1722.98</w:t>
                  </w:r>
                </w:p>
              </w:tc>
              <w:tc>
                <w:tcPr>
                  <w:tcW w:w="489" w:type="dxa"/>
                  <w:noWrap/>
                  <w:vAlign w:val="center"/>
                </w:tcPr>
                <w:p w14:paraId="78E257E1">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20000</w:t>
                  </w:r>
                </w:p>
              </w:tc>
              <w:tc>
                <w:tcPr>
                  <w:tcW w:w="361" w:type="dxa"/>
                  <w:noWrap/>
                  <w:vAlign w:val="center"/>
                </w:tcPr>
                <w:p w14:paraId="056C8967">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99.9</w:t>
                  </w:r>
                </w:p>
              </w:tc>
              <w:tc>
                <w:tcPr>
                  <w:tcW w:w="552" w:type="dxa"/>
                  <w:noWrap/>
                  <w:vAlign w:val="center"/>
                </w:tcPr>
                <w:p w14:paraId="4D2EB741">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rPr>
                  </w:pPr>
                  <w:r>
                    <w:rPr>
                      <w:rFonts w:hint="eastAsia"/>
                      <w:bCs/>
                      <w:color w:val="auto"/>
                      <w:szCs w:val="21"/>
                      <w:highlight w:val="none"/>
                    </w:rPr>
                    <w:t>是</w:t>
                  </w:r>
                </w:p>
              </w:tc>
              <w:tc>
                <w:tcPr>
                  <w:tcW w:w="442" w:type="dxa"/>
                  <w:shd w:val="clear" w:color="auto" w:fill="auto"/>
                  <w:noWrap/>
                  <w:vAlign w:val="center"/>
                </w:tcPr>
                <w:p w14:paraId="5DABFB05">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0.248</w:t>
                  </w:r>
                </w:p>
              </w:tc>
              <w:tc>
                <w:tcPr>
                  <w:tcW w:w="500" w:type="dxa"/>
                  <w:shd w:val="clear" w:color="auto" w:fill="auto"/>
                  <w:noWrap/>
                  <w:vAlign w:val="center"/>
                </w:tcPr>
                <w:p w14:paraId="1C7ACFE5">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7.2</w:t>
                  </w:r>
                </w:p>
              </w:tc>
              <w:tc>
                <w:tcPr>
                  <w:tcW w:w="543" w:type="dxa"/>
                  <w:shd w:val="clear" w:color="auto" w:fill="auto"/>
                  <w:noWrap/>
                  <w:vAlign w:val="center"/>
                </w:tcPr>
                <w:p w14:paraId="5EA5CDA6">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1.72</w:t>
                  </w:r>
                </w:p>
              </w:tc>
              <w:tc>
                <w:tcPr>
                  <w:tcW w:w="748" w:type="dxa"/>
                  <w:noWrap/>
                  <w:vAlign w:val="center"/>
                </w:tcPr>
                <w:p w14:paraId="36FA06AF">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rPr>
                  </w:pPr>
                  <w:r>
                    <w:rPr>
                      <w:rFonts w:hint="eastAsia"/>
                      <w:bCs/>
                      <w:color w:val="auto"/>
                      <w:szCs w:val="21"/>
                      <w:highlight w:val="none"/>
                    </w:rPr>
                    <w:t>有组织</w:t>
                  </w:r>
                </w:p>
              </w:tc>
              <w:tc>
                <w:tcPr>
                  <w:tcW w:w="2119" w:type="dxa"/>
                  <w:noWrap/>
                  <w:vAlign w:val="center"/>
                </w:tcPr>
                <w:p w14:paraId="577A595C">
                  <w:pPr>
                    <w:keepNext w:val="0"/>
                    <w:keepLines w:val="0"/>
                    <w:suppressLineNumbers w:val="0"/>
                    <w:adjustRightInd w:val="0"/>
                    <w:snapToGrid w:val="0"/>
                    <w:spacing w:before="0" w:beforeAutospacing="0" w:after="0" w:afterAutospacing="0"/>
                    <w:ind w:left="0" w:leftChars="0" w:right="0" w:rightChars="0"/>
                    <w:jc w:val="center"/>
                    <w:rPr>
                      <w:rFonts w:hint="eastAsia" w:cs="Times New Roman"/>
                      <w:smallCaps w:val="0"/>
                      <w:color w:val="auto"/>
                      <w:spacing w:val="0"/>
                      <w:szCs w:val="21"/>
                      <w:highlight w:val="none"/>
                      <w:lang w:eastAsia="zh-CN"/>
                    </w:rPr>
                  </w:pPr>
                  <w:r>
                    <w:rPr>
                      <w:rFonts w:hint="eastAsia" w:cs="Times New Roman"/>
                      <w:smallCaps w:val="0"/>
                      <w:color w:val="auto"/>
                      <w:spacing w:val="0"/>
                      <w:szCs w:val="21"/>
                      <w:highlight w:val="none"/>
                      <w:lang w:eastAsia="zh-CN"/>
                    </w:rPr>
                    <w:t>《大气污染物综合排放标准》（GB16297-1996）表2（其他）二级标准</w:t>
                  </w:r>
                </w:p>
              </w:tc>
              <w:tc>
                <w:tcPr>
                  <w:tcW w:w="412" w:type="dxa"/>
                  <w:noWrap/>
                  <w:vAlign w:val="center"/>
                </w:tcPr>
                <w:p w14:paraId="66E79303">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15</w:t>
                  </w:r>
                </w:p>
              </w:tc>
              <w:tc>
                <w:tcPr>
                  <w:tcW w:w="412" w:type="dxa"/>
                  <w:noWrap/>
                  <w:vAlign w:val="center"/>
                </w:tcPr>
                <w:p w14:paraId="1DA6CD0F">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0.68</w:t>
                  </w:r>
                </w:p>
              </w:tc>
              <w:tc>
                <w:tcPr>
                  <w:tcW w:w="413" w:type="dxa"/>
                  <w:noWrap/>
                  <w:vAlign w:val="center"/>
                </w:tcPr>
                <w:p w14:paraId="2BA3EA89">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25</w:t>
                  </w:r>
                </w:p>
              </w:tc>
              <w:tc>
                <w:tcPr>
                  <w:tcW w:w="491" w:type="dxa"/>
                  <w:noWrap/>
                  <w:vAlign w:val="center"/>
                </w:tcPr>
                <w:p w14:paraId="34278E0D">
                  <w:pPr>
                    <w:keepNext w:val="0"/>
                    <w:keepLines w:val="0"/>
                    <w:suppressLineNumbers w:val="0"/>
                    <w:tabs>
                      <w:tab w:val="left" w:pos="360"/>
                    </w:tabs>
                    <w:autoSpaceDE w:val="0"/>
                    <w:autoSpaceDN w:val="0"/>
                    <w:adjustRightInd w:val="0"/>
                    <w:spacing w:before="0" w:beforeAutospacing="0" w:after="0" w:afterAutospacing="0" w:line="320" w:lineRule="exact"/>
                    <w:ind w:left="0" w:leftChars="0" w:right="0" w:rightChars="0"/>
                    <w:jc w:val="center"/>
                    <w:rPr>
                      <w:rFonts w:hint="default"/>
                      <w:bCs/>
                      <w:color w:val="auto"/>
                      <w:szCs w:val="21"/>
                      <w:highlight w:val="none"/>
                      <w:lang w:val="en-US" w:eastAsia="zh-CN"/>
                    </w:rPr>
                  </w:pPr>
                  <w:r>
                    <w:rPr>
                      <w:rFonts w:hint="eastAsia"/>
                      <w:bCs/>
                      <w:color w:val="auto"/>
                      <w:szCs w:val="21"/>
                      <w:highlight w:val="none"/>
                      <w:lang w:eastAsia="zh-CN"/>
                    </w:rPr>
                    <w:t>DA00</w:t>
                  </w:r>
                  <w:r>
                    <w:rPr>
                      <w:rFonts w:hint="eastAsia"/>
                      <w:bCs/>
                      <w:color w:val="auto"/>
                      <w:szCs w:val="21"/>
                      <w:highlight w:val="none"/>
                      <w:lang w:val="en-US" w:eastAsia="zh-CN"/>
                    </w:rPr>
                    <w:t>5</w:t>
                  </w:r>
                </w:p>
              </w:tc>
              <w:tc>
                <w:tcPr>
                  <w:tcW w:w="616" w:type="dxa"/>
                  <w:noWrap/>
                  <w:vAlign w:val="center"/>
                </w:tcPr>
                <w:p w14:paraId="42B81EEA">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default"/>
                      <w:snapToGrid w:val="0"/>
                      <w:color w:val="auto"/>
                      <w:szCs w:val="21"/>
                      <w:highlight w:val="none"/>
                    </w:rPr>
                  </w:pPr>
                  <w:r>
                    <w:rPr>
                      <w:rFonts w:hint="default"/>
                      <w:snapToGrid w:val="0"/>
                      <w:color w:val="auto"/>
                      <w:szCs w:val="21"/>
                      <w:highlight w:val="none"/>
                    </w:rPr>
                    <w:t>一般排放口</w:t>
                  </w:r>
                </w:p>
              </w:tc>
              <w:tc>
                <w:tcPr>
                  <w:tcW w:w="1293" w:type="dxa"/>
                  <w:noWrap/>
                  <w:vAlign w:val="center"/>
                </w:tcPr>
                <w:p w14:paraId="2FF6106B">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lang w:val="en-US" w:eastAsia="zh-CN"/>
                    </w:rPr>
                    <w:t>E</w:t>
                  </w:r>
                  <w:r>
                    <w:rPr>
                      <w:rFonts w:hint="default"/>
                      <w:bCs/>
                      <w:color w:val="auto"/>
                      <w:szCs w:val="21"/>
                      <w:highlight w:val="none"/>
                    </w:rPr>
                    <w:t>114.024693°</w:t>
                  </w:r>
                </w:p>
                <w:p w14:paraId="16F43F0B">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eastAsia"/>
                      <w:bCs/>
                      <w:color w:val="auto"/>
                      <w:szCs w:val="21"/>
                      <w:highlight w:val="none"/>
                      <w:lang w:val="en-US" w:eastAsia="zh-CN"/>
                    </w:rPr>
                  </w:pPr>
                  <w:r>
                    <w:rPr>
                      <w:rFonts w:hint="eastAsia"/>
                      <w:bCs/>
                      <w:color w:val="auto"/>
                      <w:szCs w:val="21"/>
                      <w:highlight w:val="none"/>
                      <w:lang w:val="en-US" w:eastAsia="zh-CN"/>
                    </w:rPr>
                    <w:t>N</w:t>
                  </w:r>
                  <w:r>
                    <w:rPr>
                      <w:rFonts w:hint="default"/>
                      <w:bCs/>
                      <w:color w:val="auto"/>
                      <w:szCs w:val="21"/>
                      <w:highlight w:val="none"/>
                    </w:rPr>
                    <w:t>38.06959</w:t>
                  </w:r>
                  <w:r>
                    <w:rPr>
                      <w:rFonts w:hint="eastAsia"/>
                      <w:bCs/>
                      <w:color w:val="auto"/>
                      <w:szCs w:val="21"/>
                      <w:highlight w:val="none"/>
                      <w:lang w:val="en-US" w:eastAsia="zh-CN"/>
                    </w:rPr>
                    <w:t>2</w:t>
                  </w:r>
                  <w:r>
                    <w:rPr>
                      <w:rFonts w:hint="default"/>
                      <w:bCs/>
                      <w:color w:val="auto"/>
                      <w:szCs w:val="21"/>
                      <w:highlight w:val="none"/>
                    </w:rPr>
                    <w:t>°</w:t>
                  </w:r>
                </w:p>
              </w:tc>
            </w:tr>
            <w:tr w14:paraId="5221B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40" w:hRule="atLeast"/>
                <w:jc w:val="center"/>
              </w:trPr>
              <w:tc>
                <w:tcPr>
                  <w:tcW w:w="608" w:type="dxa"/>
                  <w:noWrap/>
                  <w:vAlign w:val="center"/>
                </w:tcPr>
                <w:p w14:paraId="4E4C2EE5">
                  <w:pPr>
                    <w:pStyle w:val="41"/>
                    <w:keepNext w:val="0"/>
                    <w:keepLines w:val="0"/>
                    <w:widowControl w:val="0"/>
                    <w:suppressLineNumbers w:val="0"/>
                    <w:topLinePunct/>
                    <w:autoSpaceDE w:val="0"/>
                    <w:autoSpaceDN w:val="0"/>
                    <w:adjustRightInd w:val="0"/>
                    <w:snapToGrid w:val="0"/>
                    <w:spacing w:before="0" w:beforeAutospacing="0" w:after="0" w:afterAutospacing="0" w:line="320" w:lineRule="exact"/>
                    <w:ind w:left="0" w:right="0"/>
                    <w:jc w:val="center"/>
                    <w:textAlignment w:val="baseline"/>
                    <w:rPr>
                      <w:rFonts w:hint="default"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无组织废气</w:t>
                  </w:r>
                </w:p>
              </w:tc>
              <w:tc>
                <w:tcPr>
                  <w:tcW w:w="534" w:type="dxa"/>
                  <w:noWrap/>
                  <w:vAlign w:val="center"/>
                </w:tcPr>
                <w:p w14:paraId="7E20A08F">
                  <w:pPr>
                    <w:keepNext w:val="0"/>
                    <w:keepLines w:val="0"/>
                    <w:suppressLineNumbers w:val="0"/>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val="en-US" w:eastAsia="zh-CN"/>
                    </w:rPr>
                    <w:t>颗粒物</w:t>
                  </w:r>
                </w:p>
              </w:tc>
              <w:tc>
                <w:tcPr>
                  <w:tcW w:w="442" w:type="dxa"/>
                  <w:noWrap/>
                  <w:vAlign w:val="center"/>
                </w:tcPr>
                <w:p w14:paraId="694FA81D">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137.839</w:t>
                  </w:r>
                </w:p>
              </w:tc>
              <w:tc>
                <w:tcPr>
                  <w:tcW w:w="478" w:type="dxa"/>
                  <w:noWrap/>
                  <w:vAlign w:val="center"/>
                </w:tcPr>
                <w:p w14:paraId="4BE126C3">
                  <w:pPr>
                    <w:keepNext w:val="0"/>
                    <w:keepLines w:val="0"/>
                    <w:suppressLineNumbers w:val="0"/>
                    <w:autoSpaceDE w:val="0"/>
                    <w:autoSpaceDN w:val="0"/>
                    <w:adjustRightInd w:val="0"/>
                    <w:spacing w:before="0" w:beforeAutospacing="0" w:after="0" w:afterAutospacing="0" w:line="320" w:lineRule="exact"/>
                    <w:ind w:left="0" w:right="0"/>
                    <w:jc w:val="center"/>
                    <w:rPr>
                      <w:rFonts w:hint="default"/>
                      <w:bCs/>
                      <w:color w:val="auto"/>
                      <w:szCs w:val="21"/>
                      <w:highlight w:val="none"/>
                      <w:lang w:val="en-US" w:eastAsia="zh-CN"/>
                    </w:rPr>
                  </w:pPr>
                  <w:r>
                    <w:rPr>
                      <w:rFonts w:hint="eastAsia"/>
                      <w:bCs/>
                      <w:color w:val="auto"/>
                      <w:szCs w:val="21"/>
                      <w:highlight w:val="none"/>
                      <w:lang w:val="en-US" w:eastAsia="zh-CN"/>
                    </w:rPr>
                    <w:t>车间密闭</w:t>
                  </w:r>
                </w:p>
              </w:tc>
              <w:tc>
                <w:tcPr>
                  <w:tcW w:w="361" w:type="dxa"/>
                  <w:noWrap/>
                  <w:vAlign w:val="center"/>
                </w:tcPr>
                <w:p w14:paraId="3E8BDF5D">
                  <w:pPr>
                    <w:keepNext w:val="0"/>
                    <w:keepLines w:val="0"/>
                    <w:suppressLineNumbers w:val="0"/>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val="en-US" w:eastAsia="zh-CN"/>
                    </w:rPr>
                    <w:t>-</w:t>
                  </w:r>
                </w:p>
              </w:tc>
              <w:tc>
                <w:tcPr>
                  <w:tcW w:w="446" w:type="dxa"/>
                  <w:shd w:val="clear" w:color="auto" w:fill="auto"/>
                  <w:noWrap/>
                  <w:vAlign w:val="center"/>
                </w:tcPr>
                <w:p w14:paraId="1EE52F6B">
                  <w:pPr>
                    <w:keepNext w:val="0"/>
                    <w:keepLines w:val="0"/>
                    <w:suppressLineNumbers w:val="0"/>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val="en-US" w:eastAsia="zh-CN"/>
                    </w:rPr>
                    <w:t>-</w:t>
                  </w:r>
                </w:p>
              </w:tc>
              <w:tc>
                <w:tcPr>
                  <w:tcW w:w="446" w:type="dxa"/>
                  <w:noWrap/>
                  <w:vAlign w:val="center"/>
                </w:tcPr>
                <w:p w14:paraId="4D50096A">
                  <w:pPr>
                    <w:keepNext w:val="0"/>
                    <w:keepLines w:val="0"/>
                    <w:suppressLineNumbers w:val="0"/>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val="en-US" w:eastAsia="zh-CN"/>
                    </w:rPr>
                    <w:t>-</w:t>
                  </w:r>
                </w:p>
              </w:tc>
              <w:tc>
                <w:tcPr>
                  <w:tcW w:w="520" w:type="dxa"/>
                  <w:noWrap/>
                  <w:vAlign w:val="center"/>
                </w:tcPr>
                <w:p w14:paraId="66FE52B2">
                  <w:pPr>
                    <w:keepNext w:val="0"/>
                    <w:keepLines w:val="0"/>
                    <w:suppressLineNumbers w:val="0"/>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val="en-US" w:eastAsia="zh-CN"/>
                    </w:rPr>
                    <w:t>-</w:t>
                  </w:r>
                </w:p>
              </w:tc>
              <w:tc>
                <w:tcPr>
                  <w:tcW w:w="489" w:type="dxa"/>
                  <w:noWrap/>
                  <w:vAlign w:val="center"/>
                </w:tcPr>
                <w:p w14:paraId="37E10BC0">
                  <w:pPr>
                    <w:keepNext w:val="0"/>
                    <w:keepLines w:val="0"/>
                    <w:suppressLineNumbers w:val="0"/>
                    <w:autoSpaceDE w:val="0"/>
                    <w:autoSpaceDN w:val="0"/>
                    <w:adjustRightInd w:val="0"/>
                    <w:spacing w:before="0" w:beforeAutospacing="0" w:after="0" w:afterAutospacing="0" w:line="320" w:lineRule="exact"/>
                    <w:ind w:left="0" w:right="0"/>
                    <w:jc w:val="center"/>
                    <w:rPr>
                      <w:rFonts w:hint="eastAsia"/>
                      <w:bCs/>
                      <w:color w:val="auto"/>
                      <w:szCs w:val="21"/>
                      <w:highlight w:val="none"/>
                      <w:lang w:val="en-US" w:eastAsia="zh-CN"/>
                    </w:rPr>
                  </w:pPr>
                  <w:r>
                    <w:rPr>
                      <w:rFonts w:hint="eastAsia"/>
                      <w:bCs/>
                      <w:color w:val="auto"/>
                      <w:szCs w:val="21"/>
                      <w:highlight w:val="none"/>
                      <w:lang w:val="en-US" w:eastAsia="zh-CN"/>
                    </w:rPr>
                    <w:t>-</w:t>
                  </w:r>
                </w:p>
              </w:tc>
              <w:tc>
                <w:tcPr>
                  <w:tcW w:w="361" w:type="dxa"/>
                  <w:noWrap/>
                  <w:vAlign w:val="center"/>
                </w:tcPr>
                <w:p w14:paraId="02321F76">
                  <w:pPr>
                    <w:keepNext w:val="0"/>
                    <w:keepLines w:val="0"/>
                    <w:suppressLineNumbers w:val="0"/>
                    <w:autoSpaceDE w:val="0"/>
                    <w:autoSpaceDN w:val="0"/>
                    <w:adjustRightInd w:val="0"/>
                    <w:spacing w:before="0" w:beforeAutospacing="0" w:after="0" w:afterAutospacing="0" w:line="320" w:lineRule="exact"/>
                    <w:ind w:left="0" w:right="0"/>
                    <w:jc w:val="center"/>
                    <w:rPr>
                      <w:rFonts w:hint="default"/>
                      <w:bCs/>
                      <w:color w:val="auto"/>
                      <w:szCs w:val="21"/>
                      <w:highlight w:val="none"/>
                      <w:lang w:val="en-US" w:eastAsia="zh-CN"/>
                    </w:rPr>
                  </w:pPr>
                  <w:r>
                    <w:rPr>
                      <w:rFonts w:hint="eastAsia"/>
                      <w:bCs/>
                      <w:color w:val="auto"/>
                      <w:szCs w:val="21"/>
                      <w:highlight w:val="none"/>
                      <w:lang w:val="en-US" w:eastAsia="zh-CN"/>
                    </w:rPr>
                    <w:t>99</w:t>
                  </w:r>
                </w:p>
              </w:tc>
              <w:tc>
                <w:tcPr>
                  <w:tcW w:w="552" w:type="dxa"/>
                  <w:noWrap/>
                  <w:vAlign w:val="center"/>
                </w:tcPr>
                <w:p w14:paraId="7CCB3FF0">
                  <w:pPr>
                    <w:keepNext w:val="0"/>
                    <w:keepLines w:val="0"/>
                    <w:suppressLineNumbers w:val="0"/>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val="en-US" w:eastAsia="zh-CN"/>
                    </w:rPr>
                    <w:t>是</w:t>
                  </w:r>
                </w:p>
              </w:tc>
              <w:tc>
                <w:tcPr>
                  <w:tcW w:w="442" w:type="dxa"/>
                  <w:shd w:val="clear" w:color="auto" w:fill="auto"/>
                  <w:noWrap/>
                  <w:vAlign w:val="center"/>
                </w:tcPr>
                <w:p w14:paraId="208D3528">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1.378</w:t>
                  </w:r>
                </w:p>
              </w:tc>
              <w:tc>
                <w:tcPr>
                  <w:tcW w:w="500" w:type="dxa"/>
                  <w:shd w:val="clear" w:color="auto" w:fill="auto"/>
                  <w:noWrap/>
                  <w:vAlign w:val="center"/>
                </w:tcPr>
                <w:p w14:paraId="74A0482D">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0.191</w:t>
                  </w:r>
                </w:p>
              </w:tc>
              <w:tc>
                <w:tcPr>
                  <w:tcW w:w="543" w:type="dxa"/>
                  <w:shd w:val="clear" w:color="auto" w:fill="auto"/>
                  <w:noWrap/>
                  <w:vAlign w:val="center"/>
                </w:tcPr>
                <w:p w14:paraId="1C636E83">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0.086</w:t>
                  </w:r>
                </w:p>
              </w:tc>
              <w:tc>
                <w:tcPr>
                  <w:tcW w:w="748" w:type="dxa"/>
                  <w:noWrap/>
                  <w:vAlign w:val="center"/>
                </w:tcPr>
                <w:p w14:paraId="2DA5A416">
                  <w:pPr>
                    <w:keepNext w:val="0"/>
                    <w:keepLines w:val="0"/>
                    <w:suppressLineNumbers w:val="0"/>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val="en-US" w:eastAsia="zh-CN"/>
                    </w:rPr>
                    <w:t>无组织</w:t>
                  </w:r>
                </w:p>
              </w:tc>
              <w:tc>
                <w:tcPr>
                  <w:tcW w:w="2119" w:type="dxa"/>
                  <w:noWrap/>
                  <w:vAlign w:val="center"/>
                </w:tcPr>
                <w:p w14:paraId="2A2426E3">
                  <w:pPr>
                    <w:keepNext w:val="0"/>
                    <w:keepLines w:val="0"/>
                    <w:suppressLineNumbers w:val="0"/>
                    <w:adjustRightInd w:val="0"/>
                    <w:snapToGrid w:val="0"/>
                    <w:spacing w:before="0" w:beforeAutospacing="0" w:after="0" w:afterAutospacing="0"/>
                    <w:ind w:left="0" w:leftChars="0" w:right="0" w:rightChars="0"/>
                    <w:jc w:val="center"/>
                    <w:rPr>
                      <w:rFonts w:hint="eastAsia"/>
                      <w:bCs/>
                      <w:color w:val="auto"/>
                      <w:szCs w:val="21"/>
                      <w:highlight w:val="none"/>
                      <w:lang w:eastAsia="zh-CN"/>
                    </w:rPr>
                  </w:pPr>
                  <w:r>
                    <w:rPr>
                      <w:rFonts w:hint="eastAsia"/>
                      <w:bCs/>
                      <w:color w:val="auto"/>
                      <w:szCs w:val="21"/>
                      <w:highlight w:val="none"/>
                      <w:lang w:eastAsia="zh-CN"/>
                    </w:rPr>
                    <w:t>《大气污染物综合排放标准》（GB16297-1996）表2无组织排放监控浓度限值</w:t>
                  </w:r>
                </w:p>
              </w:tc>
              <w:tc>
                <w:tcPr>
                  <w:tcW w:w="412" w:type="dxa"/>
                  <w:noWrap/>
                  <w:vAlign w:val="center"/>
                </w:tcPr>
                <w:p w14:paraId="38A7FEC2">
                  <w:pPr>
                    <w:keepNext w:val="0"/>
                    <w:keepLines w:val="0"/>
                    <w:suppressLineNumbers w:val="0"/>
                    <w:autoSpaceDE w:val="0"/>
                    <w:autoSpaceDN w:val="0"/>
                    <w:adjustRightInd w:val="0"/>
                    <w:spacing w:before="0" w:beforeAutospacing="0" w:after="0" w:afterAutospacing="0" w:line="320" w:lineRule="exact"/>
                    <w:ind w:left="0" w:right="0"/>
                    <w:jc w:val="center"/>
                    <w:rPr>
                      <w:rFonts w:hint="eastAsia"/>
                      <w:bCs/>
                      <w:color w:val="auto"/>
                      <w:szCs w:val="21"/>
                      <w:highlight w:val="none"/>
                      <w:lang w:val="en-US" w:eastAsia="zh-CN"/>
                    </w:rPr>
                  </w:pPr>
                  <w:r>
                    <w:rPr>
                      <w:rFonts w:hint="eastAsia"/>
                      <w:bCs/>
                      <w:color w:val="auto"/>
                      <w:szCs w:val="21"/>
                      <w:highlight w:val="none"/>
                      <w:lang w:val="en-US" w:eastAsia="zh-CN"/>
                    </w:rPr>
                    <w:t>-</w:t>
                  </w:r>
                </w:p>
              </w:tc>
              <w:tc>
                <w:tcPr>
                  <w:tcW w:w="412" w:type="dxa"/>
                  <w:noWrap/>
                  <w:vAlign w:val="center"/>
                </w:tcPr>
                <w:p w14:paraId="406C27A6">
                  <w:pPr>
                    <w:keepNext w:val="0"/>
                    <w:keepLines w:val="0"/>
                    <w:suppressLineNumbers w:val="0"/>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val="en-US" w:eastAsia="zh-CN"/>
                    </w:rPr>
                    <w:t>-</w:t>
                  </w:r>
                </w:p>
              </w:tc>
              <w:tc>
                <w:tcPr>
                  <w:tcW w:w="413" w:type="dxa"/>
                  <w:noWrap/>
                  <w:vAlign w:val="center"/>
                </w:tcPr>
                <w:p w14:paraId="67CC15C2">
                  <w:pPr>
                    <w:keepNext w:val="0"/>
                    <w:keepLines w:val="0"/>
                    <w:suppressLineNumbers w:val="0"/>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lang w:val="en-US" w:eastAsia="zh-CN"/>
                    </w:rPr>
                    <w:t>-</w:t>
                  </w:r>
                </w:p>
              </w:tc>
              <w:tc>
                <w:tcPr>
                  <w:tcW w:w="491" w:type="dxa"/>
                  <w:noWrap/>
                  <w:vAlign w:val="center"/>
                </w:tcPr>
                <w:p w14:paraId="59D261EE">
                  <w:pPr>
                    <w:keepNext w:val="0"/>
                    <w:keepLines w:val="0"/>
                    <w:suppressLineNumbers w:val="0"/>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lang w:val="en-US" w:eastAsia="zh-CN"/>
                    </w:rPr>
                    <w:t>-</w:t>
                  </w:r>
                </w:p>
              </w:tc>
              <w:tc>
                <w:tcPr>
                  <w:tcW w:w="616" w:type="dxa"/>
                  <w:noWrap/>
                  <w:vAlign w:val="center"/>
                </w:tcPr>
                <w:p w14:paraId="2EEB56D2">
                  <w:pPr>
                    <w:keepNext w:val="0"/>
                    <w:keepLines w:val="0"/>
                    <w:suppressLineNumbers w:val="0"/>
                    <w:autoSpaceDE w:val="0"/>
                    <w:autoSpaceDN w:val="0"/>
                    <w:adjustRightInd w:val="0"/>
                    <w:spacing w:before="0" w:beforeAutospacing="0" w:after="0" w:afterAutospacing="0" w:line="320" w:lineRule="exact"/>
                    <w:ind w:left="0" w:right="0"/>
                    <w:jc w:val="center"/>
                    <w:rPr>
                      <w:rFonts w:hint="default"/>
                      <w:snapToGrid w:val="0"/>
                      <w:color w:val="auto"/>
                      <w:szCs w:val="21"/>
                      <w:highlight w:val="none"/>
                    </w:rPr>
                  </w:pPr>
                  <w:r>
                    <w:rPr>
                      <w:rFonts w:hint="eastAsia"/>
                      <w:bCs/>
                      <w:color w:val="auto"/>
                      <w:szCs w:val="21"/>
                      <w:highlight w:val="none"/>
                      <w:lang w:val="en-US" w:eastAsia="zh-CN"/>
                    </w:rPr>
                    <w:t>-</w:t>
                  </w:r>
                </w:p>
              </w:tc>
              <w:tc>
                <w:tcPr>
                  <w:tcW w:w="1293" w:type="dxa"/>
                  <w:noWrap/>
                  <w:vAlign w:val="center"/>
                </w:tcPr>
                <w:p w14:paraId="1BA89910">
                  <w:pPr>
                    <w:keepNext w:val="0"/>
                    <w:keepLines w:val="0"/>
                    <w:suppressLineNumbers w:val="0"/>
                    <w:tabs>
                      <w:tab w:val="left" w:pos="360"/>
                    </w:tabs>
                    <w:autoSpaceDE w:val="0"/>
                    <w:autoSpaceDN w:val="0"/>
                    <w:adjustRightInd w:val="0"/>
                    <w:spacing w:before="0" w:beforeAutospacing="0" w:after="0" w:afterAutospacing="0" w:line="320" w:lineRule="exact"/>
                    <w:ind w:left="0" w:right="0"/>
                    <w:jc w:val="center"/>
                    <w:rPr>
                      <w:rFonts w:hint="eastAsia" w:eastAsia="宋体"/>
                      <w:bCs/>
                      <w:color w:val="auto"/>
                      <w:szCs w:val="21"/>
                      <w:highlight w:val="none"/>
                      <w:lang w:val="en-US" w:eastAsia="zh-CN"/>
                    </w:rPr>
                  </w:pPr>
                  <w:r>
                    <w:rPr>
                      <w:rFonts w:hint="eastAsia"/>
                      <w:bCs/>
                      <w:color w:val="auto"/>
                      <w:szCs w:val="21"/>
                      <w:highlight w:val="none"/>
                      <w:lang w:val="en-US" w:eastAsia="zh-CN"/>
                    </w:rPr>
                    <w:t>-</w:t>
                  </w:r>
                </w:p>
              </w:tc>
            </w:tr>
          </w:tbl>
          <w:p w14:paraId="649DB26A">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7C303B82">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68AFE9E7">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5C522623">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3E278FF0">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6488B0EB">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6C5EF9DD">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22C039E5">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527E66F3">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1B10C56B">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eastAsia="zh-CN"/>
              </w:rPr>
            </w:pPr>
          </w:p>
          <w:p w14:paraId="247B21EB">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val="en-US" w:eastAsia="zh-CN"/>
              </w:rPr>
            </w:pPr>
          </w:p>
          <w:p w14:paraId="7A49D7D8">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val="en-US" w:eastAsia="zh-CN"/>
              </w:rPr>
            </w:pPr>
          </w:p>
          <w:p w14:paraId="015B2849">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val="en-US" w:eastAsia="zh-CN"/>
              </w:rPr>
            </w:pPr>
          </w:p>
          <w:p w14:paraId="57B9E479">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val="en-US" w:eastAsia="zh-CN"/>
              </w:rPr>
            </w:pPr>
          </w:p>
          <w:p w14:paraId="3374AD28">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val="en-US" w:eastAsia="zh-CN"/>
              </w:rPr>
            </w:pPr>
          </w:p>
          <w:p w14:paraId="1DB89D4B">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val="en-US" w:eastAsia="zh-CN"/>
              </w:rPr>
            </w:pPr>
          </w:p>
          <w:p w14:paraId="16C975C9">
            <w:pPr>
              <w:keepNext w:val="0"/>
              <w:keepLines w:val="0"/>
              <w:suppressLineNumbers w:val="0"/>
              <w:spacing w:before="0" w:beforeAutospacing="0" w:after="0" w:afterAutospacing="0"/>
              <w:ind w:left="0" w:right="0"/>
              <w:rPr>
                <w:rFonts w:hint="eastAsia" w:cs="Times New Roman"/>
                <w:bCs/>
                <w:smallCaps w:val="0"/>
                <w:color w:val="auto"/>
                <w:spacing w:val="0"/>
                <w:sz w:val="24"/>
                <w:szCs w:val="21"/>
                <w:highlight w:val="none"/>
                <w:vertAlign w:val="baseline"/>
                <w:lang w:val="en-US" w:eastAsia="zh-CN"/>
              </w:rPr>
            </w:pPr>
          </w:p>
          <w:p w14:paraId="7977B75E">
            <w:pPr>
              <w:keepNext w:val="0"/>
              <w:keepLines w:val="0"/>
              <w:suppressLineNumbers w:val="0"/>
              <w:spacing w:before="0" w:beforeAutospacing="0" w:after="0" w:afterAutospacing="0"/>
              <w:ind w:left="0" w:right="0"/>
              <w:rPr>
                <w:rFonts w:hint="default" w:cs="Times New Roman"/>
                <w:bCs/>
                <w:smallCaps w:val="0"/>
                <w:color w:val="auto"/>
                <w:spacing w:val="0"/>
                <w:sz w:val="24"/>
                <w:szCs w:val="21"/>
                <w:highlight w:val="none"/>
                <w:vertAlign w:val="baseline"/>
                <w:lang w:val="en-US" w:eastAsia="zh-CN"/>
              </w:rPr>
            </w:pPr>
          </w:p>
          <w:p w14:paraId="176A90A0">
            <w:pPr>
              <w:keepNext w:val="0"/>
              <w:keepLines w:val="0"/>
              <w:suppressLineNumbers w:val="0"/>
              <w:spacing w:before="0" w:beforeAutospacing="0" w:after="0" w:afterAutospacing="0"/>
              <w:ind w:left="0" w:right="0"/>
              <w:rPr>
                <w:rFonts w:hint="eastAsia" w:ascii="Times New Roman" w:hAnsi="Times New Roman" w:eastAsia="宋体" w:cs="Times New Roman"/>
                <w:bCs/>
                <w:smallCaps w:val="0"/>
                <w:color w:val="auto"/>
                <w:spacing w:val="0"/>
                <w:sz w:val="24"/>
                <w:szCs w:val="21"/>
                <w:highlight w:val="none"/>
                <w:vertAlign w:val="baseline"/>
                <w:lang w:eastAsia="zh-CN"/>
              </w:rPr>
            </w:pPr>
          </w:p>
        </w:tc>
      </w:tr>
    </w:tbl>
    <w:p w14:paraId="6C085F24">
      <w:pPr>
        <w:rPr>
          <w:rFonts w:hint="default" w:ascii="Times New Roman" w:hAnsi="Times New Roman" w:eastAsia="宋体" w:cs="Times New Roman"/>
          <w:bCs/>
          <w:smallCaps w:val="0"/>
          <w:color w:val="auto"/>
          <w:spacing w:val="0"/>
          <w:sz w:val="24"/>
          <w:szCs w:val="21"/>
          <w:highlight w:val="none"/>
        </w:rPr>
      </w:pPr>
      <w:r>
        <w:rPr>
          <w:rFonts w:hint="default" w:ascii="Times New Roman" w:hAnsi="Times New Roman" w:eastAsia="宋体" w:cs="Times New Roman"/>
          <w:bCs/>
          <w:smallCaps w:val="0"/>
          <w:color w:val="auto"/>
          <w:spacing w:val="0"/>
          <w:sz w:val="24"/>
          <w:szCs w:val="21"/>
          <w:highlight w:val="none"/>
        </w:rPr>
        <w:br w:type="page"/>
      </w:r>
    </w:p>
    <w:p w14:paraId="5D8AD033">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bCs/>
          <w:smallCaps w:val="0"/>
          <w:color w:val="auto"/>
          <w:spacing w:val="0"/>
          <w:sz w:val="24"/>
          <w:szCs w:val="21"/>
          <w:highlight w:val="none"/>
        </w:rPr>
        <w:sectPr>
          <w:pgSz w:w="16840" w:h="11907" w:orient="landscape"/>
          <w:pgMar w:top="1800" w:right="1440" w:bottom="1800" w:left="1440" w:header="851" w:footer="992" w:gutter="0"/>
          <w:cols w:space="720" w:num="1"/>
          <w:docGrid w:type="linesAndChars" w:linePitch="319" w:charSpace="0"/>
        </w:sectPr>
      </w:pPr>
    </w:p>
    <w:tbl>
      <w:tblPr>
        <w:tblStyle w:val="4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5"/>
        <w:gridCol w:w="8068"/>
      </w:tblGrid>
      <w:tr w14:paraId="6337F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488" w:hRule="atLeast"/>
        </w:trPr>
        <w:tc>
          <w:tcPr>
            <w:tcW w:w="455" w:type="dxa"/>
            <w:vAlign w:val="center"/>
          </w:tcPr>
          <w:p w14:paraId="14698597">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sz w:val="24"/>
                <w:szCs w:val="21"/>
                <w:highlight w:val="none"/>
              </w:rPr>
            </w:pPr>
          </w:p>
        </w:tc>
        <w:tc>
          <w:tcPr>
            <w:tcW w:w="8068" w:type="dxa"/>
            <w:vAlign w:val="top"/>
          </w:tcPr>
          <w:p w14:paraId="0E3C9F6D">
            <w:pPr>
              <w:keepNext w:val="0"/>
              <w:keepLines w:val="0"/>
              <w:widowControl/>
              <w:suppressLineNumbers w:val="0"/>
              <w:autoSpaceDE w:val="0"/>
              <w:spacing w:before="0" w:beforeAutospacing="0" w:after="0" w:afterAutospacing="0" w:line="440" w:lineRule="exact"/>
              <w:ind w:left="0" w:right="0" w:firstLine="480" w:firstLineChars="200"/>
              <w:jc w:val="left"/>
              <w:rPr>
                <w:rFonts w:hint="default"/>
                <w:b/>
                <w:bCs/>
                <w:color w:val="auto"/>
                <w:kern w:val="0"/>
                <w:sz w:val="24"/>
                <w:szCs w:val="24"/>
                <w:highlight w:val="none"/>
              </w:rPr>
            </w:pPr>
            <w:r>
              <w:rPr>
                <w:rFonts w:hint="default"/>
                <w:b/>
                <w:bCs/>
                <w:color w:val="auto"/>
                <w:kern w:val="0"/>
                <w:sz w:val="24"/>
                <w:szCs w:val="24"/>
                <w:highlight w:val="none"/>
              </w:rPr>
              <w:t>（2）非正常工况</w:t>
            </w:r>
          </w:p>
          <w:p w14:paraId="6ACC82F5">
            <w:pPr>
              <w:keepNext w:val="0"/>
              <w:keepLines w:val="0"/>
              <w:suppressLineNumbers w:val="0"/>
              <w:autoSpaceDE w:val="0"/>
              <w:spacing w:before="0" w:beforeAutospacing="0" w:after="0" w:afterAutospacing="0" w:line="440" w:lineRule="exact"/>
              <w:ind w:left="0" w:right="0" w:firstLine="480" w:firstLineChars="200"/>
              <w:jc w:val="left"/>
              <w:rPr>
                <w:rFonts w:hint="default"/>
                <w:color w:val="auto"/>
                <w:sz w:val="24"/>
                <w:szCs w:val="24"/>
                <w:highlight w:val="none"/>
              </w:rPr>
            </w:pPr>
            <w:r>
              <w:rPr>
                <w:rFonts w:hint="default"/>
                <w:color w:val="auto"/>
                <w:sz w:val="24"/>
                <w:szCs w:val="24"/>
                <w:highlight w:val="none"/>
              </w:rPr>
              <w:t>非正常生产排污包括开车、停车、检修和非正常工况的污染物排放。如有计划的开停车检修和临时性故障停车的污染物排放及工艺设备和环保设施不能正常运行时污染物的排放等。</w:t>
            </w:r>
          </w:p>
          <w:p w14:paraId="20D7C832">
            <w:pPr>
              <w:keepNext w:val="0"/>
              <w:keepLines w:val="0"/>
              <w:suppressLineNumbers w:val="0"/>
              <w:autoSpaceDE w:val="0"/>
              <w:spacing w:before="0" w:beforeAutospacing="0" w:after="0" w:afterAutospacing="0" w:line="440" w:lineRule="exact"/>
              <w:ind w:left="0" w:right="0" w:firstLine="480" w:firstLineChars="200"/>
              <w:jc w:val="left"/>
              <w:rPr>
                <w:rFonts w:hint="default"/>
                <w:color w:val="auto"/>
                <w:sz w:val="24"/>
                <w:szCs w:val="24"/>
                <w:highlight w:val="none"/>
              </w:rPr>
            </w:pPr>
            <w:r>
              <w:rPr>
                <w:rFonts w:hint="default"/>
                <w:color w:val="auto"/>
                <w:sz w:val="24"/>
                <w:szCs w:val="24"/>
                <w:highlight w:val="none"/>
              </w:rPr>
              <w:t>在某些非正常生产工况时，污染源强会发生很大的变化，致使装置污染物产生量在短期内大幅增加。</w:t>
            </w:r>
          </w:p>
          <w:p w14:paraId="4B96E4B5">
            <w:pPr>
              <w:keepNext w:val="0"/>
              <w:keepLines w:val="0"/>
              <w:suppressLineNumbers w:val="0"/>
              <w:spacing w:before="0" w:beforeAutospacing="0" w:after="0" w:afterAutospacing="0" w:line="440" w:lineRule="exact"/>
              <w:ind w:left="0" w:right="0" w:firstLine="480" w:firstLineChars="200"/>
              <w:rPr>
                <w:rFonts w:hint="default"/>
                <w:color w:val="auto"/>
                <w:sz w:val="24"/>
                <w:szCs w:val="22"/>
                <w:highlight w:val="none"/>
              </w:rPr>
            </w:pPr>
            <w:r>
              <w:rPr>
                <w:rFonts w:hint="default"/>
                <w:color w:val="auto"/>
                <w:sz w:val="24"/>
                <w:szCs w:val="22"/>
                <w:highlight w:val="none"/>
              </w:rPr>
              <w:t>1）开、停车</w:t>
            </w:r>
          </w:p>
          <w:p w14:paraId="136905D0">
            <w:pPr>
              <w:keepNext w:val="0"/>
              <w:keepLines w:val="0"/>
              <w:suppressLineNumbers w:val="0"/>
              <w:spacing w:before="0" w:beforeAutospacing="0" w:after="0" w:afterAutospacing="0" w:line="440" w:lineRule="exact"/>
              <w:ind w:left="0" w:right="0" w:firstLine="480" w:firstLineChars="200"/>
              <w:rPr>
                <w:rFonts w:hint="eastAsia"/>
                <w:color w:val="auto"/>
                <w:sz w:val="24"/>
                <w:szCs w:val="22"/>
                <w:highlight w:val="none"/>
                <w:lang w:eastAsia="zh-CN"/>
              </w:rPr>
            </w:pPr>
            <w:r>
              <w:rPr>
                <w:rFonts w:hint="default"/>
                <w:color w:val="auto"/>
                <w:sz w:val="24"/>
                <w:szCs w:val="22"/>
                <w:highlight w:val="none"/>
              </w:rPr>
              <w:t>车间开工时，首先运行所有的废气处理装置，然后再开启车间的工艺设备；车间停工时，所有的废气处理装置继续运转，待工艺中的废气全部排出后才逐台关闭</w:t>
            </w:r>
            <w:r>
              <w:rPr>
                <w:rFonts w:hint="eastAsia"/>
                <w:color w:val="auto"/>
                <w:sz w:val="24"/>
                <w:szCs w:val="22"/>
                <w:highlight w:val="none"/>
                <w:lang w:eastAsia="zh-CN"/>
              </w:rPr>
              <w:t>。</w:t>
            </w:r>
          </w:p>
          <w:p w14:paraId="5C92E403">
            <w:pPr>
              <w:keepNext w:val="0"/>
              <w:keepLines w:val="0"/>
              <w:suppressLineNumbers w:val="0"/>
              <w:spacing w:before="0" w:beforeAutospacing="0" w:after="0" w:afterAutospacing="0" w:line="440" w:lineRule="exact"/>
              <w:ind w:left="0" w:right="0" w:firstLine="480" w:firstLineChars="200"/>
              <w:rPr>
                <w:rFonts w:hint="default"/>
                <w:color w:val="auto"/>
                <w:sz w:val="24"/>
                <w:szCs w:val="22"/>
                <w:highlight w:val="none"/>
              </w:rPr>
            </w:pPr>
            <w:r>
              <w:rPr>
                <w:rFonts w:hint="default"/>
                <w:color w:val="auto"/>
                <w:sz w:val="24"/>
                <w:szCs w:val="22"/>
                <w:highlight w:val="none"/>
              </w:rPr>
              <w:t>因此，车间在开、停车时排出污染物均得到有效处理，经排气筒排出的污染物浓度和正常生产时基本一致。</w:t>
            </w:r>
          </w:p>
          <w:p w14:paraId="009950DD">
            <w:pPr>
              <w:keepNext w:val="0"/>
              <w:keepLines w:val="0"/>
              <w:suppressLineNumbers w:val="0"/>
              <w:spacing w:before="0" w:beforeAutospacing="0" w:after="0" w:afterAutospacing="0" w:line="440" w:lineRule="exact"/>
              <w:ind w:left="0" w:right="0" w:firstLine="480" w:firstLineChars="200"/>
              <w:rPr>
                <w:rFonts w:hint="default"/>
                <w:color w:val="auto"/>
                <w:sz w:val="24"/>
                <w:szCs w:val="22"/>
                <w:highlight w:val="none"/>
              </w:rPr>
            </w:pPr>
            <w:r>
              <w:rPr>
                <w:rFonts w:hint="default"/>
                <w:color w:val="auto"/>
                <w:sz w:val="24"/>
                <w:szCs w:val="22"/>
                <w:highlight w:val="none"/>
              </w:rPr>
              <w:t>2）废气处理设施故障</w:t>
            </w:r>
          </w:p>
          <w:p w14:paraId="7B665236">
            <w:pPr>
              <w:pStyle w:val="41"/>
              <w:keepNext w:val="0"/>
              <w:keepLines w:val="0"/>
              <w:widowControl w:val="0"/>
              <w:suppressLineNumbers w:val="0"/>
              <w:autoSpaceDE w:val="0"/>
              <w:spacing w:before="0" w:beforeAutospacing="0" w:after="0" w:afterAutospacing="0" w:line="440" w:lineRule="exact"/>
              <w:ind w:left="0" w:right="0" w:firstLine="480" w:firstLineChars="200"/>
              <w:jc w:val="both"/>
              <w:rPr>
                <w:rFonts w:hint="default" w:ascii="Times New Roman" w:hAnsi="Times New Roman" w:cs="Times New Roman"/>
                <w:color w:val="auto"/>
                <w:kern w:val="2"/>
                <w:highlight w:val="none"/>
              </w:rPr>
            </w:pPr>
            <w:r>
              <w:rPr>
                <w:rFonts w:hint="default"/>
                <w:color w:val="auto"/>
                <w:szCs w:val="22"/>
                <w:highlight w:val="none"/>
              </w:rPr>
              <w:t>废气处理设施故障主要指</w:t>
            </w:r>
            <w:r>
              <w:rPr>
                <w:rFonts w:hint="eastAsia"/>
                <w:color w:val="auto"/>
                <w:szCs w:val="22"/>
                <w:highlight w:val="none"/>
                <w:lang w:eastAsia="zh-CN"/>
              </w:rPr>
              <w:t>：脉冲布袋除尘器</w:t>
            </w:r>
            <w:r>
              <w:rPr>
                <w:rFonts w:hint="eastAsia"/>
                <w:color w:val="auto"/>
                <w:szCs w:val="22"/>
                <w:highlight w:val="none"/>
              </w:rPr>
              <w:t>装置</w:t>
            </w:r>
            <w:r>
              <w:rPr>
                <w:rFonts w:hint="default"/>
                <w:color w:val="auto"/>
                <w:szCs w:val="22"/>
                <w:highlight w:val="none"/>
              </w:rPr>
              <w:t>故障造成废气去除效率下降</w:t>
            </w:r>
            <w:r>
              <w:rPr>
                <w:rFonts w:hint="eastAsia"/>
                <w:color w:val="auto"/>
                <w:szCs w:val="22"/>
                <w:highlight w:val="none"/>
                <w:lang w:eastAsia="zh-CN"/>
              </w:rPr>
              <w:t>，</w:t>
            </w:r>
            <w:r>
              <w:rPr>
                <w:rFonts w:hint="default"/>
                <w:color w:val="auto"/>
                <w:szCs w:val="22"/>
                <w:highlight w:val="none"/>
              </w:rPr>
              <w:t>废气排放浓度增加。</w:t>
            </w:r>
            <w:r>
              <w:rPr>
                <w:rFonts w:hint="default" w:ascii="Times New Roman" w:hAnsi="Times New Roman" w:cs="Times New Roman"/>
                <w:color w:val="auto"/>
                <w:kern w:val="2"/>
                <w:highlight w:val="none"/>
              </w:rPr>
              <w:t>根据污染源污染物产生浓度核算非正常排放情况见表4-</w:t>
            </w:r>
            <w:r>
              <w:rPr>
                <w:rFonts w:hint="eastAsia" w:ascii="Times New Roman" w:hAnsi="Times New Roman" w:cs="Times New Roman"/>
                <w:color w:val="auto"/>
                <w:kern w:val="2"/>
                <w:highlight w:val="none"/>
                <w:lang w:val="en-US" w:eastAsia="zh-CN"/>
              </w:rPr>
              <w:t>4</w:t>
            </w:r>
            <w:r>
              <w:rPr>
                <w:rFonts w:hint="default" w:ascii="Times New Roman" w:hAnsi="Times New Roman" w:cs="Times New Roman"/>
                <w:color w:val="auto"/>
                <w:kern w:val="2"/>
                <w:highlight w:val="none"/>
              </w:rPr>
              <w:t>。</w:t>
            </w:r>
          </w:p>
          <w:p w14:paraId="04A4C338">
            <w:pPr>
              <w:pStyle w:val="187"/>
              <w:keepNext w:val="0"/>
              <w:keepLines w:val="0"/>
              <w:suppressLineNumbers w:val="0"/>
              <w:tabs>
                <w:tab w:val="left" w:pos="6521"/>
              </w:tabs>
              <w:spacing w:before="0" w:beforeAutospacing="0" w:after="0" w:afterAutospacing="0" w:line="440" w:lineRule="exact"/>
              <w:ind w:left="0" w:right="0"/>
              <w:rPr>
                <w:rFonts w:hint="default"/>
                <w:color w:val="auto"/>
                <w:highlight w:val="none"/>
              </w:rPr>
            </w:pPr>
            <w:r>
              <w:rPr>
                <w:rFonts w:hint="default"/>
                <w:color w:val="auto"/>
                <w:highlight w:val="none"/>
              </w:rPr>
              <w:t>表4-</w:t>
            </w:r>
            <w:r>
              <w:rPr>
                <w:rFonts w:hint="eastAsia"/>
                <w:color w:val="auto"/>
                <w:highlight w:val="none"/>
                <w:lang w:val="en-US" w:eastAsia="zh-CN"/>
              </w:rPr>
              <w:t>4</w:t>
            </w:r>
            <w:r>
              <w:rPr>
                <w:rFonts w:hint="default"/>
                <w:color w:val="auto"/>
                <w:highlight w:val="none"/>
              </w:rPr>
              <w:t xml:space="preserve">    非正常排放污染排放源强一览表</w:t>
            </w:r>
          </w:p>
          <w:tbl>
            <w:tblPr>
              <w:tblStyle w:val="47"/>
              <w:tblW w:w="49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2"/>
              <w:gridCol w:w="942"/>
              <w:gridCol w:w="597"/>
              <w:gridCol w:w="774"/>
              <w:gridCol w:w="803"/>
              <w:gridCol w:w="440"/>
              <w:gridCol w:w="1131"/>
              <w:gridCol w:w="1131"/>
              <w:gridCol w:w="810"/>
            </w:tblGrid>
            <w:tr w14:paraId="136CE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690" w:type="pct"/>
                  <w:tcBorders>
                    <w:top w:val="single" w:color="auto" w:sz="4" w:space="0"/>
                    <w:left w:val="single" w:color="auto" w:sz="4" w:space="0"/>
                    <w:bottom w:val="single" w:color="auto" w:sz="4" w:space="0"/>
                    <w:right w:val="single" w:color="auto" w:sz="4" w:space="0"/>
                  </w:tcBorders>
                  <w:shd w:val="clear" w:color="auto" w:fill="auto"/>
                  <w:vAlign w:val="center"/>
                </w:tcPr>
                <w:p w14:paraId="26D5A686">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污染源</w:t>
                  </w:r>
                </w:p>
              </w:tc>
              <w:tc>
                <w:tcPr>
                  <w:tcW w:w="612" w:type="pct"/>
                  <w:tcBorders>
                    <w:top w:val="single" w:color="auto" w:sz="4" w:space="0"/>
                    <w:left w:val="single" w:color="auto" w:sz="4" w:space="0"/>
                    <w:bottom w:val="single" w:color="auto" w:sz="4" w:space="0"/>
                    <w:right w:val="single" w:color="auto" w:sz="4" w:space="0"/>
                  </w:tcBorders>
                  <w:shd w:val="clear" w:color="auto" w:fill="auto"/>
                  <w:vAlign w:val="center"/>
                </w:tcPr>
                <w:p w14:paraId="7D427A63">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非正常工况</w:t>
                  </w:r>
                </w:p>
              </w:tc>
              <w:tc>
                <w:tcPr>
                  <w:tcW w:w="388" w:type="pct"/>
                  <w:tcBorders>
                    <w:top w:val="single" w:color="auto" w:sz="4" w:space="0"/>
                    <w:left w:val="single" w:color="auto" w:sz="4" w:space="0"/>
                    <w:bottom w:val="single" w:color="auto" w:sz="4" w:space="0"/>
                    <w:right w:val="single" w:color="auto" w:sz="4" w:space="0"/>
                  </w:tcBorders>
                  <w:shd w:val="clear" w:color="auto" w:fill="auto"/>
                  <w:vAlign w:val="center"/>
                </w:tcPr>
                <w:p w14:paraId="590D7079">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污染因子</w:t>
                  </w:r>
                </w:p>
              </w:tc>
              <w:tc>
                <w:tcPr>
                  <w:tcW w:w="503" w:type="pct"/>
                  <w:tcBorders>
                    <w:top w:val="single" w:color="auto" w:sz="4" w:space="0"/>
                    <w:left w:val="single" w:color="auto" w:sz="4" w:space="0"/>
                    <w:bottom w:val="single" w:color="auto" w:sz="4" w:space="0"/>
                    <w:right w:val="single" w:color="auto" w:sz="4" w:space="0"/>
                  </w:tcBorders>
                  <w:shd w:val="clear" w:color="auto" w:fill="auto"/>
                  <w:vAlign w:val="center"/>
                </w:tcPr>
                <w:p w14:paraId="44A968C0">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持续时间（h）</w:t>
                  </w:r>
                </w:p>
              </w:tc>
              <w:tc>
                <w:tcPr>
                  <w:tcW w:w="522" w:type="pct"/>
                  <w:tcBorders>
                    <w:top w:val="single" w:color="auto" w:sz="4" w:space="0"/>
                    <w:left w:val="single" w:color="auto" w:sz="4" w:space="0"/>
                    <w:bottom w:val="single" w:color="auto" w:sz="4" w:space="0"/>
                    <w:right w:val="single" w:color="auto" w:sz="4" w:space="0"/>
                  </w:tcBorders>
                  <w:shd w:val="clear" w:color="auto" w:fill="auto"/>
                  <w:vAlign w:val="center"/>
                </w:tcPr>
                <w:p w14:paraId="119C386F">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废气（m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rPr>
                    <w:t>/h）</w:t>
                  </w:r>
                </w:p>
              </w:tc>
              <w:tc>
                <w:tcPr>
                  <w:tcW w:w="286" w:type="pct"/>
                  <w:tcBorders>
                    <w:top w:val="single" w:color="auto" w:sz="4" w:space="0"/>
                    <w:left w:val="single" w:color="auto" w:sz="4" w:space="0"/>
                    <w:bottom w:val="single" w:color="auto" w:sz="4" w:space="0"/>
                    <w:right w:val="single" w:color="auto" w:sz="4" w:space="0"/>
                  </w:tcBorders>
                  <w:shd w:val="clear" w:color="auto" w:fill="auto"/>
                  <w:vAlign w:val="center"/>
                </w:tcPr>
                <w:p w14:paraId="5F0B66B0">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效率</w:t>
                  </w:r>
                </w:p>
              </w:tc>
              <w:tc>
                <w:tcPr>
                  <w:tcW w:w="735" w:type="pct"/>
                  <w:tcBorders>
                    <w:top w:val="single" w:color="auto" w:sz="4" w:space="0"/>
                    <w:left w:val="single" w:color="auto" w:sz="4" w:space="0"/>
                    <w:bottom w:val="single" w:color="auto" w:sz="4" w:space="0"/>
                    <w:right w:val="single" w:color="auto" w:sz="4" w:space="0"/>
                  </w:tcBorders>
                  <w:shd w:val="clear" w:color="auto" w:fill="auto"/>
                  <w:vAlign w:val="center"/>
                </w:tcPr>
                <w:p w14:paraId="67613B04">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排放量（kg/</w:t>
                  </w:r>
                  <w:r>
                    <w:rPr>
                      <w:rFonts w:hint="eastAsia" w:ascii="Times New Roman" w:hAnsi="Times New Roman" w:cs="Times New Roman"/>
                      <w:bCs/>
                      <w:color w:val="auto"/>
                      <w:sz w:val="21"/>
                      <w:szCs w:val="21"/>
                      <w:highlight w:val="none"/>
                      <w:lang w:val="en-US" w:eastAsia="zh-CN"/>
                    </w:rPr>
                    <w:t>次</w:t>
                  </w:r>
                  <w:r>
                    <w:rPr>
                      <w:rFonts w:hint="default" w:ascii="Times New Roman" w:hAnsi="Times New Roman" w:cs="Times New Roman"/>
                      <w:bCs/>
                      <w:color w:val="auto"/>
                      <w:sz w:val="21"/>
                      <w:szCs w:val="21"/>
                      <w:highlight w:val="none"/>
                    </w:rPr>
                    <w:t>）</w:t>
                  </w:r>
                </w:p>
              </w:tc>
              <w:tc>
                <w:tcPr>
                  <w:tcW w:w="735" w:type="pct"/>
                  <w:tcBorders>
                    <w:top w:val="single" w:color="auto" w:sz="4" w:space="0"/>
                    <w:left w:val="single" w:color="auto" w:sz="4" w:space="0"/>
                    <w:bottom w:val="single" w:color="auto" w:sz="4" w:space="0"/>
                    <w:right w:val="single" w:color="auto" w:sz="4" w:space="0"/>
                  </w:tcBorders>
                  <w:shd w:val="clear" w:color="auto" w:fill="auto"/>
                  <w:vAlign w:val="center"/>
                </w:tcPr>
                <w:p w14:paraId="0BE392D6">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排放浓度（mg/m</w:t>
                  </w:r>
                  <w:r>
                    <w:rPr>
                      <w:rFonts w:hint="default" w:ascii="Times New Roman" w:hAnsi="Times New Roman" w:cs="Times New Roman"/>
                      <w:bCs/>
                      <w:color w:val="auto"/>
                      <w:sz w:val="21"/>
                      <w:szCs w:val="21"/>
                      <w:highlight w:val="none"/>
                      <w:vertAlign w:val="superscript"/>
                    </w:rPr>
                    <w:t>3</w:t>
                  </w:r>
                  <w:r>
                    <w:rPr>
                      <w:rFonts w:hint="default" w:ascii="Times New Roman" w:hAnsi="Times New Roman" w:cs="Times New Roman"/>
                      <w:bCs/>
                      <w:color w:val="auto"/>
                      <w:sz w:val="21"/>
                      <w:szCs w:val="21"/>
                      <w:highlight w:val="none"/>
                    </w:rPr>
                    <w:t>）</w:t>
                  </w:r>
                </w:p>
              </w:tc>
              <w:tc>
                <w:tcPr>
                  <w:tcW w:w="526" w:type="pct"/>
                  <w:tcBorders>
                    <w:top w:val="single" w:color="auto" w:sz="4" w:space="0"/>
                    <w:left w:val="single" w:color="auto" w:sz="4" w:space="0"/>
                    <w:bottom w:val="single" w:color="auto" w:sz="4" w:space="0"/>
                    <w:right w:val="single" w:color="auto" w:sz="4" w:space="0"/>
                  </w:tcBorders>
                  <w:shd w:val="clear" w:color="auto" w:fill="auto"/>
                  <w:vAlign w:val="center"/>
                </w:tcPr>
                <w:p w14:paraId="066B58D7">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发生频次</w:t>
                  </w:r>
                </w:p>
              </w:tc>
            </w:tr>
            <w:tr w14:paraId="3CCDF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690" w:type="pct"/>
                  <w:tcBorders>
                    <w:top w:val="single" w:color="auto" w:sz="4" w:space="0"/>
                    <w:left w:val="single" w:color="auto" w:sz="4" w:space="0"/>
                    <w:bottom w:val="single" w:color="auto" w:sz="4" w:space="0"/>
                    <w:right w:val="single" w:color="auto" w:sz="4" w:space="0"/>
                  </w:tcBorders>
                  <w:shd w:val="clear" w:color="auto" w:fill="auto"/>
                  <w:vAlign w:val="center"/>
                </w:tcPr>
                <w:p w14:paraId="497F7E5C">
                  <w:pPr>
                    <w:pStyle w:val="41"/>
                    <w:keepNext w:val="0"/>
                    <w:keepLines w:val="0"/>
                    <w:widowControl w:val="0"/>
                    <w:suppressLineNumbers w:val="0"/>
                    <w:topLinePunct/>
                    <w:autoSpaceDE w:val="0"/>
                    <w:autoSpaceDN w:val="0"/>
                    <w:adjustRightInd w:val="0"/>
                    <w:snapToGrid w:val="0"/>
                    <w:spacing w:before="0" w:beforeAutospacing="0" w:after="0" w:afterAutospacing="0" w:line="320" w:lineRule="exact"/>
                    <w:ind w:left="0" w:right="0"/>
                    <w:jc w:val="center"/>
                    <w:textAlignment w:val="baseline"/>
                    <w:rPr>
                      <w:rFonts w:hint="eastAsia" w:ascii="Times New Roman" w:hAnsi="Times New Roman" w:eastAsia="宋体" w:cs="Times New Roman"/>
                      <w:color w:val="auto"/>
                      <w:kern w:val="2"/>
                      <w:sz w:val="21"/>
                      <w:szCs w:val="21"/>
                      <w:highlight w:val="none"/>
                      <w:lang w:eastAsia="zh-CN"/>
                    </w:rPr>
                  </w:pPr>
                  <w:r>
                    <w:rPr>
                      <w:rFonts w:hint="eastAsia" w:ascii="Times New Roman" w:hAnsi="Times New Roman" w:cs="Times New Roman"/>
                      <w:bCs/>
                      <w:color w:val="auto"/>
                      <w:sz w:val="21"/>
                      <w:szCs w:val="21"/>
                      <w:highlight w:val="none"/>
                      <w:lang w:val="en-US" w:eastAsia="zh-CN"/>
                    </w:rPr>
                    <w:t>1#</w:t>
                  </w:r>
                  <w:r>
                    <w:rPr>
                      <w:rFonts w:hint="eastAsia" w:ascii="Times New Roman" w:hAnsi="Times New Roman" w:cs="Times New Roman"/>
                      <w:bCs/>
                      <w:color w:val="auto"/>
                      <w:sz w:val="21"/>
                      <w:szCs w:val="21"/>
                      <w:highlight w:val="none"/>
                      <w:lang w:eastAsia="zh-CN"/>
                    </w:rPr>
                    <w:t>修磨废气</w:t>
                  </w:r>
                </w:p>
              </w:tc>
              <w:tc>
                <w:tcPr>
                  <w:tcW w:w="612" w:type="pct"/>
                  <w:tcBorders>
                    <w:top w:val="single" w:color="auto" w:sz="4" w:space="0"/>
                    <w:left w:val="single" w:color="auto" w:sz="4" w:space="0"/>
                    <w:bottom w:val="single" w:color="auto" w:sz="4" w:space="0"/>
                    <w:right w:val="single" w:color="auto" w:sz="4" w:space="0"/>
                  </w:tcBorders>
                  <w:shd w:val="clear" w:color="auto" w:fill="auto"/>
                  <w:vAlign w:val="center"/>
                </w:tcPr>
                <w:p w14:paraId="14C7E145">
                  <w:pPr>
                    <w:keepNext w:val="0"/>
                    <w:keepLines w:val="0"/>
                    <w:suppressLineNumbers w:val="0"/>
                    <w:autoSpaceDE w:val="0"/>
                    <w:autoSpaceDN w:val="0"/>
                    <w:adjustRightInd w:val="0"/>
                    <w:spacing w:before="0" w:beforeAutospacing="0" w:after="0" w:afterAutospacing="0" w:line="320" w:lineRule="exact"/>
                    <w:ind w:left="0" w:right="0"/>
                    <w:jc w:val="center"/>
                    <w:rPr>
                      <w:rFonts w:hint="default"/>
                      <w:bCs/>
                      <w:color w:val="auto"/>
                      <w:szCs w:val="21"/>
                      <w:highlight w:val="none"/>
                    </w:rPr>
                  </w:pPr>
                  <w:r>
                    <w:rPr>
                      <w:rFonts w:hint="eastAsia"/>
                      <w:bCs/>
                      <w:color w:val="auto"/>
                      <w:szCs w:val="21"/>
                      <w:highlight w:val="none"/>
                      <w:lang w:eastAsia="zh-CN"/>
                    </w:rPr>
                    <w:t>脉冲布袋除尘器</w:t>
                  </w:r>
                  <w:r>
                    <w:rPr>
                      <w:rFonts w:hint="eastAsia"/>
                      <w:bCs/>
                      <w:color w:val="auto"/>
                      <w:szCs w:val="21"/>
                      <w:highlight w:val="none"/>
                    </w:rPr>
                    <w:t>故障</w:t>
                  </w:r>
                </w:p>
              </w:tc>
              <w:tc>
                <w:tcPr>
                  <w:tcW w:w="388" w:type="pct"/>
                  <w:tcBorders>
                    <w:top w:val="single" w:color="auto" w:sz="4" w:space="0"/>
                    <w:left w:val="single" w:color="auto" w:sz="4" w:space="0"/>
                    <w:bottom w:val="single" w:color="auto" w:sz="4" w:space="0"/>
                    <w:right w:val="single" w:color="auto" w:sz="4" w:space="0"/>
                  </w:tcBorders>
                  <w:shd w:val="clear" w:color="auto" w:fill="auto"/>
                  <w:vAlign w:val="center"/>
                </w:tcPr>
                <w:p w14:paraId="7A5D5D77">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颗粒物</w:t>
                  </w:r>
                </w:p>
              </w:tc>
              <w:tc>
                <w:tcPr>
                  <w:tcW w:w="503" w:type="pct"/>
                  <w:tcBorders>
                    <w:top w:val="single" w:color="auto" w:sz="4" w:space="0"/>
                    <w:left w:val="single" w:color="auto" w:sz="4" w:space="0"/>
                    <w:bottom w:val="single" w:color="auto" w:sz="4" w:space="0"/>
                    <w:right w:val="single" w:color="auto" w:sz="4" w:space="0"/>
                  </w:tcBorders>
                  <w:shd w:val="clear" w:color="auto" w:fill="auto"/>
                  <w:vAlign w:val="center"/>
                </w:tcPr>
                <w:p w14:paraId="46F9CF82">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eastAsia" w:ascii="Times New Roman" w:hAnsi="Times New Roman" w:eastAsia="宋体" w:cs="Times New Roman"/>
                      <w:bCs/>
                      <w:color w:val="auto"/>
                      <w:sz w:val="21"/>
                      <w:szCs w:val="21"/>
                      <w:highlight w:val="none"/>
                      <w:lang w:eastAsia="zh-CN"/>
                    </w:rPr>
                  </w:pPr>
                  <w:r>
                    <w:rPr>
                      <w:rFonts w:hint="eastAsia" w:ascii="Times New Roman" w:hAnsi="Times New Roman" w:cs="Times New Roman"/>
                      <w:bCs/>
                      <w:color w:val="auto"/>
                      <w:sz w:val="21"/>
                      <w:szCs w:val="21"/>
                      <w:highlight w:val="none"/>
                      <w:lang w:val="en-US" w:eastAsia="zh-CN"/>
                    </w:rPr>
                    <w:t>1</w:t>
                  </w:r>
                </w:p>
              </w:tc>
              <w:tc>
                <w:tcPr>
                  <w:tcW w:w="522" w:type="pct"/>
                  <w:tcBorders>
                    <w:top w:val="single" w:color="auto" w:sz="4" w:space="0"/>
                    <w:left w:val="single" w:color="auto" w:sz="4" w:space="0"/>
                    <w:bottom w:val="single" w:color="auto" w:sz="4" w:space="0"/>
                    <w:right w:val="single" w:color="auto" w:sz="4" w:space="0"/>
                  </w:tcBorders>
                  <w:shd w:val="clear" w:color="auto" w:fill="auto"/>
                  <w:vAlign w:val="center"/>
                </w:tcPr>
                <w:p w14:paraId="24B420BA">
                  <w:pPr>
                    <w:keepNext w:val="0"/>
                    <w:keepLines w:val="0"/>
                    <w:suppressLineNumbers w:val="0"/>
                    <w:autoSpaceDE w:val="0"/>
                    <w:autoSpaceDN w:val="0"/>
                    <w:adjustRightInd w:val="0"/>
                    <w:spacing w:before="0" w:beforeAutospacing="0" w:after="0" w:afterAutospacing="0" w:line="320" w:lineRule="exact"/>
                    <w:ind w:left="0" w:right="0"/>
                    <w:jc w:val="center"/>
                    <w:rPr>
                      <w:rFonts w:hint="default" w:eastAsia="宋体"/>
                      <w:bCs/>
                      <w:color w:val="auto"/>
                      <w:szCs w:val="21"/>
                      <w:highlight w:val="none"/>
                      <w:lang w:val="en-US" w:eastAsia="zh-CN"/>
                    </w:rPr>
                  </w:pPr>
                  <w:r>
                    <w:rPr>
                      <w:rFonts w:hint="eastAsia"/>
                      <w:bCs/>
                      <w:color w:val="auto"/>
                      <w:szCs w:val="21"/>
                      <w:highlight w:val="none"/>
                      <w:lang w:val="en-US" w:eastAsia="zh-CN"/>
                    </w:rPr>
                    <w:t>20000</w:t>
                  </w:r>
                </w:p>
              </w:tc>
              <w:tc>
                <w:tcPr>
                  <w:tcW w:w="286" w:type="pct"/>
                  <w:tcBorders>
                    <w:top w:val="single" w:color="auto" w:sz="4" w:space="0"/>
                    <w:left w:val="single" w:color="auto" w:sz="4" w:space="0"/>
                    <w:bottom w:val="single" w:color="auto" w:sz="4" w:space="0"/>
                    <w:right w:val="single" w:color="auto" w:sz="4" w:space="0"/>
                  </w:tcBorders>
                  <w:shd w:val="clear" w:color="auto" w:fill="auto"/>
                  <w:vAlign w:val="center"/>
                </w:tcPr>
                <w:p w14:paraId="013EB806">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30881926">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bCs/>
                      <w:color w:val="auto"/>
                      <w:szCs w:val="21"/>
                      <w:highlight w:val="none"/>
                      <w:lang w:val="en-US" w:eastAsia="zh-CN"/>
                    </w:rPr>
                    <w:t>34.460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0FDBF72F">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kern w:val="2"/>
                      <w:sz w:val="21"/>
                      <w:szCs w:val="21"/>
                      <w:highlight w:val="none"/>
                      <w:lang w:val="en-US" w:eastAsia="zh-CN" w:bidi="ar-SA"/>
                    </w:rPr>
                    <w:t>1.72</w:t>
                  </w:r>
                </w:p>
              </w:tc>
              <w:tc>
                <w:tcPr>
                  <w:tcW w:w="526" w:type="pct"/>
                  <w:tcBorders>
                    <w:top w:val="single" w:color="auto" w:sz="4" w:space="0"/>
                    <w:left w:val="single" w:color="auto" w:sz="4" w:space="0"/>
                    <w:bottom w:val="single" w:color="auto" w:sz="4" w:space="0"/>
                    <w:right w:val="single" w:color="auto" w:sz="4" w:space="0"/>
                  </w:tcBorders>
                  <w:shd w:val="clear" w:color="auto" w:fill="auto"/>
                  <w:vAlign w:val="center"/>
                </w:tcPr>
                <w:p w14:paraId="76DE8C51">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1次/年</w:t>
                  </w:r>
                </w:p>
              </w:tc>
            </w:tr>
            <w:tr w14:paraId="1F440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690" w:type="pct"/>
                  <w:tcBorders>
                    <w:top w:val="single" w:color="auto" w:sz="4" w:space="0"/>
                    <w:left w:val="single" w:color="auto" w:sz="4" w:space="0"/>
                    <w:bottom w:val="single" w:color="auto" w:sz="4" w:space="0"/>
                    <w:right w:val="single" w:color="auto" w:sz="4" w:space="0"/>
                  </w:tcBorders>
                  <w:shd w:val="clear" w:color="auto" w:fill="auto"/>
                  <w:vAlign w:val="center"/>
                </w:tcPr>
                <w:p w14:paraId="667FB86C">
                  <w:pPr>
                    <w:keepNext w:val="0"/>
                    <w:keepLines w:val="0"/>
                    <w:widowControl w:val="0"/>
                    <w:suppressLineNumbers w:val="0"/>
                    <w:topLinePunct/>
                    <w:autoSpaceDE w:val="0"/>
                    <w:autoSpaceDN w:val="0"/>
                    <w:adjustRightInd w:val="0"/>
                    <w:snapToGrid w:val="0"/>
                    <w:spacing w:before="0" w:beforeAutospacing="0" w:after="0" w:afterAutospacing="0" w:line="320" w:lineRule="exact"/>
                    <w:ind w:left="0" w:right="0"/>
                    <w:jc w:val="center"/>
                    <w:textAlignment w:val="baseline"/>
                    <w:rPr>
                      <w:rFonts w:hint="eastAsia" w:ascii="Times New Roman" w:hAnsi="Times New Roman" w:cs="Times New Roman"/>
                      <w:bCs/>
                      <w:color w:val="auto"/>
                      <w:sz w:val="21"/>
                      <w:szCs w:val="21"/>
                      <w:highlight w:val="none"/>
                      <w:lang w:eastAsia="zh-CN"/>
                    </w:rPr>
                  </w:pPr>
                  <w:r>
                    <w:rPr>
                      <w:rFonts w:hint="eastAsia" w:cs="Times New Roman"/>
                      <w:bCs/>
                      <w:color w:val="auto"/>
                      <w:sz w:val="21"/>
                      <w:szCs w:val="21"/>
                      <w:highlight w:val="none"/>
                      <w:lang w:val="en-US" w:eastAsia="zh-CN"/>
                    </w:rPr>
                    <w:t>2</w:t>
                  </w:r>
                  <w:r>
                    <w:rPr>
                      <w:rFonts w:hint="eastAsia" w:ascii="Times New Roman" w:hAnsi="Times New Roman" w:cs="Times New Roman"/>
                      <w:bCs/>
                      <w:color w:val="auto"/>
                      <w:sz w:val="21"/>
                      <w:szCs w:val="21"/>
                      <w:highlight w:val="none"/>
                      <w:lang w:val="en-US" w:eastAsia="zh-CN"/>
                    </w:rPr>
                    <w:t>#</w:t>
                  </w:r>
                  <w:r>
                    <w:rPr>
                      <w:rFonts w:hint="eastAsia" w:ascii="Times New Roman" w:hAnsi="Times New Roman" w:cs="Times New Roman"/>
                      <w:bCs/>
                      <w:color w:val="auto"/>
                      <w:sz w:val="21"/>
                      <w:szCs w:val="21"/>
                      <w:highlight w:val="none"/>
                      <w:lang w:eastAsia="zh-CN"/>
                    </w:rPr>
                    <w:t>修磨废气</w:t>
                  </w:r>
                </w:p>
              </w:tc>
              <w:tc>
                <w:tcPr>
                  <w:tcW w:w="942" w:type="dxa"/>
                  <w:tcBorders>
                    <w:top w:val="single" w:color="auto" w:sz="4" w:space="0"/>
                    <w:left w:val="single" w:color="auto" w:sz="4" w:space="0"/>
                    <w:bottom w:val="single" w:color="auto" w:sz="4" w:space="0"/>
                    <w:right w:val="single" w:color="auto" w:sz="4" w:space="0"/>
                  </w:tcBorders>
                  <w:shd w:val="clear" w:color="auto" w:fill="auto"/>
                  <w:vAlign w:val="center"/>
                </w:tcPr>
                <w:p w14:paraId="4B6A5FEF">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eastAsia="zh-CN"/>
                    </w:rPr>
                  </w:pPr>
                  <w:r>
                    <w:rPr>
                      <w:rFonts w:hint="eastAsia"/>
                      <w:bCs/>
                      <w:color w:val="auto"/>
                      <w:szCs w:val="21"/>
                      <w:highlight w:val="none"/>
                      <w:lang w:eastAsia="zh-CN"/>
                    </w:rPr>
                    <w:t>脉冲布袋除尘器</w:t>
                  </w:r>
                  <w:r>
                    <w:rPr>
                      <w:rFonts w:hint="eastAsia"/>
                      <w:bCs/>
                      <w:color w:val="auto"/>
                      <w:szCs w:val="21"/>
                      <w:highlight w:val="none"/>
                    </w:rPr>
                    <w:t>故障</w:t>
                  </w:r>
                </w:p>
              </w:tc>
              <w:tc>
                <w:tcPr>
                  <w:tcW w:w="597" w:type="dxa"/>
                  <w:tcBorders>
                    <w:top w:val="single" w:color="auto" w:sz="4" w:space="0"/>
                    <w:left w:val="single" w:color="auto" w:sz="4" w:space="0"/>
                    <w:bottom w:val="single" w:color="auto" w:sz="4" w:space="0"/>
                    <w:right w:val="single" w:color="auto" w:sz="4" w:space="0"/>
                  </w:tcBorders>
                  <w:shd w:val="clear" w:color="auto" w:fill="auto"/>
                  <w:vAlign w:val="center"/>
                </w:tcPr>
                <w:p w14:paraId="74758B49">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颗粒物</w:t>
                  </w:r>
                </w:p>
              </w:tc>
              <w:tc>
                <w:tcPr>
                  <w:tcW w:w="774" w:type="dxa"/>
                  <w:tcBorders>
                    <w:top w:val="single" w:color="auto" w:sz="4" w:space="0"/>
                    <w:left w:val="single" w:color="auto" w:sz="4" w:space="0"/>
                    <w:bottom w:val="single" w:color="auto" w:sz="4" w:space="0"/>
                    <w:right w:val="single" w:color="auto" w:sz="4" w:space="0"/>
                  </w:tcBorders>
                  <w:shd w:val="clear" w:color="auto" w:fill="auto"/>
                  <w:vAlign w:val="center"/>
                </w:tcPr>
                <w:p w14:paraId="0C206001">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leftChars="0" w:right="0" w:rightChars="0"/>
                    <w:jc w:val="center"/>
                    <w:textAlignment w:val="baseline"/>
                    <w:rPr>
                      <w:rFonts w:hint="eastAsia"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803" w:type="dxa"/>
                  <w:tcBorders>
                    <w:top w:val="single" w:color="auto" w:sz="4" w:space="0"/>
                    <w:left w:val="single" w:color="auto" w:sz="4" w:space="0"/>
                    <w:bottom w:val="single" w:color="auto" w:sz="4" w:space="0"/>
                    <w:right w:val="single" w:color="auto" w:sz="4" w:space="0"/>
                  </w:tcBorders>
                  <w:shd w:val="clear" w:color="auto" w:fill="auto"/>
                  <w:vAlign w:val="center"/>
                </w:tcPr>
                <w:p w14:paraId="23C512F1">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20000</w:t>
                  </w:r>
                </w:p>
              </w:tc>
              <w:tc>
                <w:tcPr>
                  <w:tcW w:w="440" w:type="dxa"/>
                  <w:tcBorders>
                    <w:top w:val="single" w:color="auto" w:sz="4" w:space="0"/>
                    <w:left w:val="single" w:color="auto" w:sz="4" w:space="0"/>
                    <w:bottom w:val="single" w:color="auto" w:sz="4" w:space="0"/>
                    <w:right w:val="single" w:color="auto" w:sz="4" w:space="0"/>
                  </w:tcBorders>
                  <w:shd w:val="clear" w:color="auto" w:fill="auto"/>
                  <w:vAlign w:val="center"/>
                </w:tcPr>
                <w:p w14:paraId="733745C2">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223D0D96">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34.460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26631D68">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cs="Times New Roman"/>
                      <w:bCs/>
                      <w:color w:val="auto"/>
                      <w:kern w:val="2"/>
                      <w:sz w:val="21"/>
                      <w:szCs w:val="21"/>
                      <w:highlight w:val="none"/>
                      <w:lang w:val="en-US" w:eastAsia="zh-CN" w:bidi="ar-SA"/>
                    </w:rPr>
                    <w:t>1.72</w:t>
                  </w:r>
                </w:p>
              </w:tc>
              <w:tc>
                <w:tcPr>
                  <w:tcW w:w="526" w:type="pct"/>
                  <w:tcBorders>
                    <w:top w:val="single" w:color="auto" w:sz="4" w:space="0"/>
                    <w:left w:val="single" w:color="auto" w:sz="4" w:space="0"/>
                    <w:bottom w:val="single" w:color="auto" w:sz="4" w:space="0"/>
                    <w:right w:val="single" w:color="auto" w:sz="4" w:space="0"/>
                  </w:tcBorders>
                  <w:shd w:val="clear" w:color="auto" w:fill="auto"/>
                  <w:vAlign w:val="center"/>
                </w:tcPr>
                <w:p w14:paraId="10AF9595">
                  <w:pPr>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1次/年</w:t>
                  </w:r>
                </w:p>
              </w:tc>
            </w:tr>
            <w:tr w14:paraId="6F6B4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690" w:type="pct"/>
                  <w:tcBorders>
                    <w:top w:val="single" w:color="auto" w:sz="4" w:space="0"/>
                    <w:left w:val="single" w:color="auto" w:sz="4" w:space="0"/>
                    <w:bottom w:val="single" w:color="auto" w:sz="4" w:space="0"/>
                    <w:right w:val="single" w:color="auto" w:sz="4" w:space="0"/>
                  </w:tcBorders>
                  <w:shd w:val="clear" w:color="auto" w:fill="auto"/>
                  <w:vAlign w:val="center"/>
                </w:tcPr>
                <w:p w14:paraId="3F5514A9">
                  <w:pPr>
                    <w:keepNext w:val="0"/>
                    <w:keepLines w:val="0"/>
                    <w:widowControl w:val="0"/>
                    <w:suppressLineNumbers w:val="0"/>
                    <w:topLinePunct/>
                    <w:autoSpaceDE w:val="0"/>
                    <w:autoSpaceDN w:val="0"/>
                    <w:adjustRightInd w:val="0"/>
                    <w:snapToGrid w:val="0"/>
                    <w:spacing w:before="0" w:beforeAutospacing="0" w:after="0" w:afterAutospacing="0" w:line="320" w:lineRule="exact"/>
                    <w:ind w:left="0" w:right="0"/>
                    <w:jc w:val="center"/>
                    <w:textAlignment w:val="baseline"/>
                    <w:rPr>
                      <w:rFonts w:hint="eastAsia" w:ascii="Times New Roman" w:hAnsi="Times New Roman" w:cs="Times New Roman"/>
                      <w:bCs/>
                      <w:color w:val="auto"/>
                      <w:sz w:val="21"/>
                      <w:szCs w:val="21"/>
                      <w:highlight w:val="none"/>
                      <w:lang w:eastAsia="zh-CN"/>
                    </w:rPr>
                  </w:pPr>
                  <w:r>
                    <w:rPr>
                      <w:rFonts w:hint="eastAsia" w:cs="Times New Roman"/>
                      <w:bCs/>
                      <w:color w:val="auto"/>
                      <w:sz w:val="21"/>
                      <w:szCs w:val="21"/>
                      <w:highlight w:val="none"/>
                      <w:lang w:val="en-US" w:eastAsia="zh-CN"/>
                    </w:rPr>
                    <w:t>3</w:t>
                  </w:r>
                  <w:r>
                    <w:rPr>
                      <w:rFonts w:hint="eastAsia" w:ascii="Times New Roman" w:hAnsi="Times New Roman" w:cs="Times New Roman"/>
                      <w:bCs/>
                      <w:color w:val="auto"/>
                      <w:sz w:val="21"/>
                      <w:szCs w:val="21"/>
                      <w:highlight w:val="none"/>
                      <w:lang w:val="en-US" w:eastAsia="zh-CN"/>
                    </w:rPr>
                    <w:t>#</w:t>
                  </w:r>
                  <w:r>
                    <w:rPr>
                      <w:rFonts w:hint="eastAsia" w:ascii="Times New Roman" w:hAnsi="Times New Roman" w:cs="Times New Roman"/>
                      <w:bCs/>
                      <w:color w:val="auto"/>
                      <w:sz w:val="21"/>
                      <w:szCs w:val="21"/>
                      <w:highlight w:val="none"/>
                      <w:lang w:eastAsia="zh-CN"/>
                    </w:rPr>
                    <w:t>修磨废气</w:t>
                  </w:r>
                </w:p>
              </w:tc>
              <w:tc>
                <w:tcPr>
                  <w:tcW w:w="942" w:type="dxa"/>
                  <w:tcBorders>
                    <w:top w:val="single" w:color="auto" w:sz="4" w:space="0"/>
                    <w:left w:val="single" w:color="auto" w:sz="4" w:space="0"/>
                    <w:bottom w:val="single" w:color="auto" w:sz="4" w:space="0"/>
                    <w:right w:val="single" w:color="auto" w:sz="4" w:space="0"/>
                  </w:tcBorders>
                  <w:shd w:val="clear" w:color="auto" w:fill="auto"/>
                  <w:vAlign w:val="center"/>
                </w:tcPr>
                <w:p w14:paraId="093AE477">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eastAsia="zh-CN"/>
                    </w:rPr>
                  </w:pPr>
                  <w:r>
                    <w:rPr>
                      <w:rFonts w:hint="eastAsia"/>
                      <w:bCs/>
                      <w:color w:val="auto"/>
                      <w:szCs w:val="21"/>
                      <w:highlight w:val="none"/>
                      <w:lang w:eastAsia="zh-CN"/>
                    </w:rPr>
                    <w:t>脉冲布袋除尘器</w:t>
                  </w:r>
                  <w:r>
                    <w:rPr>
                      <w:rFonts w:hint="eastAsia"/>
                      <w:bCs/>
                      <w:color w:val="auto"/>
                      <w:szCs w:val="21"/>
                      <w:highlight w:val="none"/>
                    </w:rPr>
                    <w:t>故障</w:t>
                  </w:r>
                </w:p>
              </w:tc>
              <w:tc>
                <w:tcPr>
                  <w:tcW w:w="597" w:type="dxa"/>
                  <w:tcBorders>
                    <w:top w:val="single" w:color="auto" w:sz="4" w:space="0"/>
                    <w:left w:val="single" w:color="auto" w:sz="4" w:space="0"/>
                    <w:bottom w:val="single" w:color="auto" w:sz="4" w:space="0"/>
                    <w:right w:val="single" w:color="auto" w:sz="4" w:space="0"/>
                  </w:tcBorders>
                  <w:shd w:val="clear" w:color="auto" w:fill="auto"/>
                  <w:vAlign w:val="center"/>
                </w:tcPr>
                <w:p w14:paraId="443CDA74">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颗粒物</w:t>
                  </w:r>
                </w:p>
              </w:tc>
              <w:tc>
                <w:tcPr>
                  <w:tcW w:w="774" w:type="dxa"/>
                  <w:tcBorders>
                    <w:top w:val="single" w:color="auto" w:sz="4" w:space="0"/>
                    <w:left w:val="single" w:color="auto" w:sz="4" w:space="0"/>
                    <w:bottom w:val="single" w:color="auto" w:sz="4" w:space="0"/>
                    <w:right w:val="single" w:color="auto" w:sz="4" w:space="0"/>
                  </w:tcBorders>
                  <w:shd w:val="clear" w:color="auto" w:fill="auto"/>
                  <w:vAlign w:val="center"/>
                </w:tcPr>
                <w:p w14:paraId="277F0991">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leftChars="0" w:right="0" w:rightChars="0"/>
                    <w:jc w:val="center"/>
                    <w:textAlignment w:val="baseline"/>
                    <w:rPr>
                      <w:rFonts w:hint="eastAsia"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803" w:type="dxa"/>
                  <w:tcBorders>
                    <w:top w:val="single" w:color="auto" w:sz="4" w:space="0"/>
                    <w:left w:val="single" w:color="auto" w:sz="4" w:space="0"/>
                    <w:bottom w:val="single" w:color="auto" w:sz="4" w:space="0"/>
                    <w:right w:val="single" w:color="auto" w:sz="4" w:space="0"/>
                  </w:tcBorders>
                  <w:shd w:val="clear" w:color="auto" w:fill="auto"/>
                  <w:vAlign w:val="center"/>
                </w:tcPr>
                <w:p w14:paraId="63E689D8">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20000</w:t>
                  </w:r>
                </w:p>
              </w:tc>
              <w:tc>
                <w:tcPr>
                  <w:tcW w:w="440" w:type="dxa"/>
                  <w:tcBorders>
                    <w:top w:val="single" w:color="auto" w:sz="4" w:space="0"/>
                    <w:left w:val="single" w:color="auto" w:sz="4" w:space="0"/>
                    <w:bottom w:val="single" w:color="auto" w:sz="4" w:space="0"/>
                    <w:right w:val="single" w:color="auto" w:sz="4" w:space="0"/>
                  </w:tcBorders>
                  <w:shd w:val="clear" w:color="auto" w:fill="auto"/>
                  <w:vAlign w:val="center"/>
                </w:tcPr>
                <w:p w14:paraId="44699A26">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78280A6C">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34.460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0906FF55">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cs="Times New Roman"/>
                      <w:bCs/>
                      <w:color w:val="auto"/>
                      <w:kern w:val="2"/>
                      <w:sz w:val="21"/>
                      <w:szCs w:val="21"/>
                      <w:highlight w:val="none"/>
                      <w:lang w:val="en-US" w:eastAsia="zh-CN" w:bidi="ar-SA"/>
                    </w:rPr>
                    <w:t>1.72</w:t>
                  </w:r>
                </w:p>
              </w:tc>
              <w:tc>
                <w:tcPr>
                  <w:tcW w:w="526" w:type="pct"/>
                  <w:tcBorders>
                    <w:top w:val="single" w:color="auto" w:sz="4" w:space="0"/>
                    <w:left w:val="single" w:color="auto" w:sz="4" w:space="0"/>
                    <w:bottom w:val="single" w:color="auto" w:sz="4" w:space="0"/>
                    <w:right w:val="single" w:color="auto" w:sz="4" w:space="0"/>
                  </w:tcBorders>
                  <w:shd w:val="clear" w:color="auto" w:fill="auto"/>
                  <w:vAlign w:val="center"/>
                </w:tcPr>
                <w:p w14:paraId="14C1CE8B">
                  <w:pPr>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1次/年</w:t>
                  </w:r>
                </w:p>
              </w:tc>
            </w:tr>
            <w:tr w14:paraId="35FAF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690" w:type="pct"/>
                  <w:tcBorders>
                    <w:top w:val="single" w:color="auto" w:sz="4" w:space="0"/>
                    <w:left w:val="single" w:color="auto" w:sz="4" w:space="0"/>
                    <w:bottom w:val="single" w:color="auto" w:sz="4" w:space="0"/>
                    <w:right w:val="single" w:color="auto" w:sz="4" w:space="0"/>
                  </w:tcBorders>
                  <w:shd w:val="clear" w:color="auto" w:fill="auto"/>
                  <w:vAlign w:val="center"/>
                </w:tcPr>
                <w:p w14:paraId="42477C22">
                  <w:pPr>
                    <w:keepNext w:val="0"/>
                    <w:keepLines w:val="0"/>
                    <w:widowControl w:val="0"/>
                    <w:suppressLineNumbers w:val="0"/>
                    <w:topLinePunct/>
                    <w:autoSpaceDE w:val="0"/>
                    <w:autoSpaceDN w:val="0"/>
                    <w:adjustRightInd w:val="0"/>
                    <w:snapToGrid w:val="0"/>
                    <w:spacing w:before="0" w:beforeAutospacing="0" w:after="0" w:afterAutospacing="0" w:line="320" w:lineRule="exact"/>
                    <w:ind w:left="0" w:right="0"/>
                    <w:jc w:val="center"/>
                    <w:textAlignment w:val="baseline"/>
                    <w:rPr>
                      <w:rFonts w:hint="eastAsia" w:ascii="Times New Roman" w:hAnsi="Times New Roman" w:cs="Times New Roman"/>
                      <w:bCs/>
                      <w:color w:val="auto"/>
                      <w:sz w:val="21"/>
                      <w:szCs w:val="21"/>
                      <w:highlight w:val="none"/>
                      <w:lang w:eastAsia="zh-CN"/>
                    </w:rPr>
                  </w:pPr>
                  <w:r>
                    <w:rPr>
                      <w:rFonts w:hint="eastAsia" w:cs="Times New Roman"/>
                      <w:bCs/>
                      <w:color w:val="auto"/>
                      <w:sz w:val="21"/>
                      <w:szCs w:val="21"/>
                      <w:highlight w:val="none"/>
                      <w:lang w:val="en-US" w:eastAsia="zh-CN"/>
                    </w:rPr>
                    <w:t>4</w:t>
                  </w:r>
                  <w:r>
                    <w:rPr>
                      <w:rFonts w:hint="eastAsia" w:ascii="Times New Roman" w:hAnsi="Times New Roman" w:cs="Times New Roman"/>
                      <w:bCs/>
                      <w:color w:val="auto"/>
                      <w:sz w:val="21"/>
                      <w:szCs w:val="21"/>
                      <w:highlight w:val="none"/>
                      <w:lang w:val="en-US" w:eastAsia="zh-CN"/>
                    </w:rPr>
                    <w:t>#</w:t>
                  </w:r>
                  <w:r>
                    <w:rPr>
                      <w:rFonts w:hint="eastAsia" w:ascii="Times New Roman" w:hAnsi="Times New Roman" w:cs="Times New Roman"/>
                      <w:bCs/>
                      <w:color w:val="auto"/>
                      <w:sz w:val="21"/>
                      <w:szCs w:val="21"/>
                      <w:highlight w:val="none"/>
                      <w:lang w:eastAsia="zh-CN"/>
                    </w:rPr>
                    <w:t>修磨废气</w:t>
                  </w:r>
                </w:p>
              </w:tc>
              <w:tc>
                <w:tcPr>
                  <w:tcW w:w="942" w:type="dxa"/>
                  <w:tcBorders>
                    <w:top w:val="single" w:color="auto" w:sz="4" w:space="0"/>
                    <w:left w:val="single" w:color="auto" w:sz="4" w:space="0"/>
                    <w:bottom w:val="single" w:color="auto" w:sz="4" w:space="0"/>
                    <w:right w:val="single" w:color="auto" w:sz="4" w:space="0"/>
                  </w:tcBorders>
                  <w:shd w:val="clear" w:color="auto" w:fill="auto"/>
                  <w:vAlign w:val="center"/>
                </w:tcPr>
                <w:p w14:paraId="79F087E1">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eastAsia="zh-CN"/>
                    </w:rPr>
                  </w:pPr>
                  <w:r>
                    <w:rPr>
                      <w:rFonts w:hint="eastAsia"/>
                      <w:bCs/>
                      <w:color w:val="auto"/>
                      <w:szCs w:val="21"/>
                      <w:highlight w:val="none"/>
                      <w:lang w:eastAsia="zh-CN"/>
                    </w:rPr>
                    <w:t>脉冲布袋除尘器</w:t>
                  </w:r>
                  <w:r>
                    <w:rPr>
                      <w:rFonts w:hint="eastAsia"/>
                      <w:bCs/>
                      <w:color w:val="auto"/>
                      <w:szCs w:val="21"/>
                      <w:highlight w:val="none"/>
                    </w:rPr>
                    <w:t>故障</w:t>
                  </w:r>
                </w:p>
              </w:tc>
              <w:tc>
                <w:tcPr>
                  <w:tcW w:w="597" w:type="dxa"/>
                  <w:tcBorders>
                    <w:top w:val="single" w:color="auto" w:sz="4" w:space="0"/>
                    <w:left w:val="single" w:color="auto" w:sz="4" w:space="0"/>
                    <w:bottom w:val="single" w:color="auto" w:sz="4" w:space="0"/>
                    <w:right w:val="single" w:color="auto" w:sz="4" w:space="0"/>
                  </w:tcBorders>
                  <w:shd w:val="clear" w:color="auto" w:fill="auto"/>
                  <w:vAlign w:val="center"/>
                </w:tcPr>
                <w:p w14:paraId="5D3252D5">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颗粒物</w:t>
                  </w:r>
                </w:p>
              </w:tc>
              <w:tc>
                <w:tcPr>
                  <w:tcW w:w="774" w:type="dxa"/>
                  <w:tcBorders>
                    <w:top w:val="single" w:color="auto" w:sz="4" w:space="0"/>
                    <w:left w:val="single" w:color="auto" w:sz="4" w:space="0"/>
                    <w:bottom w:val="single" w:color="auto" w:sz="4" w:space="0"/>
                    <w:right w:val="single" w:color="auto" w:sz="4" w:space="0"/>
                  </w:tcBorders>
                  <w:shd w:val="clear" w:color="auto" w:fill="auto"/>
                  <w:vAlign w:val="center"/>
                </w:tcPr>
                <w:p w14:paraId="4B312BF6">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leftChars="0" w:right="0" w:rightChars="0"/>
                    <w:jc w:val="center"/>
                    <w:textAlignment w:val="baseline"/>
                    <w:rPr>
                      <w:rFonts w:hint="eastAsia"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803" w:type="dxa"/>
                  <w:tcBorders>
                    <w:top w:val="single" w:color="auto" w:sz="4" w:space="0"/>
                    <w:left w:val="single" w:color="auto" w:sz="4" w:space="0"/>
                    <w:bottom w:val="single" w:color="auto" w:sz="4" w:space="0"/>
                    <w:right w:val="single" w:color="auto" w:sz="4" w:space="0"/>
                  </w:tcBorders>
                  <w:shd w:val="clear" w:color="auto" w:fill="auto"/>
                  <w:vAlign w:val="center"/>
                </w:tcPr>
                <w:p w14:paraId="28859A33">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20000</w:t>
                  </w:r>
                </w:p>
              </w:tc>
              <w:tc>
                <w:tcPr>
                  <w:tcW w:w="440" w:type="dxa"/>
                  <w:tcBorders>
                    <w:top w:val="single" w:color="auto" w:sz="4" w:space="0"/>
                    <w:left w:val="single" w:color="auto" w:sz="4" w:space="0"/>
                    <w:bottom w:val="single" w:color="auto" w:sz="4" w:space="0"/>
                    <w:right w:val="single" w:color="auto" w:sz="4" w:space="0"/>
                  </w:tcBorders>
                  <w:shd w:val="clear" w:color="auto" w:fill="auto"/>
                  <w:vAlign w:val="center"/>
                </w:tcPr>
                <w:p w14:paraId="2D346907">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2F19C913">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34.460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1CE0455A">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cs="Times New Roman"/>
                      <w:bCs/>
                      <w:color w:val="auto"/>
                      <w:kern w:val="2"/>
                      <w:sz w:val="21"/>
                      <w:szCs w:val="21"/>
                      <w:highlight w:val="none"/>
                      <w:lang w:val="en-US" w:eastAsia="zh-CN" w:bidi="ar-SA"/>
                    </w:rPr>
                    <w:t>1.72</w:t>
                  </w:r>
                </w:p>
              </w:tc>
              <w:tc>
                <w:tcPr>
                  <w:tcW w:w="526" w:type="pct"/>
                  <w:tcBorders>
                    <w:top w:val="single" w:color="auto" w:sz="4" w:space="0"/>
                    <w:left w:val="single" w:color="auto" w:sz="4" w:space="0"/>
                    <w:bottom w:val="single" w:color="auto" w:sz="4" w:space="0"/>
                    <w:right w:val="single" w:color="auto" w:sz="4" w:space="0"/>
                  </w:tcBorders>
                  <w:shd w:val="clear" w:color="auto" w:fill="auto"/>
                  <w:vAlign w:val="center"/>
                </w:tcPr>
                <w:p w14:paraId="60917268">
                  <w:pPr>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1次/年</w:t>
                  </w:r>
                </w:p>
              </w:tc>
            </w:tr>
            <w:tr w14:paraId="3701D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690" w:type="pct"/>
                  <w:tcBorders>
                    <w:top w:val="single" w:color="auto" w:sz="4" w:space="0"/>
                    <w:left w:val="single" w:color="auto" w:sz="4" w:space="0"/>
                    <w:right w:val="single" w:color="auto" w:sz="4" w:space="0"/>
                  </w:tcBorders>
                  <w:shd w:val="clear" w:color="auto" w:fill="auto"/>
                  <w:vAlign w:val="center"/>
                </w:tcPr>
                <w:p w14:paraId="0269C275">
                  <w:pPr>
                    <w:keepNext w:val="0"/>
                    <w:keepLines w:val="0"/>
                    <w:widowControl w:val="0"/>
                    <w:suppressLineNumbers w:val="0"/>
                    <w:topLinePunct/>
                    <w:autoSpaceDE w:val="0"/>
                    <w:autoSpaceDN w:val="0"/>
                    <w:adjustRightInd w:val="0"/>
                    <w:snapToGrid w:val="0"/>
                    <w:spacing w:before="0" w:beforeAutospacing="0" w:after="0" w:afterAutospacing="0" w:line="320" w:lineRule="exact"/>
                    <w:ind w:left="0" w:right="0"/>
                    <w:jc w:val="center"/>
                    <w:textAlignment w:val="baseline"/>
                    <w:rPr>
                      <w:rFonts w:hint="eastAsia" w:ascii="Times New Roman" w:hAnsi="Times New Roman" w:cs="Times New Roman"/>
                      <w:bCs/>
                      <w:color w:val="auto"/>
                      <w:sz w:val="21"/>
                      <w:szCs w:val="21"/>
                      <w:highlight w:val="none"/>
                      <w:lang w:eastAsia="zh-CN"/>
                    </w:rPr>
                  </w:pPr>
                  <w:r>
                    <w:rPr>
                      <w:rFonts w:hint="eastAsia" w:cs="Times New Roman"/>
                      <w:bCs/>
                      <w:color w:val="auto"/>
                      <w:sz w:val="21"/>
                      <w:szCs w:val="21"/>
                      <w:highlight w:val="none"/>
                      <w:lang w:val="en-US" w:eastAsia="zh-CN"/>
                    </w:rPr>
                    <w:t>5</w:t>
                  </w:r>
                  <w:r>
                    <w:rPr>
                      <w:rFonts w:hint="eastAsia" w:ascii="Times New Roman" w:hAnsi="Times New Roman" w:cs="Times New Roman"/>
                      <w:bCs/>
                      <w:color w:val="auto"/>
                      <w:sz w:val="21"/>
                      <w:szCs w:val="21"/>
                      <w:highlight w:val="none"/>
                      <w:lang w:val="en-US" w:eastAsia="zh-CN"/>
                    </w:rPr>
                    <w:t>#</w:t>
                  </w:r>
                  <w:r>
                    <w:rPr>
                      <w:rFonts w:hint="eastAsia" w:ascii="Times New Roman" w:hAnsi="Times New Roman" w:cs="Times New Roman"/>
                      <w:bCs/>
                      <w:color w:val="auto"/>
                      <w:sz w:val="21"/>
                      <w:szCs w:val="21"/>
                      <w:highlight w:val="none"/>
                      <w:lang w:eastAsia="zh-CN"/>
                    </w:rPr>
                    <w:t>修磨废气</w:t>
                  </w:r>
                </w:p>
              </w:tc>
              <w:tc>
                <w:tcPr>
                  <w:tcW w:w="942" w:type="dxa"/>
                  <w:tcBorders>
                    <w:top w:val="single" w:color="auto" w:sz="4" w:space="0"/>
                    <w:left w:val="single" w:color="auto" w:sz="4" w:space="0"/>
                    <w:right w:val="single" w:color="auto" w:sz="4" w:space="0"/>
                  </w:tcBorders>
                  <w:shd w:val="clear" w:color="auto" w:fill="auto"/>
                  <w:vAlign w:val="center"/>
                </w:tcPr>
                <w:p w14:paraId="4BBEB580">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eastAsia="zh-CN"/>
                    </w:rPr>
                  </w:pPr>
                  <w:r>
                    <w:rPr>
                      <w:rFonts w:hint="eastAsia"/>
                      <w:bCs/>
                      <w:color w:val="auto"/>
                      <w:szCs w:val="21"/>
                      <w:highlight w:val="none"/>
                      <w:lang w:eastAsia="zh-CN"/>
                    </w:rPr>
                    <w:t>脉冲布袋除尘器</w:t>
                  </w:r>
                  <w:r>
                    <w:rPr>
                      <w:rFonts w:hint="eastAsia"/>
                      <w:bCs/>
                      <w:color w:val="auto"/>
                      <w:szCs w:val="21"/>
                      <w:highlight w:val="none"/>
                    </w:rPr>
                    <w:t>故障</w:t>
                  </w:r>
                </w:p>
              </w:tc>
              <w:tc>
                <w:tcPr>
                  <w:tcW w:w="597" w:type="dxa"/>
                  <w:tcBorders>
                    <w:top w:val="single" w:color="auto" w:sz="4" w:space="0"/>
                    <w:left w:val="single" w:color="auto" w:sz="4" w:space="0"/>
                    <w:bottom w:val="single" w:color="auto" w:sz="4" w:space="0"/>
                    <w:right w:val="single" w:color="auto" w:sz="4" w:space="0"/>
                  </w:tcBorders>
                  <w:shd w:val="clear" w:color="auto" w:fill="auto"/>
                  <w:vAlign w:val="center"/>
                </w:tcPr>
                <w:p w14:paraId="353B39F1">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颗粒物</w:t>
                  </w:r>
                </w:p>
              </w:tc>
              <w:tc>
                <w:tcPr>
                  <w:tcW w:w="774" w:type="dxa"/>
                  <w:tcBorders>
                    <w:top w:val="single" w:color="auto" w:sz="4" w:space="0"/>
                    <w:left w:val="single" w:color="auto" w:sz="4" w:space="0"/>
                    <w:bottom w:val="single" w:color="auto" w:sz="4" w:space="0"/>
                    <w:right w:val="single" w:color="auto" w:sz="4" w:space="0"/>
                  </w:tcBorders>
                  <w:shd w:val="clear" w:color="auto" w:fill="auto"/>
                  <w:vAlign w:val="center"/>
                </w:tcPr>
                <w:p w14:paraId="3442CF67">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leftChars="0" w:right="0" w:rightChars="0"/>
                    <w:jc w:val="center"/>
                    <w:textAlignment w:val="baseline"/>
                    <w:rPr>
                      <w:rFonts w:hint="eastAsia" w:ascii="Times New Roman" w:hAnsi="Times New Roman" w:cs="Times New Roman"/>
                      <w:bCs/>
                      <w:color w:val="auto"/>
                      <w:sz w:val="21"/>
                      <w:szCs w:val="21"/>
                      <w:highlight w:val="none"/>
                      <w:lang w:val="en-US" w:eastAsia="zh-CN"/>
                    </w:rPr>
                  </w:pPr>
                  <w:r>
                    <w:rPr>
                      <w:rFonts w:hint="eastAsia" w:ascii="Times New Roman" w:hAnsi="Times New Roman" w:cs="Times New Roman"/>
                      <w:bCs/>
                      <w:color w:val="auto"/>
                      <w:sz w:val="21"/>
                      <w:szCs w:val="21"/>
                      <w:highlight w:val="none"/>
                      <w:lang w:val="en-US" w:eastAsia="zh-CN"/>
                    </w:rPr>
                    <w:t>1</w:t>
                  </w:r>
                </w:p>
              </w:tc>
              <w:tc>
                <w:tcPr>
                  <w:tcW w:w="803" w:type="dxa"/>
                  <w:tcBorders>
                    <w:top w:val="single" w:color="auto" w:sz="4" w:space="0"/>
                    <w:left w:val="single" w:color="auto" w:sz="4" w:space="0"/>
                    <w:right w:val="single" w:color="auto" w:sz="4" w:space="0"/>
                  </w:tcBorders>
                  <w:shd w:val="clear" w:color="auto" w:fill="auto"/>
                  <w:vAlign w:val="center"/>
                </w:tcPr>
                <w:p w14:paraId="628A2070">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20000</w:t>
                  </w:r>
                </w:p>
              </w:tc>
              <w:tc>
                <w:tcPr>
                  <w:tcW w:w="440" w:type="dxa"/>
                  <w:tcBorders>
                    <w:top w:val="single" w:color="auto" w:sz="4" w:space="0"/>
                    <w:left w:val="single" w:color="auto" w:sz="4" w:space="0"/>
                    <w:bottom w:val="single" w:color="auto" w:sz="4" w:space="0"/>
                    <w:right w:val="single" w:color="auto" w:sz="4" w:space="0"/>
                  </w:tcBorders>
                  <w:shd w:val="clear" w:color="auto" w:fill="auto"/>
                  <w:vAlign w:val="center"/>
                </w:tcPr>
                <w:p w14:paraId="6C60B29B">
                  <w:pPr>
                    <w:pStyle w:val="41"/>
                    <w:keepNext w:val="0"/>
                    <w:keepLines w:val="0"/>
                    <w:widowControl w:val="0"/>
                    <w:suppressLineNumbers w:val="0"/>
                    <w:topLinePunct/>
                    <w:autoSpaceDE w:val="0"/>
                    <w:autoSpaceDN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11474847">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bCs/>
                      <w:color w:val="auto"/>
                      <w:szCs w:val="21"/>
                      <w:highlight w:val="none"/>
                      <w:lang w:val="en-US" w:eastAsia="zh-CN"/>
                    </w:rPr>
                    <w:t>34.460</w:t>
                  </w:r>
                </w:p>
              </w:tc>
              <w:tc>
                <w:tcPr>
                  <w:tcW w:w="1131" w:type="dxa"/>
                  <w:tcBorders>
                    <w:top w:val="single" w:color="auto" w:sz="4" w:space="0"/>
                    <w:left w:val="single" w:color="auto" w:sz="4" w:space="0"/>
                    <w:bottom w:val="single" w:color="auto" w:sz="4" w:space="0"/>
                    <w:right w:val="single" w:color="auto" w:sz="4" w:space="0"/>
                  </w:tcBorders>
                  <w:shd w:val="clear" w:color="auto" w:fill="auto"/>
                  <w:vAlign w:val="center"/>
                </w:tcPr>
                <w:p w14:paraId="73F49ADD">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eastAsia"/>
                      <w:bCs/>
                      <w:color w:val="auto"/>
                      <w:szCs w:val="21"/>
                      <w:highlight w:val="none"/>
                      <w:lang w:val="en-US" w:eastAsia="zh-CN"/>
                    </w:rPr>
                  </w:pPr>
                  <w:r>
                    <w:rPr>
                      <w:rFonts w:hint="eastAsia" w:cs="Times New Roman"/>
                      <w:bCs/>
                      <w:color w:val="auto"/>
                      <w:kern w:val="2"/>
                      <w:sz w:val="21"/>
                      <w:szCs w:val="21"/>
                      <w:highlight w:val="none"/>
                      <w:lang w:val="en-US" w:eastAsia="zh-CN" w:bidi="ar-SA"/>
                    </w:rPr>
                    <w:t>1.72</w:t>
                  </w:r>
                </w:p>
              </w:tc>
              <w:tc>
                <w:tcPr>
                  <w:tcW w:w="526" w:type="pct"/>
                  <w:tcBorders>
                    <w:top w:val="single" w:color="auto" w:sz="4" w:space="0"/>
                    <w:left w:val="single" w:color="auto" w:sz="4" w:space="0"/>
                    <w:bottom w:val="single" w:color="auto" w:sz="4" w:space="0"/>
                    <w:right w:val="single" w:color="auto" w:sz="4" w:space="0"/>
                  </w:tcBorders>
                  <w:shd w:val="clear" w:color="auto" w:fill="auto"/>
                  <w:vAlign w:val="center"/>
                </w:tcPr>
                <w:p w14:paraId="20100530">
                  <w:pPr>
                    <w:keepNext w:val="0"/>
                    <w:keepLines w:val="0"/>
                    <w:widowControl w:val="0"/>
                    <w:suppressLineNumbers w:val="0"/>
                    <w:topLinePunct/>
                    <w:autoSpaceDE w:val="0"/>
                    <w:autoSpaceDN w:val="0"/>
                    <w:adjustRightInd w:val="0"/>
                    <w:snapToGrid w:val="0"/>
                    <w:spacing w:before="0" w:beforeAutospacing="0" w:after="0" w:afterAutospacing="0" w:line="360" w:lineRule="exact"/>
                    <w:ind w:left="0" w:right="0"/>
                    <w:jc w:val="center"/>
                    <w:textAlignment w:val="baseline"/>
                    <w:rPr>
                      <w:rFonts w:hint="default" w:ascii="Times New Roman" w:hAnsi="Times New Roman" w:cs="Times New Roman"/>
                      <w:bCs/>
                      <w:color w:val="auto"/>
                      <w:sz w:val="21"/>
                      <w:szCs w:val="21"/>
                      <w:highlight w:val="none"/>
                    </w:rPr>
                  </w:pPr>
                  <w:r>
                    <w:rPr>
                      <w:rFonts w:hint="default" w:ascii="Times New Roman" w:hAnsi="Times New Roman" w:cs="Times New Roman"/>
                      <w:bCs/>
                      <w:color w:val="auto"/>
                      <w:sz w:val="21"/>
                      <w:szCs w:val="21"/>
                      <w:highlight w:val="none"/>
                    </w:rPr>
                    <w:t>1次/年</w:t>
                  </w:r>
                </w:p>
              </w:tc>
            </w:tr>
          </w:tbl>
          <w:p w14:paraId="4FDB1785">
            <w:pPr>
              <w:pStyle w:val="41"/>
              <w:keepNext w:val="0"/>
              <w:keepLines w:val="0"/>
              <w:widowControl w:val="0"/>
              <w:suppressLineNumbers w:val="0"/>
              <w:autoSpaceDE w:val="0"/>
              <w:spacing w:before="0" w:beforeAutospacing="0" w:after="0" w:afterAutospacing="0" w:line="440" w:lineRule="exact"/>
              <w:ind w:left="0" w:right="0" w:firstLine="480" w:firstLineChars="200"/>
              <w:jc w:val="both"/>
              <w:rPr>
                <w:rFonts w:hint="default" w:ascii="Times New Roman" w:hAnsi="Times New Roman" w:eastAsia="宋体" w:cs="Times New Roman"/>
                <w:color w:val="auto"/>
                <w:kern w:val="2"/>
                <w:highlight w:val="none"/>
                <w:lang w:val="en-US" w:eastAsia="zh-CN"/>
              </w:rPr>
            </w:pPr>
            <w:r>
              <w:rPr>
                <w:rFonts w:hint="default" w:ascii="Times New Roman" w:hAnsi="Times New Roman" w:cs="Times New Roman"/>
                <w:color w:val="auto"/>
                <w:kern w:val="2"/>
                <w:highlight w:val="none"/>
              </w:rPr>
              <w:t>非正常排放属短时排放，在及时采取</w:t>
            </w:r>
            <w:r>
              <w:rPr>
                <w:rFonts w:hint="eastAsia" w:ascii="Times New Roman" w:hAnsi="Times New Roman" w:cs="Times New Roman"/>
                <w:color w:val="auto"/>
                <w:kern w:val="2"/>
                <w:highlight w:val="none"/>
                <w:lang w:val="en-US" w:eastAsia="zh-CN"/>
              </w:rPr>
              <w:t>立即停止设备运转的</w:t>
            </w:r>
            <w:r>
              <w:rPr>
                <w:rFonts w:hint="default" w:ascii="Times New Roman" w:hAnsi="Times New Roman" w:cs="Times New Roman"/>
                <w:color w:val="auto"/>
                <w:kern w:val="2"/>
                <w:highlight w:val="none"/>
              </w:rPr>
              <w:t>措施处置故障情况下，可减少非正常排放对环境的影响。</w:t>
            </w:r>
          </w:p>
          <w:p w14:paraId="154A669A">
            <w:pPr>
              <w:keepNext w:val="0"/>
              <w:keepLines w:val="0"/>
              <w:widowControl/>
              <w:suppressLineNumbers w:val="0"/>
              <w:spacing w:before="0" w:beforeAutospacing="0" w:after="0" w:afterAutospacing="0" w:line="440" w:lineRule="exact"/>
              <w:ind w:left="0" w:right="0" w:firstLine="480" w:firstLineChars="200"/>
              <w:jc w:val="left"/>
              <w:rPr>
                <w:rFonts w:hint="default"/>
                <w:b/>
                <w:bCs/>
                <w:color w:val="auto"/>
                <w:kern w:val="0"/>
                <w:sz w:val="24"/>
                <w:szCs w:val="22"/>
                <w:highlight w:val="none"/>
              </w:rPr>
            </w:pPr>
            <w:r>
              <w:rPr>
                <w:rFonts w:hint="default"/>
                <w:b/>
                <w:bCs/>
                <w:color w:val="auto"/>
                <w:kern w:val="0"/>
                <w:sz w:val="24"/>
                <w:szCs w:val="22"/>
                <w:highlight w:val="none"/>
              </w:rPr>
              <w:t>（</w:t>
            </w:r>
            <w:r>
              <w:rPr>
                <w:rFonts w:hint="eastAsia"/>
                <w:b/>
                <w:bCs/>
                <w:color w:val="auto"/>
                <w:kern w:val="0"/>
                <w:sz w:val="24"/>
                <w:szCs w:val="22"/>
                <w:highlight w:val="none"/>
              </w:rPr>
              <w:t>4</w:t>
            </w:r>
            <w:r>
              <w:rPr>
                <w:rFonts w:hint="default"/>
                <w:b/>
                <w:bCs/>
                <w:color w:val="auto"/>
                <w:kern w:val="0"/>
                <w:sz w:val="24"/>
                <w:szCs w:val="22"/>
                <w:highlight w:val="none"/>
              </w:rPr>
              <w:t>）监测计划</w:t>
            </w:r>
          </w:p>
          <w:p w14:paraId="678F6955">
            <w:pPr>
              <w:pStyle w:val="187"/>
              <w:keepNext w:val="0"/>
              <w:keepLines w:val="0"/>
              <w:pageBreakBefore w:val="0"/>
              <w:widowControl/>
              <w:suppressLineNumbers w:val="0"/>
              <w:tabs>
                <w:tab w:val="left" w:pos="6521"/>
              </w:tabs>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default" w:eastAsia="宋体"/>
                <w:b w:val="0"/>
                <w:bCs/>
                <w:color w:val="auto"/>
                <w:highlight w:val="none"/>
                <w:lang w:val="en-US" w:eastAsia="zh-CN"/>
              </w:rPr>
            </w:pPr>
            <w:r>
              <w:rPr>
                <w:rFonts w:hint="eastAsia"/>
                <w:b w:val="0"/>
                <w:bCs/>
                <w:color w:val="auto"/>
                <w:sz w:val="24"/>
                <w:szCs w:val="24"/>
                <w:highlight w:val="none"/>
              </w:rPr>
              <w:t>根据</w:t>
            </w:r>
            <w:r>
              <w:rPr>
                <w:rFonts w:hint="default"/>
                <w:b w:val="0"/>
                <w:bCs/>
                <w:color w:val="auto"/>
                <w:sz w:val="24"/>
                <w:highlight w:val="none"/>
                <w:lang w:val="zh-CN"/>
              </w:rPr>
              <w:t>《</w:t>
            </w:r>
            <w:r>
              <w:rPr>
                <w:rFonts w:hint="eastAsia"/>
                <w:b w:val="0"/>
                <w:bCs/>
                <w:color w:val="auto"/>
                <w:sz w:val="24"/>
                <w:highlight w:val="none"/>
                <w:lang w:val="zh-CN"/>
              </w:rPr>
              <w:t>排污单位自行监测技术指南 总则</w:t>
            </w:r>
            <w:r>
              <w:rPr>
                <w:rFonts w:hint="default"/>
                <w:b w:val="0"/>
                <w:bCs/>
                <w:color w:val="auto"/>
                <w:sz w:val="24"/>
                <w:highlight w:val="none"/>
                <w:lang w:val="zh-CN"/>
              </w:rPr>
              <w:t>》（</w:t>
            </w:r>
            <w:r>
              <w:rPr>
                <w:rFonts w:hint="eastAsia"/>
                <w:b w:val="0"/>
                <w:bCs/>
                <w:color w:val="auto"/>
                <w:sz w:val="24"/>
                <w:highlight w:val="none"/>
                <w:lang w:val="zh-CN"/>
              </w:rPr>
              <w:t>HJ819-2017</w:t>
            </w:r>
            <w:r>
              <w:rPr>
                <w:rFonts w:hint="default"/>
                <w:b w:val="0"/>
                <w:bCs/>
                <w:color w:val="auto"/>
                <w:sz w:val="24"/>
                <w:highlight w:val="none"/>
                <w:lang w:val="zh-CN"/>
              </w:rPr>
              <w:t>）</w:t>
            </w:r>
            <w:r>
              <w:rPr>
                <w:rFonts w:hint="eastAsia"/>
                <w:b w:val="0"/>
                <w:bCs/>
                <w:color w:val="auto"/>
                <w:sz w:val="24"/>
                <w:highlight w:val="none"/>
                <w:lang w:val="zh-CN"/>
              </w:rPr>
              <w:t>，</w:t>
            </w:r>
            <w:r>
              <w:rPr>
                <w:rFonts w:hint="eastAsia"/>
                <w:b w:val="0"/>
                <w:bCs/>
                <w:color w:val="auto"/>
                <w:sz w:val="24"/>
                <w:highlight w:val="none"/>
                <w:lang w:val="en-US" w:eastAsia="zh-CN"/>
              </w:rPr>
              <w:t>确定本项目废气监测计划。</w:t>
            </w:r>
          </w:p>
          <w:p w14:paraId="3F7CD40F">
            <w:pPr>
              <w:pStyle w:val="187"/>
              <w:keepNext w:val="0"/>
              <w:keepLines w:val="0"/>
              <w:suppressLineNumbers w:val="0"/>
              <w:tabs>
                <w:tab w:val="left" w:pos="6521"/>
              </w:tabs>
              <w:spacing w:before="0" w:beforeAutospacing="0" w:after="0" w:afterAutospacing="0" w:line="440" w:lineRule="exact"/>
              <w:ind w:left="0" w:right="0"/>
              <w:rPr>
                <w:rFonts w:hint="default"/>
                <w:color w:val="auto"/>
                <w:highlight w:val="none"/>
              </w:rPr>
            </w:pPr>
            <w:r>
              <w:rPr>
                <w:rFonts w:hint="default"/>
                <w:color w:val="auto"/>
                <w:highlight w:val="none"/>
              </w:rPr>
              <w:t>表4-</w:t>
            </w:r>
            <w:r>
              <w:rPr>
                <w:rFonts w:hint="eastAsia"/>
                <w:color w:val="auto"/>
                <w:highlight w:val="none"/>
                <w:lang w:val="en-US" w:eastAsia="zh-CN"/>
              </w:rPr>
              <w:t>5</w:t>
            </w:r>
            <w:r>
              <w:rPr>
                <w:rFonts w:hint="default"/>
                <w:color w:val="auto"/>
                <w:highlight w:val="none"/>
              </w:rPr>
              <w:t xml:space="preserve">    废气监测计划一览表</w:t>
            </w:r>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386"/>
              <w:gridCol w:w="408"/>
              <w:gridCol w:w="1496"/>
              <w:gridCol w:w="1193"/>
              <w:gridCol w:w="887"/>
              <w:gridCol w:w="951"/>
              <w:gridCol w:w="2521"/>
            </w:tblGrid>
            <w:tr w14:paraId="70BA7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49" w:hRule="atLeast"/>
                <w:jc w:val="center"/>
              </w:trPr>
              <w:tc>
                <w:tcPr>
                  <w:tcW w:w="246" w:type="pct"/>
                  <w:vAlign w:val="center"/>
                </w:tcPr>
                <w:p w14:paraId="4D749797">
                  <w:pPr>
                    <w:keepNext w:val="0"/>
                    <w:keepLines w:val="0"/>
                    <w:suppressLineNumbers w:val="0"/>
                    <w:spacing w:before="0" w:beforeAutospacing="0" w:after="0" w:afterAutospacing="0" w:line="360" w:lineRule="exact"/>
                    <w:ind w:left="0" w:right="0"/>
                    <w:jc w:val="center"/>
                    <w:rPr>
                      <w:rFonts w:hint="default"/>
                      <w:color w:val="auto"/>
                      <w:szCs w:val="21"/>
                      <w:highlight w:val="none"/>
                    </w:rPr>
                  </w:pPr>
                  <w:r>
                    <w:rPr>
                      <w:rFonts w:hint="default"/>
                      <w:color w:val="auto"/>
                      <w:szCs w:val="21"/>
                      <w:highlight w:val="none"/>
                    </w:rPr>
                    <w:t>序号</w:t>
                  </w:r>
                </w:p>
              </w:tc>
              <w:tc>
                <w:tcPr>
                  <w:tcW w:w="1213" w:type="pct"/>
                  <w:gridSpan w:val="2"/>
                  <w:vAlign w:val="center"/>
                </w:tcPr>
                <w:p w14:paraId="01364D27">
                  <w:pPr>
                    <w:keepNext w:val="0"/>
                    <w:keepLines w:val="0"/>
                    <w:suppressLineNumbers w:val="0"/>
                    <w:spacing w:before="0" w:beforeAutospacing="0" w:after="0" w:afterAutospacing="0" w:line="360" w:lineRule="exact"/>
                    <w:ind w:left="0" w:right="0"/>
                    <w:jc w:val="center"/>
                    <w:rPr>
                      <w:rFonts w:hint="default"/>
                      <w:color w:val="auto"/>
                      <w:szCs w:val="21"/>
                      <w:highlight w:val="none"/>
                    </w:rPr>
                  </w:pPr>
                  <w:r>
                    <w:rPr>
                      <w:rFonts w:hint="default"/>
                      <w:color w:val="auto"/>
                      <w:szCs w:val="21"/>
                      <w:highlight w:val="none"/>
                    </w:rPr>
                    <w:t>污染类型</w:t>
                  </w:r>
                </w:p>
              </w:tc>
              <w:tc>
                <w:tcPr>
                  <w:tcW w:w="760" w:type="pct"/>
                  <w:vAlign w:val="center"/>
                </w:tcPr>
                <w:p w14:paraId="4505CC6B">
                  <w:pPr>
                    <w:keepNext w:val="0"/>
                    <w:keepLines w:val="0"/>
                    <w:suppressLineNumbers w:val="0"/>
                    <w:spacing w:before="0" w:beforeAutospacing="0" w:after="0" w:afterAutospacing="0" w:line="360" w:lineRule="exact"/>
                    <w:ind w:left="0" w:right="0"/>
                    <w:jc w:val="center"/>
                    <w:rPr>
                      <w:rFonts w:hint="default"/>
                      <w:color w:val="auto"/>
                      <w:szCs w:val="21"/>
                      <w:highlight w:val="none"/>
                    </w:rPr>
                  </w:pPr>
                  <w:r>
                    <w:rPr>
                      <w:rFonts w:hint="default"/>
                      <w:color w:val="auto"/>
                      <w:szCs w:val="21"/>
                      <w:highlight w:val="none"/>
                    </w:rPr>
                    <w:t>监测项目</w:t>
                  </w:r>
                </w:p>
              </w:tc>
              <w:tc>
                <w:tcPr>
                  <w:tcW w:w="565" w:type="pct"/>
                  <w:vAlign w:val="center"/>
                </w:tcPr>
                <w:p w14:paraId="662AB85C">
                  <w:pPr>
                    <w:keepNext w:val="0"/>
                    <w:keepLines w:val="0"/>
                    <w:suppressLineNumbers w:val="0"/>
                    <w:spacing w:before="0" w:beforeAutospacing="0" w:after="0" w:afterAutospacing="0" w:line="360" w:lineRule="exact"/>
                    <w:ind w:left="0" w:right="0"/>
                    <w:jc w:val="center"/>
                    <w:rPr>
                      <w:rFonts w:hint="default"/>
                      <w:color w:val="auto"/>
                      <w:szCs w:val="21"/>
                      <w:highlight w:val="none"/>
                    </w:rPr>
                  </w:pPr>
                  <w:r>
                    <w:rPr>
                      <w:rFonts w:hint="default"/>
                      <w:color w:val="auto"/>
                      <w:szCs w:val="21"/>
                      <w:highlight w:val="none"/>
                    </w:rPr>
                    <w:t>监测点位置</w:t>
                  </w:r>
                </w:p>
              </w:tc>
              <w:tc>
                <w:tcPr>
                  <w:tcW w:w="606" w:type="pct"/>
                  <w:vAlign w:val="center"/>
                </w:tcPr>
                <w:p w14:paraId="3595F86E">
                  <w:pPr>
                    <w:keepNext w:val="0"/>
                    <w:keepLines w:val="0"/>
                    <w:suppressLineNumbers w:val="0"/>
                    <w:spacing w:before="0" w:beforeAutospacing="0" w:after="0" w:afterAutospacing="0" w:line="360" w:lineRule="exact"/>
                    <w:ind w:left="0" w:right="0"/>
                    <w:jc w:val="center"/>
                    <w:rPr>
                      <w:rFonts w:hint="default"/>
                      <w:color w:val="auto"/>
                      <w:szCs w:val="21"/>
                      <w:highlight w:val="none"/>
                    </w:rPr>
                  </w:pPr>
                  <w:r>
                    <w:rPr>
                      <w:rFonts w:hint="default"/>
                      <w:color w:val="auto"/>
                      <w:szCs w:val="21"/>
                      <w:highlight w:val="none"/>
                    </w:rPr>
                    <w:t>最低监测频率</w:t>
                  </w:r>
                </w:p>
              </w:tc>
              <w:tc>
                <w:tcPr>
                  <w:tcW w:w="1607" w:type="pct"/>
                  <w:vAlign w:val="center"/>
                </w:tcPr>
                <w:p w14:paraId="64780DA9">
                  <w:pPr>
                    <w:keepNext w:val="0"/>
                    <w:keepLines w:val="0"/>
                    <w:suppressLineNumbers w:val="0"/>
                    <w:spacing w:before="0" w:beforeAutospacing="0" w:after="0" w:afterAutospacing="0" w:line="360" w:lineRule="exact"/>
                    <w:ind w:left="0" w:right="0"/>
                    <w:jc w:val="center"/>
                    <w:rPr>
                      <w:rFonts w:hint="default"/>
                      <w:color w:val="auto"/>
                      <w:szCs w:val="21"/>
                      <w:highlight w:val="none"/>
                    </w:rPr>
                  </w:pPr>
                  <w:r>
                    <w:rPr>
                      <w:rFonts w:hint="default"/>
                      <w:color w:val="auto"/>
                      <w:szCs w:val="21"/>
                      <w:highlight w:val="none"/>
                    </w:rPr>
                    <w:t>执行标准</w:t>
                  </w:r>
                </w:p>
              </w:tc>
            </w:tr>
            <w:tr w14:paraId="1E41B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5" w:hRule="atLeast"/>
                <w:jc w:val="center"/>
              </w:trPr>
              <w:tc>
                <w:tcPr>
                  <w:tcW w:w="246" w:type="pct"/>
                  <w:vAlign w:val="center"/>
                </w:tcPr>
                <w:p w14:paraId="2AAFB8EF">
                  <w:pPr>
                    <w:keepNext w:val="0"/>
                    <w:keepLines w:val="0"/>
                    <w:suppressLineNumbers w:val="0"/>
                    <w:spacing w:before="0" w:beforeAutospacing="0" w:after="0" w:afterAutospacing="0" w:line="360" w:lineRule="exact"/>
                    <w:ind w:left="0" w:right="0"/>
                    <w:jc w:val="center"/>
                    <w:rPr>
                      <w:rFonts w:hint="default"/>
                      <w:color w:val="auto"/>
                      <w:szCs w:val="21"/>
                      <w:highlight w:val="none"/>
                    </w:rPr>
                  </w:pPr>
                  <w:r>
                    <w:rPr>
                      <w:rFonts w:hint="default"/>
                      <w:color w:val="auto"/>
                      <w:szCs w:val="21"/>
                      <w:highlight w:val="none"/>
                    </w:rPr>
                    <w:t>1</w:t>
                  </w:r>
                </w:p>
              </w:tc>
              <w:tc>
                <w:tcPr>
                  <w:tcW w:w="260" w:type="pct"/>
                  <w:vMerge w:val="restart"/>
                  <w:vAlign w:val="center"/>
                </w:tcPr>
                <w:p w14:paraId="3981BDFD">
                  <w:pPr>
                    <w:keepNext w:val="0"/>
                    <w:keepLines w:val="0"/>
                    <w:suppressLineNumbers w:val="0"/>
                    <w:spacing w:before="0" w:beforeAutospacing="0" w:after="0" w:afterAutospacing="0" w:line="360" w:lineRule="exact"/>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废气</w:t>
                  </w:r>
                </w:p>
              </w:tc>
              <w:tc>
                <w:tcPr>
                  <w:tcW w:w="953" w:type="pct"/>
                  <w:vAlign w:val="center"/>
                </w:tcPr>
                <w:p w14:paraId="780B8C1B">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default" w:ascii="Times New Roman" w:hAnsi="Times New Roman" w:cs="Times New Roman"/>
                      <w:color w:val="auto"/>
                      <w:kern w:val="2"/>
                      <w:sz w:val="21"/>
                      <w:szCs w:val="21"/>
                      <w:highlight w:val="none"/>
                    </w:rPr>
                  </w:pPr>
                  <w:r>
                    <w:rPr>
                      <w:rFonts w:hint="eastAsia" w:cs="Times New Roman"/>
                      <w:smallCaps w:val="0"/>
                      <w:color w:val="auto"/>
                      <w:spacing w:val="0"/>
                      <w:highlight w:val="none"/>
                      <w:lang w:val="en-US" w:eastAsia="zh-CN"/>
                    </w:rPr>
                    <w:t>1#修磨废气排放口</w:t>
                  </w:r>
                </w:p>
              </w:tc>
              <w:tc>
                <w:tcPr>
                  <w:tcW w:w="760" w:type="pct"/>
                  <w:shd w:val="clear" w:color="auto" w:fill="auto"/>
                  <w:vAlign w:val="center"/>
                </w:tcPr>
                <w:p w14:paraId="6921498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val="en-US" w:eastAsia="zh-CN"/>
                    </w:rPr>
                    <w:t>颗粒物</w:t>
                  </w:r>
                </w:p>
              </w:tc>
              <w:tc>
                <w:tcPr>
                  <w:tcW w:w="565" w:type="pct"/>
                  <w:vAlign w:val="center"/>
                </w:tcPr>
                <w:p w14:paraId="5C595712">
                  <w:pPr>
                    <w:pStyle w:val="67"/>
                    <w:keepNext w:val="0"/>
                    <w:keepLines w:val="0"/>
                    <w:suppressLineNumbers w:val="0"/>
                    <w:spacing w:before="0" w:beforeAutospacing="0" w:after="0" w:afterAutospacing="0" w:line="360" w:lineRule="exact"/>
                    <w:ind w:left="0" w:right="0"/>
                    <w:jc w:val="center"/>
                    <w:rPr>
                      <w:rFonts w:hint="default"/>
                      <w:color w:val="auto"/>
                      <w:spacing w:val="0"/>
                      <w:szCs w:val="21"/>
                      <w:highlight w:val="none"/>
                    </w:rPr>
                  </w:pPr>
                  <w:r>
                    <w:rPr>
                      <w:rFonts w:hint="default"/>
                      <w:color w:val="auto"/>
                      <w:spacing w:val="0"/>
                      <w:szCs w:val="21"/>
                      <w:highlight w:val="none"/>
                    </w:rPr>
                    <w:t>排气筒出口</w:t>
                  </w:r>
                </w:p>
              </w:tc>
              <w:tc>
                <w:tcPr>
                  <w:tcW w:w="606" w:type="pct"/>
                  <w:vAlign w:val="center"/>
                </w:tcPr>
                <w:p w14:paraId="5894FB80">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default"/>
                      <w:color w:val="auto"/>
                      <w:kern w:val="0"/>
                      <w:szCs w:val="21"/>
                      <w:highlight w:val="none"/>
                    </w:rPr>
                  </w:pPr>
                  <w:r>
                    <w:rPr>
                      <w:rFonts w:hint="eastAsia" w:cs="Times New Roman"/>
                      <w:smallCaps w:val="0"/>
                      <w:color w:val="auto"/>
                      <w:spacing w:val="0"/>
                      <w:highlight w:val="none"/>
                      <w:lang w:val="en-US" w:eastAsia="zh-CN"/>
                    </w:rPr>
                    <w:t>1次/年</w:t>
                  </w:r>
                </w:p>
              </w:tc>
              <w:tc>
                <w:tcPr>
                  <w:tcW w:w="1607" w:type="pct"/>
                  <w:shd w:val="clear" w:color="auto" w:fill="auto"/>
                  <w:vAlign w:val="center"/>
                </w:tcPr>
                <w:p w14:paraId="44DC1868">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default" w:cs="Times New Roman"/>
                      <w:smallCaps w:val="0"/>
                      <w:color w:val="auto"/>
                      <w:spacing w:val="0"/>
                      <w:szCs w:val="21"/>
                      <w:highlight w:val="none"/>
                      <w:lang w:val="en-US" w:eastAsia="zh-CN"/>
                    </w:rPr>
                    <w:t>《大气污染物综合排放标准》（GB16297-1996）表2（其他）二级标准</w:t>
                  </w:r>
                </w:p>
              </w:tc>
            </w:tr>
            <w:tr w14:paraId="77605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5" w:hRule="atLeast"/>
                <w:jc w:val="center"/>
              </w:trPr>
              <w:tc>
                <w:tcPr>
                  <w:tcW w:w="246" w:type="pct"/>
                  <w:shd w:val="clear" w:color="auto" w:fill="auto"/>
                  <w:vAlign w:val="center"/>
                </w:tcPr>
                <w:p w14:paraId="0D4C8227">
                  <w:pPr>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2</w:t>
                  </w:r>
                </w:p>
              </w:tc>
              <w:tc>
                <w:tcPr>
                  <w:tcW w:w="260" w:type="pct"/>
                  <w:vMerge w:val="continue"/>
                  <w:shd w:val="clear" w:color="auto" w:fill="auto"/>
                  <w:vAlign w:val="center"/>
                </w:tcPr>
                <w:p w14:paraId="6B55A5D1">
                  <w:pPr>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p>
              </w:tc>
              <w:tc>
                <w:tcPr>
                  <w:tcW w:w="953" w:type="pct"/>
                  <w:vAlign w:val="center"/>
                </w:tcPr>
                <w:p w14:paraId="7144C1A8">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2#修磨废气排放口</w:t>
                  </w:r>
                </w:p>
              </w:tc>
              <w:tc>
                <w:tcPr>
                  <w:tcW w:w="760" w:type="pct"/>
                  <w:shd w:val="clear" w:color="auto" w:fill="auto"/>
                  <w:vAlign w:val="center"/>
                </w:tcPr>
                <w:p w14:paraId="664902B7">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565" w:type="pct"/>
                  <w:vAlign w:val="center"/>
                </w:tcPr>
                <w:p w14:paraId="604DA615">
                  <w:pPr>
                    <w:pStyle w:val="67"/>
                    <w:keepNext w:val="0"/>
                    <w:keepLines w:val="0"/>
                    <w:suppressLineNumbers w:val="0"/>
                    <w:spacing w:before="0" w:beforeAutospacing="0" w:after="0" w:afterAutospacing="0" w:line="360" w:lineRule="exact"/>
                    <w:ind w:left="0" w:leftChars="0" w:right="0" w:rightChars="0"/>
                    <w:jc w:val="center"/>
                    <w:rPr>
                      <w:rFonts w:hint="default"/>
                      <w:color w:val="auto"/>
                      <w:spacing w:val="0"/>
                      <w:szCs w:val="21"/>
                      <w:highlight w:val="none"/>
                    </w:rPr>
                  </w:pPr>
                  <w:r>
                    <w:rPr>
                      <w:rFonts w:hint="default"/>
                      <w:color w:val="auto"/>
                      <w:spacing w:val="0"/>
                      <w:szCs w:val="21"/>
                      <w:highlight w:val="none"/>
                    </w:rPr>
                    <w:t>排气筒出口</w:t>
                  </w:r>
                </w:p>
              </w:tc>
              <w:tc>
                <w:tcPr>
                  <w:tcW w:w="606" w:type="pct"/>
                  <w:vAlign w:val="center"/>
                </w:tcPr>
                <w:p w14:paraId="5EC3BBA8">
                  <w:pPr>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1次/年</w:t>
                  </w:r>
                </w:p>
              </w:tc>
              <w:tc>
                <w:tcPr>
                  <w:tcW w:w="1607" w:type="pct"/>
                  <w:shd w:val="clear" w:color="auto" w:fill="auto"/>
                  <w:vAlign w:val="center"/>
                </w:tcPr>
                <w:p w14:paraId="16AA4226">
                  <w:pPr>
                    <w:keepNext w:val="0"/>
                    <w:keepLines w:val="0"/>
                    <w:suppressLineNumbers w:val="0"/>
                    <w:adjustRightInd w:val="0"/>
                    <w:snapToGrid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default" w:cs="Times New Roman"/>
                      <w:smallCaps w:val="0"/>
                      <w:color w:val="auto"/>
                      <w:spacing w:val="0"/>
                      <w:szCs w:val="21"/>
                      <w:highlight w:val="none"/>
                      <w:lang w:val="en-US" w:eastAsia="zh-CN"/>
                    </w:rPr>
                    <w:t>《大气污染物综合排放标准》（GB16297-1996）表2（其他）二级标准</w:t>
                  </w:r>
                </w:p>
              </w:tc>
            </w:tr>
            <w:tr w14:paraId="01DFA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5" w:hRule="atLeast"/>
                <w:jc w:val="center"/>
              </w:trPr>
              <w:tc>
                <w:tcPr>
                  <w:tcW w:w="246" w:type="pct"/>
                  <w:vAlign w:val="center"/>
                </w:tcPr>
                <w:p w14:paraId="470E07D3">
                  <w:pPr>
                    <w:keepNext w:val="0"/>
                    <w:keepLines w:val="0"/>
                    <w:suppressLineNumbers w:val="0"/>
                    <w:spacing w:before="0" w:beforeAutospacing="0" w:after="0" w:afterAutospacing="0" w:line="360" w:lineRule="exact"/>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3</w:t>
                  </w:r>
                </w:p>
              </w:tc>
              <w:tc>
                <w:tcPr>
                  <w:tcW w:w="260" w:type="pct"/>
                  <w:vMerge w:val="continue"/>
                  <w:vAlign w:val="center"/>
                </w:tcPr>
                <w:p w14:paraId="25EB2F80">
                  <w:pPr>
                    <w:keepNext w:val="0"/>
                    <w:keepLines w:val="0"/>
                    <w:suppressLineNumbers w:val="0"/>
                    <w:spacing w:before="0" w:beforeAutospacing="0" w:after="0" w:afterAutospacing="0" w:line="360" w:lineRule="exact"/>
                    <w:ind w:left="0" w:right="0"/>
                    <w:jc w:val="center"/>
                    <w:rPr>
                      <w:rFonts w:hint="default"/>
                      <w:color w:val="auto"/>
                      <w:szCs w:val="21"/>
                      <w:highlight w:val="none"/>
                    </w:rPr>
                  </w:pPr>
                </w:p>
              </w:tc>
              <w:tc>
                <w:tcPr>
                  <w:tcW w:w="953" w:type="pct"/>
                  <w:vAlign w:val="center"/>
                </w:tcPr>
                <w:p w14:paraId="6A9FD7A7">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3#修磨废气排放口</w:t>
                  </w:r>
                </w:p>
              </w:tc>
              <w:tc>
                <w:tcPr>
                  <w:tcW w:w="760" w:type="pct"/>
                  <w:shd w:val="clear" w:color="auto" w:fill="auto"/>
                  <w:vAlign w:val="center"/>
                </w:tcPr>
                <w:p w14:paraId="3ADBE79C">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565" w:type="pct"/>
                  <w:vAlign w:val="center"/>
                </w:tcPr>
                <w:p w14:paraId="66553911">
                  <w:pPr>
                    <w:pStyle w:val="67"/>
                    <w:keepNext w:val="0"/>
                    <w:keepLines w:val="0"/>
                    <w:suppressLineNumbers w:val="0"/>
                    <w:spacing w:before="0" w:beforeAutospacing="0" w:after="0" w:afterAutospacing="0" w:line="360" w:lineRule="exact"/>
                    <w:ind w:left="0" w:leftChars="0" w:right="0" w:rightChars="0"/>
                    <w:jc w:val="center"/>
                    <w:rPr>
                      <w:rFonts w:hint="default"/>
                      <w:color w:val="auto"/>
                      <w:spacing w:val="0"/>
                      <w:szCs w:val="21"/>
                      <w:highlight w:val="none"/>
                    </w:rPr>
                  </w:pPr>
                  <w:r>
                    <w:rPr>
                      <w:rFonts w:hint="default"/>
                      <w:color w:val="auto"/>
                      <w:spacing w:val="0"/>
                      <w:szCs w:val="21"/>
                      <w:highlight w:val="none"/>
                    </w:rPr>
                    <w:t>排气筒出口</w:t>
                  </w:r>
                </w:p>
              </w:tc>
              <w:tc>
                <w:tcPr>
                  <w:tcW w:w="606" w:type="pct"/>
                  <w:vAlign w:val="center"/>
                </w:tcPr>
                <w:p w14:paraId="52D88159">
                  <w:pPr>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1次/年</w:t>
                  </w:r>
                </w:p>
              </w:tc>
              <w:tc>
                <w:tcPr>
                  <w:tcW w:w="1607" w:type="pct"/>
                  <w:shd w:val="clear" w:color="auto" w:fill="auto"/>
                  <w:vAlign w:val="center"/>
                </w:tcPr>
                <w:p w14:paraId="2071954B">
                  <w:pPr>
                    <w:keepNext w:val="0"/>
                    <w:keepLines w:val="0"/>
                    <w:suppressLineNumbers w:val="0"/>
                    <w:adjustRightInd w:val="0"/>
                    <w:snapToGrid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default" w:cs="Times New Roman"/>
                      <w:smallCaps w:val="0"/>
                      <w:color w:val="auto"/>
                      <w:spacing w:val="0"/>
                      <w:szCs w:val="21"/>
                      <w:highlight w:val="none"/>
                      <w:lang w:val="en-US" w:eastAsia="zh-CN"/>
                    </w:rPr>
                    <w:t>《大气污染物综合排放标准》（GB16297-1996）表2（其他）二级标准</w:t>
                  </w:r>
                </w:p>
              </w:tc>
            </w:tr>
            <w:tr w14:paraId="66A52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5" w:hRule="atLeast"/>
                <w:jc w:val="center"/>
              </w:trPr>
              <w:tc>
                <w:tcPr>
                  <w:tcW w:w="246" w:type="pct"/>
                  <w:vAlign w:val="center"/>
                </w:tcPr>
                <w:p w14:paraId="46535E29">
                  <w:pPr>
                    <w:keepNext w:val="0"/>
                    <w:keepLines w:val="0"/>
                    <w:suppressLineNumbers w:val="0"/>
                    <w:spacing w:before="0" w:beforeAutospacing="0" w:after="0" w:afterAutospacing="0" w:line="360" w:lineRule="exact"/>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4</w:t>
                  </w:r>
                </w:p>
              </w:tc>
              <w:tc>
                <w:tcPr>
                  <w:tcW w:w="260" w:type="pct"/>
                  <w:vMerge w:val="continue"/>
                  <w:vAlign w:val="center"/>
                </w:tcPr>
                <w:p w14:paraId="12237A42">
                  <w:pPr>
                    <w:keepNext w:val="0"/>
                    <w:keepLines w:val="0"/>
                    <w:suppressLineNumbers w:val="0"/>
                    <w:spacing w:before="0" w:beforeAutospacing="0" w:after="0" w:afterAutospacing="0" w:line="360" w:lineRule="exact"/>
                    <w:ind w:left="0" w:right="0"/>
                    <w:jc w:val="center"/>
                    <w:rPr>
                      <w:rFonts w:hint="default"/>
                      <w:color w:val="auto"/>
                      <w:szCs w:val="21"/>
                      <w:highlight w:val="none"/>
                    </w:rPr>
                  </w:pPr>
                </w:p>
              </w:tc>
              <w:tc>
                <w:tcPr>
                  <w:tcW w:w="953" w:type="pct"/>
                  <w:vAlign w:val="center"/>
                </w:tcPr>
                <w:p w14:paraId="55AD34E9">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4#修磨废气排放口</w:t>
                  </w:r>
                </w:p>
              </w:tc>
              <w:tc>
                <w:tcPr>
                  <w:tcW w:w="760" w:type="pct"/>
                  <w:shd w:val="clear" w:color="auto" w:fill="auto"/>
                  <w:vAlign w:val="center"/>
                </w:tcPr>
                <w:p w14:paraId="0FB8EA3A">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565" w:type="pct"/>
                  <w:vAlign w:val="center"/>
                </w:tcPr>
                <w:p w14:paraId="2ECCFC3B">
                  <w:pPr>
                    <w:pStyle w:val="67"/>
                    <w:keepNext w:val="0"/>
                    <w:keepLines w:val="0"/>
                    <w:suppressLineNumbers w:val="0"/>
                    <w:spacing w:before="0" w:beforeAutospacing="0" w:after="0" w:afterAutospacing="0" w:line="360" w:lineRule="exact"/>
                    <w:ind w:left="0" w:leftChars="0" w:right="0" w:rightChars="0"/>
                    <w:jc w:val="center"/>
                    <w:rPr>
                      <w:rFonts w:hint="default"/>
                      <w:color w:val="auto"/>
                      <w:spacing w:val="0"/>
                      <w:szCs w:val="21"/>
                      <w:highlight w:val="none"/>
                    </w:rPr>
                  </w:pPr>
                  <w:r>
                    <w:rPr>
                      <w:rFonts w:hint="default"/>
                      <w:color w:val="auto"/>
                      <w:spacing w:val="0"/>
                      <w:szCs w:val="21"/>
                      <w:highlight w:val="none"/>
                    </w:rPr>
                    <w:t>排气筒出口</w:t>
                  </w:r>
                </w:p>
              </w:tc>
              <w:tc>
                <w:tcPr>
                  <w:tcW w:w="606" w:type="pct"/>
                  <w:vAlign w:val="center"/>
                </w:tcPr>
                <w:p w14:paraId="3ADFE401">
                  <w:pPr>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1次/年</w:t>
                  </w:r>
                </w:p>
              </w:tc>
              <w:tc>
                <w:tcPr>
                  <w:tcW w:w="1607" w:type="pct"/>
                  <w:shd w:val="clear" w:color="auto" w:fill="auto"/>
                  <w:vAlign w:val="center"/>
                </w:tcPr>
                <w:p w14:paraId="5EAB27C7">
                  <w:pPr>
                    <w:keepNext w:val="0"/>
                    <w:keepLines w:val="0"/>
                    <w:suppressLineNumbers w:val="0"/>
                    <w:adjustRightInd w:val="0"/>
                    <w:snapToGrid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default" w:cs="Times New Roman"/>
                      <w:smallCaps w:val="0"/>
                      <w:color w:val="auto"/>
                      <w:spacing w:val="0"/>
                      <w:szCs w:val="21"/>
                      <w:highlight w:val="none"/>
                      <w:lang w:val="en-US" w:eastAsia="zh-CN"/>
                    </w:rPr>
                    <w:t>《大气污染物综合排放标准》（GB16297-1996）表2（其他）二级标准</w:t>
                  </w:r>
                </w:p>
              </w:tc>
            </w:tr>
            <w:tr w14:paraId="0A280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55" w:hRule="atLeast"/>
                <w:jc w:val="center"/>
              </w:trPr>
              <w:tc>
                <w:tcPr>
                  <w:tcW w:w="246" w:type="pct"/>
                  <w:vAlign w:val="center"/>
                </w:tcPr>
                <w:p w14:paraId="3FD49961">
                  <w:pPr>
                    <w:keepNext w:val="0"/>
                    <w:keepLines w:val="0"/>
                    <w:suppressLineNumbers w:val="0"/>
                    <w:spacing w:before="0" w:beforeAutospacing="0" w:after="0" w:afterAutospacing="0" w:line="360" w:lineRule="exact"/>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5</w:t>
                  </w:r>
                </w:p>
              </w:tc>
              <w:tc>
                <w:tcPr>
                  <w:tcW w:w="260" w:type="pct"/>
                  <w:vMerge w:val="continue"/>
                  <w:vAlign w:val="center"/>
                </w:tcPr>
                <w:p w14:paraId="18485633">
                  <w:pPr>
                    <w:keepNext w:val="0"/>
                    <w:keepLines w:val="0"/>
                    <w:suppressLineNumbers w:val="0"/>
                    <w:spacing w:before="0" w:beforeAutospacing="0" w:after="0" w:afterAutospacing="0" w:line="360" w:lineRule="exact"/>
                    <w:ind w:left="0" w:right="0"/>
                    <w:jc w:val="center"/>
                    <w:rPr>
                      <w:rFonts w:hint="default"/>
                      <w:color w:val="auto"/>
                      <w:szCs w:val="21"/>
                      <w:highlight w:val="none"/>
                    </w:rPr>
                  </w:pPr>
                </w:p>
              </w:tc>
              <w:tc>
                <w:tcPr>
                  <w:tcW w:w="953" w:type="pct"/>
                  <w:vAlign w:val="center"/>
                </w:tcPr>
                <w:p w14:paraId="5E3E0526">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5#修磨废气排放口</w:t>
                  </w:r>
                </w:p>
              </w:tc>
              <w:tc>
                <w:tcPr>
                  <w:tcW w:w="760" w:type="pct"/>
                  <w:shd w:val="clear" w:color="auto" w:fill="auto"/>
                  <w:vAlign w:val="center"/>
                </w:tcPr>
                <w:p w14:paraId="4FA068E7">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565" w:type="pct"/>
                  <w:vAlign w:val="center"/>
                </w:tcPr>
                <w:p w14:paraId="0BAC310B">
                  <w:pPr>
                    <w:pStyle w:val="67"/>
                    <w:keepNext w:val="0"/>
                    <w:keepLines w:val="0"/>
                    <w:suppressLineNumbers w:val="0"/>
                    <w:spacing w:before="0" w:beforeAutospacing="0" w:after="0" w:afterAutospacing="0" w:line="360" w:lineRule="exact"/>
                    <w:ind w:left="0" w:leftChars="0" w:right="0" w:rightChars="0"/>
                    <w:jc w:val="center"/>
                    <w:rPr>
                      <w:rFonts w:hint="default"/>
                      <w:color w:val="auto"/>
                      <w:spacing w:val="0"/>
                      <w:szCs w:val="21"/>
                      <w:highlight w:val="none"/>
                    </w:rPr>
                  </w:pPr>
                  <w:r>
                    <w:rPr>
                      <w:rFonts w:hint="default"/>
                      <w:color w:val="auto"/>
                      <w:spacing w:val="0"/>
                      <w:szCs w:val="21"/>
                      <w:highlight w:val="none"/>
                    </w:rPr>
                    <w:t>排气筒出口</w:t>
                  </w:r>
                </w:p>
              </w:tc>
              <w:tc>
                <w:tcPr>
                  <w:tcW w:w="606" w:type="pct"/>
                  <w:vAlign w:val="center"/>
                </w:tcPr>
                <w:p w14:paraId="3CC493AC">
                  <w:pPr>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1次/年</w:t>
                  </w:r>
                </w:p>
              </w:tc>
              <w:tc>
                <w:tcPr>
                  <w:tcW w:w="1607" w:type="pct"/>
                  <w:shd w:val="clear" w:color="auto" w:fill="auto"/>
                  <w:vAlign w:val="center"/>
                </w:tcPr>
                <w:p w14:paraId="3043A0D8">
                  <w:pPr>
                    <w:keepNext w:val="0"/>
                    <w:keepLines w:val="0"/>
                    <w:suppressLineNumbers w:val="0"/>
                    <w:adjustRightInd w:val="0"/>
                    <w:snapToGrid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default" w:cs="Times New Roman"/>
                      <w:smallCaps w:val="0"/>
                      <w:color w:val="auto"/>
                      <w:spacing w:val="0"/>
                      <w:szCs w:val="21"/>
                      <w:highlight w:val="none"/>
                      <w:lang w:val="en-US" w:eastAsia="zh-CN"/>
                    </w:rPr>
                    <w:t>《大气污染物综合排放标准》（GB16297-1996）表2（其他）二级标准</w:t>
                  </w:r>
                </w:p>
              </w:tc>
            </w:tr>
            <w:tr w14:paraId="66FCE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1" w:hRule="atLeast"/>
                <w:jc w:val="center"/>
              </w:trPr>
              <w:tc>
                <w:tcPr>
                  <w:tcW w:w="246" w:type="pct"/>
                  <w:vAlign w:val="center"/>
                </w:tcPr>
                <w:p w14:paraId="198D226B">
                  <w:pPr>
                    <w:keepNext w:val="0"/>
                    <w:keepLines w:val="0"/>
                    <w:suppressLineNumbers w:val="0"/>
                    <w:spacing w:before="0" w:beforeAutospacing="0" w:after="0" w:afterAutospacing="0" w:line="360" w:lineRule="exact"/>
                    <w:ind w:left="0" w:right="0"/>
                    <w:jc w:val="center"/>
                    <w:rPr>
                      <w:rFonts w:hint="default" w:eastAsia="宋体"/>
                      <w:color w:val="auto"/>
                      <w:szCs w:val="21"/>
                      <w:highlight w:val="none"/>
                      <w:lang w:val="en-US" w:eastAsia="zh-CN"/>
                    </w:rPr>
                  </w:pPr>
                  <w:r>
                    <w:rPr>
                      <w:rFonts w:hint="eastAsia"/>
                      <w:color w:val="auto"/>
                      <w:szCs w:val="21"/>
                      <w:highlight w:val="none"/>
                      <w:lang w:val="en-US" w:eastAsia="zh-CN"/>
                    </w:rPr>
                    <w:t>6</w:t>
                  </w:r>
                </w:p>
              </w:tc>
              <w:tc>
                <w:tcPr>
                  <w:tcW w:w="260" w:type="pct"/>
                  <w:vAlign w:val="center"/>
                </w:tcPr>
                <w:p w14:paraId="093BB45B">
                  <w:pPr>
                    <w:keepNext w:val="0"/>
                    <w:keepLines w:val="0"/>
                    <w:suppressLineNumbers w:val="0"/>
                    <w:spacing w:before="0" w:beforeAutospacing="0" w:after="0" w:afterAutospacing="0" w:line="360" w:lineRule="exact"/>
                    <w:ind w:left="0" w:right="0"/>
                    <w:jc w:val="center"/>
                    <w:rPr>
                      <w:rFonts w:hint="eastAsia" w:eastAsia="宋体"/>
                      <w:color w:val="auto"/>
                      <w:szCs w:val="21"/>
                      <w:highlight w:val="none"/>
                      <w:lang w:val="en-US" w:eastAsia="zh-CN"/>
                    </w:rPr>
                  </w:pPr>
                  <w:r>
                    <w:rPr>
                      <w:rFonts w:hint="eastAsia"/>
                      <w:color w:val="auto"/>
                      <w:szCs w:val="21"/>
                      <w:highlight w:val="none"/>
                      <w:lang w:val="en-US" w:eastAsia="zh-CN"/>
                    </w:rPr>
                    <w:t>废气</w:t>
                  </w:r>
                </w:p>
              </w:tc>
              <w:tc>
                <w:tcPr>
                  <w:tcW w:w="953" w:type="pct"/>
                  <w:vAlign w:val="center"/>
                </w:tcPr>
                <w:p w14:paraId="635DEECF">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无组织</w:t>
                  </w:r>
                </w:p>
              </w:tc>
              <w:tc>
                <w:tcPr>
                  <w:tcW w:w="760" w:type="pct"/>
                  <w:shd w:val="clear" w:color="auto" w:fill="auto"/>
                  <w:vAlign w:val="center"/>
                </w:tcPr>
                <w:p w14:paraId="32B55F4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val="en-US" w:eastAsia="zh-CN"/>
                    </w:rPr>
                    <w:t>颗粒物</w:t>
                  </w:r>
                </w:p>
              </w:tc>
              <w:tc>
                <w:tcPr>
                  <w:tcW w:w="565" w:type="pct"/>
                  <w:vAlign w:val="center"/>
                </w:tcPr>
                <w:p w14:paraId="41D7EC9D">
                  <w:pPr>
                    <w:pStyle w:val="67"/>
                    <w:keepNext w:val="0"/>
                    <w:keepLines w:val="0"/>
                    <w:suppressLineNumbers w:val="0"/>
                    <w:spacing w:before="0" w:beforeAutospacing="0" w:after="0" w:afterAutospacing="0" w:line="360" w:lineRule="exact"/>
                    <w:ind w:left="0" w:right="0"/>
                    <w:jc w:val="center"/>
                    <w:rPr>
                      <w:rFonts w:hint="default" w:eastAsia="宋体"/>
                      <w:color w:val="auto"/>
                      <w:spacing w:val="0"/>
                      <w:szCs w:val="21"/>
                      <w:highlight w:val="none"/>
                      <w:lang w:val="en-US" w:eastAsia="zh-CN"/>
                    </w:rPr>
                  </w:pPr>
                  <w:r>
                    <w:rPr>
                      <w:rFonts w:hint="eastAsia"/>
                      <w:color w:val="auto"/>
                      <w:spacing w:val="0"/>
                      <w:szCs w:val="21"/>
                      <w:highlight w:val="none"/>
                      <w:lang w:val="en-US" w:eastAsia="zh-CN"/>
                    </w:rPr>
                    <w:t>厂界</w:t>
                  </w:r>
                </w:p>
              </w:tc>
              <w:tc>
                <w:tcPr>
                  <w:tcW w:w="606" w:type="pct"/>
                  <w:shd w:val="clear" w:color="auto" w:fill="auto"/>
                  <w:vAlign w:val="center"/>
                </w:tcPr>
                <w:p w14:paraId="42B7A510">
                  <w:pPr>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ascii="Times New Roman" w:hAnsi="Times New Roman" w:eastAsia="宋体" w:cs="Times New Roman"/>
                      <w:bCs/>
                      <w:color w:val="auto"/>
                      <w:spacing w:val="-12"/>
                      <w:kern w:val="0"/>
                      <w:sz w:val="21"/>
                      <w:szCs w:val="21"/>
                      <w:highlight w:val="none"/>
                      <w:lang w:val="en-US" w:eastAsia="zh-CN" w:bidi="ar-SA"/>
                    </w:rPr>
                  </w:pPr>
                  <w:r>
                    <w:rPr>
                      <w:rFonts w:hint="eastAsia" w:cs="Times New Roman"/>
                      <w:smallCaps w:val="0"/>
                      <w:color w:val="auto"/>
                      <w:spacing w:val="0"/>
                      <w:szCs w:val="20"/>
                      <w:highlight w:val="none"/>
                      <w:lang w:val="en-US" w:eastAsia="zh-CN"/>
                    </w:rPr>
                    <w:t>1次/年</w:t>
                  </w:r>
                </w:p>
              </w:tc>
              <w:tc>
                <w:tcPr>
                  <w:tcW w:w="1607" w:type="pct"/>
                  <w:shd w:val="clear" w:color="auto" w:fill="auto"/>
                  <w:vAlign w:val="center"/>
                </w:tcPr>
                <w:p w14:paraId="62099CCB">
                  <w:pPr>
                    <w:keepNext w:val="0"/>
                    <w:keepLines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eastAsia="zh-CN"/>
                    </w:rPr>
                    <w:t>《大气污染物综合排放标准》（GB16297-1996）表2无组织排放监控浓度限值</w:t>
                  </w:r>
                </w:p>
              </w:tc>
            </w:tr>
          </w:tbl>
          <w:p w14:paraId="2C22C796">
            <w:pPr>
              <w:keepNext w:val="0"/>
              <w:keepLines w:val="0"/>
              <w:widowControl/>
              <w:suppressLineNumbers w:val="0"/>
              <w:adjustRightInd w:val="0"/>
              <w:snapToGrid w:val="0"/>
              <w:spacing w:before="0" w:beforeAutospacing="0" w:after="0" w:afterAutospacing="0" w:line="460" w:lineRule="exact"/>
              <w:ind w:left="0" w:right="0" w:firstLine="480" w:firstLineChars="200"/>
              <w:rPr>
                <w:rFonts w:hint="default"/>
                <w:color w:val="auto"/>
                <w:kern w:val="0"/>
                <w:sz w:val="24"/>
                <w:szCs w:val="20"/>
                <w:highlight w:val="none"/>
              </w:rPr>
            </w:pPr>
            <w:r>
              <w:rPr>
                <w:rFonts w:hint="eastAsia"/>
                <w:b/>
                <w:bCs/>
                <w:color w:val="auto"/>
                <w:kern w:val="0"/>
                <w:sz w:val="24"/>
                <w:szCs w:val="20"/>
                <w:highlight w:val="none"/>
              </w:rPr>
              <w:t>（5）</w:t>
            </w:r>
            <w:r>
              <w:rPr>
                <w:rFonts w:hint="eastAsia"/>
                <w:b/>
                <w:bCs/>
                <w:color w:val="auto"/>
                <w:kern w:val="0"/>
                <w:sz w:val="24"/>
                <w:szCs w:val="24"/>
                <w:highlight w:val="none"/>
              </w:rPr>
              <w:t>废气污染物环境影响分析</w:t>
            </w:r>
            <w:r>
              <w:rPr>
                <w:rFonts w:hint="eastAsia"/>
                <w:color w:val="auto"/>
                <w:kern w:val="0"/>
                <w:sz w:val="24"/>
                <w:szCs w:val="24"/>
                <w:highlight w:val="none"/>
              </w:rPr>
              <w:t xml:space="preserve"> </w:t>
            </w:r>
          </w:p>
          <w:p w14:paraId="7432A2D2">
            <w:pPr>
              <w:keepNext w:val="0"/>
              <w:keepLines w:val="0"/>
              <w:widowControl/>
              <w:suppressLineNumbers w:val="0"/>
              <w:adjustRightInd w:val="0"/>
              <w:snapToGrid w:val="0"/>
              <w:spacing w:before="0" w:beforeAutospacing="0" w:after="0" w:afterAutospacing="0" w:line="460" w:lineRule="exact"/>
              <w:ind w:left="0" w:right="0" w:firstLine="480" w:firstLineChars="200"/>
              <w:rPr>
                <w:rFonts w:hint="default"/>
                <w:color w:val="auto"/>
                <w:kern w:val="0"/>
                <w:sz w:val="24"/>
                <w:szCs w:val="20"/>
                <w:highlight w:val="none"/>
              </w:rPr>
            </w:pPr>
            <w:r>
              <w:rPr>
                <w:rFonts w:hint="eastAsia"/>
                <w:color w:val="auto"/>
                <w:kern w:val="0"/>
                <w:sz w:val="24"/>
                <w:szCs w:val="24"/>
                <w:highlight w:val="none"/>
              </w:rPr>
              <w:t>根据特征污染物</w:t>
            </w:r>
            <w:r>
              <w:rPr>
                <w:rFonts w:hint="eastAsia"/>
                <w:color w:val="auto"/>
                <w:kern w:val="0"/>
                <w:sz w:val="24"/>
                <w:szCs w:val="24"/>
                <w:highlight w:val="none"/>
                <w:lang w:val="en-US" w:eastAsia="zh-CN"/>
              </w:rPr>
              <w:t>TSP</w:t>
            </w:r>
            <w:r>
              <w:rPr>
                <w:rFonts w:hint="eastAsia"/>
                <w:color w:val="auto"/>
                <w:kern w:val="0"/>
                <w:sz w:val="24"/>
                <w:szCs w:val="24"/>
                <w:highlight w:val="none"/>
              </w:rPr>
              <w:t>监测数据可知，监测期间检测点位大气环境状况总体较好，特征污染因子</w:t>
            </w:r>
            <w:r>
              <w:rPr>
                <w:rFonts w:hint="default"/>
                <w:color w:val="auto"/>
                <w:sz w:val="24"/>
                <w:szCs w:val="20"/>
                <w:highlight w:val="none"/>
              </w:rPr>
              <w:t>TSP的24小时平均浓度满足</w:t>
            </w:r>
            <w:r>
              <w:rPr>
                <w:rFonts w:hint="eastAsia" w:cs="Times New Roman"/>
                <w:bCs/>
                <w:color w:val="auto"/>
                <w:kern w:val="2"/>
                <w:sz w:val="24"/>
                <w:szCs w:val="24"/>
                <w:highlight w:val="none"/>
                <w:lang w:val="en-US" w:eastAsia="zh-CN" w:bidi="ar"/>
              </w:rPr>
              <w:t>《环境空气质量标准》（GB3095-2026）表2二级标准</w:t>
            </w:r>
            <w:r>
              <w:rPr>
                <w:rFonts w:hint="eastAsia"/>
                <w:color w:val="auto"/>
                <w:sz w:val="24"/>
                <w:szCs w:val="24"/>
                <w:highlight w:val="none"/>
              </w:rPr>
              <w:t>。</w:t>
            </w:r>
            <w:r>
              <w:rPr>
                <w:rFonts w:hint="eastAsia"/>
                <w:color w:val="auto"/>
                <w:kern w:val="0"/>
                <w:sz w:val="24"/>
                <w:szCs w:val="24"/>
                <w:highlight w:val="none"/>
              </w:rPr>
              <w:t>项目运营期产生的废气污染物均采取了严格的治理措施，且为可行技术</w:t>
            </w:r>
            <w:r>
              <w:rPr>
                <w:rFonts w:hint="eastAsia"/>
                <w:color w:val="auto"/>
                <w:kern w:val="0"/>
                <w:sz w:val="24"/>
                <w:szCs w:val="24"/>
                <w:highlight w:val="none"/>
                <w:lang w:eastAsia="zh-CN"/>
              </w:rPr>
              <w:t>，</w:t>
            </w:r>
            <w:r>
              <w:rPr>
                <w:rFonts w:hint="eastAsia"/>
                <w:color w:val="auto"/>
                <w:kern w:val="0"/>
                <w:sz w:val="24"/>
                <w:szCs w:val="24"/>
                <w:highlight w:val="none"/>
                <w:lang w:val="en-US" w:eastAsia="zh-CN"/>
              </w:rPr>
              <w:t>各污染因子均达标排放</w:t>
            </w:r>
            <w:r>
              <w:rPr>
                <w:rFonts w:hint="eastAsia"/>
                <w:color w:val="auto"/>
                <w:kern w:val="0"/>
                <w:sz w:val="24"/>
                <w:szCs w:val="24"/>
                <w:highlight w:val="none"/>
              </w:rPr>
              <w:t>，项目建设完成后对周围环境影响较小。</w:t>
            </w:r>
          </w:p>
          <w:p w14:paraId="385E8BC4">
            <w:pPr>
              <w:keepNext w:val="0"/>
              <w:keepLines w:val="0"/>
              <w:suppressLineNumbers w:val="0"/>
              <w:adjustRightInd w:val="0"/>
              <w:snapToGrid w:val="0"/>
              <w:spacing w:before="0" w:beforeAutospacing="0" w:after="0" w:afterAutospacing="0" w:line="460" w:lineRule="exact"/>
              <w:ind w:left="0" w:right="0" w:firstLine="480" w:firstLineChars="200"/>
              <w:rPr>
                <w:rFonts w:hint="default" w:eastAsia="宋体"/>
                <w:b/>
                <w:bCs/>
                <w:color w:val="auto"/>
                <w:sz w:val="24"/>
                <w:szCs w:val="20"/>
                <w:highlight w:val="none"/>
                <w:lang w:val="en-US" w:eastAsia="zh-CN"/>
              </w:rPr>
            </w:pPr>
            <w:r>
              <w:rPr>
                <w:rFonts w:hint="eastAsia"/>
                <w:b/>
                <w:bCs/>
                <w:color w:val="auto"/>
                <w:sz w:val="24"/>
                <w:szCs w:val="20"/>
                <w:highlight w:val="none"/>
                <w:lang w:eastAsia="zh-CN"/>
              </w:rPr>
              <w:t>（</w:t>
            </w:r>
            <w:r>
              <w:rPr>
                <w:rFonts w:hint="eastAsia"/>
                <w:b/>
                <w:bCs/>
                <w:color w:val="auto"/>
                <w:sz w:val="24"/>
                <w:szCs w:val="20"/>
                <w:highlight w:val="none"/>
                <w:lang w:val="en-US" w:eastAsia="zh-CN"/>
              </w:rPr>
              <w:t>6</w:t>
            </w:r>
            <w:r>
              <w:rPr>
                <w:rFonts w:hint="eastAsia"/>
                <w:b/>
                <w:bCs/>
                <w:color w:val="auto"/>
                <w:sz w:val="24"/>
                <w:szCs w:val="20"/>
                <w:highlight w:val="none"/>
                <w:lang w:eastAsia="zh-CN"/>
              </w:rPr>
              <w:t>）</w:t>
            </w:r>
            <w:r>
              <w:rPr>
                <w:rFonts w:hint="eastAsia"/>
                <w:b/>
                <w:bCs/>
                <w:color w:val="auto"/>
                <w:kern w:val="0"/>
                <w:sz w:val="24"/>
                <w:szCs w:val="20"/>
                <w:highlight w:val="none"/>
              </w:rPr>
              <w:t>废气污染设施可行性分析</w:t>
            </w:r>
          </w:p>
          <w:p w14:paraId="5408F6AA">
            <w:pPr>
              <w:keepNext w:val="0"/>
              <w:keepLines w:val="0"/>
              <w:widowControl/>
              <w:suppressLineNumbers w:val="0"/>
              <w:adjustRightInd w:val="0"/>
              <w:snapToGrid w:val="0"/>
              <w:spacing w:before="0" w:beforeAutospacing="0" w:after="0" w:afterAutospacing="0" w:line="460" w:lineRule="exact"/>
              <w:ind w:left="0" w:right="0" w:firstLine="480" w:firstLineChars="200"/>
              <w:rPr>
                <w:rFonts w:hint="default" w:eastAsia="宋体"/>
                <w:color w:val="auto"/>
                <w:kern w:val="0"/>
                <w:sz w:val="24"/>
                <w:szCs w:val="24"/>
                <w:highlight w:val="none"/>
                <w:lang w:val="en-US" w:eastAsia="zh-CN"/>
              </w:rPr>
            </w:pPr>
            <w:r>
              <w:rPr>
                <w:rFonts w:hint="eastAsia"/>
                <w:b w:val="0"/>
                <w:bCs/>
                <w:color w:val="auto"/>
                <w:sz w:val="24"/>
                <w:szCs w:val="20"/>
                <w:highlight w:val="none"/>
                <w:lang w:val="en-US" w:eastAsia="zh-CN"/>
              </w:rPr>
              <w:t>参照</w:t>
            </w:r>
            <w:r>
              <w:rPr>
                <w:rFonts w:hint="eastAsia"/>
                <w:b w:val="0"/>
                <w:bCs/>
                <w:color w:val="auto"/>
                <w:sz w:val="24"/>
                <w:szCs w:val="20"/>
                <w:highlight w:val="none"/>
                <w:lang w:val="zh-CN"/>
              </w:rPr>
              <w:t>《</w:t>
            </w:r>
            <w:r>
              <w:rPr>
                <w:rFonts w:hint="eastAsia"/>
                <w:b w:val="0"/>
                <w:bCs/>
                <w:color w:val="auto"/>
                <w:sz w:val="24"/>
                <w:szCs w:val="20"/>
                <w:highlight w:val="none"/>
                <w:lang w:val="en-US" w:eastAsia="zh-CN"/>
              </w:rPr>
              <w:t>排污许可证申请与核发技术规范 铁路、船舶、航空航天和其他运输设备制造业</w:t>
            </w:r>
            <w:r>
              <w:rPr>
                <w:rFonts w:hint="eastAsia"/>
                <w:b w:val="0"/>
                <w:bCs/>
                <w:color w:val="auto"/>
                <w:sz w:val="24"/>
                <w:szCs w:val="20"/>
                <w:highlight w:val="none"/>
                <w:lang w:val="zh-CN"/>
              </w:rPr>
              <w:t>》（</w:t>
            </w:r>
            <w:r>
              <w:rPr>
                <w:rFonts w:hint="eastAsia"/>
                <w:b w:val="0"/>
                <w:bCs/>
                <w:color w:val="auto"/>
                <w:sz w:val="24"/>
                <w:szCs w:val="20"/>
                <w:highlight w:val="none"/>
                <w:lang w:val="en-US" w:eastAsia="zh-CN"/>
              </w:rPr>
              <w:t>HJ1124-2020</w:t>
            </w:r>
            <w:r>
              <w:rPr>
                <w:rFonts w:hint="eastAsia"/>
                <w:b w:val="0"/>
                <w:bCs/>
                <w:color w:val="auto"/>
                <w:sz w:val="24"/>
                <w:szCs w:val="20"/>
                <w:highlight w:val="none"/>
                <w:lang w:val="zh-CN"/>
              </w:rPr>
              <w:t>）</w:t>
            </w:r>
            <w:r>
              <w:rPr>
                <w:rFonts w:hint="eastAsia"/>
                <w:b w:val="0"/>
                <w:bCs/>
                <w:color w:val="auto"/>
                <w:sz w:val="24"/>
                <w:szCs w:val="20"/>
                <w:highlight w:val="none"/>
                <w:lang w:val="en-US" w:eastAsia="zh-CN"/>
              </w:rPr>
              <w:t>可知，可行技术为袋式除尘，项目有组织废气采用脉冲布袋除尘器，属于可行技术。</w:t>
            </w:r>
          </w:p>
          <w:p w14:paraId="3B6DF9CE">
            <w:pPr>
              <w:keepNext w:val="0"/>
              <w:keepLines w:val="0"/>
              <w:widowControl/>
              <w:suppressLineNumbers w:val="0"/>
              <w:adjustRightInd w:val="0"/>
              <w:snapToGrid w:val="0"/>
              <w:spacing w:before="0" w:beforeAutospacing="0" w:after="0" w:afterAutospacing="0" w:line="460" w:lineRule="exact"/>
              <w:ind w:left="0" w:right="0" w:firstLine="480" w:firstLineChars="200"/>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经预测，经脉冲布袋除尘器处理后的废气排放满足《大气污染物综合排放标准》（GB16297-1996）表2（其他）二级标准。</w:t>
            </w:r>
          </w:p>
          <w:p w14:paraId="637D3150">
            <w:pPr>
              <w:keepNext w:val="0"/>
              <w:keepLines w:val="0"/>
              <w:suppressLineNumbers w:val="0"/>
              <w:adjustRightInd w:val="0"/>
              <w:snapToGrid w:val="0"/>
              <w:spacing w:before="0" w:beforeAutospacing="0" w:after="0" w:afterAutospacing="0" w:line="460" w:lineRule="exact"/>
              <w:ind w:left="0" w:right="0" w:firstLine="480" w:firstLineChars="200"/>
              <w:rPr>
                <w:rFonts w:hint="default" w:eastAsia="宋体"/>
                <w:b/>
                <w:bCs/>
                <w:color w:val="auto"/>
                <w:sz w:val="24"/>
                <w:szCs w:val="20"/>
                <w:highlight w:val="none"/>
                <w:lang w:val="en-US" w:eastAsia="zh-CN"/>
              </w:rPr>
            </w:pPr>
            <w:r>
              <w:rPr>
                <w:rFonts w:hint="eastAsia"/>
                <w:b/>
                <w:bCs/>
                <w:color w:val="auto"/>
                <w:sz w:val="24"/>
                <w:szCs w:val="20"/>
                <w:highlight w:val="none"/>
                <w:lang w:eastAsia="zh-CN"/>
              </w:rPr>
              <w:t>（</w:t>
            </w:r>
            <w:r>
              <w:rPr>
                <w:rFonts w:hint="eastAsia"/>
                <w:b/>
                <w:bCs/>
                <w:color w:val="auto"/>
                <w:sz w:val="24"/>
                <w:szCs w:val="20"/>
                <w:highlight w:val="none"/>
                <w:lang w:val="en-US" w:eastAsia="zh-CN"/>
              </w:rPr>
              <w:t>7</w:t>
            </w:r>
            <w:r>
              <w:rPr>
                <w:rFonts w:hint="eastAsia"/>
                <w:b/>
                <w:bCs/>
                <w:color w:val="auto"/>
                <w:sz w:val="24"/>
                <w:szCs w:val="20"/>
                <w:highlight w:val="none"/>
                <w:lang w:eastAsia="zh-CN"/>
              </w:rPr>
              <w:t>）</w:t>
            </w:r>
            <w:r>
              <w:rPr>
                <w:rFonts w:hint="eastAsia"/>
                <w:b/>
                <w:bCs/>
                <w:color w:val="auto"/>
                <w:sz w:val="24"/>
                <w:szCs w:val="20"/>
                <w:highlight w:val="none"/>
                <w:lang w:val="en-US" w:eastAsia="zh-CN"/>
              </w:rPr>
              <w:t>结论</w:t>
            </w:r>
          </w:p>
          <w:p w14:paraId="04598ADF">
            <w:pPr>
              <w:keepNext w:val="0"/>
              <w:keepLines w:val="0"/>
              <w:suppressLineNumbers w:val="0"/>
              <w:adjustRightInd w:val="0"/>
              <w:snapToGrid w:val="0"/>
              <w:spacing w:before="0" w:beforeAutospacing="0" w:after="0" w:afterAutospacing="0" w:line="460" w:lineRule="exact"/>
              <w:ind w:left="0" w:right="0" w:firstLine="480" w:firstLineChars="200"/>
              <w:rPr>
                <w:rFonts w:hint="default"/>
                <w:color w:val="auto"/>
                <w:sz w:val="24"/>
                <w:szCs w:val="24"/>
                <w:highlight w:val="none"/>
                <w:lang w:val="zh-CN"/>
              </w:rPr>
            </w:pPr>
            <w:r>
              <w:rPr>
                <w:rFonts w:hint="eastAsia"/>
                <w:color w:val="auto"/>
                <w:sz w:val="24"/>
                <w:szCs w:val="20"/>
                <w:highlight w:val="none"/>
                <w:lang w:eastAsia="zh-CN"/>
              </w:rPr>
              <w:t>石家庄市荣驰精密机械制造有限公司零部件加工制造项目在</w:t>
            </w:r>
            <w:r>
              <w:rPr>
                <w:rFonts w:hint="eastAsia"/>
                <w:color w:val="auto"/>
                <w:sz w:val="24"/>
                <w:szCs w:val="20"/>
                <w:highlight w:val="none"/>
                <w:lang w:val="en-US" w:eastAsia="zh-CN"/>
              </w:rPr>
              <w:t>废气</w:t>
            </w:r>
            <w:r>
              <w:rPr>
                <w:rFonts w:hint="eastAsia"/>
                <w:color w:val="auto"/>
                <w:sz w:val="24"/>
                <w:szCs w:val="20"/>
                <w:highlight w:val="none"/>
                <w:lang w:eastAsia="zh-CN"/>
              </w:rPr>
              <w:t>污染防治方面采取了科学有效的措施，</w:t>
            </w:r>
            <w:r>
              <w:rPr>
                <w:rFonts w:hint="eastAsia"/>
                <w:color w:val="auto"/>
                <w:sz w:val="24"/>
                <w:szCs w:val="20"/>
                <w:highlight w:val="none"/>
                <w:lang w:val="en-US" w:eastAsia="zh-CN"/>
              </w:rPr>
              <w:t>废气中</w:t>
            </w:r>
            <w:r>
              <w:rPr>
                <w:rFonts w:hint="eastAsia"/>
                <w:color w:val="auto"/>
                <w:sz w:val="24"/>
                <w:szCs w:val="20"/>
                <w:highlight w:val="none"/>
                <w:lang w:eastAsia="zh-CN"/>
              </w:rPr>
              <w:t>各项污染物排放均符合国家</w:t>
            </w:r>
            <w:r>
              <w:rPr>
                <w:rFonts w:hint="eastAsia"/>
                <w:color w:val="auto"/>
                <w:sz w:val="24"/>
                <w:szCs w:val="20"/>
                <w:highlight w:val="none"/>
                <w:lang w:val="en-US" w:eastAsia="zh-CN"/>
              </w:rPr>
              <w:t>地方等</w:t>
            </w:r>
            <w:r>
              <w:rPr>
                <w:rFonts w:hint="eastAsia"/>
                <w:color w:val="auto"/>
                <w:sz w:val="24"/>
                <w:szCs w:val="20"/>
                <w:highlight w:val="none"/>
                <w:lang w:eastAsia="zh-CN"/>
              </w:rPr>
              <w:t>标准要求。项目建成后，厂区运营对周边大气环境的影响可控制在可接受范围内。</w:t>
            </w:r>
          </w:p>
          <w:p w14:paraId="3984A009">
            <w:pPr>
              <w:pStyle w:val="172"/>
              <w:keepNext w:val="0"/>
              <w:keepLines w:val="0"/>
              <w:suppressLineNumbers w:val="0"/>
              <w:spacing w:before="0" w:beforeAutospacing="0" w:after="0" w:afterAutospacing="0"/>
              <w:ind w:left="0" w:right="0" w:firstLine="482"/>
              <w:jc w:val="both"/>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2、废水</w:t>
            </w:r>
          </w:p>
          <w:p w14:paraId="3E16004C">
            <w:pPr>
              <w:keepNext w:val="0"/>
              <w:keepLines w:val="0"/>
              <w:widowControl w:val="0"/>
              <w:suppressLineNumbers w:val="0"/>
              <w:autoSpaceDE w:val="0"/>
              <w:autoSpaceDN/>
              <w:adjustRightInd w:val="0"/>
              <w:snapToGrid w:val="0"/>
              <w:spacing w:before="0" w:beforeAutospacing="0" w:after="0" w:afterAutospacing="0" w:line="460" w:lineRule="exact"/>
              <w:ind w:left="0" w:right="0" w:firstLine="480" w:firstLineChars="200"/>
              <w:jc w:val="both"/>
              <w:rPr>
                <w:rFonts w:hint="default" w:cs="Times New Roman"/>
                <w:color w:val="auto"/>
                <w:kern w:val="2"/>
                <w:sz w:val="24"/>
                <w:szCs w:val="24"/>
                <w:highlight w:val="none"/>
                <w:lang w:val="en-US" w:eastAsia="zh-CN" w:bidi="ar"/>
              </w:rPr>
            </w:pPr>
            <w:r>
              <w:rPr>
                <w:rFonts w:hint="eastAsia" w:cs="Times New Roman"/>
                <w:color w:val="auto"/>
                <w:kern w:val="2"/>
                <w:sz w:val="24"/>
                <w:szCs w:val="24"/>
                <w:highlight w:val="none"/>
                <w:lang w:val="en-US" w:eastAsia="zh-CN" w:bidi="ar"/>
              </w:rPr>
              <w:t>（1）项目废水产生情况</w:t>
            </w:r>
          </w:p>
          <w:p w14:paraId="26FAD2A3">
            <w:pPr>
              <w:keepNext w:val="0"/>
              <w:keepLines w:val="0"/>
              <w:suppressLineNumbers w:val="0"/>
              <w:spacing w:before="0" w:beforeLines="0" w:beforeAutospacing="0" w:after="0" w:afterLines="0" w:afterAutospacing="0" w:line="480" w:lineRule="exact"/>
              <w:ind w:left="0" w:right="0" w:firstLine="480" w:firstLineChars="200"/>
              <w:jc w:val="left"/>
              <w:rPr>
                <w:rFonts w:hint="default" w:eastAsia="宋体" w:cs="Times New Roman"/>
                <w:color w:val="auto"/>
                <w:sz w:val="24"/>
                <w:szCs w:val="24"/>
                <w:highlight w:val="none"/>
                <w:lang w:val="en-US" w:eastAsia="zh-CN"/>
              </w:rPr>
            </w:pPr>
            <w:r>
              <w:rPr>
                <w:rFonts w:hint="eastAsia" w:eastAsia="宋体" w:cs="Times New Roman"/>
                <w:color w:val="auto"/>
                <w:sz w:val="24"/>
                <w:szCs w:val="24"/>
                <w:highlight w:val="none"/>
                <w:lang w:val="en-US" w:eastAsia="zh-CN"/>
              </w:rPr>
              <w:t>项目废水主要为职工生活污水，废水产生量为</w:t>
            </w:r>
            <w:r>
              <w:rPr>
                <w:rFonts w:hint="eastAsia" w:cs="Times New Roman"/>
                <w:color w:val="auto"/>
                <w:sz w:val="24"/>
                <w:szCs w:val="24"/>
                <w:highlight w:val="none"/>
                <w:lang w:val="en-US" w:eastAsia="zh-CN"/>
              </w:rPr>
              <w:t>0.586</w:t>
            </w:r>
            <w:r>
              <w:rPr>
                <w:rFonts w:hint="eastAsia" w:eastAsia="宋体" w:cs="Times New Roman"/>
                <w:color w:val="auto"/>
                <w:sz w:val="24"/>
                <w:szCs w:val="24"/>
                <w:highlight w:val="none"/>
                <w:lang w:val="en-US" w:eastAsia="zh-CN"/>
              </w:rPr>
              <w:t>m</w:t>
            </w:r>
            <w:r>
              <w:rPr>
                <w:rFonts w:hint="eastAsia" w:eastAsia="宋体" w:cs="Times New Roman"/>
                <w:color w:val="auto"/>
                <w:sz w:val="24"/>
                <w:szCs w:val="24"/>
                <w:highlight w:val="none"/>
                <w:vertAlign w:val="superscript"/>
                <w:lang w:val="en-US" w:eastAsia="zh-CN"/>
              </w:rPr>
              <w:t>3</w:t>
            </w:r>
            <w:r>
              <w:rPr>
                <w:rFonts w:hint="eastAsia" w:eastAsia="宋体" w:cs="Times New Roman"/>
                <w:color w:val="auto"/>
                <w:sz w:val="24"/>
                <w:szCs w:val="24"/>
                <w:highlight w:val="none"/>
                <w:lang w:val="en-US" w:eastAsia="zh-CN"/>
              </w:rPr>
              <w:t>/d。</w:t>
            </w:r>
          </w:p>
          <w:p w14:paraId="62E3A8A3">
            <w:pPr>
              <w:keepNext w:val="0"/>
              <w:keepLines w:val="0"/>
              <w:suppressLineNumbers w:val="0"/>
              <w:spacing w:before="0" w:beforeLines="0" w:beforeAutospacing="0" w:after="0" w:afterLines="0" w:afterAutospacing="0" w:line="480" w:lineRule="exact"/>
              <w:ind w:left="0" w:right="0" w:firstLine="480" w:firstLineChars="200"/>
              <w:jc w:val="left"/>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生活污水（</w:t>
            </w:r>
            <w:r>
              <w:rPr>
                <w:rFonts w:hint="eastAsia" w:cs="Times New Roman"/>
                <w:color w:val="auto"/>
                <w:sz w:val="24"/>
                <w:szCs w:val="24"/>
                <w:highlight w:val="none"/>
                <w:lang w:val="en-US" w:eastAsia="zh-CN"/>
              </w:rPr>
              <w:t>0.586</w:t>
            </w:r>
            <w:r>
              <w:rPr>
                <w:rFonts w:hint="default" w:ascii="Times New Roman" w:hAnsi="Times New Roman" w:eastAsia="宋体" w:cs="Times New Roman"/>
                <w:color w:val="auto"/>
                <w:sz w:val="24"/>
                <w:szCs w:val="24"/>
                <w:highlight w:val="none"/>
              </w:rPr>
              <w:t>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/d）中pH</w:t>
            </w:r>
            <w:r>
              <w:rPr>
                <w:rFonts w:hint="eastAsia" w:cs="Times New Roman"/>
                <w:color w:val="auto"/>
                <w:sz w:val="24"/>
                <w:szCs w:val="24"/>
                <w:highlight w:val="none"/>
                <w:lang w:eastAsia="zh-CN"/>
              </w:rPr>
              <w:t>：</w:t>
            </w:r>
            <w:r>
              <w:rPr>
                <w:rFonts w:hint="eastAsia" w:eastAsia="宋体" w:cs="Times New Roman"/>
                <w:color w:val="auto"/>
                <w:sz w:val="24"/>
                <w:szCs w:val="24"/>
                <w:highlight w:val="none"/>
                <w:lang w:eastAsia="zh-CN"/>
              </w:rPr>
              <w:t>6~9</w:t>
            </w:r>
            <w:r>
              <w:rPr>
                <w:rFonts w:hint="default" w:ascii="Times New Roman" w:hAnsi="Times New Roman" w:eastAsia="宋体" w:cs="Times New Roman"/>
                <w:color w:val="auto"/>
                <w:sz w:val="24"/>
                <w:szCs w:val="24"/>
                <w:highlight w:val="none"/>
              </w:rPr>
              <w:t>、COD产生浓度约为</w:t>
            </w:r>
            <w:r>
              <w:rPr>
                <w:rFonts w:hint="eastAsia" w:cs="Times New Roman"/>
                <w:color w:val="auto"/>
                <w:sz w:val="24"/>
                <w:szCs w:val="24"/>
                <w:highlight w:val="none"/>
                <w:lang w:val="en-US" w:eastAsia="zh-CN"/>
              </w:rPr>
              <w:t>300</w:t>
            </w:r>
            <w:r>
              <w:rPr>
                <w:rFonts w:hint="default" w:ascii="Times New Roman" w:hAnsi="Times New Roman" w:eastAsia="宋体" w:cs="Times New Roman"/>
                <w:color w:val="auto"/>
                <w:sz w:val="24"/>
                <w:szCs w:val="24"/>
                <w:highlight w:val="none"/>
              </w:rPr>
              <w:t>mg/L、BOD</w:t>
            </w:r>
            <w:r>
              <w:rPr>
                <w:rFonts w:hint="default" w:ascii="Times New Roman" w:hAnsi="Times New Roman" w:eastAsia="宋体" w:cs="Times New Roman"/>
                <w:color w:val="auto"/>
                <w:sz w:val="24"/>
                <w:szCs w:val="24"/>
                <w:highlight w:val="none"/>
                <w:vertAlign w:val="subscript"/>
              </w:rPr>
              <w:t>5</w:t>
            </w:r>
            <w:r>
              <w:rPr>
                <w:rFonts w:hint="default" w:ascii="Times New Roman" w:hAnsi="Times New Roman" w:eastAsia="宋体" w:cs="Times New Roman"/>
                <w:color w:val="auto"/>
                <w:sz w:val="24"/>
                <w:szCs w:val="24"/>
                <w:highlight w:val="none"/>
              </w:rPr>
              <w:t>产生浓度约为</w:t>
            </w:r>
            <w:r>
              <w:rPr>
                <w:rFonts w:hint="eastAsia" w:cs="Times New Roman"/>
                <w:color w:val="auto"/>
                <w:sz w:val="24"/>
                <w:szCs w:val="24"/>
                <w:highlight w:val="none"/>
                <w:lang w:val="en-US" w:eastAsia="zh-CN"/>
              </w:rPr>
              <w:t>150</w:t>
            </w:r>
            <w:r>
              <w:rPr>
                <w:rFonts w:hint="default" w:ascii="Times New Roman" w:hAnsi="Times New Roman" w:eastAsia="宋体" w:cs="Times New Roman"/>
                <w:color w:val="auto"/>
                <w:sz w:val="24"/>
                <w:szCs w:val="24"/>
                <w:highlight w:val="none"/>
              </w:rPr>
              <w:t>mg/L、SS产生浓度约为</w:t>
            </w:r>
            <w:r>
              <w:rPr>
                <w:rFonts w:hint="eastAsia" w:cs="Times New Roman"/>
                <w:color w:val="auto"/>
                <w:sz w:val="24"/>
                <w:szCs w:val="24"/>
                <w:highlight w:val="none"/>
                <w:lang w:val="en-US" w:eastAsia="zh-CN"/>
              </w:rPr>
              <w:t>150</w:t>
            </w:r>
            <w:r>
              <w:rPr>
                <w:rFonts w:hint="default" w:ascii="Times New Roman" w:hAnsi="Times New Roman" w:eastAsia="宋体" w:cs="Times New Roman"/>
                <w:color w:val="auto"/>
                <w:sz w:val="24"/>
                <w:szCs w:val="24"/>
                <w:highlight w:val="none"/>
              </w:rPr>
              <w:t>mg/L、氨氮产生浓度约为20mg/L</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总氮</w:t>
            </w:r>
            <w:r>
              <w:rPr>
                <w:rFonts w:hint="default" w:ascii="Times New Roman" w:hAnsi="Times New Roman" w:eastAsia="宋体" w:cs="Times New Roman"/>
                <w:color w:val="auto"/>
                <w:sz w:val="24"/>
                <w:szCs w:val="24"/>
                <w:highlight w:val="none"/>
              </w:rPr>
              <w:t>产生浓度约为</w:t>
            </w:r>
            <w:r>
              <w:rPr>
                <w:rFonts w:hint="eastAsia" w:cs="Times New Roman"/>
                <w:color w:val="auto"/>
                <w:sz w:val="24"/>
                <w:szCs w:val="24"/>
                <w:highlight w:val="none"/>
                <w:lang w:val="en-US" w:eastAsia="zh-CN"/>
              </w:rPr>
              <w:t>40</w:t>
            </w:r>
            <w:r>
              <w:rPr>
                <w:rFonts w:hint="default" w:ascii="Times New Roman" w:hAnsi="Times New Roman" w:eastAsia="宋体" w:cs="Times New Roman"/>
                <w:color w:val="auto"/>
                <w:sz w:val="24"/>
                <w:szCs w:val="24"/>
                <w:highlight w:val="none"/>
              </w:rPr>
              <w:t>mg/L</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总磷</w:t>
            </w:r>
            <w:r>
              <w:rPr>
                <w:rFonts w:hint="default" w:ascii="Times New Roman" w:hAnsi="Times New Roman" w:eastAsia="宋体" w:cs="Times New Roman"/>
                <w:color w:val="auto"/>
                <w:sz w:val="24"/>
                <w:szCs w:val="24"/>
                <w:highlight w:val="none"/>
              </w:rPr>
              <w:t>产生浓度约为</w:t>
            </w:r>
            <w:r>
              <w:rPr>
                <w:rFonts w:hint="eastAsia"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rPr>
              <w:t>mg/L</w:t>
            </w:r>
            <w:r>
              <w:rPr>
                <w:rFonts w:hint="eastAsia" w:cs="Times New Roman"/>
                <w:color w:val="auto"/>
                <w:sz w:val="24"/>
                <w:szCs w:val="24"/>
                <w:highlight w:val="none"/>
                <w:lang w:eastAsia="zh-CN"/>
              </w:rPr>
              <w:t>。</w:t>
            </w:r>
          </w:p>
          <w:p w14:paraId="68747391">
            <w:pPr>
              <w:keepNext w:val="0"/>
              <w:keepLines w:val="0"/>
              <w:widowControl w:val="0"/>
              <w:suppressLineNumbers w:val="0"/>
              <w:autoSpaceDE w:val="0"/>
              <w:autoSpaceDN/>
              <w:adjustRightInd w:val="0"/>
              <w:snapToGrid w:val="0"/>
              <w:spacing w:before="0" w:beforeAutospacing="0" w:after="0" w:afterAutospacing="0" w:line="460" w:lineRule="exact"/>
              <w:ind w:left="0" w:right="0" w:firstLine="480" w:firstLineChars="200"/>
              <w:jc w:val="both"/>
              <w:rPr>
                <w:rFonts w:hint="default" w:cs="Times New Roman"/>
                <w:color w:val="auto"/>
                <w:kern w:val="2"/>
                <w:sz w:val="24"/>
                <w:szCs w:val="24"/>
                <w:highlight w:val="none"/>
                <w:lang w:val="en-US" w:eastAsia="zh-CN" w:bidi="ar"/>
              </w:rPr>
            </w:pPr>
            <w:r>
              <w:rPr>
                <w:rFonts w:hint="eastAsia" w:cs="Times New Roman"/>
                <w:color w:val="auto"/>
                <w:kern w:val="2"/>
                <w:sz w:val="24"/>
                <w:szCs w:val="24"/>
                <w:highlight w:val="none"/>
                <w:lang w:val="en-US" w:eastAsia="zh-CN" w:bidi="ar"/>
              </w:rPr>
              <w:t>（2）项目废水排放情况</w:t>
            </w:r>
          </w:p>
          <w:p w14:paraId="377D216C">
            <w:pPr>
              <w:keepNext w:val="0"/>
              <w:keepLines w:val="0"/>
              <w:suppressLineNumbers w:val="0"/>
              <w:spacing w:before="0" w:beforeLines="0" w:beforeAutospacing="0" w:after="0" w:afterLines="0" w:afterAutospacing="0" w:line="480" w:lineRule="exact"/>
              <w:ind w:left="0" w:right="0" w:firstLine="480" w:firstLineChars="200"/>
              <w:jc w:val="left"/>
              <w:rPr>
                <w:rFonts w:hint="default" w:ascii="Times New Roman" w:hAnsi="Times New Roman" w:eastAsia="宋体" w:cs="Times New Roman"/>
                <w:color w:val="auto"/>
                <w:sz w:val="24"/>
                <w:szCs w:val="24"/>
                <w:highlight w:val="none"/>
                <w:lang w:val="en-US" w:eastAsia="zh-CN"/>
              </w:rPr>
            </w:pPr>
            <w:r>
              <w:rPr>
                <w:rFonts w:hint="eastAsia" w:cs="Times New Roman"/>
                <w:color w:val="auto"/>
                <w:kern w:val="2"/>
                <w:sz w:val="24"/>
                <w:szCs w:val="24"/>
                <w:highlight w:val="none"/>
                <w:lang w:val="en-US" w:eastAsia="zh-CN" w:bidi="ar"/>
              </w:rPr>
              <w:t>生活污水经化粪池处理后定期由吸粪车抽走。</w:t>
            </w:r>
          </w:p>
          <w:p w14:paraId="3E97A165">
            <w:pPr>
              <w:pStyle w:val="172"/>
              <w:keepNext w:val="0"/>
              <w:keepLines w:val="0"/>
              <w:suppressLineNumbers w:val="0"/>
              <w:spacing w:before="0" w:beforeAutospacing="0" w:after="0" w:afterAutospacing="0"/>
              <w:ind w:left="0" w:right="0" w:firstLine="482"/>
              <w:jc w:val="both"/>
              <w:rPr>
                <w:rFonts w:hint="default" w:ascii="Times New Roman" w:hAnsi="Times New Roman" w:cs="Times New Roman"/>
                <w:b/>
                <w:bCs/>
                <w:smallCaps w:val="0"/>
                <w:color w:val="auto"/>
                <w:spacing w:val="0"/>
                <w:highlight w:val="none"/>
              </w:rPr>
            </w:pPr>
            <w:r>
              <w:rPr>
                <w:rFonts w:hint="default" w:ascii="Times New Roman" w:hAnsi="Times New Roman" w:cs="Times New Roman"/>
                <w:b/>
                <w:bCs/>
                <w:smallCaps w:val="0"/>
                <w:color w:val="auto"/>
                <w:spacing w:val="0"/>
                <w:highlight w:val="none"/>
              </w:rPr>
              <w:t>3、噪声</w:t>
            </w:r>
          </w:p>
          <w:p w14:paraId="730F4540">
            <w:pPr>
              <w:pStyle w:val="172"/>
              <w:keepNext w:val="0"/>
              <w:keepLines w:val="0"/>
              <w:suppressLineNumbers w:val="0"/>
              <w:spacing w:before="0" w:beforeAutospacing="0" w:after="0" w:afterAutospacing="0"/>
              <w:ind w:left="0" w:right="0" w:firstLine="482"/>
              <w:jc w:val="both"/>
              <w:rPr>
                <w:rFonts w:hint="default" w:ascii="Times New Roman" w:hAnsi="Times New Roman" w:cs="Times New Roman"/>
                <w:b/>
                <w:bCs/>
                <w:smallCaps w:val="0"/>
                <w:color w:val="auto"/>
                <w:spacing w:val="0"/>
                <w:highlight w:val="none"/>
              </w:rPr>
            </w:pPr>
            <w:r>
              <w:rPr>
                <w:rFonts w:hint="default" w:ascii="Times New Roman" w:hAnsi="Times New Roman" w:cs="Times New Roman"/>
                <w:b/>
                <w:bCs/>
                <w:smallCaps w:val="0"/>
                <w:color w:val="auto"/>
                <w:spacing w:val="0"/>
                <w:highlight w:val="none"/>
              </w:rPr>
              <w:t>（1）源强分析</w:t>
            </w:r>
          </w:p>
          <w:p w14:paraId="4E02F97C">
            <w:pPr>
              <w:pStyle w:val="33"/>
              <w:keepNext w:val="0"/>
              <w:keepLines w:val="0"/>
              <w:suppressLineNumbers w:val="0"/>
              <w:spacing w:before="0" w:beforeAutospacing="0" w:after="0" w:afterAutospacing="0"/>
              <w:ind w:left="0" w:leftChars="0" w:right="0" w:rightChars="0" w:firstLine="480" w:firstLineChars="200"/>
              <w:jc w:val="both"/>
              <w:rPr>
                <w:rFonts w:hint="default"/>
                <w:color w:val="auto"/>
                <w:szCs w:val="20"/>
                <w:highlight w:val="none"/>
                <w:lang w:val="en-US" w:eastAsia="zh-CN"/>
              </w:rPr>
            </w:pPr>
            <w:r>
              <w:rPr>
                <w:rFonts w:hint="eastAsia" w:cs="Times New Roman"/>
                <w:smallCaps w:val="0"/>
                <w:color w:val="auto"/>
                <w:spacing w:val="0"/>
                <w:szCs w:val="20"/>
                <w:highlight w:val="none"/>
                <w:lang w:val="en-US" w:eastAsia="zh-CN"/>
              </w:rPr>
              <w:t>项目</w:t>
            </w:r>
            <w:r>
              <w:rPr>
                <w:rFonts w:hint="default" w:ascii="Times New Roman" w:hAnsi="Times New Roman" w:cs="Times New Roman"/>
                <w:smallCaps w:val="0"/>
                <w:color w:val="auto"/>
                <w:spacing w:val="0"/>
                <w:szCs w:val="20"/>
                <w:highlight w:val="none"/>
              </w:rPr>
              <w:t>噪声源主要为</w:t>
            </w:r>
            <w:r>
              <w:rPr>
                <w:rFonts w:hint="eastAsia" w:cs="Times New Roman"/>
                <w:smallCaps w:val="0"/>
                <w:color w:val="auto"/>
                <w:spacing w:val="0"/>
                <w:szCs w:val="20"/>
                <w:highlight w:val="none"/>
                <w:lang w:val="en-US" w:eastAsia="zh-CN"/>
              </w:rPr>
              <w:t>修磨机、无心车床、天车、矫直机、调质炉、切削车床、风机</w:t>
            </w:r>
            <w:r>
              <w:rPr>
                <w:rFonts w:hint="default" w:ascii="Times New Roman" w:hAnsi="Times New Roman" w:cs="Times New Roman"/>
                <w:smallCaps w:val="0"/>
                <w:color w:val="auto"/>
                <w:spacing w:val="0"/>
                <w:szCs w:val="20"/>
                <w:highlight w:val="none"/>
              </w:rPr>
              <w:t>等设备运转产生的噪声</w:t>
            </w:r>
            <w:r>
              <w:rPr>
                <w:rFonts w:hint="eastAsia" w:cs="Times New Roman"/>
                <w:smallCaps w:val="0"/>
                <w:color w:val="auto"/>
                <w:spacing w:val="0"/>
                <w:szCs w:val="20"/>
                <w:highlight w:val="none"/>
                <w:lang w:eastAsia="zh-CN"/>
              </w:rPr>
              <w:t>，</w:t>
            </w:r>
            <w:r>
              <w:rPr>
                <w:rFonts w:hint="eastAsia" w:cs="Times New Roman"/>
                <w:smallCaps w:val="0"/>
                <w:color w:val="auto"/>
                <w:spacing w:val="0"/>
                <w:szCs w:val="20"/>
                <w:highlight w:val="none"/>
                <w:lang w:val="en-US" w:eastAsia="zh-CN"/>
              </w:rPr>
              <w:t>项目选用低噪声设备</w:t>
            </w:r>
            <w:r>
              <w:rPr>
                <w:rFonts w:hint="default" w:ascii="Times New Roman" w:hAnsi="Times New Roman" w:cs="Times New Roman"/>
                <w:smallCaps w:val="0"/>
                <w:color w:val="auto"/>
                <w:spacing w:val="0"/>
                <w:szCs w:val="20"/>
                <w:highlight w:val="none"/>
                <w:lang w:eastAsia="zh-CN"/>
              </w:rPr>
              <w:t>，</w:t>
            </w:r>
            <w:r>
              <w:rPr>
                <w:rFonts w:hint="default" w:ascii="Times New Roman" w:hAnsi="Times New Roman" w:cs="Times New Roman"/>
                <w:smallCaps w:val="0"/>
                <w:color w:val="auto"/>
                <w:spacing w:val="0"/>
                <w:szCs w:val="20"/>
                <w:highlight w:val="none"/>
              </w:rPr>
              <w:t>噪声级在</w:t>
            </w:r>
            <w:r>
              <w:rPr>
                <w:rFonts w:hint="eastAsia" w:cs="Times New Roman"/>
                <w:smallCaps w:val="0"/>
                <w:color w:val="auto"/>
                <w:spacing w:val="0"/>
                <w:szCs w:val="20"/>
                <w:highlight w:val="none"/>
                <w:lang w:val="en-US" w:eastAsia="zh-CN"/>
              </w:rPr>
              <w:t>70</w:t>
            </w:r>
            <w:r>
              <w:rPr>
                <w:rFonts w:hint="default" w:ascii="Times New Roman" w:hAnsi="Times New Roman" w:cs="Times New Roman"/>
                <w:smallCaps w:val="0"/>
                <w:color w:val="auto"/>
                <w:spacing w:val="0"/>
                <w:szCs w:val="20"/>
                <w:highlight w:val="none"/>
              </w:rPr>
              <w:t>～</w:t>
            </w:r>
            <w:r>
              <w:rPr>
                <w:rFonts w:hint="eastAsia" w:cs="Times New Roman"/>
                <w:smallCaps w:val="0"/>
                <w:color w:val="auto"/>
                <w:spacing w:val="0"/>
                <w:szCs w:val="20"/>
                <w:highlight w:val="none"/>
                <w:lang w:val="en-US" w:eastAsia="zh-CN"/>
              </w:rPr>
              <w:t>8</w:t>
            </w:r>
            <w:r>
              <w:rPr>
                <w:rFonts w:hint="default" w:ascii="Times New Roman" w:hAnsi="Times New Roman" w:cs="Times New Roman"/>
                <w:smallCaps w:val="0"/>
                <w:color w:val="auto"/>
                <w:spacing w:val="0"/>
                <w:szCs w:val="20"/>
                <w:highlight w:val="none"/>
              </w:rPr>
              <w:t>5dB（A）之间</w:t>
            </w:r>
            <w:r>
              <w:rPr>
                <w:rFonts w:hint="default" w:ascii="Times New Roman" w:hAnsi="Times New Roman" w:cs="Times New Roman"/>
                <w:smallCaps w:val="0"/>
                <w:color w:val="auto"/>
                <w:spacing w:val="0"/>
                <w:szCs w:val="20"/>
                <w:highlight w:val="none"/>
                <w:lang w:eastAsia="zh-CN"/>
              </w:rPr>
              <w:t>，</w:t>
            </w:r>
            <w:r>
              <w:rPr>
                <w:rFonts w:hint="default" w:ascii="Times New Roman" w:hAnsi="Times New Roman" w:cs="Times New Roman"/>
                <w:smallCaps w:val="0"/>
                <w:color w:val="auto"/>
                <w:spacing w:val="0"/>
                <w:szCs w:val="20"/>
                <w:highlight w:val="none"/>
              </w:rPr>
              <w:t>项目主要噪声源源强及控制措施见表4</w:t>
            </w:r>
            <w:r>
              <w:rPr>
                <w:rFonts w:hint="default" w:ascii="Times New Roman" w:hAnsi="Times New Roman" w:cs="Times New Roman"/>
                <w:smallCaps w:val="0"/>
                <w:color w:val="auto"/>
                <w:spacing w:val="0"/>
                <w:szCs w:val="20"/>
                <w:highlight w:val="none"/>
                <w:lang w:val="en-US" w:eastAsia="zh-CN"/>
              </w:rPr>
              <w:t>-</w:t>
            </w:r>
            <w:r>
              <w:rPr>
                <w:rFonts w:hint="eastAsia" w:cs="Times New Roman"/>
                <w:smallCaps w:val="0"/>
                <w:color w:val="auto"/>
                <w:spacing w:val="0"/>
                <w:szCs w:val="20"/>
                <w:highlight w:val="none"/>
                <w:lang w:val="en-US" w:eastAsia="zh-CN"/>
              </w:rPr>
              <w:t>6、4-7</w:t>
            </w:r>
            <w:r>
              <w:rPr>
                <w:rFonts w:hint="default" w:ascii="Times New Roman" w:hAnsi="Times New Roman" w:cs="Times New Roman"/>
                <w:smallCaps w:val="0"/>
                <w:color w:val="auto"/>
                <w:spacing w:val="0"/>
                <w:szCs w:val="20"/>
                <w:highlight w:val="none"/>
              </w:rPr>
              <w:t>。</w:t>
            </w:r>
          </w:p>
        </w:tc>
      </w:tr>
    </w:tbl>
    <w:p w14:paraId="081F76F5">
      <w:pPr>
        <w:pStyle w:val="5"/>
        <w:keepNext w:val="0"/>
        <w:keepLines w:val="0"/>
        <w:suppressLineNumbers w:val="0"/>
        <w:spacing w:before="0" w:beforeAutospacing="0" w:after="0" w:afterAutospacing="0"/>
        <w:ind w:left="0" w:right="0"/>
        <w:rPr>
          <w:rFonts w:hint="default" w:ascii="Times New Roman" w:hAnsi="Times New Roman" w:cs="Times New Roman"/>
          <w:color w:val="auto"/>
          <w:szCs w:val="20"/>
          <w:highlight w:val="none"/>
        </w:rPr>
        <w:sectPr>
          <w:pgSz w:w="11907" w:h="16840"/>
          <w:pgMar w:top="1440" w:right="1800" w:bottom="1440" w:left="1800" w:header="851" w:footer="992" w:gutter="0"/>
          <w:cols w:space="720" w:num="1"/>
          <w:docGrid w:type="linesAndChars" w:linePitch="319" w:charSpace="0"/>
        </w:sectPr>
      </w:pPr>
    </w:p>
    <w:tbl>
      <w:tblPr>
        <w:tblStyle w:val="4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13510"/>
      </w:tblGrid>
      <w:tr w14:paraId="228D4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1" w:hRule="atLeast"/>
        </w:trPr>
        <w:tc>
          <w:tcPr>
            <w:tcW w:w="666" w:type="dxa"/>
          </w:tcPr>
          <w:p w14:paraId="3C25B97C">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vertAlign w:val="baseline"/>
              </w:rPr>
            </w:pPr>
          </w:p>
        </w:tc>
        <w:tc>
          <w:tcPr>
            <w:tcW w:w="13510" w:type="dxa"/>
          </w:tcPr>
          <w:p w14:paraId="20B2B26B">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表4-</w:t>
            </w:r>
            <w:r>
              <w:rPr>
                <w:rFonts w:hint="eastAsia" w:cs="Times New Roman"/>
                <w:smallCaps w:val="0"/>
                <w:color w:val="auto"/>
                <w:spacing w:val="0"/>
                <w:highlight w:val="none"/>
                <w:lang w:val="en-US" w:eastAsia="zh-CN"/>
              </w:rPr>
              <w:t>6</w:t>
            </w:r>
            <w:r>
              <w:rPr>
                <w:rFonts w:hint="default" w:ascii="Times New Roman" w:hAnsi="Times New Roman" w:cs="Times New Roman"/>
                <w:smallCaps w:val="0"/>
                <w:color w:val="auto"/>
                <w:spacing w:val="0"/>
                <w:highlight w:val="none"/>
              </w:rPr>
              <w:t xml:space="preserve">    </w:t>
            </w:r>
            <w:r>
              <w:rPr>
                <w:rFonts w:hint="eastAsia" w:cs="Times New Roman"/>
                <w:smallCaps w:val="0"/>
                <w:color w:val="auto"/>
                <w:spacing w:val="0"/>
                <w:highlight w:val="none"/>
                <w:lang w:val="en-US" w:eastAsia="zh-CN"/>
              </w:rPr>
              <w:t>项目</w:t>
            </w:r>
            <w:r>
              <w:rPr>
                <w:rFonts w:hint="default" w:ascii="Times New Roman" w:hAnsi="Times New Roman" w:cs="Times New Roman"/>
                <w:smallCaps w:val="0"/>
                <w:color w:val="auto"/>
                <w:spacing w:val="0"/>
                <w:highlight w:val="none"/>
              </w:rPr>
              <w:t>主要噪声源及控制措施一览表（室内声源</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lang w:val="en-US" w:eastAsia="zh-CN"/>
              </w:rPr>
              <w:t>坐标原点</w:t>
            </w:r>
            <w:r>
              <w:rPr>
                <w:rFonts w:hint="eastAsia" w:cs="Times New Roman"/>
                <w:smallCaps w:val="0"/>
                <w:color w:val="auto"/>
                <w:spacing w:val="0"/>
                <w:highlight w:val="none"/>
                <w:lang w:val="en-US" w:eastAsia="zh-CN"/>
              </w:rPr>
              <w:t>：</w:t>
            </w:r>
            <w:r>
              <w:rPr>
                <w:rFonts w:hint="default" w:ascii="Times New Roman" w:hAnsi="Times New Roman" w:cs="Times New Roman"/>
                <w:smallCaps w:val="0"/>
                <w:color w:val="auto"/>
                <w:spacing w:val="0"/>
                <w:highlight w:val="none"/>
                <w:lang w:val="en-US" w:eastAsia="zh-CN"/>
              </w:rPr>
              <w:t>厂区西南角</w:t>
            </w:r>
            <w:r>
              <w:rPr>
                <w:rFonts w:hint="default" w:ascii="Times New Roman" w:hAnsi="Times New Roman" w:cs="Times New Roman"/>
                <w:smallCaps w:val="0"/>
                <w:color w:val="auto"/>
                <w:spacing w:val="0"/>
                <w:highlight w:val="none"/>
              </w:rPr>
              <w:t>）</w:t>
            </w:r>
          </w:p>
          <w:tbl>
            <w:tblPr>
              <w:tblStyle w:val="47"/>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17"/>
              <w:gridCol w:w="675"/>
              <w:gridCol w:w="1113"/>
              <w:gridCol w:w="1376"/>
              <w:gridCol w:w="879"/>
              <w:gridCol w:w="818"/>
              <w:gridCol w:w="842"/>
              <w:gridCol w:w="842"/>
              <w:gridCol w:w="970"/>
              <w:gridCol w:w="842"/>
              <w:gridCol w:w="842"/>
              <w:gridCol w:w="837"/>
              <w:gridCol w:w="980"/>
              <w:gridCol w:w="684"/>
              <w:gridCol w:w="1154"/>
            </w:tblGrid>
            <w:tr w14:paraId="54045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vMerge w:val="restart"/>
                  <w:vAlign w:val="center"/>
                </w:tcPr>
                <w:p w14:paraId="66C43CC3">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序号</w:t>
                  </w:r>
                </w:p>
              </w:tc>
              <w:tc>
                <w:tcPr>
                  <w:tcW w:w="254" w:type="pct"/>
                  <w:vMerge w:val="restart"/>
                  <w:vAlign w:val="center"/>
                </w:tcPr>
                <w:p w14:paraId="65061257">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建筑物名称</w:t>
                  </w:r>
                </w:p>
              </w:tc>
              <w:tc>
                <w:tcPr>
                  <w:tcW w:w="419" w:type="pct"/>
                  <w:vMerge w:val="restart"/>
                  <w:vAlign w:val="center"/>
                </w:tcPr>
                <w:p w14:paraId="7786EB6A">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声源名称</w:t>
                  </w:r>
                </w:p>
              </w:tc>
              <w:tc>
                <w:tcPr>
                  <w:tcW w:w="518" w:type="pct"/>
                  <w:vMerge w:val="restart"/>
                  <w:vAlign w:val="center"/>
                </w:tcPr>
                <w:p w14:paraId="2DFF5A04">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default" w:ascii="Times New Roman" w:hAnsi="Times New Roman" w:eastAsia="宋体" w:cs="Times New Roman"/>
                      <w:smallCaps w:val="0"/>
                      <w:color w:val="auto"/>
                      <w:spacing w:val="0"/>
                      <w:w w:val="100"/>
                      <w:sz w:val="21"/>
                      <w:szCs w:val="21"/>
                      <w:highlight w:val="none"/>
                      <w:lang w:val="en-US" w:eastAsia="zh-CN"/>
                    </w:rPr>
                    <w:t>型号</w:t>
                  </w:r>
                </w:p>
              </w:tc>
              <w:tc>
                <w:tcPr>
                  <w:tcW w:w="331" w:type="pct"/>
                  <w:vAlign w:val="center"/>
                </w:tcPr>
                <w:p w14:paraId="0C4D1D3F">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声源源强</w:t>
                  </w:r>
                </w:p>
              </w:tc>
              <w:tc>
                <w:tcPr>
                  <w:tcW w:w="308" w:type="pct"/>
                  <w:vMerge w:val="restart"/>
                  <w:vAlign w:val="center"/>
                </w:tcPr>
                <w:p w14:paraId="14543B55">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sz w:val="21"/>
                      <w:szCs w:val="21"/>
                      <w:highlight w:val="none"/>
                    </w:rPr>
                    <w:t>声源控制措施</w:t>
                  </w:r>
                </w:p>
                <w:p w14:paraId="3A7CAA44">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2"/>
                      <w:sz w:val="21"/>
                      <w:szCs w:val="21"/>
                      <w:highlight w:val="none"/>
                      <w:lang w:val="en-US" w:eastAsia="zh-CN" w:bidi="ar-SA"/>
                    </w:rPr>
                  </w:pPr>
                </w:p>
                <w:p w14:paraId="4604A47F">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c>
                <w:tcPr>
                  <w:tcW w:w="999" w:type="pct"/>
                  <w:gridSpan w:val="3"/>
                  <w:vAlign w:val="center"/>
                </w:tcPr>
                <w:p w14:paraId="5F5CB49F">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default" w:ascii="Times New Roman" w:hAnsi="Times New Roman" w:eastAsia="宋体" w:cs="Times New Roman"/>
                      <w:smallCaps w:val="0"/>
                      <w:color w:val="auto"/>
                      <w:spacing w:val="0"/>
                      <w:w w:val="100"/>
                      <w:sz w:val="21"/>
                      <w:szCs w:val="21"/>
                      <w:highlight w:val="none"/>
                      <w:lang w:val="en-US" w:eastAsia="zh-CN"/>
                    </w:rPr>
                    <w:t>空间相对位置/m</w:t>
                  </w:r>
                </w:p>
              </w:tc>
              <w:tc>
                <w:tcPr>
                  <w:tcW w:w="317" w:type="pct"/>
                  <w:vMerge w:val="restart"/>
                  <w:vAlign w:val="center"/>
                </w:tcPr>
                <w:p w14:paraId="6340FCA6">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default" w:ascii="Times New Roman" w:hAnsi="Times New Roman" w:eastAsia="宋体" w:cs="Times New Roman"/>
                      <w:smallCaps w:val="0"/>
                      <w:color w:val="auto"/>
                      <w:spacing w:val="0"/>
                      <w:w w:val="100"/>
                      <w:sz w:val="21"/>
                      <w:szCs w:val="21"/>
                      <w:highlight w:val="none"/>
                      <w:lang w:val="en-US" w:eastAsia="zh-CN"/>
                    </w:rPr>
                    <w:t>距室内边界距离/m</w:t>
                  </w:r>
                </w:p>
              </w:tc>
              <w:tc>
                <w:tcPr>
                  <w:tcW w:w="317" w:type="pct"/>
                  <w:vMerge w:val="restart"/>
                  <w:vAlign w:val="center"/>
                </w:tcPr>
                <w:p w14:paraId="0DA678F0">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default" w:ascii="Times New Roman" w:hAnsi="Times New Roman" w:eastAsia="宋体" w:cs="Times New Roman"/>
                      <w:smallCaps w:val="0"/>
                      <w:color w:val="auto"/>
                      <w:spacing w:val="0"/>
                      <w:w w:val="100"/>
                      <w:sz w:val="21"/>
                      <w:szCs w:val="21"/>
                      <w:highlight w:val="none"/>
                      <w:lang w:val="en-US" w:eastAsia="zh-CN"/>
                    </w:rPr>
                    <w:t>室内边界声级</w:t>
                  </w:r>
                  <w:r>
                    <w:rPr>
                      <w:rFonts w:hint="default" w:ascii="Times New Roman" w:hAnsi="Times New Roman" w:eastAsia="宋体" w:cs="Times New Roman"/>
                      <w:smallCaps w:val="0"/>
                      <w:color w:val="auto"/>
                      <w:spacing w:val="0"/>
                      <w:w w:val="100"/>
                      <w:sz w:val="21"/>
                      <w:szCs w:val="21"/>
                      <w:highlight w:val="none"/>
                    </w:rPr>
                    <w:t>/dB</w:t>
                  </w:r>
                  <w:r>
                    <w:rPr>
                      <w:rFonts w:hint="default" w:ascii="Times New Roman" w:hAnsi="Times New Roman" w:eastAsia="宋体" w:cs="Times New Roman"/>
                      <w:smallCaps w:val="0"/>
                      <w:color w:val="auto"/>
                      <w:spacing w:val="0"/>
                      <w:w w:val="100"/>
                      <w:sz w:val="21"/>
                      <w:szCs w:val="21"/>
                      <w:highlight w:val="none"/>
                      <w:lang w:eastAsia="zh-CN"/>
                    </w:rPr>
                    <w:t>（</w:t>
                  </w:r>
                  <w:r>
                    <w:rPr>
                      <w:rFonts w:hint="default" w:ascii="Times New Roman" w:hAnsi="Times New Roman" w:eastAsia="宋体" w:cs="Times New Roman"/>
                      <w:smallCaps w:val="0"/>
                      <w:color w:val="auto"/>
                      <w:spacing w:val="0"/>
                      <w:w w:val="100"/>
                      <w:sz w:val="21"/>
                      <w:szCs w:val="21"/>
                      <w:highlight w:val="none"/>
                    </w:rPr>
                    <w:t>A</w:t>
                  </w:r>
                  <w:r>
                    <w:rPr>
                      <w:rFonts w:hint="default" w:ascii="Times New Roman" w:hAnsi="Times New Roman" w:eastAsia="宋体" w:cs="Times New Roman"/>
                      <w:smallCaps w:val="0"/>
                      <w:color w:val="auto"/>
                      <w:spacing w:val="0"/>
                      <w:w w:val="100"/>
                      <w:sz w:val="21"/>
                      <w:szCs w:val="21"/>
                      <w:highlight w:val="none"/>
                      <w:lang w:eastAsia="zh-CN"/>
                    </w:rPr>
                    <w:t>）</w:t>
                  </w:r>
                </w:p>
              </w:tc>
              <w:tc>
                <w:tcPr>
                  <w:tcW w:w="315" w:type="pct"/>
                  <w:vMerge w:val="restart"/>
                  <w:vAlign w:val="center"/>
                </w:tcPr>
                <w:p w14:paraId="0F9FDFC0">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建筑物</w:t>
                  </w:r>
                </w:p>
                <w:p w14:paraId="1E1F8E1A">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插入损失</w:t>
                  </w:r>
                </w:p>
                <w:p w14:paraId="637A5252">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lang w:eastAsia="zh-CN"/>
                    </w:rPr>
                  </w:pPr>
                  <w:r>
                    <w:rPr>
                      <w:rFonts w:hint="default" w:ascii="Times New Roman" w:hAnsi="Times New Roman" w:eastAsia="宋体" w:cs="Times New Roman"/>
                      <w:smallCaps w:val="0"/>
                      <w:color w:val="auto"/>
                      <w:spacing w:val="0"/>
                      <w:w w:val="100"/>
                      <w:sz w:val="21"/>
                      <w:szCs w:val="21"/>
                      <w:highlight w:val="none"/>
                    </w:rPr>
                    <w:t>/dB</w:t>
                  </w:r>
                  <w:r>
                    <w:rPr>
                      <w:rFonts w:hint="default" w:ascii="Times New Roman" w:hAnsi="Times New Roman" w:eastAsia="宋体" w:cs="Times New Roman"/>
                      <w:smallCaps w:val="0"/>
                      <w:color w:val="auto"/>
                      <w:spacing w:val="0"/>
                      <w:w w:val="100"/>
                      <w:sz w:val="21"/>
                      <w:szCs w:val="21"/>
                      <w:highlight w:val="none"/>
                      <w:lang w:eastAsia="zh-CN"/>
                    </w:rPr>
                    <w:t>（</w:t>
                  </w:r>
                  <w:r>
                    <w:rPr>
                      <w:rFonts w:hint="default" w:ascii="Times New Roman" w:hAnsi="Times New Roman" w:eastAsia="宋体" w:cs="Times New Roman"/>
                      <w:smallCaps w:val="0"/>
                      <w:color w:val="auto"/>
                      <w:spacing w:val="0"/>
                      <w:w w:val="100"/>
                      <w:sz w:val="21"/>
                      <w:szCs w:val="21"/>
                      <w:highlight w:val="none"/>
                    </w:rPr>
                    <w:t>A</w:t>
                  </w:r>
                  <w:r>
                    <w:rPr>
                      <w:rFonts w:hint="default" w:ascii="Times New Roman" w:hAnsi="Times New Roman" w:eastAsia="宋体" w:cs="Times New Roman"/>
                      <w:smallCaps w:val="0"/>
                      <w:color w:val="auto"/>
                      <w:spacing w:val="0"/>
                      <w:w w:val="100"/>
                      <w:sz w:val="21"/>
                      <w:szCs w:val="21"/>
                      <w:highlight w:val="none"/>
                      <w:lang w:eastAsia="zh-CN"/>
                    </w:rPr>
                    <w:t>）</w:t>
                  </w:r>
                </w:p>
              </w:tc>
              <w:tc>
                <w:tcPr>
                  <w:tcW w:w="626" w:type="pct"/>
                  <w:gridSpan w:val="2"/>
                  <w:vAlign w:val="center"/>
                </w:tcPr>
                <w:p w14:paraId="02821DEC">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建筑物外噪声</w:t>
                  </w:r>
                </w:p>
              </w:tc>
              <w:tc>
                <w:tcPr>
                  <w:tcW w:w="434" w:type="pct"/>
                  <w:vMerge w:val="restart"/>
                  <w:vAlign w:val="center"/>
                </w:tcPr>
                <w:p w14:paraId="5D41E608">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default" w:ascii="Times New Roman" w:hAnsi="Times New Roman" w:eastAsia="宋体" w:cs="Times New Roman"/>
                      <w:smallCaps w:val="0"/>
                      <w:color w:val="auto"/>
                      <w:spacing w:val="0"/>
                      <w:w w:val="100"/>
                      <w:sz w:val="21"/>
                      <w:szCs w:val="21"/>
                      <w:highlight w:val="none"/>
                      <w:lang w:val="en-US" w:eastAsia="zh-CN"/>
                    </w:rPr>
                    <w:t>运行时段/h</w:t>
                  </w:r>
                </w:p>
              </w:tc>
            </w:tr>
            <w:tr w14:paraId="78638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vMerge w:val="continue"/>
                  <w:vAlign w:val="center"/>
                </w:tcPr>
                <w:p w14:paraId="1F75386F">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c>
                <w:tcPr>
                  <w:tcW w:w="254" w:type="pct"/>
                  <w:vMerge w:val="continue"/>
                  <w:vAlign w:val="center"/>
                </w:tcPr>
                <w:p w14:paraId="3B71FC15">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c>
                <w:tcPr>
                  <w:tcW w:w="419" w:type="pct"/>
                  <w:vMerge w:val="continue"/>
                  <w:vAlign w:val="center"/>
                </w:tcPr>
                <w:p w14:paraId="1EDDD8AD">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c>
                <w:tcPr>
                  <w:tcW w:w="518" w:type="pct"/>
                  <w:vMerge w:val="continue"/>
                  <w:vAlign w:val="center"/>
                </w:tcPr>
                <w:p w14:paraId="31D5FD8C">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c>
                <w:tcPr>
                  <w:tcW w:w="331" w:type="pct"/>
                  <w:vAlign w:val="center"/>
                </w:tcPr>
                <w:p w14:paraId="07688470">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lang w:eastAsia="zh-CN"/>
                    </w:rPr>
                  </w:pPr>
                  <w:r>
                    <w:rPr>
                      <w:rFonts w:hint="default" w:ascii="Times New Roman" w:hAnsi="Times New Roman" w:eastAsia="宋体" w:cs="Times New Roman"/>
                      <w:smallCaps w:val="0"/>
                      <w:color w:val="auto"/>
                      <w:spacing w:val="0"/>
                      <w:w w:val="100"/>
                      <w:sz w:val="21"/>
                      <w:szCs w:val="21"/>
                      <w:highlight w:val="none"/>
                      <w:lang w:val="en-US" w:eastAsia="zh-CN"/>
                    </w:rPr>
                    <w:t>声功率级</w:t>
                  </w:r>
                  <w:r>
                    <w:rPr>
                      <w:rFonts w:hint="default" w:ascii="Times New Roman" w:hAnsi="Times New Roman" w:eastAsia="宋体" w:cs="Times New Roman"/>
                      <w:smallCaps w:val="0"/>
                      <w:color w:val="auto"/>
                      <w:spacing w:val="0"/>
                      <w:w w:val="100"/>
                      <w:sz w:val="21"/>
                      <w:szCs w:val="21"/>
                      <w:highlight w:val="none"/>
                    </w:rPr>
                    <w:t>/dB</w:t>
                  </w:r>
                  <w:r>
                    <w:rPr>
                      <w:rFonts w:hint="default" w:ascii="Times New Roman" w:hAnsi="Times New Roman" w:eastAsia="宋体" w:cs="Times New Roman"/>
                      <w:smallCaps w:val="0"/>
                      <w:color w:val="auto"/>
                      <w:spacing w:val="0"/>
                      <w:w w:val="100"/>
                      <w:sz w:val="21"/>
                      <w:szCs w:val="21"/>
                      <w:highlight w:val="none"/>
                      <w:lang w:eastAsia="zh-CN"/>
                    </w:rPr>
                    <w:t>（</w:t>
                  </w:r>
                  <w:r>
                    <w:rPr>
                      <w:rFonts w:hint="default" w:ascii="Times New Roman" w:hAnsi="Times New Roman" w:eastAsia="宋体" w:cs="Times New Roman"/>
                      <w:smallCaps w:val="0"/>
                      <w:color w:val="auto"/>
                      <w:spacing w:val="0"/>
                      <w:w w:val="100"/>
                      <w:sz w:val="21"/>
                      <w:szCs w:val="21"/>
                      <w:highlight w:val="none"/>
                    </w:rPr>
                    <w:t>A</w:t>
                  </w:r>
                  <w:r>
                    <w:rPr>
                      <w:rFonts w:hint="default" w:ascii="Times New Roman" w:hAnsi="Times New Roman" w:eastAsia="宋体" w:cs="Times New Roman"/>
                      <w:smallCaps w:val="0"/>
                      <w:color w:val="auto"/>
                      <w:spacing w:val="0"/>
                      <w:w w:val="100"/>
                      <w:sz w:val="21"/>
                      <w:szCs w:val="21"/>
                      <w:highlight w:val="none"/>
                      <w:lang w:eastAsia="zh-CN"/>
                    </w:rPr>
                    <w:t>）</w:t>
                  </w:r>
                </w:p>
              </w:tc>
              <w:tc>
                <w:tcPr>
                  <w:tcW w:w="308" w:type="pct"/>
                  <w:vMerge w:val="continue"/>
                  <w:vAlign w:val="center"/>
                </w:tcPr>
                <w:p w14:paraId="490CEC1A">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c>
                <w:tcPr>
                  <w:tcW w:w="317" w:type="pct"/>
                  <w:vAlign w:val="center"/>
                </w:tcPr>
                <w:p w14:paraId="5FE1DF5F">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X</w:t>
                  </w:r>
                </w:p>
              </w:tc>
              <w:tc>
                <w:tcPr>
                  <w:tcW w:w="317" w:type="pct"/>
                  <w:vAlign w:val="center"/>
                </w:tcPr>
                <w:p w14:paraId="071D4613">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Y</w:t>
                  </w:r>
                </w:p>
              </w:tc>
              <w:tc>
                <w:tcPr>
                  <w:tcW w:w="365" w:type="pct"/>
                  <w:vAlign w:val="center"/>
                </w:tcPr>
                <w:p w14:paraId="53ADB501">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Z</w:t>
                  </w:r>
                </w:p>
              </w:tc>
              <w:tc>
                <w:tcPr>
                  <w:tcW w:w="317" w:type="pct"/>
                  <w:vMerge w:val="continue"/>
                  <w:vAlign w:val="center"/>
                </w:tcPr>
                <w:p w14:paraId="3389285A">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rPr>
                  </w:pPr>
                </w:p>
              </w:tc>
              <w:tc>
                <w:tcPr>
                  <w:tcW w:w="317" w:type="pct"/>
                  <w:vMerge w:val="continue"/>
                  <w:vAlign w:val="center"/>
                </w:tcPr>
                <w:p w14:paraId="1DE8F9B6">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rPr>
                  </w:pPr>
                </w:p>
              </w:tc>
              <w:tc>
                <w:tcPr>
                  <w:tcW w:w="315" w:type="pct"/>
                  <w:vMerge w:val="continue"/>
                  <w:vAlign w:val="center"/>
                </w:tcPr>
                <w:p w14:paraId="6F2F8F8E">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c>
                <w:tcPr>
                  <w:tcW w:w="369" w:type="pct"/>
                  <w:vAlign w:val="center"/>
                </w:tcPr>
                <w:p w14:paraId="58878C25">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声压级</w:t>
                  </w:r>
                </w:p>
                <w:p w14:paraId="6CCCE6BA">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lang w:eastAsia="zh-CN"/>
                    </w:rPr>
                  </w:pPr>
                  <w:r>
                    <w:rPr>
                      <w:rFonts w:hint="default" w:ascii="Times New Roman" w:hAnsi="Times New Roman" w:eastAsia="宋体" w:cs="Times New Roman"/>
                      <w:smallCaps w:val="0"/>
                      <w:color w:val="auto"/>
                      <w:spacing w:val="0"/>
                      <w:w w:val="100"/>
                      <w:sz w:val="21"/>
                      <w:szCs w:val="21"/>
                      <w:highlight w:val="none"/>
                    </w:rPr>
                    <w:t>/dB</w:t>
                  </w:r>
                  <w:r>
                    <w:rPr>
                      <w:rFonts w:hint="default" w:ascii="Times New Roman" w:hAnsi="Times New Roman" w:eastAsia="宋体" w:cs="Times New Roman"/>
                      <w:smallCaps w:val="0"/>
                      <w:color w:val="auto"/>
                      <w:spacing w:val="0"/>
                      <w:w w:val="100"/>
                      <w:sz w:val="21"/>
                      <w:szCs w:val="21"/>
                      <w:highlight w:val="none"/>
                      <w:lang w:eastAsia="zh-CN"/>
                    </w:rPr>
                    <w:t>（</w:t>
                  </w:r>
                  <w:r>
                    <w:rPr>
                      <w:rFonts w:hint="default" w:ascii="Times New Roman" w:hAnsi="Times New Roman" w:eastAsia="宋体" w:cs="Times New Roman"/>
                      <w:smallCaps w:val="0"/>
                      <w:color w:val="auto"/>
                      <w:spacing w:val="0"/>
                      <w:w w:val="100"/>
                      <w:sz w:val="21"/>
                      <w:szCs w:val="21"/>
                      <w:highlight w:val="none"/>
                    </w:rPr>
                    <w:t>A</w:t>
                  </w:r>
                  <w:r>
                    <w:rPr>
                      <w:rFonts w:hint="default" w:ascii="Times New Roman" w:hAnsi="Times New Roman" w:eastAsia="宋体" w:cs="Times New Roman"/>
                      <w:smallCaps w:val="0"/>
                      <w:color w:val="auto"/>
                      <w:spacing w:val="0"/>
                      <w:w w:val="100"/>
                      <w:sz w:val="21"/>
                      <w:szCs w:val="21"/>
                      <w:highlight w:val="none"/>
                      <w:lang w:eastAsia="zh-CN"/>
                    </w:rPr>
                    <w:t>）</w:t>
                  </w:r>
                </w:p>
              </w:tc>
              <w:tc>
                <w:tcPr>
                  <w:tcW w:w="257" w:type="pct"/>
                  <w:vAlign w:val="center"/>
                </w:tcPr>
                <w:p w14:paraId="483F5010">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建筑</w:t>
                  </w:r>
                </w:p>
                <w:p w14:paraId="100B4DF3">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r>
                    <w:rPr>
                      <w:rFonts w:hint="default" w:ascii="Times New Roman" w:hAnsi="Times New Roman" w:eastAsia="宋体" w:cs="Times New Roman"/>
                      <w:smallCaps w:val="0"/>
                      <w:color w:val="auto"/>
                      <w:spacing w:val="0"/>
                      <w:w w:val="100"/>
                      <w:sz w:val="21"/>
                      <w:szCs w:val="21"/>
                      <w:highlight w:val="none"/>
                    </w:rPr>
                    <w:t>物外距离</w:t>
                  </w:r>
                </w:p>
              </w:tc>
              <w:tc>
                <w:tcPr>
                  <w:tcW w:w="434" w:type="pct"/>
                  <w:vMerge w:val="continue"/>
                  <w:vAlign w:val="center"/>
                </w:tcPr>
                <w:p w14:paraId="4878372E">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r>
            <w:tr w14:paraId="1EB3D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vAlign w:val="center"/>
                </w:tcPr>
                <w:p w14:paraId="288975AC">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default" w:ascii="Times New Roman" w:hAnsi="Times New Roman" w:eastAsia="宋体" w:cs="Times New Roman"/>
                      <w:smallCaps w:val="0"/>
                      <w:color w:val="auto"/>
                      <w:spacing w:val="0"/>
                      <w:w w:val="100"/>
                      <w:sz w:val="21"/>
                      <w:szCs w:val="21"/>
                      <w:highlight w:val="none"/>
                      <w:lang w:val="en-US" w:eastAsia="zh-CN"/>
                    </w:rPr>
                    <w:t>1</w:t>
                  </w:r>
                </w:p>
              </w:tc>
              <w:tc>
                <w:tcPr>
                  <w:tcW w:w="254" w:type="pct"/>
                  <w:vMerge w:val="restart"/>
                  <w:vAlign w:val="center"/>
                </w:tcPr>
                <w:p w14:paraId="1DA1C193">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eastAsia" w:cs="Times New Roman"/>
                      <w:smallCaps w:val="0"/>
                      <w:color w:val="auto"/>
                      <w:spacing w:val="0"/>
                      <w:w w:val="100"/>
                      <w:kern w:val="2"/>
                      <w:sz w:val="21"/>
                      <w:szCs w:val="21"/>
                      <w:highlight w:val="none"/>
                      <w:lang w:val="en-US" w:eastAsia="zh-CN"/>
                    </w:rPr>
                    <w:t>1#生产车间</w:t>
                  </w:r>
                </w:p>
              </w:tc>
              <w:tc>
                <w:tcPr>
                  <w:tcW w:w="419" w:type="pct"/>
                  <w:shd w:val="clear" w:color="auto" w:fill="auto"/>
                  <w:vAlign w:val="center"/>
                </w:tcPr>
                <w:p w14:paraId="0315577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修磨机</w:t>
                  </w:r>
                </w:p>
              </w:tc>
              <w:tc>
                <w:tcPr>
                  <w:tcW w:w="518" w:type="pct"/>
                  <w:shd w:val="clear" w:color="auto" w:fill="auto"/>
                  <w:vAlign w:val="center"/>
                </w:tcPr>
                <w:p w14:paraId="081919C7">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MG200-H6-12/314</w:t>
                  </w:r>
                </w:p>
              </w:tc>
              <w:tc>
                <w:tcPr>
                  <w:tcW w:w="331" w:type="pct"/>
                  <w:shd w:val="clear" w:color="auto" w:fill="auto"/>
                  <w:vAlign w:val="center"/>
                </w:tcPr>
                <w:p w14:paraId="6473B7C4">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85</w:t>
                  </w:r>
                </w:p>
              </w:tc>
              <w:tc>
                <w:tcPr>
                  <w:tcW w:w="308" w:type="pct"/>
                  <w:vMerge w:val="restart"/>
                  <w:vAlign w:val="center"/>
                </w:tcPr>
                <w:p w14:paraId="02AC506C">
                  <w:pPr>
                    <w:pStyle w:val="67"/>
                    <w:keepNext w:val="0"/>
                    <w:keepLines w:val="0"/>
                    <w:pageBreakBefore w:val="0"/>
                    <w:suppressLineNumbers w:val="0"/>
                    <w:wordWrap/>
                    <w:bidi w:val="0"/>
                    <w:spacing w:before="0" w:beforeAutospacing="0" w:after="0" w:afterAutospacing="0" w:line="240" w:lineRule="auto"/>
                    <w:ind w:left="0" w:right="0"/>
                    <w:jc w:val="center"/>
                    <w:rPr>
                      <w:rFonts w:hint="eastAsia" w:ascii="Times New Roman" w:hAnsi="Times New Roman" w:eastAsia="宋体" w:cs="Times New Roman"/>
                      <w:smallCaps w:val="0"/>
                      <w:color w:val="auto"/>
                      <w:spacing w:val="0"/>
                      <w:w w:val="100"/>
                      <w:sz w:val="21"/>
                      <w:szCs w:val="21"/>
                      <w:highlight w:val="none"/>
                      <w:lang w:eastAsia="zh-CN"/>
                    </w:rPr>
                  </w:pPr>
                  <w:r>
                    <w:rPr>
                      <w:rFonts w:hint="eastAsia" w:cs="Times New Roman"/>
                      <w:smallCaps w:val="0"/>
                      <w:color w:val="auto"/>
                      <w:spacing w:val="0"/>
                      <w:w w:val="100"/>
                      <w:sz w:val="21"/>
                      <w:szCs w:val="21"/>
                      <w:highlight w:val="none"/>
                      <w:lang w:eastAsia="zh-CN"/>
                    </w:rPr>
                    <w:t>选用低噪声设备，基础减振，车间隔声，合理布局、夜间不生产等措施</w:t>
                  </w:r>
                </w:p>
                <w:p w14:paraId="57A30571">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2"/>
                      <w:sz w:val="21"/>
                      <w:szCs w:val="21"/>
                      <w:highlight w:val="none"/>
                      <w:lang w:val="en-US" w:eastAsia="zh-CN" w:bidi="ar-SA"/>
                    </w:rPr>
                  </w:pPr>
                </w:p>
                <w:p w14:paraId="748591D4">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842" w:type="dxa"/>
                  <w:vAlign w:val="center"/>
                </w:tcPr>
                <w:p w14:paraId="64AE7F87">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303.07</w:t>
                  </w:r>
                </w:p>
              </w:tc>
              <w:tc>
                <w:tcPr>
                  <w:tcW w:w="842" w:type="dxa"/>
                  <w:vAlign w:val="center"/>
                </w:tcPr>
                <w:p w14:paraId="4DAFF56D">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82.99</w:t>
                  </w:r>
                </w:p>
              </w:tc>
              <w:tc>
                <w:tcPr>
                  <w:tcW w:w="365" w:type="pct"/>
                  <w:vAlign w:val="center"/>
                </w:tcPr>
                <w:p w14:paraId="5F667E8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1.2</w:t>
                  </w:r>
                </w:p>
              </w:tc>
              <w:tc>
                <w:tcPr>
                  <w:tcW w:w="842" w:type="dxa"/>
                  <w:vAlign w:val="center"/>
                </w:tcPr>
                <w:p w14:paraId="13521DC4">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12 </w:t>
                  </w:r>
                </w:p>
              </w:tc>
              <w:tc>
                <w:tcPr>
                  <w:tcW w:w="842" w:type="dxa"/>
                  <w:vAlign w:val="center"/>
                </w:tcPr>
                <w:p w14:paraId="1C581C75">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71.33</w:t>
                  </w:r>
                </w:p>
              </w:tc>
              <w:tc>
                <w:tcPr>
                  <w:tcW w:w="315" w:type="pct"/>
                  <w:vAlign w:val="center"/>
                </w:tcPr>
                <w:p w14:paraId="20458BA9">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vAlign w:val="center"/>
                </w:tcPr>
                <w:p w14:paraId="07CC3A0E">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45.33</w:t>
                  </w:r>
                </w:p>
              </w:tc>
              <w:tc>
                <w:tcPr>
                  <w:tcW w:w="257" w:type="pct"/>
                  <w:vAlign w:val="center"/>
                </w:tcPr>
                <w:p w14:paraId="412E017D">
                  <w:pPr>
                    <w:keepNext w:val="0"/>
                    <w:keepLines w:val="0"/>
                    <w:pageBreakBefore w:val="0"/>
                    <w:widowControl/>
                    <w:suppressLineNumbers w:val="0"/>
                    <w:wordWrap/>
                    <w:bidi w:val="0"/>
                    <w:spacing w:before="0" w:beforeAutospacing="0" w:after="0" w:afterAutospacing="0" w:line="240" w:lineRule="auto"/>
                    <w:ind w:left="0" w:right="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vAlign w:val="center"/>
                </w:tcPr>
                <w:p w14:paraId="2BC1D068">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3D330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vAlign w:val="center"/>
                </w:tcPr>
                <w:p w14:paraId="42BCCE06">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2</w:t>
                  </w:r>
                </w:p>
              </w:tc>
              <w:tc>
                <w:tcPr>
                  <w:tcW w:w="254" w:type="pct"/>
                  <w:vMerge w:val="continue"/>
                  <w:vAlign w:val="center"/>
                </w:tcPr>
                <w:p w14:paraId="27572AC0">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c>
                <w:tcPr>
                  <w:tcW w:w="419" w:type="pct"/>
                  <w:shd w:val="clear" w:color="auto" w:fill="auto"/>
                  <w:vAlign w:val="center"/>
                </w:tcPr>
                <w:p w14:paraId="2F7223C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olor w:val="auto"/>
                      <w:sz w:val="21"/>
                      <w:szCs w:val="21"/>
                      <w:highlight w:val="none"/>
                      <w:vertAlign w:val="baseline"/>
                      <w:lang w:val="en-US" w:eastAsia="zh-CN"/>
                    </w:rPr>
                    <w:t>修磨机</w:t>
                  </w:r>
                </w:p>
              </w:tc>
              <w:tc>
                <w:tcPr>
                  <w:tcW w:w="518" w:type="pct"/>
                  <w:shd w:val="clear" w:color="auto" w:fill="auto"/>
                  <w:vAlign w:val="center"/>
                </w:tcPr>
                <w:p w14:paraId="40D8551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olor w:val="auto"/>
                      <w:sz w:val="21"/>
                      <w:szCs w:val="21"/>
                      <w:highlight w:val="none"/>
                      <w:vertAlign w:val="baseline"/>
                      <w:lang w:val="en-US" w:eastAsia="zh-CN"/>
                    </w:rPr>
                    <w:t>MG200-H6-12/314</w:t>
                  </w:r>
                </w:p>
              </w:tc>
              <w:tc>
                <w:tcPr>
                  <w:tcW w:w="331" w:type="pct"/>
                  <w:shd w:val="clear" w:color="auto" w:fill="auto"/>
                  <w:vAlign w:val="center"/>
                </w:tcPr>
                <w:p w14:paraId="7E2EB5A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85</w:t>
                  </w:r>
                </w:p>
              </w:tc>
              <w:tc>
                <w:tcPr>
                  <w:tcW w:w="308" w:type="pct"/>
                  <w:vMerge w:val="continue"/>
                  <w:vAlign w:val="center"/>
                </w:tcPr>
                <w:p w14:paraId="50BB0A34">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sz w:val="21"/>
                      <w:szCs w:val="21"/>
                      <w:highlight w:val="none"/>
                    </w:rPr>
                  </w:pPr>
                </w:p>
              </w:tc>
              <w:tc>
                <w:tcPr>
                  <w:tcW w:w="842" w:type="dxa"/>
                  <w:vAlign w:val="center"/>
                </w:tcPr>
                <w:p w14:paraId="62C6CCFA">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280.27</w:t>
                  </w:r>
                </w:p>
              </w:tc>
              <w:tc>
                <w:tcPr>
                  <w:tcW w:w="842" w:type="dxa"/>
                  <w:vAlign w:val="center"/>
                </w:tcPr>
                <w:p w14:paraId="69A1193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73.31</w:t>
                  </w:r>
                </w:p>
              </w:tc>
              <w:tc>
                <w:tcPr>
                  <w:tcW w:w="365" w:type="pct"/>
                  <w:vAlign w:val="center"/>
                </w:tcPr>
                <w:p w14:paraId="6A94173F">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1.2</w:t>
                  </w:r>
                </w:p>
              </w:tc>
              <w:tc>
                <w:tcPr>
                  <w:tcW w:w="842" w:type="dxa"/>
                  <w:vAlign w:val="center"/>
                </w:tcPr>
                <w:p w14:paraId="5ABB4666">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9 </w:t>
                  </w:r>
                </w:p>
              </w:tc>
              <w:tc>
                <w:tcPr>
                  <w:tcW w:w="842" w:type="dxa"/>
                  <w:vAlign w:val="center"/>
                </w:tcPr>
                <w:p w14:paraId="2B9E12B6">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71.37</w:t>
                  </w:r>
                </w:p>
              </w:tc>
              <w:tc>
                <w:tcPr>
                  <w:tcW w:w="315" w:type="pct"/>
                  <w:vAlign w:val="center"/>
                </w:tcPr>
                <w:p w14:paraId="4F103801">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vAlign w:val="center"/>
                </w:tcPr>
                <w:p w14:paraId="467E4E55">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45.37</w:t>
                  </w:r>
                </w:p>
              </w:tc>
              <w:tc>
                <w:tcPr>
                  <w:tcW w:w="257" w:type="pct"/>
                  <w:vAlign w:val="center"/>
                </w:tcPr>
                <w:p w14:paraId="429A580C">
                  <w:pPr>
                    <w:keepNext w:val="0"/>
                    <w:keepLines w:val="0"/>
                    <w:pageBreakBefore w:val="0"/>
                    <w:widowControl/>
                    <w:suppressLineNumbers w:val="0"/>
                    <w:wordWrap/>
                    <w:bidi w:val="0"/>
                    <w:spacing w:before="0" w:beforeAutospacing="0" w:after="0" w:afterAutospacing="0" w:line="240" w:lineRule="auto"/>
                    <w:ind w:left="0" w:right="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vAlign w:val="center"/>
                </w:tcPr>
                <w:p w14:paraId="05F38828">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276D9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vAlign w:val="center"/>
                </w:tcPr>
                <w:p w14:paraId="53CEAAD2">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3</w:t>
                  </w:r>
                </w:p>
              </w:tc>
              <w:tc>
                <w:tcPr>
                  <w:tcW w:w="254" w:type="pct"/>
                  <w:vMerge w:val="continue"/>
                  <w:vAlign w:val="center"/>
                </w:tcPr>
                <w:p w14:paraId="2E644671">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419" w:type="pct"/>
                  <w:shd w:val="clear" w:color="auto" w:fill="auto"/>
                  <w:vAlign w:val="center"/>
                </w:tcPr>
                <w:p w14:paraId="662A752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olor w:val="auto"/>
                      <w:sz w:val="21"/>
                      <w:szCs w:val="21"/>
                      <w:highlight w:val="none"/>
                      <w:vertAlign w:val="baseline"/>
                      <w:lang w:val="en-US" w:eastAsia="zh-CN"/>
                    </w:rPr>
                    <w:t>修磨机</w:t>
                  </w:r>
                </w:p>
              </w:tc>
              <w:tc>
                <w:tcPr>
                  <w:tcW w:w="518" w:type="pct"/>
                  <w:shd w:val="clear" w:color="auto" w:fill="auto"/>
                  <w:vAlign w:val="center"/>
                </w:tcPr>
                <w:p w14:paraId="5AF4A148">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olor w:val="auto"/>
                      <w:sz w:val="21"/>
                      <w:szCs w:val="21"/>
                      <w:highlight w:val="none"/>
                      <w:vertAlign w:val="baseline"/>
                      <w:lang w:val="en-US" w:eastAsia="zh-CN"/>
                    </w:rPr>
                    <w:t>MG200-H6-12/314</w:t>
                  </w:r>
                </w:p>
              </w:tc>
              <w:tc>
                <w:tcPr>
                  <w:tcW w:w="331" w:type="pct"/>
                  <w:shd w:val="clear" w:color="auto" w:fill="auto"/>
                  <w:vAlign w:val="center"/>
                </w:tcPr>
                <w:p w14:paraId="57BE48B6">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85</w:t>
                  </w:r>
                </w:p>
              </w:tc>
              <w:tc>
                <w:tcPr>
                  <w:tcW w:w="308" w:type="pct"/>
                  <w:vMerge w:val="continue"/>
                  <w:vAlign w:val="center"/>
                </w:tcPr>
                <w:p w14:paraId="44D68E51">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842" w:type="dxa"/>
                  <w:vAlign w:val="center"/>
                </w:tcPr>
                <w:p w14:paraId="2A185755">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257.46</w:t>
                  </w:r>
                </w:p>
              </w:tc>
              <w:tc>
                <w:tcPr>
                  <w:tcW w:w="842" w:type="dxa"/>
                  <w:vAlign w:val="center"/>
                </w:tcPr>
                <w:p w14:paraId="3B726DE0">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65.71</w:t>
                  </w:r>
                </w:p>
              </w:tc>
              <w:tc>
                <w:tcPr>
                  <w:tcW w:w="365" w:type="pct"/>
                  <w:vAlign w:val="center"/>
                </w:tcPr>
                <w:p w14:paraId="632A2F30">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1.2</w:t>
                  </w:r>
                </w:p>
              </w:tc>
              <w:tc>
                <w:tcPr>
                  <w:tcW w:w="842" w:type="dxa"/>
                  <w:vAlign w:val="center"/>
                </w:tcPr>
                <w:p w14:paraId="395342DE">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 </w:t>
                  </w:r>
                </w:p>
              </w:tc>
              <w:tc>
                <w:tcPr>
                  <w:tcW w:w="842" w:type="dxa"/>
                  <w:vAlign w:val="center"/>
                </w:tcPr>
                <w:p w14:paraId="60165994">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71.35</w:t>
                  </w:r>
                </w:p>
              </w:tc>
              <w:tc>
                <w:tcPr>
                  <w:tcW w:w="315" w:type="pct"/>
                  <w:vAlign w:val="center"/>
                </w:tcPr>
                <w:p w14:paraId="7C5EDBDA">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vAlign w:val="center"/>
                </w:tcPr>
                <w:p w14:paraId="71E7556E">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45.35</w:t>
                  </w:r>
                </w:p>
              </w:tc>
              <w:tc>
                <w:tcPr>
                  <w:tcW w:w="257" w:type="pct"/>
                  <w:vAlign w:val="center"/>
                </w:tcPr>
                <w:p w14:paraId="4F57F8A2">
                  <w:pPr>
                    <w:keepNext w:val="0"/>
                    <w:keepLines w:val="0"/>
                    <w:pageBreakBefore w:val="0"/>
                    <w:widowControl/>
                    <w:suppressLineNumbers w:val="0"/>
                    <w:wordWrap/>
                    <w:bidi w:val="0"/>
                    <w:spacing w:before="0" w:beforeAutospacing="0" w:after="0" w:afterAutospacing="0" w:line="240" w:lineRule="auto"/>
                    <w:ind w:left="0" w:right="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vAlign w:val="center"/>
                </w:tcPr>
                <w:p w14:paraId="3A98366A">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rPr>
                  </w:pPr>
                  <w:r>
                    <w:rPr>
                      <w:rFonts w:hint="eastAsia" w:cs="Times New Roman"/>
                      <w:smallCaps w:val="0"/>
                      <w:color w:val="auto"/>
                      <w:spacing w:val="0"/>
                      <w:w w:val="100"/>
                      <w:sz w:val="21"/>
                      <w:szCs w:val="21"/>
                      <w:highlight w:val="none"/>
                      <w:lang w:val="en-US" w:eastAsia="zh-CN"/>
                    </w:rPr>
                    <w:t>24</w:t>
                  </w:r>
                </w:p>
              </w:tc>
            </w:tr>
            <w:tr w14:paraId="7DFD9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vAlign w:val="center"/>
                </w:tcPr>
                <w:p w14:paraId="556528BA">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4</w:t>
                  </w:r>
                </w:p>
              </w:tc>
              <w:tc>
                <w:tcPr>
                  <w:tcW w:w="254" w:type="pct"/>
                  <w:vMerge w:val="continue"/>
                  <w:vAlign w:val="center"/>
                </w:tcPr>
                <w:p w14:paraId="2E663DC8">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419" w:type="pct"/>
                  <w:shd w:val="clear" w:color="auto" w:fill="auto"/>
                  <w:vAlign w:val="center"/>
                </w:tcPr>
                <w:p w14:paraId="08E133E3">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olor w:val="auto"/>
                      <w:sz w:val="21"/>
                      <w:szCs w:val="21"/>
                      <w:highlight w:val="none"/>
                      <w:vertAlign w:val="baseline"/>
                      <w:lang w:val="en-US" w:eastAsia="zh-CN"/>
                    </w:rPr>
                    <w:t>修磨机</w:t>
                  </w:r>
                </w:p>
              </w:tc>
              <w:tc>
                <w:tcPr>
                  <w:tcW w:w="518" w:type="pct"/>
                  <w:shd w:val="clear" w:color="auto" w:fill="auto"/>
                  <w:vAlign w:val="center"/>
                </w:tcPr>
                <w:p w14:paraId="7F8BA78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olor w:val="auto"/>
                      <w:sz w:val="21"/>
                      <w:szCs w:val="21"/>
                      <w:highlight w:val="none"/>
                      <w:vertAlign w:val="baseline"/>
                      <w:lang w:val="en-US" w:eastAsia="zh-CN"/>
                    </w:rPr>
                    <w:t>MG200-H6-12/314</w:t>
                  </w:r>
                </w:p>
              </w:tc>
              <w:tc>
                <w:tcPr>
                  <w:tcW w:w="331" w:type="pct"/>
                  <w:shd w:val="clear" w:color="auto" w:fill="auto"/>
                  <w:vAlign w:val="center"/>
                </w:tcPr>
                <w:p w14:paraId="1444ADF1">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85</w:t>
                  </w:r>
                </w:p>
              </w:tc>
              <w:tc>
                <w:tcPr>
                  <w:tcW w:w="308" w:type="pct"/>
                  <w:vMerge w:val="continue"/>
                  <w:vAlign w:val="center"/>
                </w:tcPr>
                <w:p w14:paraId="6370F8BB">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842" w:type="dxa"/>
                  <w:vAlign w:val="center"/>
                </w:tcPr>
                <w:p w14:paraId="09D62EA4">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227.75</w:t>
                  </w:r>
                </w:p>
              </w:tc>
              <w:tc>
                <w:tcPr>
                  <w:tcW w:w="842" w:type="dxa"/>
                  <w:vAlign w:val="center"/>
                </w:tcPr>
                <w:p w14:paraId="73A4ED98">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54.66</w:t>
                  </w:r>
                </w:p>
              </w:tc>
              <w:tc>
                <w:tcPr>
                  <w:tcW w:w="365" w:type="pct"/>
                  <w:vAlign w:val="center"/>
                </w:tcPr>
                <w:p w14:paraId="45A0B773">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1.2</w:t>
                  </w:r>
                </w:p>
              </w:tc>
              <w:tc>
                <w:tcPr>
                  <w:tcW w:w="842" w:type="dxa"/>
                  <w:vAlign w:val="center"/>
                </w:tcPr>
                <w:p w14:paraId="40F550A0">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9 </w:t>
                  </w:r>
                </w:p>
              </w:tc>
              <w:tc>
                <w:tcPr>
                  <w:tcW w:w="842" w:type="dxa"/>
                  <w:vAlign w:val="center"/>
                </w:tcPr>
                <w:p w14:paraId="596A1175">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71.37</w:t>
                  </w:r>
                </w:p>
              </w:tc>
              <w:tc>
                <w:tcPr>
                  <w:tcW w:w="315" w:type="pct"/>
                  <w:vAlign w:val="center"/>
                </w:tcPr>
                <w:p w14:paraId="113361E8">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vAlign w:val="center"/>
                </w:tcPr>
                <w:p w14:paraId="598039ED">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45.37</w:t>
                  </w:r>
                </w:p>
              </w:tc>
              <w:tc>
                <w:tcPr>
                  <w:tcW w:w="257" w:type="pct"/>
                  <w:vAlign w:val="center"/>
                </w:tcPr>
                <w:p w14:paraId="2681AC9E">
                  <w:pPr>
                    <w:keepNext w:val="0"/>
                    <w:keepLines w:val="0"/>
                    <w:pageBreakBefore w:val="0"/>
                    <w:widowControl/>
                    <w:suppressLineNumbers w:val="0"/>
                    <w:wordWrap/>
                    <w:bidi w:val="0"/>
                    <w:spacing w:before="0" w:beforeAutospacing="0" w:after="0" w:afterAutospacing="0" w:line="240" w:lineRule="auto"/>
                    <w:ind w:left="0" w:right="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vAlign w:val="center"/>
                </w:tcPr>
                <w:p w14:paraId="22E64E5E">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73682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vAlign w:val="center"/>
                </w:tcPr>
                <w:p w14:paraId="48F95C1A">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5</w:t>
                  </w:r>
                </w:p>
              </w:tc>
              <w:tc>
                <w:tcPr>
                  <w:tcW w:w="254" w:type="pct"/>
                  <w:vMerge w:val="continue"/>
                  <w:vAlign w:val="center"/>
                </w:tcPr>
                <w:p w14:paraId="2C0CBBCC">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419" w:type="pct"/>
                  <w:shd w:val="clear" w:color="auto" w:fill="auto"/>
                  <w:vAlign w:val="center"/>
                </w:tcPr>
                <w:p w14:paraId="1049639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修磨机</w:t>
                  </w:r>
                </w:p>
              </w:tc>
              <w:tc>
                <w:tcPr>
                  <w:tcW w:w="518" w:type="pct"/>
                  <w:shd w:val="clear" w:color="auto" w:fill="auto"/>
                  <w:vAlign w:val="center"/>
                </w:tcPr>
                <w:p w14:paraId="20EC9C0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MG200-H6-12/314</w:t>
                  </w:r>
                </w:p>
              </w:tc>
              <w:tc>
                <w:tcPr>
                  <w:tcW w:w="331" w:type="pct"/>
                  <w:shd w:val="clear" w:color="auto" w:fill="auto"/>
                  <w:vAlign w:val="center"/>
                </w:tcPr>
                <w:p w14:paraId="17377D3B">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85</w:t>
                  </w:r>
                </w:p>
              </w:tc>
              <w:tc>
                <w:tcPr>
                  <w:tcW w:w="308" w:type="pct"/>
                  <w:vMerge w:val="continue"/>
                  <w:vAlign w:val="center"/>
                </w:tcPr>
                <w:p w14:paraId="789AFEC9">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842" w:type="dxa"/>
                  <w:vAlign w:val="center"/>
                </w:tcPr>
                <w:p w14:paraId="286E3E80">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187.68</w:t>
                  </w:r>
                </w:p>
              </w:tc>
              <w:tc>
                <w:tcPr>
                  <w:tcW w:w="842" w:type="dxa"/>
                  <w:vAlign w:val="center"/>
                </w:tcPr>
                <w:p w14:paraId="618717FA">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41.53</w:t>
                  </w:r>
                </w:p>
              </w:tc>
              <w:tc>
                <w:tcPr>
                  <w:tcW w:w="365" w:type="pct"/>
                  <w:vAlign w:val="center"/>
                </w:tcPr>
                <w:p w14:paraId="2497D758">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1.2</w:t>
                  </w:r>
                </w:p>
              </w:tc>
              <w:tc>
                <w:tcPr>
                  <w:tcW w:w="842" w:type="dxa"/>
                  <w:vAlign w:val="center"/>
                </w:tcPr>
                <w:p w14:paraId="64E77704">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9 </w:t>
                  </w:r>
                </w:p>
              </w:tc>
              <w:tc>
                <w:tcPr>
                  <w:tcW w:w="842" w:type="dxa"/>
                  <w:vAlign w:val="center"/>
                </w:tcPr>
                <w:p w14:paraId="27C9490C">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71.37</w:t>
                  </w:r>
                </w:p>
              </w:tc>
              <w:tc>
                <w:tcPr>
                  <w:tcW w:w="315" w:type="pct"/>
                  <w:vAlign w:val="center"/>
                </w:tcPr>
                <w:p w14:paraId="7A5EC79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vAlign w:val="center"/>
                </w:tcPr>
                <w:p w14:paraId="1A771406">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45.37</w:t>
                  </w:r>
                </w:p>
              </w:tc>
              <w:tc>
                <w:tcPr>
                  <w:tcW w:w="257" w:type="pct"/>
                  <w:vAlign w:val="center"/>
                </w:tcPr>
                <w:p w14:paraId="35977966">
                  <w:pPr>
                    <w:keepNext w:val="0"/>
                    <w:keepLines w:val="0"/>
                    <w:pageBreakBefore w:val="0"/>
                    <w:widowControl/>
                    <w:suppressLineNumbers w:val="0"/>
                    <w:wordWrap/>
                    <w:bidi w:val="0"/>
                    <w:spacing w:before="0" w:beforeAutospacing="0" w:after="0" w:afterAutospacing="0" w:line="240" w:lineRule="auto"/>
                    <w:ind w:left="0" w:right="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vAlign w:val="center"/>
                </w:tcPr>
                <w:p w14:paraId="2E95AA74">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rPr>
                  </w:pPr>
                  <w:r>
                    <w:rPr>
                      <w:rFonts w:hint="eastAsia" w:cs="Times New Roman"/>
                      <w:smallCaps w:val="0"/>
                      <w:color w:val="auto"/>
                      <w:spacing w:val="0"/>
                      <w:w w:val="100"/>
                      <w:sz w:val="21"/>
                      <w:szCs w:val="21"/>
                      <w:highlight w:val="none"/>
                      <w:lang w:val="en-US" w:eastAsia="zh-CN"/>
                    </w:rPr>
                    <w:t>24</w:t>
                  </w:r>
                </w:p>
              </w:tc>
            </w:tr>
            <w:tr w14:paraId="162AE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vAlign w:val="center"/>
                </w:tcPr>
                <w:p w14:paraId="7AE15B5C">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6</w:t>
                  </w:r>
                </w:p>
              </w:tc>
              <w:tc>
                <w:tcPr>
                  <w:tcW w:w="254" w:type="pct"/>
                  <w:vMerge w:val="continue"/>
                  <w:vAlign w:val="center"/>
                </w:tcPr>
                <w:p w14:paraId="25F14B1D">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419" w:type="pct"/>
                  <w:shd w:val="clear" w:color="auto" w:fill="auto"/>
                  <w:vAlign w:val="center"/>
                </w:tcPr>
                <w:p w14:paraId="6DDBA52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无心车床</w:t>
                  </w:r>
                </w:p>
              </w:tc>
              <w:tc>
                <w:tcPr>
                  <w:tcW w:w="518" w:type="pct"/>
                  <w:shd w:val="clear" w:color="auto" w:fill="auto"/>
                  <w:vAlign w:val="center"/>
                </w:tcPr>
                <w:p w14:paraId="38E339C3">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WXC系列265CA</w:t>
                  </w:r>
                </w:p>
              </w:tc>
              <w:tc>
                <w:tcPr>
                  <w:tcW w:w="331" w:type="pct"/>
                  <w:shd w:val="clear" w:color="auto" w:fill="auto"/>
                  <w:vAlign w:val="center"/>
                </w:tcPr>
                <w:p w14:paraId="52369BEA">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80</w:t>
                  </w:r>
                </w:p>
              </w:tc>
              <w:tc>
                <w:tcPr>
                  <w:tcW w:w="308" w:type="pct"/>
                  <w:vMerge w:val="continue"/>
                  <w:vAlign w:val="center"/>
                </w:tcPr>
                <w:p w14:paraId="49B15647">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842" w:type="dxa"/>
                  <w:vAlign w:val="center"/>
                </w:tcPr>
                <w:p w14:paraId="397EF24D">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282.24</w:t>
                  </w:r>
                </w:p>
              </w:tc>
              <w:tc>
                <w:tcPr>
                  <w:tcW w:w="842" w:type="dxa"/>
                  <w:shd w:val="clear" w:color="auto" w:fill="auto"/>
                  <w:vAlign w:val="center"/>
                </w:tcPr>
                <w:p w14:paraId="10C4FC43">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115.61</w:t>
                  </w:r>
                </w:p>
              </w:tc>
              <w:tc>
                <w:tcPr>
                  <w:tcW w:w="365" w:type="pct"/>
                  <w:vAlign w:val="center"/>
                </w:tcPr>
                <w:p w14:paraId="1234832C">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1.1</w:t>
                  </w:r>
                </w:p>
              </w:tc>
              <w:tc>
                <w:tcPr>
                  <w:tcW w:w="842" w:type="dxa"/>
                  <w:vAlign w:val="center"/>
                </w:tcPr>
                <w:p w14:paraId="06FCCE84">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8 </w:t>
                  </w:r>
                </w:p>
              </w:tc>
              <w:tc>
                <w:tcPr>
                  <w:tcW w:w="842" w:type="dxa"/>
                  <w:vAlign w:val="center"/>
                </w:tcPr>
                <w:p w14:paraId="0E7D47D4">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66.38</w:t>
                  </w:r>
                </w:p>
              </w:tc>
              <w:tc>
                <w:tcPr>
                  <w:tcW w:w="315" w:type="pct"/>
                  <w:vAlign w:val="center"/>
                </w:tcPr>
                <w:p w14:paraId="05838608">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vAlign w:val="center"/>
                </w:tcPr>
                <w:p w14:paraId="3431118B">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40.38</w:t>
                  </w:r>
                </w:p>
              </w:tc>
              <w:tc>
                <w:tcPr>
                  <w:tcW w:w="257" w:type="pct"/>
                  <w:vAlign w:val="center"/>
                </w:tcPr>
                <w:p w14:paraId="648B81AC">
                  <w:pPr>
                    <w:keepNext w:val="0"/>
                    <w:keepLines w:val="0"/>
                    <w:pageBreakBefore w:val="0"/>
                    <w:widowControl/>
                    <w:suppressLineNumbers w:val="0"/>
                    <w:wordWrap/>
                    <w:bidi w:val="0"/>
                    <w:spacing w:before="0" w:beforeAutospacing="0" w:after="0" w:afterAutospacing="0" w:line="240" w:lineRule="auto"/>
                    <w:ind w:left="0" w:right="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vAlign w:val="center"/>
                </w:tcPr>
                <w:p w14:paraId="0496F664">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23B3A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4EB83366">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7</w:t>
                  </w:r>
                </w:p>
              </w:tc>
              <w:tc>
                <w:tcPr>
                  <w:tcW w:w="254" w:type="pct"/>
                  <w:vMerge w:val="continue"/>
                  <w:vAlign w:val="center"/>
                </w:tcPr>
                <w:p w14:paraId="64862D3A">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419" w:type="pct"/>
                  <w:shd w:val="clear" w:color="auto" w:fill="auto"/>
                  <w:vAlign w:val="center"/>
                </w:tcPr>
                <w:p w14:paraId="7A92056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无心车床</w:t>
                  </w:r>
                </w:p>
              </w:tc>
              <w:tc>
                <w:tcPr>
                  <w:tcW w:w="518" w:type="pct"/>
                  <w:shd w:val="clear" w:color="auto" w:fill="auto"/>
                  <w:vAlign w:val="center"/>
                </w:tcPr>
                <w:p w14:paraId="20C05282">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WXC系列265CA</w:t>
                  </w:r>
                </w:p>
              </w:tc>
              <w:tc>
                <w:tcPr>
                  <w:tcW w:w="331" w:type="pct"/>
                  <w:shd w:val="clear" w:color="auto" w:fill="auto"/>
                  <w:vAlign w:val="center"/>
                </w:tcPr>
                <w:p w14:paraId="687D9D62">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80</w:t>
                  </w:r>
                </w:p>
              </w:tc>
              <w:tc>
                <w:tcPr>
                  <w:tcW w:w="308" w:type="pct"/>
                  <w:vMerge w:val="continue"/>
                  <w:shd w:val="clear" w:color="auto" w:fill="auto"/>
                  <w:vAlign w:val="center"/>
                </w:tcPr>
                <w:p w14:paraId="4D134A7F">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842" w:type="dxa"/>
                  <w:shd w:val="clear" w:color="auto" w:fill="auto"/>
                  <w:vAlign w:val="center"/>
                </w:tcPr>
                <w:p w14:paraId="74973116">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291.24</w:t>
                  </w:r>
                </w:p>
              </w:tc>
              <w:tc>
                <w:tcPr>
                  <w:tcW w:w="842" w:type="dxa"/>
                  <w:shd w:val="clear" w:color="auto" w:fill="auto"/>
                  <w:vAlign w:val="center"/>
                </w:tcPr>
                <w:p w14:paraId="564F3621">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95.8</w:t>
                  </w:r>
                </w:p>
              </w:tc>
              <w:tc>
                <w:tcPr>
                  <w:tcW w:w="365" w:type="pct"/>
                  <w:shd w:val="clear" w:color="auto" w:fill="auto"/>
                  <w:vAlign w:val="center"/>
                </w:tcPr>
                <w:p w14:paraId="27784BA7">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1.1</w:t>
                  </w:r>
                </w:p>
              </w:tc>
              <w:tc>
                <w:tcPr>
                  <w:tcW w:w="842" w:type="dxa"/>
                  <w:shd w:val="clear" w:color="auto" w:fill="auto"/>
                  <w:vAlign w:val="center"/>
                </w:tcPr>
                <w:p w14:paraId="5D39273D">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26 </w:t>
                  </w:r>
                </w:p>
              </w:tc>
              <w:tc>
                <w:tcPr>
                  <w:tcW w:w="842" w:type="dxa"/>
                  <w:shd w:val="clear" w:color="auto" w:fill="auto"/>
                  <w:vAlign w:val="center"/>
                </w:tcPr>
                <w:p w14:paraId="74DB737F">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66.28</w:t>
                  </w:r>
                </w:p>
              </w:tc>
              <w:tc>
                <w:tcPr>
                  <w:tcW w:w="315" w:type="pct"/>
                  <w:shd w:val="clear" w:color="auto" w:fill="auto"/>
                  <w:vAlign w:val="center"/>
                </w:tcPr>
                <w:p w14:paraId="23B66405">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shd w:val="clear" w:color="auto" w:fill="auto"/>
                  <w:vAlign w:val="center"/>
                </w:tcPr>
                <w:p w14:paraId="0738E85B">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40.28</w:t>
                  </w:r>
                </w:p>
              </w:tc>
              <w:tc>
                <w:tcPr>
                  <w:tcW w:w="257" w:type="pct"/>
                  <w:shd w:val="clear" w:color="auto" w:fill="auto"/>
                  <w:vAlign w:val="center"/>
                </w:tcPr>
                <w:p w14:paraId="070F8ECF">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1E42B439">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24</w:t>
                  </w:r>
                </w:p>
              </w:tc>
            </w:tr>
            <w:tr w14:paraId="3B255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64C9C79F">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8</w:t>
                  </w:r>
                </w:p>
              </w:tc>
              <w:tc>
                <w:tcPr>
                  <w:tcW w:w="254" w:type="pct"/>
                  <w:vMerge w:val="continue"/>
                  <w:vAlign w:val="center"/>
                </w:tcPr>
                <w:p w14:paraId="4078147D">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419" w:type="pct"/>
                  <w:shd w:val="clear" w:color="auto" w:fill="auto"/>
                  <w:vAlign w:val="center"/>
                </w:tcPr>
                <w:p w14:paraId="752DF30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天车</w:t>
                  </w:r>
                </w:p>
              </w:tc>
              <w:tc>
                <w:tcPr>
                  <w:tcW w:w="518" w:type="pct"/>
                  <w:shd w:val="clear" w:color="auto" w:fill="auto"/>
                  <w:vAlign w:val="center"/>
                </w:tcPr>
                <w:p w14:paraId="1436751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w:t>
                  </w:r>
                </w:p>
              </w:tc>
              <w:tc>
                <w:tcPr>
                  <w:tcW w:w="331" w:type="pct"/>
                  <w:shd w:val="clear" w:color="auto" w:fill="auto"/>
                  <w:vAlign w:val="center"/>
                </w:tcPr>
                <w:p w14:paraId="33243D12">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75</w:t>
                  </w:r>
                </w:p>
              </w:tc>
              <w:tc>
                <w:tcPr>
                  <w:tcW w:w="308" w:type="pct"/>
                  <w:vMerge w:val="continue"/>
                  <w:vAlign w:val="center"/>
                </w:tcPr>
                <w:p w14:paraId="58FC4BC3">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842" w:type="dxa"/>
                  <w:shd w:val="clear" w:color="auto" w:fill="auto"/>
                  <w:vAlign w:val="center"/>
                </w:tcPr>
                <w:p w14:paraId="78E1A2EE">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288.84</w:t>
                  </w:r>
                </w:p>
              </w:tc>
              <w:tc>
                <w:tcPr>
                  <w:tcW w:w="842" w:type="dxa"/>
                  <w:shd w:val="clear" w:color="auto" w:fill="auto"/>
                  <w:vAlign w:val="center"/>
                </w:tcPr>
                <w:p w14:paraId="66B1A303">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121.01</w:t>
                  </w:r>
                </w:p>
              </w:tc>
              <w:tc>
                <w:tcPr>
                  <w:tcW w:w="365" w:type="pct"/>
                  <w:shd w:val="clear" w:color="auto" w:fill="auto"/>
                  <w:vAlign w:val="center"/>
                </w:tcPr>
                <w:p w14:paraId="11283A97">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7.5</w:t>
                  </w:r>
                </w:p>
              </w:tc>
              <w:tc>
                <w:tcPr>
                  <w:tcW w:w="842" w:type="dxa"/>
                  <w:shd w:val="clear" w:color="auto" w:fill="auto"/>
                  <w:vAlign w:val="center"/>
                </w:tcPr>
                <w:p w14:paraId="3B5A8BE5">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 </w:t>
                  </w:r>
                </w:p>
              </w:tc>
              <w:tc>
                <w:tcPr>
                  <w:tcW w:w="842" w:type="dxa"/>
                  <w:shd w:val="clear" w:color="auto" w:fill="auto"/>
                  <w:vAlign w:val="center"/>
                </w:tcPr>
                <w:p w14:paraId="17CE02D6">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61.52</w:t>
                  </w:r>
                </w:p>
              </w:tc>
              <w:tc>
                <w:tcPr>
                  <w:tcW w:w="315" w:type="pct"/>
                  <w:shd w:val="clear" w:color="auto" w:fill="auto"/>
                  <w:vAlign w:val="center"/>
                </w:tcPr>
                <w:p w14:paraId="402A3780">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shd w:val="clear" w:color="auto" w:fill="auto"/>
                  <w:vAlign w:val="center"/>
                </w:tcPr>
                <w:p w14:paraId="374523BD">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35.52</w:t>
                  </w:r>
                </w:p>
              </w:tc>
              <w:tc>
                <w:tcPr>
                  <w:tcW w:w="257" w:type="pct"/>
                  <w:shd w:val="clear" w:color="auto" w:fill="auto"/>
                  <w:vAlign w:val="center"/>
                </w:tcPr>
                <w:p w14:paraId="32D992C9">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7DD87719">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24</w:t>
                  </w:r>
                </w:p>
              </w:tc>
            </w:tr>
            <w:tr w14:paraId="04A1E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69A2EB2D">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9</w:t>
                  </w:r>
                </w:p>
              </w:tc>
              <w:tc>
                <w:tcPr>
                  <w:tcW w:w="254" w:type="pct"/>
                  <w:vMerge w:val="continue"/>
                  <w:vAlign w:val="center"/>
                </w:tcPr>
                <w:p w14:paraId="2CC159CE">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419" w:type="pct"/>
                  <w:shd w:val="clear" w:color="auto" w:fill="auto"/>
                  <w:vAlign w:val="center"/>
                </w:tcPr>
                <w:p w14:paraId="335A36E9">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天车</w:t>
                  </w:r>
                </w:p>
              </w:tc>
              <w:tc>
                <w:tcPr>
                  <w:tcW w:w="518" w:type="pct"/>
                  <w:shd w:val="clear" w:color="auto" w:fill="auto"/>
                  <w:vAlign w:val="center"/>
                </w:tcPr>
                <w:p w14:paraId="045B6471">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w:t>
                  </w:r>
                </w:p>
              </w:tc>
              <w:tc>
                <w:tcPr>
                  <w:tcW w:w="331" w:type="pct"/>
                  <w:shd w:val="clear" w:color="auto" w:fill="auto"/>
                  <w:vAlign w:val="center"/>
                </w:tcPr>
                <w:p w14:paraId="42AEE463">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75</w:t>
                  </w:r>
                </w:p>
              </w:tc>
              <w:tc>
                <w:tcPr>
                  <w:tcW w:w="308" w:type="pct"/>
                  <w:vMerge w:val="continue"/>
                  <w:shd w:val="clear" w:color="auto" w:fill="auto"/>
                  <w:vAlign w:val="center"/>
                </w:tcPr>
                <w:p w14:paraId="2DA4A559">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842" w:type="dxa"/>
                  <w:shd w:val="clear" w:color="auto" w:fill="auto"/>
                  <w:vAlign w:val="center"/>
                </w:tcPr>
                <w:p w14:paraId="1A82295F">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297.84</w:t>
                  </w:r>
                </w:p>
              </w:tc>
              <w:tc>
                <w:tcPr>
                  <w:tcW w:w="842" w:type="dxa"/>
                  <w:shd w:val="clear" w:color="auto" w:fill="auto"/>
                  <w:vAlign w:val="center"/>
                </w:tcPr>
                <w:p w14:paraId="4F14C9CE">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100.6</w:t>
                  </w:r>
                </w:p>
              </w:tc>
              <w:tc>
                <w:tcPr>
                  <w:tcW w:w="365" w:type="pct"/>
                  <w:shd w:val="clear" w:color="auto" w:fill="auto"/>
                  <w:vAlign w:val="center"/>
                </w:tcPr>
                <w:p w14:paraId="161374AF">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7.5</w:t>
                  </w:r>
                </w:p>
              </w:tc>
              <w:tc>
                <w:tcPr>
                  <w:tcW w:w="842" w:type="dxa"/>
                  <w:shd w:val="clear" w:color="auto" w:fill="auto"/>
                  <w:vAlign w:val="center"/>
                </w:tcPr>
                <w:p w14:paraId="46FA3F4A">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28 </w:t>
                  </w:r>
                </w:p>
              </w:tc>
              <w:tc>
                <w:tcPr>
                  <w:tcW w:w="842" w:type="dxa"/>
                  <w:shd w:val="clear" w:color="auto" w:fill="auto"/>
                  <w:vAlign w:val="center"/>
                </w:tcPr>
                <w:p w14:paraId="30D846C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61.28</w:t>
                  </w:r>
                </w:p>
              </w:tc>
              <w:tc>
                <w:tcPr>
                  <w:tcW w:w="315" w:type="pct"/>
                  <w:shd w:val="clear" w:color="auto" w:fill="auto"/>
                  <w:vAlign w:val="center"/>
                </w:tcPr>
                <w:p w14:paraId="6E65AA31">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shd w:val="clear" w:color="auto" w:fill="auto"/>
                  <w:vAlign w:val="center"/>
                </w:tcPr>
                <w:p w14:paraId="6FCAE2EA">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35.28</w:t>
                  </w:r>
                </w:p>
              </w:tc>
              <w:tc>
                <w:tcPr>
                  <w:tcW w:w="257" w:type="pct"/>
                  <w:shd w:val="clear" w:color="auto" w:fill="auto"/>
                  <w:vAlign w:val="center"/>
                </w:tcPr>
                <w:p w14:paraId="53FBDD75">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25812953">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24</w:t>
                  </w:r>
                </w:p>
              </w:tc>
            </w:tr>
            <w:tr w14:paraId="73621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vAlign w:val="center"/>
                </w:tcPr>
                <w:p w14:paraId="19C39542">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10</w:t>
                  </w:r>
                </w:p>
              </w:tc>
              <w:tc>
                <w:tcPr>
                  <w:tcW w:w="254" w:type="pct"/>
                  <w:vMerge w:val="continue"/>
                  <w:vAlign w:val="center"/>
                </w:tcPr>
                <w:p w14:paraId="50D808F1">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lang w:val="en-US" w:eastAsia="zh-CN"/>
                    </w:rPr>
                  </w:pPr>
                </w:p>
              </w:tc>
              <w:tc>
                <w:tcPr>
                  <w:tcW w:w="419" w:type="pct"/>
                  <w:shd w:val="clear" w:color="auto" w:fill="auto"/>
                  <w:vAlign w:val="center"/>
                </w:tcPr>
                <w:p w14:paraId="19F27576">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天车</w:t>
                  </w:r>
                </w:p>
              </w:tc>
              <w:tc>
                <w:tcPr>
                  <w:tcW w:w="518" w:type="pct"/>
                  <w:shd w:val="clear" w:color="auto" w:fill="auto"/>
                  <w:vAlign w:val="center"/>
                </w:tcPr>
                <w:p w14:paraId="53754760">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宋体" w:hAnsi="宋体" w:eastAsia="宋体" w:cs="宋体"/>
                      <w:i w:val="0"/>
                      <w:iCs w:val="0"/>
                      <w:color w:val="auto"/>
                      <w:kern w:val="2"/>
                      <w:sz w:val="21"/>
                      <w:szCs w:val="21"/>
                      <w:highlight w:val="none"/>
                      <w:u w:val="none"/>
                      <w:lang w:val="en-US" w:eastAsia="zh-CN" w:bidi="ar-SA"/>
                    </w:rPr>
                  </w:pPr>
                  <w:r>
                    <w:rPr>
                      <w:rFonts w:hint="eastAsia" w:cs="Times New Roman"/>
                      <w:color w:val="auto"/>
                      <w:kern w:val="2"/>
                      <w:sz w:val="21"/>
                      <w:szCs w:val="21"/>
                      <w:highlight w:val="none"/>
                      <w:vertAlign w:val="baseline"/>
                      <w:lang w:val="en-US" w:eastAsia="zh-CN" w:bidi="ar-SA"/>
                    </w:rPr>
                    <w:t>-</w:t>
                  </w:r>
                </w:p>
              </w:tc>
              <w:tc>
                <w:tcPr>
                  <w:tcW w:w="331" w:type="pct"/>
                  <w:shd w:val="clear" w:color="auto" w:fill="auto"/>
                  <w:vAlign w:val="center"/>
                </w:tcPr>
                <w:p w14:paraId="66BB113F">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75</w:t>
                  </w:r>
                </w:p>
              </w:tc>
              <w:tc>
                <w:tcPr>
                  <w:tcW w:w="308" w:type="pct"/>
                  <w:vMerge w:val="continue"/>
                  <w:vAlign w:val="center"/>
                </w:tcPr>
                <w:p w14:paraId="42D5AC90">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842" w:type="dxa"/>
                  <w:shd w:val="clear" w:color="auto" w:fill="auto"/>
                  <w:vAlign w:val="center"/>
                </w:tcPr>
                <w:p w14:paraId="4AC2A3F0">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249.23</w:t>
                  </w:r>
                </w:p>
              </w:tc>
              <w:tc>
                <w:tcPr>
                  <w:tcW w:w="842" w:type="dxa"/>
                  <w:shd w:val="clear" w:color="auto" w:fill="auto"/>
                  <w:vAlign w:val="center"/>
                </w:tcPr>
                <w:p w14:paraId="7E810DB4">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89.8</w:t>
                  </w:r>
                </w:p>
              </w:tc>
              <w:tc>
                <w:tcPr>
                  <w:tcW w:w="365" w:type="pct"/>
                  <w:shd w:val="clear" w:color="auto" w:fill="auto"/>
                  <w:vAlign w:val="center"/>
                </w:tcPr>
                <w:p w14:paraId="2FCEE0C1">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7.5</w:t>
                  </w:r>
                </w:p>
              </w:tc>
              <w:tc>
                <w:tcPr>
                  <w:tcW w:w="842" w:type="dxa"/>
                  <w:shd w:val="clear" w:color="auto" w:fill="auto"/>
                  <w:vAlign w:val="center"/>
                </w:tcPr>
                <w:p w14:paraId="0FC0D013">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17 </w:t>
                  </w:r>
                </w:p>
              </w:tc>
              <w:tc>
                <w:tcPr>
                  <w:tcW w:w="842" w:type="dxa"/>
                  <w:shd w:val="clear" w:color="auto" w:fill="auto"/>
                  <w:vAlign w:val="center"/>
                </w:tcPr>
                <w:p w14:paraId="39674FD4">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61.3</w:t>
                  </w:r>
                </w:p>
              </w:tc>
              <w:tc>
                <w:tcPr>
                  <w:tcW w:w="315" w:type="pct"/>
                  <w:shd w:val="clear" w:color="auto" w:fill="auto"/>
                  <w:vAlign w:val="center"/>
                </w:tcPr>
                <w:p w14:paraId="1FAA7117">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shd w:val="clear" w:color="auto" w:fill="auto"/>
                  <w:vAlign w:val="center"/>
                </w:tcPr>
                <w:p w14:paraId="32B689BC">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35.3</w:t>
                  </w:r>
                </w:p>
              </w:tc>
              <w:tc>
                <w:tcPr>
                  <w:tcW w:w="257" w:type="pct"/>
                  <w:shd w:val="clear" w:color="auto" w:fill="auto"/>
                  <w:vAlign w:val="center"/>
                </w:tcPr>
                <w:p w14:paraId="38C14B13">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32BAD247">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24</w:t>
                  </w:r>
                </w:p>
              </w:tc>
            </w:tr>
            <w:tr w14:paraId="1F769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653267CD">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11</w:t>
                  </w:r>
                </w:p>
              </w:tc>
              <w:tc>
                <w:tcPr>
                  <w:tcW w:w="254" w:type="pct"/>
                  <w:vMerge w:val="continue"/>
                  <w:vAlign w:val="center"/>
                </w:tcPr>
                <w:p w14:paraId="2F1D87D5">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lang w:val="en-US" w:eastAsia="zh-CN"/>
                    </w:rPr>
                  </w:pPr>
                </w:p>
              </w:tc>
              <w:tc>
                <w:tcPr>
                  <w:tcW w:w="419" w:type="pct"/>
                  <w:shd w:val="clear" w:color="auto" w:fill="auto"/>
                  <w:vAlign w:val="center"/>
                </w:tcPr>
                <w:p w14:paraId="5F0F0B94">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olor w:val="auto"/>
                      <w:sz w:val="21"/>
                      <w:szCs w:val="21"/>
                      <w:highlight w:val="none"/>
                      <w:vertAlign w:val="baseline"/>
                      <w:lang w:val="en-US" w:eastAsia="zh-CN"/>
                    </w:rPr>
                    <w:t>天车</w:t>
                  </w:r>
                </w:p>
              </w:tc>
              <w:tc>
                <w:tcPr>
                  <w:tcW w:w="518" w:type="pct"/>
                  <w:shd w:val="clear" w:color="auto" w:fill="auto"/>
                  <w:vAlign w:val="center"/>
                </w:tcPr>
                <w:p w14:paraId="1A71A37A">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w:t>
                  </w:r>
                </w:p>
              </w:tc>
              <w:tc>
                <w:tcPr>
                  <w:tcW w:w="331" w:type="pct"/>
                  <w:shd w:val="clear" w:color="auto" w:fill="auto"/>
                  <w:vAlign w:val="center"/>
                </w:tcPr>
                <w:p w14:paraId="4ED46B46">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75</w:t>
                  </w:r>
                </w:p>
              </w:tc>
              <w:tc>
                <w:tcPr>
                  <w:tcW w:w="308" w:type="pct"/>
                  <w:vMerge w:val="continue"/>
                  <w:vAlign w:val="center"/>
                </w:tcPr>
                <w:p w14:paraId="15A27544">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842" w:type="dxa"/>
                  <w:shd w:val="clear" w:color="auto" w:fill="auto"/>
                  <w:vAlign w:val="center"/>
                </w:tcPr>
                <w:p w14:paraId="08CD0B10">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222.22</w:t>
                  </w:r>
                </w:p>
              </w:tc>
              <w:tc>
                <w:tcPr>
                  <w:tcW w:w="842" w:type="dxa"/>
                  <w:shd w:val="clear" w:color="auto" w:fill="auto"/>
                  <w:vAlign w:val="center"/>
                </w:tcPr>
                <w:p w14:paraId="3227A905">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77.8</w:t>
                  </w:r>
                </w:p>
              </w:tc>
              <w:tc>
                <w:tcPr>
                  <w:tcW w:w="365" w:type="pct"/>
                  <w:shd w:val="clear" w:color="auto" w:fill="auto"/>
                  <w:vAlign w:val="center"/>
                </w:tcPr>
                <w:p w14:paraId="633F5B3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7.5</w:t>
                  </w:r>
                </w:p>
              </w:tc>
              <w:tc>
                <w:tcPr>
                  <w:tcW w:w="842" w:type="dxa"/>
                  <w:shd w:val="clear" w:color="auto" w:fill="auto"/>
                  <w:vAlign w:val="center"/>
                </w:tcPr>
                <w:p w14:paraId="5F0FC754">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23 </w:t>
                  </w:r>
                </w:p>
              </w:tc>
              <w:tc>
                <w:tcPr>
                  <w:tcW w:w="842" w:type="dxa"/>
                  <w:shd w:val="clear" w:color="auto" w:fill="auto"/>
                  <w:vAlign w:val="center"/>
                </w:tcPr>
                <w:p w14:paraId="56F7CD43">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61.29</w:t>
                  </w:r>
                </w:p>
              </w:tc>
              <w:tc>
                <w:tcPr>
                  <w:tcW w:w="315" w:type="pct"/>
                  <w:shd w:val="clear" w:color="auto" w:fill="auto"/>
                  <w:vAlign w:val="center"/>
                </w:tcPr>
                <w:p w14:paraId="124B875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shd w:val="clear" w:color="auto" w:fill="auto"/>
                  <w:vAlign w:val="center"/>
                </w:tcPr>
                <w:p w14:paraId="27CC622A">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35.29</w:t>
                  </w:r>
                </w:p>
              </w:tc>
              <w:tc>
                <w:tcPr>
                  <w:tcW w:w="257" w:type="pct"/>
                  <w:shd w:val="clear" w:color="auto" w:fill="auto"/>
                  <w:vAlign w:val="center"/>
                </w:tcPr>
                <w:p w14:paraId="36974C5E">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3825B791">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50413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0FAF4778">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12</w:t>
                  </w:r>
                </w:p>
              </w:tc>
              <w:tc>
                <w:tcPr>
                  <w:tcW w:w="254" w:type="pct"/>
                  <w:vMerge w:val="continue"/>
                  <w:vAlign w:val="center"/>
                </w:tcPr>
                <w:p w14:paraId="590E9D8F">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lang w:val="en-US" w:eastAsia="zh-CN"/>
                    </w:rPr>
                  </w:pPr>
                </w:p>
              </w:tc>
              <w:tc>
                <w:tcPr>
                  <w:tcW w:w="419" w:type="pct"/>
                  <w:shd w:val="clear" w:color="auto" w:fill="auto"/>
                  <w:vAlign w:val="center"/>
                </w:tcPr>
                <w:p w14:paraId="51322302">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天车</w:t>
                  </w:r>
                </w:p>
              </w:tc>
              <w:tc>
                <w:tcPr>
                  <w:tcW w:w="518" w:type="pct"/>
                  <w:shd w:val="clear" w:color="auto" w:fill="auto"/>
                  <w:vAlign w:val="center"/>
                </w:tcPr>
                <w:p w14:paraId="5623B8A4">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w:t>
                  </w:r>
                </w:p>
              </w:tc>
              <w:tc>
                <w:tcPr>
                  <w:tcW w:w="331" w:type="pct"/>
                  <w:shd w:val="clear" w:color="auto" w:fill="auto"/>
                  <w:vAlign w:val="center"/>
                </w:tcPr>
                <w:p w14:paraId="4F105598">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75</w:t>
                  </w:r>
                </w:p>
              </w:tc>
              <w:tc>
                <w:tcPr>
                  <w:tcW w:w="308" w:type="pct"/>
                  <w:vMerge w:val="continue"/>
                  <w:vAlign w:val="center"/>
                </w:tcPr>
                <w:p w14:paraId="28D896DE">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rPr>
                  </w:pPr>
                </w:p>
              </w:tc>
              <w:tc>
                <w:tcPr>
                  <w:tcW w:w="842" w:type="dxa"/>
                  <w:shd w:val="clear" w:color="auto" w:fill="auto"/>
                  <w:vAlign w:val="center"/>
                </w:tcPr>
                <w:p w14:paraId="410A7243">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186.22</w:t>
                  </w:r>
                </w:p>
              </w:tc>
              <w:tc>
                <w:tcPr>
                  <w:tcW w:w="842" w:type="dxa"/>
                  <w:shd w:val="clear" w:color="auto" w:fill="auto"/>
                  <w:vAlign w:val="center"/>
                </w:tcPr>
                <w:p w14:paraId="5E2F5185">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64</w:t>
                  </w:r>
                </w:p>
              </w:tc>
              <w:tc>
                <w:tcPr>
                  <w:tcW w:w="365" w:type="pct"/>
                  <w:shd w:val="clear" w:color="auto" w:fill="auto"/>
                  <w:vAlign w:val="center"/>
                </w:tcPr>
                <w:p w14:paraId="075A1DEC">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7.5</w:t>
                  </w:r>
                </w:p>
              </w:tc>
              <w:tc>
                <w:tcPr>
                  <w:tcW w:w="842" w:type="dxa"/>
                  <w:shd w:val="clear" w:color="auto" w:fill="auto"/>
                  <w:vAlign w:val="center"/>
                </w:tcPr>
                <w:p w14:paraId="0466149A">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24 </w:t>
                  </w:r>
                </w:p>
              </w:tc>
              <w:tc>
                <w:tcPr>
                  <w:tcW w:w="842" w:type="dxa"/>
                  <w:shd w:val="clear" w:color="auto" w:fill="auto"/>
                  <w:vAlign w:val="center"/>
                </w:tcPr>
                <w:p w14:paraId="3708862D">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61.29</w:t>
                  </w:r>
                </w:p>
              </w:tc>
              <w:tc>
                <w:tcPr>
                  <w:tcW w:w="315" w:type="pct"/>
                  <w:shd w:val="clear" w:color="auto" w:fill="auto"/>
                  <w:vAlign w:val="center"/>
                </w:tcPr>
                <w:p w14:paraId="3587BA0B">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shd w:val="clear" w:color="auto" w:fill="auto"/>
                  <w:vAlign w:val="center"/>
                </w:tcPr>
                <w:p w14:paraId="524F3DA5">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35.29</w:t>
                  </w:r>
                </w:p>
              </w:tc>
              <w:tc>
                <w:tcPr>
                  <w:tcW w:w="257" w:type="pct"/>
                  <w:shd w:val="clear" w:color="auto" w:fill="auto"/>
                  <w:vAlign w:val="center"/>
                </w:tcPr>
                <w:p w14:paraId="7A433090">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28FE81F7">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11D9B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38EC45C7">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13</w:t>
                  </w:r>
                </w:p>
              </w:tc>
              <w:tc>
                <w:tcPr>
                  <w:tcW w:w="254" w:type="pct"/>
                  <w:vMerge w:val="continue"/>
                  <w:vAlign w:val="center"/>
                </w:tcPr>
                <w:p w14:paraId="3D3CCFDC">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lang w:val="en-US" w:eastAsia="zh-CN"/>
                    </w:rPr>
                  </w:pPr>
                </w:p>
              </w:tc>
              <w:tc>
                <w:tcPr>
                  <w:tcW w:w="419" w:type="pct"/>
                  <w:shd w:val="clear" w:color="auto" w:fill="auto"/>
                  <w:vAlign w:val="center"/>
                </w:tcPr>
                <w:p w14:paraId="09A7022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矫直机</w:t>
                  </w:r>
                </w:p>
              </w:tc>
              <w:tc>
                <w:tcPr>
                  <w:tcW w:w="518" w:type="pct"/>
                  <w:shd w:val="clear" w:color="auto" w:fill="auto"/>
                  <w:vAlign w:val="center"/>
                </w:tcPr>
                <w:p w14:paraId="0B7E042A">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700kw</w:t>
                  </w:r>
                </w:p>
              </w:tc>
              <w:tc>
                <w:tcPr>
                  <w:tcW w:w="331" w:type="pct"/>
                  <w:shd w:val="clear" w:color="auto" w:fill="auto"/>
                  <w:vAlign w:val="center"/>
                </w:tcPr>
                <w:p w14:paraId="2D324DC3">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85</w:t>
                  </w:r>
                </w:p>
              </w:tc>
              <w:tc>
                <w:tcPr>
                  <w:tcW w:w="308" w:type="pct"/>
                  <w:vMerge w:val="continue"/>
                  <w:shd w:val="clear" w:color="auto" w:fill="auto"/>
                  <w:vAlign w:val="center"/>
                </w:tcPr>
                <w:p w14:paraId="1504B564">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2"/>
                      <w:sz w:val="21"/>
                      <w:szCs w:val="21"/>
                      <w:highlight w:val="none"/>
                      <w:lang w:val="en-US" w:eastAsia="zh-CN" w:bidi="ar-SA"/>
                    </w:rPr>
                  </w:pPr>
                </w:p>
              </w:tc>
              <w:tc>
                <w:tcPr>
                  <w:tcW w:w="842" w:type="dxa"/>
                  <w:shd w:val="clear" w:color="auto" w:fill="auto"/>
                  <w:vAlign w:val="center"/>
                </w:tcPr>
                <w:p w14:paraId="73DEA73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238.43</w:t>
                  </w:r>
                </w:p>
              </w:tc>
              <w:tc>
                <w:tcPr>
                  <w:tcW w:w="842" w:type="dxa"/>
                  <w:shd w:val="clear" w:color="auto" w:fill="auto"/>
                  <w:vAlign w:val="center"/>
                </w:tcPr>
                <w:p w14:paraId="7BF3ECC0">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83.8</w:t>
                  </w:r>
                </w:p>
              </w:tc>
              <w:tc>
                <w:tcPr>
                  <w:tcW w:w="365" w:type="pct"/>
                  <w:shd w:val="clear" w:color="auto" w:fill="auto"/>
                  <w:vAlign w:val="center"/>
                </w:tcPr>
                <w:p w14:paraId="4C3260F4">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1.3</w:t>
                  </w:r>
                </w:p>
              </w:tc>
              <w:tc>
                <w:tcPr>
                  <w:tcW w:w="842" w:type="dxa"/>
                  <w:shd w:val="clear" w:color="auto" w:fill="auto"/>
                  <w:vAlign w:val="center"/>
                </w:tcPr>
                <w:p w14:paraId="742DB544">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23 </w:t>
                  </w:r>
                </w:p>
              </w:tc>
              <w:tc>
                <w:tcPr>
                  <w:tcW w:w="842" w:type="dxa"/>
                  <w:shd w:val="clear" w:color="auto" w:fill="auto"/>
                  <w:vAlign w:val="center"/>
                </w:tcPr>
                <w:p w14:paraId="0FB1E84A">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71.29</w:t>
                  </w:r>
                </w:p>
              </w:tc>
              <w:tc>
                <w:tcPr>
                  <w:tcW w:w="315" w:type="pct"/>
                  <w:shd w:val="clear" w:color="auto" w:fill="auto"/>
                  <w:vAlign w:val="center"/>
                </w:tcPr>
                <w:p w14:paraId="24F2B409">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shd w:val="clear" w:color="auto" w:fill="auto"/>
                  <w:vAlign w:val="center"/>
                </w:tcPr>
                <w:p w14:paraId="48940B38">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45.29</w:t>
                  </w:r>
                </w:p>
              </w:tc>
              <w:tc>
                <w:tcPr>
                  <w:tcW w:w="257" w:type="pct"/>
                  <w:shd w:val="clear" w:color="auto" w:fill="auto"/>
                  <w:vAlign w:val="center"/>
                </w:tcPr>
                <w:p w14:paraId="477E52CA">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02AE6B3B">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24</w:t>
                  </w:r>
                </w:p>
              </w:tc>
            </w:tr>
            <w:tr w14:paraId="3D6B2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0A4797D4">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14</w:t>
                  </w:r>
                </w:p>
              </w:tc>
              <w:tc>
                <w:tcPr>
                  <w:tcW w:w="254" w:type="pct"/>
                  <w:vMerge w:val="continue"/>
                  <w:vAlign w:val="center"/>
                </w:tcPr>
                <w:p w14:paraId="1E58B3E7">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lang w:val="en-US" w:eastAsia="zh-CN"/>
                    </w:rPr>
                  </w:pPr>
                </w:p>
              </w:tc>
              <w:tc>
                <w:tcPr>
                  <w:tcW w:w="419" w:type="pct"/>
                  <w:shd w:val="clear" w:color="auto" w:fill="auto"/>
                  <w:vAlign w:val="center"/>
                </w:tcPr>
                <w:p w14:paraId="7F12928D">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切削车床</w:t>
                  </w:r>
                </w:p>
              </w:tc>
              <w:tc>
                <w:tcPr>
                  <w:tcW w:w="518" w:type="pct"/>
                  <w:shd w:val="clear" w:color="auto" w:fill="auto"/>
                  <w:vAlign w:val="center"/>
                </w:tcPr>
                <w:p w14:paraId="404CA32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w:t>
                  </w:r>
                </w:p>
              </w:tc>
              <w:tc>
                <w:tcPr>
                  <w:tcW w:w="331" w:type="pct"/>
                  <w:shd w:val="clear" w:color="auto" w:fill="auto"/>
                  <w:vAlign w:val="center"/>
                </w:tcPr>
                <w:p w14:paraId="64F871F7">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80</w:t>
                  </w:r>
                </w:p>
              </w:tc>
              <w:tc>
                <w:tcPr>
                  <w:tcW w:w="308" w:type="pct"/>
                  <w:vMerge w:val="continue"/>
                  <w:shd w:val="clear" w:color="auto" w:fill="auto"/>
                  <w:vAlign w:val="center"/>
                </w:tcPr>
                <w:p w14:paraId="073567C2">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2"/>
                      <w:sz w:val="21"/>
                      <w:szCs w:val="21"/>
                      <w:highlight w:val="none"/>
                      <w:lang w:val="en-US" w:eastAsia="zh-CN" w:bidi="ar-SA"/>
                    </w:rPr>
                  </w:pPr>
                </w:p>
              </w:tc>
              <w:tc>
                <w:tcPr>
                  <w:tcW w:w="842" w:type="dxa"/>
                  <w:shd w:val="clear" w:color="auto" w:fill="auto"/>
                  <w:vAlign w:val="center"/>
                </w:tcPr>
                <w:p w14:paraId="26671ABB">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204.22</w:t>
                  </w:r>
                </w:p>
              </w:tc>
              <w:tc>
                <w:tcPr>
                  <w:tcW w:w="842" w:type="dxa"/>
                  <w:shd w:val="clear" w:color="auto" w:fill="auto"/>
                  <w:vAlign w:val="center"/>
                </w:tcPr>
                <w:p w14:paraId="1768E9F6">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71.8</w:t>
                  </w:r>
                </w:p>
              </w:tc>
              <w:tc>
                <w:tcPr>
                  <w:tcW w:w="365" w:type="pct"/>
                  <w:shd w:val="clear" w:color="auto" w:fill="auto"/>
                  <w:vAlign w:val="center"/>
                </w:tcPr>
                <w:p w14:paraId="0DC01B2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1.1</w:t>
                  </w:r>
                </w:p>
              </w:tc>
              <w:tc>
                <w:tcPr>
                  <w:tcW w:w="842" w:type="dxa"/>
                  <w:shd w:val="clear" w:color="auto" w:fill="auto"/>
                  <w:vAlign w:val="center"/>
                </w:tcPr>
                <w:p w14:paraId="3D2E3D32">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23 </w:t>
                  </w:r>
                </w:p>
              </w:tc>
              <w:tc>
                <w:tcPr>
                  <w:tcW w:w="842" w:type="dxa"/>
                  <w:shd w:val="clear" w:color="auto" w:fill="auto"/>
                  <w:vAlign w:val="center"/>
                </w:tcPr>
                <w:p w14:paraId="78F5D091">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66.29</w:t>
                  </w:r>
                </w:p>
              </w:tc>
              <w:tc>
                <w:tcPr>
                  <w:tcW w:w="315" w:type="pct"/>
                  <w:shd w:val="clear" w:color="auto" w:fill="auto"/>
                  <w:vAlign w:val="center"/>
                </w:tcPr>
                <w:p w14:paraId="354D5D7B">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shd w:val="clear" w:color="auto" w:fill="auto"/>
                  <w:vAlign w:val="center"/>
                </w:tcPr>
                <w:p w14:paraId="722FA015">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40.29</w:t>
                  </w:r>
                </w:p>
              </w:tc>
              <w:tc>
                <w:tcPr>
                  <w:tcW w:w="257" w:type="pct"/>
                  <w:shd w:val="clear" w:color="auto" w:fill="auto"/>
                  <w:vAlign w:val="center"/>
                </w:tcPr>
                <w:p w14:paraId="2640EC97">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1C46E5B0">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24</w:t>
                  </w:r>
                </w:p>
              </w:tc>
            </w:tr>
            <w:tr w14:paraId="2815B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56F94411">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15</w:t>
                  </w:r>
                </w:p>
              </w:tc>
              <w:tc>
                <w:tcPr>
                  <w:tcW w:w="254" w:type="pct"/>
                  <w:vMerge w:val="restart"/>
                  <w:vAlign w:val="center"/>
                </w:tcPr>
                <w:p w14:paraId="32C6DEC2">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lang w:val="en-US" w:eastAsia="zh-CN"/>
                    </w:rPr>
                  </w:pPr>
                  <w:r>
                    <w:rPr>
                      <w:rFonts w:hint="eastAsia" w:cs="Times New Roman"/>
                      <w:smallCaps w:val="0"/>
                      <w:color w:val="auto"/>
                      <w:spacing w:val="0"/>
                      <w:w w:val="100"/>
                      <w:kern w:val="2"/>
                      <w:sz w:val="21"/>
                      <w:szCs w:val="21"/>
                      <w:highlight w:val="none"/>
                      <w:lang w:val="en-US" w:eastAsia="zh-CN"/>
                    </w:rPr>
                    <w:t>2#生产车间</w:t>
                  </w:r>
                </w:p>
              </w:tc>
              <w:tc>
                <w:tcPr>
                  <w:tcW w:w="419" w:type="pct"/>
                  <w:shd w:val="clear" w:color="auto" w:fill="auto"/>
                  <w:vAlign w:val="center"/>
                </w:tcPr>
                <w:p w14:paraId="0B9C2F4F">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w w:val="100"/>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天车</w:t>
                  </w:r>
                </w:p>
              </w:tc>
              <w:tc>
                <w:tcPr>
                  <w:tcW w:w="518" w:type="pct"/>
                  <w:shd w:val="clear" w:color="auto" w:fill="auto"/>
                  <w:vAlign w:val="center"/>
                </w:tcPr>
                <w:p w14:paraId="63CE004B">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w w:val="100"/>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w:t>
                  </w:r>
                </w:p>
              </w:tc>
              <w:tc>
                <w:tcPr>
                  <w:tcW w:w="331" w:type="pct"/>
                  <w:shd w:val="clear" w:color="auto" w:fill="auto"/>
                  <w:vAlign w:val="center"/>
                </w:tcPr>
                <w:p w14:paraId="78103E21">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75</w:t>
                  </w:r>
                </w:p>
              </w:tc>
              <w:tc>
                <w:tcPr>
                  <w:tcW w:w="308" w:type="pct"/>
                  <w:vMerge w:val="continue"/>
                  <w:shd w:val="clear" w:color="auto" w:fill="auto"/>
                  <w:vAlign w:val="center"/>
                </w:tcPr>
                <w:p w14:paraId="60782046">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2"/>
                      <w:sz w:val="21"/>
                      <w:szCs w:val="21"/>
                      <w:highlight w:val="none"/>
                      <w:lang w:val="en-US" w:eastAsia="zh-CN" w:bidi="ar-SA"/>
                    </w:rPr>
                  </w:pPr>
                </w:p>
              </w:tc>
              <w:tc>
                <w:tcPr>
                  <w:tcW w:w="842" w:type="dxa"/>
                  <w:shd w:val="clear" w:color="auto" w:fill="auto"/>
                  <w:vAlign w:val="center"/>
                </w:tcPr>
                <w:p w14:paraId="2C5DD1EB">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120.2</w:t>
                  </w:r>
                </w:p>
              </w:tc>
              <w:tc>
                <w:tcPr>
                  <w:tcW w:w="842" w:type="dxa"/>
                  <w:shd w:val="clear" w:color="auto" w:fill="auto"/>
                  <w:vAlign w:val="center"/>
                </w:tcPr>
                <w:p w14:paraId="5065F6FA">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46.59</w:t>
                  </w:r>
                </w:p>
              </w:tc>
              <w:tc>
                <w:tcPr>
                  <w:tcW w:w="365" w:type="pct"/>
                  <w:shd w:val="clear" w:color="auto" w:fill="auto"/>
                  <w:vAlign w:val="center"/>
                </w:tcPr>
                <w:p w14:paraId="02D72417">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7.5</w:t>
                  </w:r>
                </w:p>
              </w:tc>
              <w:tc>
                <w:tcPr>
                  <w:tcW w:w="842" w:type="dxa"/>
                  <w:shd w:val="clear" w:color="auto" w:fill="auto"/>
                  <w:vAlign w:val="center"/>
                </w:tcPr>
                <w:p w14:paraId="28427365">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17 </w:t>
                  </w:r>
                </w:p>
              </w:tc>
              <w:tc>
                <w:tcPr>
                  <w:tcW w:w="842" w:type="dxa"/>
                  <w:shd w:val="clear" w:color="auto" w:fill="auto"/>
                  <w:vAlign w:val="center"/>
                </w:tcPr>
                <w:p w14:paraId="2DA9AA27">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67.3</w:t>
                  </w:r>
                </w:p>
              </w:tc>
              <w:tc>
                <w:tcPr>
                  <w:tcW w:w="315" w:type="pct"/>
                  <w:shd w:val="clear" w:color="auto" w:fill="auto"/>
                  <w:vAlign w:val="center"/>
                </w:tcPr>
                <w:p w14:paraId="38EB77A3">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shd w:val="clear" w:color="auto" w:fill="auto"/>
                  <w:vAlign w:val="center"/>
                </w:tcPr>
                <w:p w14:paraId="48F4133F">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41.3</w:t>
                  </w:r>
                </w:p>
              </w:tc>
              <w:tc>
                <w:tcPr>
                  <w:tcW w:w="257" w:type="pct"/>
                  <w:shd w:val="clear" w:color="auto" w:fill="auto"/>
                  <w:vAlign w:val="center"/>
                </w:tcPr>
                <w:p w14:paraId="171FF89F">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644AD1FC">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24</w:t>
                  </w:r>
                </w:p>
              </w:tc>
            </w:tr>
            <w:tr w14:paraId="32FC7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7782EF83">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16</w:t>
                  </w:r>
                </w:p>
              </w:tc>
              <w:tc>
                <w:tcPr>
                  <w:tcW w:w="254" w:type="pct"/>
                  <w:vMerge w:val="continue"/>
                  <w:vAlign w:val="center"/>
                </w:tcPr>
                <w:p w14:paraId="155B5AA9">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lang w:val="en-US" w:eastAsia="zh-CN"/>
                    </w:rPr>
                  </w:pPr>
                </w:p>
              </w:tc>
              <w:tc>
                <w:tcPr>
                  <w:tcW w:w="419" w:type="pct"/>
                  <w:shd w:val="clear" w:color="auto" w:fill="auto"/>
                  <w:vAlign w:val="center"/>
                </w:tcPr>
                <w:p w14:paraId="4096075B">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天车</w:t>
                  </w:r>
                </w:p>
              </w:tc>
              <w:tc>
                <w:tcPr>
                  <w:tcW w:w="518" w:type="pct"/>
                  <w:shd w:val="clear" w:color="auto" w:fill="auto"/>
                  <w:vAlign w:val="center"/>
                </w:tcPr>
                <w:p w14:paraId="4D552D35">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w:t>
                  </w:r>
                </w:p>
              </w:tc>
              <w:tc>
                <w:tcPr>
                  <w:tcW w:w="331" w:type="pct"/>
                  <w:shd w:val="clear" w:color="auto" w:fill="auto"/>
                  <w:vAlign w:val="center"/>
                </w:tcPr>
                <w:p w14:paraId="32554D49">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75</w:t>
                  </w:r>
                </w:p>
              </w:tc>
              <w:tc>
                <w:tcPr>
                  <w:tcW w:w="308" w:type="pct"/>
                  <w:vMerge w:val="continue"/>
                  <w:shd w:val="clear" w:color="auto" w:fill="auto"/>
                  <w:vAlign w:val="center"/>
                </w:tcPr>
                <w:p w14:paraId="0DF49517">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2"/>
                      <w:sz w:val="21"/>
                      <w:szCs w:val="21"/>
                      <w:highlight w:val="none"/>
                      <w:lang w:val="en-US" w:eastAsia="zh-CN" w:bidi="ar-SA"/>
                    </w:rPr>
                  </w:pPr>
                </w:p>
              </w:tc>
              <w:tc>
                <w:tcPr>
                  <w:tcW w:w="842" w:type="dxa"/>
                  <w:shd w:val="clear" w:color="auto" w:fill="auto"/>
                  <w:vAlign w:val="center"/>
                </w:tcPr>
                <w:p w14:paraId="6ECA1C8E">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85.4</w:t>
                  </w:r>
                </w:p>
              </w:tc>
              <w:tc>
                <w:tcPr>
                  <w:tcW w:w="842" w:type="dxa"/>
                  <w:shd w:val="clear" w:color="auto" w:fill="auto"/>
                  <w:vAlign w:val="center"/>
                </w:tcPr>
                <w:p w14:paraId="7895A6B0">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38.19</w:t>
                  </w:r>
                </w:p>
              </w:tc>
              <w:tc>
                <w:tcPr>
                  <w:tcW w:w="365" w:type="pct"/>
                  <w:shd w:val="clear" w:color="auto" w:fill="auto"/>
                  <w:vAlign w:val="center"/>
                </w:tcPr>
                <w:p w14:paraId="64ABEAB5">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7.5</w:t>
                  </w:r>
                </w:p>
              </w:tc>
              <w:tc>
                <w:tcPr>
                  <w:tcW w:w="842" w:type="dxa"/>
                  <w:shd w:val="clear" w:color="auto" w:fill="auto"/>
                  <w:vAlign w:val="center"/>
                </w:tcPr>
                <w:p w14:paraId="0A8EA5F6">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15 </w:t>
                  </w:r>
                </w:p>
              </w:tc>
              <w:tc>
                <w:tcPr>
                  <w:tcW w:w="842" w:type="dxa"/>
                  <w:shd w:val="clear" w:color="auto" w:fill="auto"/>
                  <w:vAlign w:val="center"/>
                </w:tcPr>
                <w:p w14:paraId="23B969E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67.3</w:t>
                  </w:r>
                </w:p>
              </w:tc>
              <w:tc>
                <w:tcPr>
                  <w:tcW w:w="315" w:type="pct"/>
                  <w:shd w:val="clear" w:color="auto" w:fill="auto"/>
                  <w:vAlign w:val="center"/>
                </w:tcPr>
                <w:p w14:paraId="15D9D0CF">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shd w:val="clear" w:color="auto" w:fill="auto"/>
                  <w:vAlign w:val="center"/>
                </w:tcPr>
                <w:p w14:paraId="73F7FFC1">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41.3</w:t>
                  </w:r>
                </w:p>
              </w:tc>
              <w:tc>
                <w:tcPr>
                  <w:tcW w:w="257" w:type="pct"/>
                  <w:shd w:val="clear" w:color="auto" w:fill="auto"/>
                  <w:vAlign w:val="center"/>
                </w:tcPr>
                <w:p w14:paraId="231B1A51">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5C5CF485">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24</w:t>
                  </w:r>
                </w:p>
              </w:tc>
            </w:tr>
            <w:tr w14:paraId="33EE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157" w:type="pct"/>
                  <w:shd w:val="clear" w:color="auto" w:fill="auto"/>
                  <w:vAlign w:val="center"/>
                </w:tcPr>
                <w:p w14:paraId="380C9E08">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0"/>
                      <w:sz w:val="21"/>
                      <w:szCs w:val="21"/>
                      <w:highlight w:val="none"/>
                      <w:lang w:val="en-US" w:eastAsia="zh-CN" w:bidi="ar-SA"/>
                    </w:rPr>
                  </w:pPr>
                  <w:r>
                    <w:rPr>
                      <w:rFonts w:hint="default" w:ascii="Times New Roman" w:hAnsi="Times New Roman" w:eastAsia="宋体" w:cs="Times New Roman"/>
                      <w:bCs/>
                      <w:smallCaps w:val="0"/>
                      <w:color w:val="auto"/>
                      <w:spacing w:val="0"/>
                      <w:w w:val="100"/>
                      <w:kern w:val="0"/>
                      <w:sz w:val="21"/>
                      <w:szCs w:val="21"/>
                      <w:highlight w:val="none"/>
                      <w:lang w:val="en-US" w:eastAsia="zh-CN" w:bidi="ar-SA"/>
                    </w:rPr>
                    <w:t>17</w:t>
                  </w:r>
                </w:p>
              </w:tc>
              <w:tc>
                <w:tcPr>
                  <w:tcW w:w="254" w:type="pct"/>
                  <w:vMerge w:val="continue"/>
                  <w:vAlign w:val="center"/>
                </w:tcPr>
                <w:p w14:paraId="51C9FC49">
                  <w:pPr>
                    <w:pStyle w:val="67"/>
                    <w:keepNext w:val="0"/>
                    <w:keepLines w:val="0"/>
                    <w:pageBreakBefore w:val="0"/>
                    <w:suppressLineNumbers w:val="0"/>
                    <w:wordWrap/>
                    <w:bidi w:val="0"/>
                    <w:spacing w:before="0" w:beforeAutospacing="0" w:after="0" w:afterAutospacing="0" w:line="240" w:lineRule="auto"/>
                    <w:ind w:left="0" w:right="0"/>
                    <w:jc w:val="center"/>
                    <w:rPr>
                      <w:rFonts w:hint="default" w:ascii="Times New Roman" w:hAnsi="Times New Roman" w:eastAsia="宋体" w:cs="Times New Roman"/>
                      <w:smallCaps w:val="0"/>
                      <w:color w:val="auto"/>
                      <w:spacing w:val="0"/>
                      <w:w w:val="100"/>
                      <w:kern w:val="2"/>
                      <w:sz w:val="21"/>
                      <w:szCs w:val="21"/>
                      <w:highlight w:val="none"/>
                      <w:lang w:val="en-US" w:eastAsia="zh-CN"/>
                    </w:rPr>
                  </w:pPr>
                </w:p>
              </w:tc>
              <w:tc>
                <w:tcPr>
                  <w:tcW w:w="419" w:type="pct"/>
                  <w:shd w:val="clear" w:color="auto" w:fill="auto"/>
                  <w:vAlign w:val="center"/>
                </w:tcPr>
                <w:p w14:paraId="7D12471E">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调质炉</w:t>
                  </w:r>
                </w:p>
              </w:tc>
              <w:tc>
                <w:tcPr>
                  <w:tcW w:w="518" w:type="pct"/>
                  <w:shd w:val="clear" w:color="auto" w:fill="auto"/>
                  <w:vAlign w:val="center"/>
                </w:tcPr>
                <w:p w14:paraId="4F190E5C">
                  <w:pPr>
                    <w:keepNext w:val="0"/>
                    <w:keepLines w:val="0"/>
                    <w:widowControl/>
                    <w:suppressLineNumbers w:val="0"/>
                    <w:spacing w:before="0" w:beforeAutospacing="0" w:after="0" w:afterAutospacing="0"/>
                    <w:ind w:left="0" w:leftChars="0" w:right="0" w:rightChars="0"/>
                    <w:jc w:val="center"/>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cs="Times New Roman"/>
                      <w:color w:val="auto"/>
                      <w:kern w:val="2"/>
                      <w:sz w:val="21"/>
                      <w:szCs w:val="21"/>
                      <w:highlight w:val="none"/>
                      <w:vertAlign w:val="baseline"/>
                      <w:lang w:val="en-US" w:eastAsia="zh-CN" w:bidi="ar-SA"/>
                    </w:rPr>
                    <w:t>-</w:t>
                  </w:r>
                </w:p>
              </w:tc>
              <w:tc>
                <w:tcPr>
                  <w:tcW w:w="331" w:type="pct"/>
                  <w:shd w:val="clear" w:color="auto" w:fill="auto"/>
                  <w:vAlign w:val="center"/>
                </w:tcPr>
                <w:p w14:paraId="5DBD3F96">
                  <w:pPr>
                    <w:keepNext w:val="0"/>
                    <w:keepLines w:val="0"/>
                    <w:pageBreakBefore w:val="0"/>
                    <w:suppressLineNumbers w:val="0"/>
                    <w:kinsoku w:val="0"/>
                    <w:wordWrap/>
                    <w:overflowPunct w:val="0"/>
                    <w:autoSpaceDE w:val="0"/>
                    <w:autoSpaceDN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kern w:val="2"/>
                      <w:sz w:val="21"/>
                      <w:szCs w:val="21"/>
                      <w:highlight w:val="none"/>
                      <w:lang w:val="en-US" w:eastAsia="zh-CN" w:bidi="ar-SA"/>
                    </w:rPr>
                    <w:t>70</w:t>
                  </w:r>
                </w:p>
              </w:tc>
              <w:tc>
                <w:tcPr>
                  <w:tcW w:w="308" w:type="pct"/>
                  <w:vMerge w:val="continue"/>
                  <w:shd w:val="clear" w:color="auto" w:fill="auto"/>
                  <w:vAlign w:val="center"/>
                </w:tcPr>
                <w:p w14:paraId="12A17BF3">
                  <w:pPr>
                    <w:pStyle w:val="67"/>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bCs/>
                      <w:smallCaps w:val="0"/>
                      <w:color w:val="auto"/>
                      <w:spacing w:val="0"/>
                      <w:w w:val="100"/>
                      <w:kern w:val="2"/>
                      <w:sz w:val="21"/>
                      <w:szCs w:val="21"/>
                      <w:highlight w:val="none"/>
                      <w:lang w:val="en-US" w:eastAsia="zh-CN" w:bidi="ar-SA"/>
                    </w:rPr>
                  </w:pPr>
                </w:p>
              </w:tc>
              <w:tc>
                <w:tcPr>
                  <w:tcW w:w="842" w:type="dxa"/>
                  <w:shd w:val="clear" w:color="auto" w:fill="auto"/>
                  <w:vAlign w:val="center"/>
                </w:tcPr>
                <w:p w14:paraId="6D80BE02">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104</w:t>
                  </w:r>
                </w:p>
              </w:tc>
              <w:tc>
                <w:tcPr>
                  <w:tcW w:w="842" w:type="dxa"/>
                  <w:shd w:val="clear" w:color="auto" w:fill="auto"/>
                  <w:vAlign w:val="center"/>
                </w:tcPr>
                <w:p w14:paraId="281A474B">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41.79</w:t>
                  </w:r>
                </w:p>
              </w:tc>
              <w:tc>
                <w:tcPr>
                  <w:tcW w:w="365" w:type="pct"/>
                  <w:shd w:val="clear" w:color="auto" w:fill="auto"/>
                  <w:vAlign w:val="center"/>
                </w:tcPr>
                <w:p w14:paraId="770C64B7">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0.8</w:t>
                  </w:r>
                </w:p>
              </w:tc>
              <w:tc>
                <w:tcPr>
                  <w:tcW w:w="842" w:type="dxa"/>
                  <w:shd w:val="clear" w:color="auto" w:fill="auto"/>
                  <w:vAlign w:val="center"/>
                </w:tcPr>
                <w:p w14:paraId="20BFB2B6">
                  <w:pPr>
                    <w:keepNext w:val="0"/>
                    <w:keepLines w:val="0"/>
                    <w:widowControl/>
                    <w:suppressLineNumbers w:val="0"/>
                    <w:spacing w:before="0" w:beforeAutospacing="0" w:after="0" w:afterAutospacing="0"/>
                    <w:ind w:left="0" w:right="0"/>
                    <w:jc w:val="center"/>
                    <w:textAlignment w:val="center"/>
                    <w:rPr>
                      <w:rFonts w:hint="default" w:cs="Times New Roman"/>
                      <w:smallCaps w:val="0"/>
                      <w:color w:val="auto"/>
                      <w:spacing w:val="0"/>
                      <w:w w:val="100"/>
                      <w:sz w:val="21"/>
                      <w:szCs w:val="21"/>
                      <w:highlight w:val="no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16 </w:t>
                  </w:r>
                </w:p>
              </w:tc>
              <w:tc>
                <w:tcPr>
                  <w:tcW w:w="842" w:type="dxa"/>
                  <w:shd w:val="clear" w:color="auto" w:fill="auto"/>
                  <w:vAlign w:val="center"/>
                </w:tcPr>
                <w:p w14:paraId="32F88750">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62.3</w:t>
                  </w:r>
                </w:p>
              </w:tc>
              <w:tc>
                <w:tcPr>
                  <w:tcW w:w="315" w:type="pct"/>
                  <w:shd w:val="clear" w:color="auto" w:fill="auto"/>
                  <w:vAlign w:val="center"/>
                </w:tcPr>
                <w:p w14:paraId="43CE7424">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26</w:t>
                  </w:r>
                </w:p>
              </w:tc>
              <w:tc>
                <w:tcPr>
                  <w:tcW w:w="980" w:type="dxa"/>
                  <w:shd w:val="clear" w:color="auto" w:fill="auto"/>
                  <w:vAlign w:val="center"/>
                </w:tcPr>
                <w:p w14:paraId="69361BD3">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36.3</w:t>
                  </w:r>
                </w:p>
              </w:tc>
              <w:tc>
                <w:tcPr>
                  <w:tcW w:w="257" w:type="pct"/>
                  <w:shd w:val="clear" w:color="auto" w:fill="auto"/>
                  <w:vAlign w:val="center"/>
                </w:tcPr>
                <w:p w14:paraId="27A1AA62">
                  <w:pPr>
                    <w:keepNext w:val="0"/>
                    <w:keepLines w:val="0"/>
                    <w:pageBreakBefore w:val="0"/>
                    <w:widowControl/>
                    <w:suppressLineNumbers w:val="0"/>
                    <w:wordWrap/>
                    <w:bidi w:val="0"/>
                    <w:spacing w:before="0" w:beforeAutospacing="0" w:after="0" w:afterAutospacing="0" w:line="240" w:lineRule="auto"/>
                    <w:ind w:left="0" w:leftChars="0" w:right="0" w:rightChars="0"/>
                    <w:jc w:val="center"/>
                    <w:textAlignment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default" w:ascii="Times New Roman" w:hAnsi="Times New Roman" w:eastAsia="宋体" w:cs="Times New Roman"/>
                      <w:smallCaps w:val="0"/>
                      <w:color w:val="auto"/>
                      <w:spacing w:val="0"/>
                      <w:w w:val="100"/>
                      <w:kern w:val="2"/>
                      <w:sz w:val="21"/>
                      <w:szCs w:val="21"/>
                      <w:highlight w:val="none"/>
                      <w:lang w:val="en-US" w:eastAsia="zh-CN"/>
                    </w:rPr>
                    <w:t>1</w:t>
                  </w:r>
                </w:p>
              </w:tc>
              <w:tc>
                <w:tcPr>
                  <w:tcW w:w="434" w:type="pct"/>
                  <w:shd w:val="clear" w:color="auto" w:fill="auto"/>
                  <w:vAlign w:val="center"/>
                </w:tcPr>
                <w:p w14:paraId="546F313F">
                  <w:pPr>
                    <w:keepNext w:val="0"/>
                    <w:keepLines w:val="0"/>
                    <w:pageBreakBefore w:val="0"/>
                    <w:suppressLineNumbers w:val="0"/>
                    <w:wordWrap/>
                    <w:bidi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w w:val="100"/>
                      <w:kern w:val="2"/>
                      <w:sz w:val="21"/>
                      <w:szCs w:val="21"/>
                      <w:highlight w:val="none"/>
                      <w:lang w:val="en-US" w:eastAsia="zh-CN" w:bidi="ar-SA"/>
                    </w:rPr>
                  </w:pPr>
                  <w:r>
                    <w:rPr>
                      <w:rFonts w:hint="eastAsia" w:cs="Times New Roman"/>
                      <w:smallCaps w:val="0"/>
                      <w:color w:val="auto"/>
                      <w:spacing w:val="0"/>
                      <w:w w:val="100"/>
                      <w:sz w:val="21"/>
                      <w:szCs w:val="21"/>
                      <w:highlight w:val="none"/>
                      <w:lang w:val="en-US" w:eastAsia="zh-CN"/>
                    </w:rPr>
                    <w:t>24</w:t>
                  </w:r>
                </w:p>
              </w:tc>
            </w:tr>
          </w:tbl>
          <w:p w14:paraId="775B7D69">
            <w:pPr>
              <w:pStyle w:val="187"/>
              <w:keepNext w:val="0"/>
              <w:keepLines w:val="0"/>
              <w:pageBreakBefore w:val="0"/>
              <w:suppressLineNumbers w:val="0"/>
              <w:tabs>
                <w:tab w:val="left" w:pos="6521"/>
              </w:tabs>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eastAsia="宋体" w:cs="Times New Roman"/>
                <w:b/>
                <w:smallCaps w:val="0"/>
                <w:color w:val="auto"/>
                <w:spacing w:val="0"/>
                <w:highlight w:val="none"/>
                <w:lang w:val="en-US" w:eastAsia="zh-CN"/>
              </w:rPr>
            </w:pPr>
            <w:r>
              <w:rPr>
                <w:rFonts w:hint="default" w:ascii="Times New Roman" w:hAnsi="Times New Roman" w:eastAsia="宋体" w:cs="Times New Roman"/>
                <w:b/>
                <w:smallCaps w:val="0"/>
                <w:color w:val="auto"/>
                <w:spacing w:val="0"/>
                <w:highlight w:val="none"/>
                <w:lang w:val="en-US" w:eastAsia="zh-CN"/>
              </w:rPr>
              <w:t>表4-</w:t>
            </w:r>
            <w:r>
              <w:rPr>
                <w:rFonts w:hint="eastAsia" w:cs="Times New Roman"/>
                <w:b/>
                <w:smallCaps w:val="0"/>
                <w:color w:val="auto"/>
                <w:spacing w:val="0"/>
                <w:highlight w:val="none"/>
                <w:lang w:val="en-US" w:eastAsia="zh-CN"/>
              </w:rPr>
              <w:t>7</w:t>
            </w:r>
            <w:r>
              <w:rPr>
                <w:rFonts w:hint="default" w:ascii="Times New Roman" w:hAnsi="Times New Roman" w:eastAsia="宋体" w:cs="Times New Roman"/>
                <w:b/>
                <w:smallCaps w:val="0"/>
                <w:color w:val="auto"/>
                <w:spacing w:val="0"/>
                <w:highlight w:val="none"/>
                <w:lang w:val="en-US" w:eastAsia="zh-CN"/>
              </w:rPr>
              <w:t xml:space="preserve">   项目主要噪声源及控制措施一览表（室外声源，坐标原点</w:t>
            </w:r>
            <w:r>
              <w:rPr>
                <w:rFonts w:hint="eastAsia" w:cs="Times New Roman"/>
                <w:b/>
                <w:smallCaps w:val="0"/>
                <w:color w:val="auto"/>
                <w:spacing w:val="0"/>
                <w:highlight w:val="none"/>
                <w:lang w:val="en-US" w:eastAsia="zh-CN"/>
              </w:rPr>
              <w:t>：</w:t>
            </w:r>
            <w:r>
              <w:rPr>
                <w:rFonts w:hint="default" w:ascii="Times New Roman" w:hAnsi="Times New Roman" w:eastAsia="宋体" w:cs="Times New Roman"/>
                <w:b/>
                <w:smallCaps w:val="0"/>
                <w:color w:val="auto"/>
                <w:spacing w:val="0"/>
                <w:highlight w:val="none"/>
                <w:lang w:val="en-US" w:eastAsia="zh-CN"/>
              </w:rPr>
              <w:t>厂区西南角）</w:t>
            </w:r>
          </w:p>
          <w:tbl>
            <w:tblPr>
              <w:tblStyle w:val="47"/>
              <w:tblW w:w="133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14"/>
              <w:gridCol w:w="1143"/>
              <w:gridCol w:w="638"/>
              <w:gridCol w:w="1023"/>
              <w:gridCol w:w="1417"/>
              <w:gridCol w:w="4939"/>
              <w:gridCol w:w="830"/>
              <w:gridCol w:w="830"/>
              <w:gridCol w:w="832"/>
              <w:gridCol w:w="1175"/>
            </w:tblGrid>
            <w:tr w14:paraId="31D8C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92" w:type="pct"/>
                  <w:vMerge w:val="restart"/>
                  <w:noWrap w:val="0"/>
                  <w:vAlign w:val="center"/>
                </w:tcPr>
                <w:p w14:paraId="75AD7E26">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序号</w:t>
                  </w:r>
                </w:p>
              </w:tc>
              <w:tc>
                <w:tcPr>
                  <w:tcW w:w="428" w:type="pct"/>
                  <w:vMerge w:val="restart"/>
                  <w:noWrap w:val="0"/>
                  <w:vAlign w:val="center"/>
                </w:tcPr>
                <w:p w14:paraId="7C935751">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声源名称</w:t>
                  </w:r>
                </w:p>
              </w:tc>
              <w:tc>
                <w:tcPr>
                  <w:tcW w:w="239" w:type="pct"/>
                  <w:vMerge w:val="restart"/>
                  <w:noWrap w:val="0"/>
                  <w:vAlign w:val="center"/>
                </w:tcPr>
                <w:p w14:paraId="1FA5D570">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eastAsia="宋体" w:cs="Times New Roman"/>
                      <w:smallCaps w:val="0"/>
                      <w:color w:val="auto"/>
                      <w:spacing w:val="0"/>
                      <w:highlight w:val="none"/>
                      <w:lang w:val="en-US" w:eastAsia="zh-CN"/>
                    </w:rPr>
                    <w:t>型号</w:t>
                  </w:r>
                </w:p>
              </w:tc>
              <w:tc>
                <w:tcPr>
                  <w:tcW w:w="383" w:type="pct"/>
                  <w:noWrap w:val="0"/>
                  <w:vAlign w:val="center"/>
                </w:tcPr>
                <w:p w14:paraId="11A67413">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声源源强</w:t>
                  </w:r>
                </w:p>
              </w:tc>
              <w:tc>
                <w:tcPr>
                  <w:tcW w:w="531" w:type="pct"/>
                  <w:noWrap w:val="0"/>
                  <w:vAlign w:val="center"/>
                </w:tcPr>
                <w:p w14:paraId="173E313E">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lang w:val="en-US" w:eastAsia="zh-CN"/>
                    </w:rPr>
                  </w:pPr>
                  <w:r>
                    <w:rPr>
                      <w:rFonts w:hint="eastAsia" w:ascii="Times New Roman" w:hAnsi="Times New Roman" w:cs="Times New Roman"/>
                      <w:smallCaps w:val="0"/>
                      <w:color w:val="auto"/>
                      <w:spacing w:val="0"/>
                      <w:highlight w:val="none"/>
                      <w:lang w:val="en-US" w:eastAsia="zh-CN"/>
                    </w:rPr>
                    <w:t>加装隔声罩后</w:t>
                  </w:r>
                  <w:r>
                    <w:rPr>
                      <w:rFonts w:hint="eastAsia" w:cs="Times New Roman"/>
                      <w:smallCaps w:val="0"/>
                      <w:color w:val="auto"/>
                      <w:spacing w:val="0"/>
                      <w:highlight w:val="none"/>
                      <w:lang w:val="en-US" w:eastAsia="zh-CN"/>
                    </w:rPr>
                    <w:t>声源源强</w:t>
                  </w:r>
                </w:p>
              </w:tc>
              <w:tc>
                <w:tcPr>
                  <w:tcW w:w="1851" w:type="pct"/>
                  <w:vMerge w:val="restart"/>
                  <w:noWrap w:val="0"/>
                  <w:vAlign w:val="center"/>
                </w:tcPr>
                <w:p w14:paraId="48350A98">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声源控制措施</w:t>
                  </w:r>
                </w:p>
              </w:tc>
              <w:tc>
                <w:tcPr>
                  <w:tcW w:w="933" w:type="pct"/>
                  <w:gridSpan w:val="3"/>
                  <w:noWrap w:val="0"/>
                  <w:vAlign w:val="center"/>
                </w:tcPr>
                <w:p w14:paraId="35ABD570">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eastAsia="宋体" w:cs="Times New Roman"/>
                      <w:smallCaps w:val="0"/>
                      <w:color w:val="auto"/>
                      <w:spacing w:val="0"/>
                      <w:highlight w:val="none"/>
                      <w:lang w:val="en-US" w:eastAsia="zh-CN"/>
                    </w:rPr>
                    <w:t>空间相对位置/m</w:t>
                  </w:r>
                </w:p>
              </w:tc>
              <w:tc>
                <w:tcPr>
                  <w:tcW w:w="440" w:type="pct"/>
                  <w:vMerge w:val="restart"/>
                  <w:noWrap w:val="0"/>
                  <w:vAlign w:val="center"/>
                </w:tcPr>
                <w:p w14:paraId="465E2B7E">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w w:val="90"/>
                      <w:highlight w:val="none"/>
                      <w:lang w:val="en-US" w:eastAsia="zh-CN"/>
                    </w:rPr>
                  </w:pPr>
                  <w:r>
                    <w:rPr>
                      <w:rFonts w:hint="default" w:ascii="Times New Roman" w:hAnsi="Times New Roman" w:eastAsia="宋体" w:cs="Times New Roman"/>
                      <w:smallCaps w:val="0"/>
                      <w:color w:val="auto"/>
                      <w:spacing w:val="0"/>
                      <w:w w:val="90"/>
                      <w:highlight w:val="none"/>
                      <w:lang w:val="en-US" w:eastAsia="zh-CN"/>
                    </w:rPr>
                    <w:t>运行时段/h</w:t>
                  </w:r>
                </w:p>
              </w:tc>
            </w:tr>
            <w:tr w14:paraId="58F89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8" w:hRule="atLeast"/>
                <w:jc w:val="center"/>
              </w:trPr>
              <w:tc>
                <w:tcPr>
                  <w:tcW w:w="192" w:type="pct"/>
                  <w:vMerge w:val="continue"/>
                  <w:noWrap w:val="0"/>
                  <w:vAlign w:val="center"/>
                </w:tcPr>
                <w:p w14:paraId="689AD29E">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rPr>
                  </w:pPr>
                </w:p>
              </w:tc>
              <w:tc>
                <w:tcPr>
                  <w:tcW w:w="428" w:type="pct"/>
                  <w:vMerge w:val="continue"/>
                  <w:noWrap w:val="0"/>
                  <w:vAlign w:val="center"/>
                </w:tcPr>
                <w:p w14:paraId="16479283">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rPr>
                  </w:pPr>
                </w:p>
              </w:tc>
              <w:tc>
                <w:tcPr>
                  <w:tcW w:w="239" w:type="pct"/>
                  <w:vMerge w:val="continue"/>
                  <w:noWrap w:val="0"/>
                  <w:vAlign w:val="center"/>
                </w:tcPr>
                <w:p w14:paraId="7E3B2CE9">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rPr>
                  </w:pPr>
                </w:p>
              </w:tc>
              <w:tc>
                <w:tcPr>
                  <w:tcW w:w="383" w:type="pct"/>
                  <w:noWrap w:val="0"/>
                  <w:vAlign w:val="center"/>
                </w:tcPr>
                <w:p w14:paraId="76829C2E">
                  <w:pPr>
                    <w:pStyle w:val="67"/>
                    <w:keepNext w:val="0"/>
                    <w:keepLines w:val="0"/>
                    <w:suppressLineNumbers w:val="0"/>
                    <w:spacing w:before="0" w:beforeAutospacing="0" w:after="0" w:afterAutospacing="0"/>
                    <w:ind w:left="0" w:right="0"/>
                    <w:jc w:val="center"/>
                    <w:rPr>
                      <w:rFonts w:hint="eastAsia" w:ascii="Times New Roman" w:hAnsi="Times New Roman" w:eastAsia="宋体" w:cs="Times New Roman"/>
                      <w:smallCaps w:val="0"/>
                      <w:color w:val="auto"/>
                      <w:spacing w:val="0"/>
                      <w:highlight w:val="none"/>
                      <w:lang w:eastAsia="zh-CN"/>
                    </w:rPr>
                  </w:pPr>
                  <w:r>
                    <w:rPr>
                      <w:rFonts w:hint="default" w:ascii="Times New Roman" w:hAnsi="Times New Roman" w:eastAsia="宋体" w:cs="Times New Roman"/>
                      <w:smallCaps w:val="0"/>
                      <w:color w:val="auto"/>
                      <w:spacing w:val="0"/>
                      <w:highlight w:val="none"/>
                      <w:lang w:val="en-US" w:eastAsia="zh-CN"/>
                    </w:rPr>
                    <w:t>声功率级</w:t>
                  </w:r>
                  <w:r>
                    <w:rPr>
                      <w:rFonts w:hint="default" w:ascii="Times New Roman" w:hAnsi="Times New Roman" w:eastAsia="宋体" w:cs="Times New Roman"/>
                      <w:smallCaps w:val="0"/>
                      <w:color w:val="auto"/>
                      <w:spacing w:val="0"/>
                      <w:highlight w:val="none"/>
                    </w:rPr>
                    <w:t>/dB</w:t>
                  </w:r>
                  <w:r>
                    <w:rPr>
                      <w:rFonts w:hint="eastAsia"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rPr>
                    <w:t>A</w:t>
                  </w:r>
                  <w:r>
                    <w:rPr>
                      <w:rFonts w:hint="eastAsia" w:cs="Times New Roman"/>
                      <w:smallCaps w:val="0"/>
                      <w:color w:val="auto"/>
                      <w:spacing w:val="0"/>
                      <w:highlight w:val="none"/>
                      <w:lang w:eastAsia="zh-CN"/>
                    </w:rPr>
                    <w:t>）</w:t>
                  </w:r>
                </w:p>
              </w:tc>
              <w:tc>
                <w:tcPr>
                  <w:tcW w:w="531" w:type="pct"/>
                  <w:noWrap w:val="0"/>
                  <w:vAlign w:val="center"/>
                </w:tcPr>
                <w:p w14:paraId="4E35F128">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eastAsia="宋体" w:cs="Times New Roman"/>
                      <w:smallCaps w:val="0"/>
                      <w:color w:val="auto"/>
                      <w:spacing w:val="0"/>
                      <w:highlight w:val="none"/>
                      <w:lang w:val="en-US" w:eastAsia="zh-CN"/>
                    </w:rPr>
                    <w:t>声功率级</w:t>
                  </w:r>
                  <w:r>
                    <w:rPr>
                      <w:rFonts w:hint="default" w:ascii="Times New Roman" w:hAnsi="Times New Roman" w:eastAsia="宋体" w:cs="Times New Roman"/>
                      <w:smallCaps w:val="0"/>
                      <w:color w:val="auto"/>
                      <w:spacing w:val="0"/>
                      <w:highlight w:val="none"/>
                    </w:rPr>
                    <w:t>/dB</w:t>
                  </w:r>
                  <w:r>
                    <w:rPr>
                      <w:rFonts w:hint="eastAsia"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rPr>
                    <w:t>A</w:t>
                  </w:r>
                  <w:r>
                    <w:rPr>
                      <w:rFonts w:hint="eastAsia" w:cs="Times New Roman"/>
                      <w:smallCaps w:val="0"/>
                      <w:color w:val="auto"/>
                      <w:spacing w:val="0"/>
                      <w:highlight w:val="none"/>
                      <w:lang w:eastAsia="zh-CN"/>
                    </w:rPr>
                    <w:t>）</w:t>
                  </w:r>
                </w:p>
              </w:tc>
              <w:tc>
                <w:tcPr>
                  <w:tcW w:w="1851" w:type="pct"/>
                  <w:vMerge w:val="continue"/>
                  <w:noWrap w:val="0"/>
                  <w:vAlign w:val="center"/>
                </w:tcPr>
                <w:p w14:paraId="0E59805A">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rPr>
                  </w:pPr>
                </w:p>
              </w:tc>
              <w:tc>
                <w:tcPr>
                  <w:tcW w:w="311" w:type="pct"/>
                  <w:noWrap w:val="0"/>
                  <w:vAlign w:val="center"/>
                </w:tcPr>
                <w:p w14:paraId="7B33704F">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X</w:t>
                  </w:r>
                </w:p>
              </w:tc>
              <w:tc>
                <w:tcPr>
                  <w:tcW w:w="311" w:type="pct"/>
                  <w:noWrap w:val="0"/>
                  <w:vAlign w:val="center"/>
                </w:tcPr>
                <w:p w14:paraId="2619B0BC">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Y</w:t>
                  </w:r>
                </w:p>
              </w:tc>
              <w:tc>
                <w:tcPr>
                  <w:tcW w:w="311" w:type="pct"/>
                  <w:noWrap w:val="0"/>
                  <w:vAlign w:val="center"/>
                </w:tcPr>
                <w:p w14:paraId="7ACEF663">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Z</w:t>
                  </w:r>
                </w:p>
              </w:tc>
              <w:tc>
                <w:tcPr>
                  <w:tcW w:w="440" w:type="pct"/>
                  <w:vMerge w:val="continue"/>
                  <w:noWrap w:val="0"/>
                  <w:vAlign w:val="center"/>
                </w:tcPr>
                <w:p w14:paraId="6A0BC670">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w w:val="90"/>
                      <w:highlight w:val="none"/>
                    </w:rPr>
                  </w:pPr>
                </w:p>
              </w:tc>
            </w:tr>
            <w:tr w14:paraId="506B9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92" w:type="pct"/>
                  <w:noWrap w:val="0"/>
                  <w:vAlign w:val="center"/>
                </w:tcPr>
                <w:p w14:paraId="4A39636D">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eastAsia="宋体" w:cs="Times New Roman"/>
                      <w:smallCaps w:val="0"/>
                      <w:color w:val="auto"/>
                      <w:spacing w:val="0"/>
                      <w:highlight w:val="none"/>
                      <w:lang w:val="en-US" w:eastAsia="zh-CN"/>
                    </w:rPr>
                    <w:t>1</w:t>
                  </w:r>
                </w:p>
              </w:tc>
              <w:tc>
                <w:tcPr>
                  <w:tcW w:w="428" w:type="pct"/>
                  <w:noWrap w:val="0"/>
                  <w:vAlign w:val="center"/>
                </w:tcPr>
                <w:p w14:paraId="15D8BCC5">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kern w:val="2"/>
                      <w:sz w:val="21"/>
                      <w:szCs w:val="20"/>
                      <w:highlight w:val="none"/>
                      <w:lang w:val="en-US" w:eastAsia="zh-CN" w:bidi="ar-SA"/>
                    </w:rPr>
                  </w:pPr>
                  <w:r>
                    <w:rPr>
                      <w:rFonts w:hint="default" w:ascii="Times New Roman" w:hAnsi="Times New Roman" w:eastAsia="宋体" w:cs="Times New Roman"/>
                      <w:smallCaps w:val="0"/>
                      <w:color w:val="auto"/>
                      <w:spacing w:val="0"/>
                      <w:szCs w:val="20"/>
                      <w:highlight w:val="none"/>
                      <w:lang w:val="en-US" w:eastAsia="zh-CN"/>
                    </w:rPr>
                    <w:t>风机</w:t>
                  </w:r>
                </w:p>
              </w:tc>
              <w:tc>
                <w:tcPr>
                  <w:tcW w:w="239" w:type="pct"/>
                  <w:noWrap w:val="0"/>
                  <w:vAlign w:val="center"/>
                </w:tcPr>
                <w:p w14:paraId="21727561">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color w:val="auto"/>
                      <w:sz w:val="21"/>
                      <w:szCs w:val="21"/>
                      <w:highlight w:val="none"/>
                      <w:vertAlign w:val="baseline"/>
                      <w:lang w:val="en-US" w:eastAsia="zh-CN"/>
                    </w:rPr>
                    <w:t>20000m</w:t>
                  </w:r>
                  <w:r>
                    <w:rPr>
                      <w:rFonts w:hint="eastAsia" w:cs="Times New Roman"/>
                      <w:color w:val="auto"/>
                      <w:sz w:val="21"/>
                      <w:szCs w:val="21"/>
                      <w:highlight w:val="none"/>
                      <w:vertAlign w:val="superscript"/>
                      <w:lang w:val="en-US" w:eastAsia="zh-CN"/>
                    </w:rPr>
                    <w:t>3</w:t>
                  </w:r>
                  <w:r>
                    <w:rPr>
                      <w:rFonts w:hint="eastAsia" w:cs="Times New Roman"/>
                      <w:color w:val="auto"/>
                      <w:sz w:val="21"/>
                      <w:szCs w:val="21"/>
                      <w:highlight w:val="none"/>
                      <w:vertAlign w:val="baseline"/>
                      <w:lang w:val="en-US" w:eastAsia="zh-CN"/>
                    </w:rPr>
                    <w:t>/h</w:t>
                  </w:r>
                </w:p>
              </w:tc>
              <w:tc>
                <w:tcPr>
                  <w:tcW w:w="383" w:type="pct"/>
                  <w:noWrap w:val="0"/>
                  <w:vAlign w:val="center"/>
                </w:tcPr>
                <w:p w14:paraId="5DB593FD">
                  <w:pPr>
                    <w:pStyle w:val="67"/>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s="Times New Roman"/>
                      <w:smallCaps w:val="0"/>
                      <w:color w:val="auto"/>
                      <w:spacing w:val="0"/>
                      <w:kern w:val="2"/>
                      <w:highlight w:val="none"/>
                      <w:lang w:val="en-US" w:eastAsia="zh-CN"/>
                    </w:rPr>
                    <w:t>85</w:t>
                  </w:r>
                </w:p>
              </w:tc>
              <w:tc>
                <w:tcPr>
                  <w:tcW w:w="531" w:type="pct"/>
                  <w:noWrap w:val="0"/>
                  <w:vAlign w:val="center"/>
                </w:tcPr>
                <w:p w14:paraId="035009D9">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70</w:t>
                  </w:r>
                </w:p>
              </w:tc>
              <w:tc>
                <w:tcPr>
                  <w:tcW w:w="1851" w:type="pct"/>
                  <w:vMerge w:val="restart"/>
                  <w:noWrap w:val="0"/>
                  <w:vAlign w:val="center"/>
                </w:tcPr>
                <w:p w14:paraId="70009A76">
                  <w:pPr>
                    <w:pStyle w:val="67"/>
                    <w:keepNext w:val="0"/>
                    <w:keepLines w:val="0"/>
                    <w:suppressLineNumbers w:val="0"/>
                    <w:spacing w:before="0" w:beforeAutospacing="0" w:after="0" w:afterAutospacing="0"/>
                    <w:ind w:left="0" w:right="0"/>
                    <w:jc w:val="center"/>
                    <w:rPr>
                      <w:rFonts w:hint="eastAsia" w:ascii="Times New Roman" w:hAnsi="Times New Roman" w:eastAsia="宋体" w:cs="Times New Roman"/>
                      <w:smallCaps w:val="0"/>
                      <w:color w:val="auto"/>
                      <w:spacing w:val="0"/>
                      <w:highlight w:val="none"/>
                      <w:lang w:eastAsia="zh-CN"/>
                    </w:rPr>
                  </w:pPr>
                  <w:r>
                    <w:rPr>
                      <w:rFonts w:hint="eastAsia" w:cs="Times New Roman"/>
                      <w:smallCaps w:val="0"/>
                      <w:color w:val="auto"/>
                      <w:spacing w:val="0"/>
                      <w:highlight w:val="none"/>
                      <w:lang w:eastAsia="zh-CN"/>
                    </w:rPr>
                    <w:t>选用低噪声设备，基础减振，合理布局、风机加装隔声罩等措施</w:t>
                  </w:r>
                </w:p>
              </w:tc>
              <w:tc>
                <w:tcPr>
                  <w:tcW w:w="311" w:type="pct"/>
                  <w:noWrap w:val="0"/>
                  <w:vAlign w:val="center"/>
                </w:tcPr>
                <w:p w14:paraId="079357C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307.9</w:t>
                  </w:r>
                </w:p>
              </w:tc>
              <w:tc>
                <w:tcPr>
                  <w:tcW w:w="311" w:type="pct"/>
                  <w:noWrap w:val="0"/>
                  <w:vAlign w:val="center"/>
                </w:tcPr>
                <w:p w14:paraId="3A3212E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68.48</w:t>
                  </w:r>
                </w:p>
              </w:tc>
              <w:tc>
                <w:tcPr>
                  <w:tcW w:w="311" w:type="pct"/>
                  <w:noWrap w:val="0"/>
                  <w:vAlign w:val="center"/>
                </w:tcPr>
                <w:p w14:paraId="55CF179D">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kern w:val="2"/>
                      <w:sz w:val="21"/>
                      <w:szCs w:val="20"/>
                      <w:highlight w:val="none"/>
                      <w:lang w:val="en-US" w:eastAsia="zh-CN" w:bidi="ar-SA"/>
                    </w:rPr>
                    <w:t>3.0</w:t>
                  </w:r>
                </w:p>
              </w:tc>
              <w:tc>
                <w:tcPr>
                  <w:tcW w:w="440" w:type="pct"/>
                  <w:noWrap w:val="0"/>
                  <w:vAlign w:val="center"/>
                </w:tcPr>
                <w:p w14:paraId="289D83AC">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741A2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92" w:type="pct"/>
                  <w:noWrap w:val="0"/>
                  <w:vAlign w:val="center"/>
                </w:tcPr>
                <w:p w14:paraId="5278C329">
                  <w:pPr>
                    <w:pStyle w:val="67"/>
                    <w:keepNext w:val="0"/>
                    <w:keepLines w:val="0"/>
                    <w:suppressLineNumbers w:val="0"/>
                    <w:spacing w:before="0" w:beforeAutospacing="0" w:after="0" w:afterAutospacing="0"/>
                    <w:ind w:left="0" w:right="0"/>
                    <w:jc w:val="center"/>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2</w:t>
                  </w:r>
                </w:p>
              </w:tc>
              <w:tc>
                <w:tcPr>
                  <w:tcW w:w="428" w:type="pct"/>
                  <w:noWrap w:val="0"/>
                  <w:vAlign w:val="center"/>
                </w:tcPr>
                <w:p w14:paraId="394DAD1C">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szCs w:val="20"/>
                      <w:highlight w:val="none"/>
                      <w:lang w:val="en-US" w:eastAsia="zh-CN"/>
                    </w:rPr>
                  </w:pPr>
                  <w:r>
                    <w:rPr>
                      <w:rFonts w:hint="default" w:ascii="Times New Roman" w:hAnsi="Times New Roman" w:eastAsia="宋体" w:cs="Times New Roman"/>
                      <w:smallCaps w:val="0"/>
                      <w:color w:val="auto"/>
                      <w:spacing w:val="0"/>
                      <w:szCs w:val="20"/>
                      <w:highlight w:val="none"/>
                      <w:lang w:val="en-US" w:eastAsia="zh-CN"/>
                    </w:rPr>
                    <w:t>风机</w:t>
                  </w:r>
                </w:p>
              </w:tc>
              <w:tc>
                <w:tcPr>
                  <w:tcW w:w="239" w:type="pct"/>
                  <w:noWrap w:val="0"/>
                  <w:vAlign w:val="center"/>
                </w:tcPr>
                <w:p w14:paraId="4674A52E">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20000m</w:t>
                  </w:r>
                  <w:r>
                    <w:rPr>
                      <w:rFonts w:hint="eastAsia" w:cs="Times New Roman"/>
                      <w:color w:val="auto"/>
                      <w:sz w:val="21"/>
                      <w:szCs w:val="21"/>
                      <w:highlight w:val="none"/>
                      <w:vertAlign w:val="superscript"/>
                      <w:lang w:val="en-US" w:eastAsia="zh-CN"/>
                    </w:rPr>
                    <w:t>3</w:t>
                  </w:r>
                  <w:r>
                    <w:rPr>
                      <w:rFonts w:hint="eastAsia" w:cs="Times New Roman"/>
                      <w:color w:val="auto"/>
                      <w:sz w:val="21"/>
                      <w:szCs w:val="21"/>
                      <w:highlight w:val="none"/>
                      <w:vertAlign w:val="baseline"/>
                      <w:lang w:val="en-US" w:eastAsia="zh-CN"/>
                    </w:rPr>
                    <w:t>/h</w:t>
                  </w:r>
                </w:p>
              </w:tc>
              <w:tc>
                <w:tcPr>
                  <w:tcW w:w="383" w:type="pct"/>
                  <w:noWrap w:val="0"/>
                  <w:vAlign w:val="center"/>
                </w:tcPr>
                <w:p w14:paraId="6C11FFA3">
                  <w:pPr>
                    <w:pStyle w:val="67"/>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85</w:t>
                  </w:r>
                </w:p>
              </w:tc>
              <w:tc>
                <w:tcPr>
                  <w:tcW w:w="531" w:type="pct"/>
                  <w:noWrap w:val="0"/>
                  <w:vAlign w:val="center"/>
                </w:tcPr>
                <w:p w14:paraId="1A86D91C">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70</w:t>
                  </w:r>
                </w:p>
              </w:tc>
              <w:tc>
                <w:tcPr>
                  <w:tcW w:w="1851" w:type="pct"/>
                  <w:vMerge w:val="continue"/>
                  <w:noWrap w:val="0"/>
                  <w:vAlign w:val="center"/>
                </w:tcPr>
                <w:p w14:paraId="0C9EC57C">
                  <w:pPr>
                    <w:pStyle w:val="67"/>
                    <w:keepNext w:val="0"/>
                    <w:keepLines w:val="0"/>
                    <w:suppressLineNumbers w:val="0"/>
                    <w:spacing w:before="0" w:beforeAutospacing="0" w:after="0" w:afterAutospacing="0"/>
                    <w:ind w:left="0" w:right="0"/>
                    <w:jc w:val="center"/>
                    <w:rPr>
                      <w:rFonts w:hint="eastAsia" w:ascii="Times New Roman" w:hAnsi="Times New Roman" w:cs="Times New Roman"/>
                      <w:smallCaps w:val="0"/>
                      <w:color w:val="auto"/>
                      <w:spacing w:val="0"/>
                      <w:highlight w:val="none"/>
                      <w:lang w:val="en-US" w:eastAsia="zh-CN"/>
                    </w:rPr>
                  </w:pPr>
                </w:p>
              </w:tc>
              <w:tc>
                <w:tcPr>
                  <w:tcW w:w="311" w:type="pct"/>
                  <w:shd w:val="clear" w:color="auto" w:fill="auto"/>
                  <w:noWrap w:val="0"/>
                  <w:vAlign w:val="center"/>
                </w:tcPr>
                <w:p w14:paraId="675606D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283.72</w:t>
                  </w:r>
                </w:p>
              </w:tc>
              <w:tc>
                <w:tcPr>
                  <w:tcW w:w="311" w:type="pct"/>
                  <w:shd w:val="clear" w:color="auto" w:fill="auto"/>
                  <w:noWrap w:val="0"/>
                  <w:vAlign w:val="center"/>
                </w:tcPr>
                <w:p w14:paraId="006B2B9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60.88</w:t>
                  </w:r>
                </w:p>
              </w:tc>
              <w:tc>
                <w:tcPr>
                  <w:tcW w:w="311" w:type="pct"/>
                  <w:shd w:val="clear" w:color="auto" w:fill="auto"/>
                  <w:noWrap w:val="0"/>
                  <w:vAlign w:val="center"/>
                </w:tcPr>
                <w:p w14:paraId="767C9AB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kern w:val="2"/>
                      <w:sz w:val="21"/>
                      <w:szCs w:val="20"/>
                      <w:highlight w:val="none"/>
                      <w:lang w:val="en-US" w:eastAsia="zh-CN" w:bidi="ar-SA"/>
                    </w:rPr>
                    <w:t>3.0</w:t>
                  </w:r>
                </w:p>
              </w:tc>
              <w:tc>
                <w:tcPr>
                  <w:tcW w:w="440" w:type="pct"/>
                  <w:noWrap w:val="0"/>
                  <w:vAlign w:val="center"/>
                </w:tcPr>
                <w:p w14:paraId="7C5402FA">
                  <w:pPr>
                    <w:keepNext w:val="0"/>
                    <w:keepLines w:val="0"/>
                    <w:suppressLineNumbers w:val="0"/>
                    <w:spacing w:before="0" w:beforeAutospacing="0" w:after="0" w:afterAutospacing="0"/>
                    <w:ind w:left="0" w:right="0"/>
                    <w:jc w:val="center"/>
                    <w:rPr>
                      <w:rFonts w:hint="eastAsia"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320D5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92" w:type="pct"/>
                  <w:noWrap w:val="0"/>
                  <w:vAlign w:val="center"/>
                </w:tcPr>
                <w:p w14:paraId="6F4383A0">
                  <w:pPr>
                    <w:pStyle w:val="67"/>
                    <w:keepNext w:val="0"/>
                    <w:keepLines w:val="0"/>
                    <w:suppressLineNumbers w:val="0"/>
                    <w:spacing w:before="0" w:beforeAutospacing="0" w:after="0" w:afterAutospacing="0"/>
                    <w:ind w:left="0" w:right="0"/>
                    <w:jc w:val="center"/>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3</w:t>
                  </w:r>
                </w:p>
              </w:tc>
              <w:tc>
                <w:tcPr>
                  <w:tcW w:w="428" w:type="pct"/>
                  <w:noWrap w:val="0"/>
                  <w:vAlign w:val="center"/>
                </w:tcPr>
                <w:p w14:paraId="0A95DAB0">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szCs w:val="20"/>
                      <w:highlight w:val="none"/>
                      <w:lang w:val="en-US" w:eastAsia="zh-CN"/>
                    </w:rPr>
                  </w:pPr>
                  <w:r>
                    <w:rPr>
                      <w:rFonts w:hint="default" w:ascii="Times New Roman" w:hAnsi="Times New Roman" w:eastAsia="宋体" w:cs="Times New Roman"/>
                      <w:smallCaps w:val="0"/>
                      <w:color w:val="auto"/>
                      <w:spacing w:val="0"/>
                      <w:szCs w:val="20"/>
                      <w:highlight w:val="none"/>
                      <w:lang w:val="en-US" w:eastAsia="zh-CN"/>
                    </w:rPr>
                    <w:t>风机</w:t>
                  </w:r>
                </w:p>
              </w:tc>
              <w:tc>
                <w:tcPr>
                  <w:tcW w:w="239" w:type="pct"/>
                  <w:noWrap w:val="0"/>
                  <w:vAlign w:val="center"/>
                </w:tcPr>
                <w:p w14:paraId="02DCF585">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20000m</w:t>
                  </w:r>
                  <w:r>
                    <w:rPr>
                      <w:rFonts w:hint="eastAsia" w:cs="Times New Roman"/>
                      <w:color w:val="auto"/>
                      <w:sz w:val="21"/>
                      <w:szCs w:val="21"/>
                      <w:highlight w:val="none"/>
                      <w:vertAlign w:val="superscript"/>
                      <w:lang w:val="en-US" w:eastAsia="zh-CN"/>
                    </w:rPr>
                    <w:t>3</w:t>
                  </w:r>
                  <w:r>
                    <w:rPr>
                      <w:rFonts w:hint="eastAsia" w:cs="Times New Roman"/>
                      <w:color w:val="auto"/>
                      <w:sz w:val="21"/>
                      <w:szCs w:val="21"/>
                      <w:highlight w:val="none"/>
                      <w:vertAlign w:val="baseline"/>
                      <w:lang w:val="en-US" w:eastAsia="zh-CN"/>
                    </w:rPr>
                    <w:t>/h</w:t>
                  </w:r>
                </w:p>
              </w:tc>
              <w:tc>
                <w:tcPr>
                  <w:tcW w:w="383" w:type="pct"/>
                  <w:noWrap w:val="0"/>
                  <w:vAlign w:val="center"/>
                </w:tcPr>
                <w:p w14:paraId="6457C5DE">
                  <w:pPr>
                    <w:pStyle w:val="67"/>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85</w:t>
                  </w:r>
                </w:p>
              </w:tc>
              <w:tc>
                <w:tcPr>
                  <w:tcW w:w="531" w:type="pct"/>
                  <w:noWrap w:val="0"/>
                  <w:vAlign w:val="center"/>
                </w:tcPr>
                <w:p w14:paraId="532C1F16">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70</w:t>
                  </w:r>
                </w:p>
              </w:tc>
              <w:tc>
                <w:tcPr>
                  <w:tcW w:w="1851" w:type="pct"/>
                  <w:vMerge w:val="continue"/>
                  <w:noWrap w:val="0"/>
                  <w:vAlign w:val="center"/>
                </w:tcPr>
                <w:p w14:paraId="6018F52C">
                  <w:pPr>
                    <w:pStyle w:val="67"/>
                    <w:keepNext w:val="0"/>
                    <w:keepLines w:val="0"/>
                    <w:suppressLineNumbers w:val="0"/>
                    <w:spacing w:before="0" w:beforeAutospacing="0" w:after="0" w:afterAutospacing="0"/>
                    <w:ind w:left="0" w:right="0"/>
                    <w:jc w:val="center"/>
                    <w:rPr>
                      <w:rFonts w:hint="eastAsia" w:ascii="Times New Roman" w:hAnsi="Times New Roman" w:cs="Times New Roman"/>
                      <w:smallCaps w:val="0"/>
                      <w:color w:val="auto"/>
                      <w:spacing w:val="0"/>
                      <w:highlight w:val="none"/>
                      <w:lang w:val="en-US" w:eastAsia="zh-CN"/>
                    </w:rPr>
                  </w:pPr>
                </w:p>
              </w:tc>
              <w:tc>
                <w:tcPr>
                  <w:tcW w:w="311" w:type="pct"/>
                  <w:shd w:val="clear" w:color="auto" w:fill="auto"/>
                  <w:noWrap w:val="0"/>
                  <w:vAlign w:val="center"/>
                </w:tcPr>
                <w:p w14:paraId="0AF9EC8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260.92</w:t>
                  </w:r>
                </w:p>
              </w:tc>
              <w:tc>
                <w:tcPr>
                  <w:tcW w:w="311" w:type="pct"/>
                  <w:shd w:val="clear" w:color="auto" w:fill="auto"/>
                  <w:noWrap w:val="0"/>
                  <w:vAlign w:val="center"/>
                </w:tcPr>
                <w:p w14:paraId="76683F8E">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53.28</w:t>
                  </w:r>
                </w:p>
              </w:tc>
              <w:tc>
                <w:tcPr>
                  <w:tcW w:w="311" w:type="pct"/>
                  <w:shd w:val="clear" w:color="auto" w:fill="auto"/>
                  <w:noWrap w:val="0"/>
                  <w:vAlign w:val="center"/>
                </w:tcPr>
                <w:p w14:paraId="2A3B57A1">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kern w:val="2"/>
                      <w:sz w:val="21"/>
                      <w:szCs w:val="20"/>
                      <w:highlight w:val="none"/>
                      <w:lang w:val="en-US" w:eastAsia="zh-CN" w:bidi="ar-SA"/>
                    </w:rPr>
                    <w:t>3.0</w:t>
                  </w:r>
                </w:p>
              </w:tc>
              <w:tc>
                <w:tcPr>
                  <w:tcW w:w="440" w:type="pct"/>
                  <w:noWrap w:val="0"/>
                  <w:vAlign w:val="center"/>
                </w:tcPr>
                <w:p w14:paraId="25A75D13">
                  <w:pPr>
                    <w:keepNext w:val="0"/>
                    <w:keepLines w:val="0"/>
                    <w:suppressLineNumbers w:val="0"/>
                    <w:spacing w:before="0" w:beforeAutospacing="0" w:after="0" w:afterAutospacing="0"/>
                    <w:ind w:left="0" w:right="0"/>
                    <w:jc w:val="center"/>
                    <w:rPr>
                      <w:rFonts w:hint="eastAsia"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16B9A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92" w:type="pct"/>
                  <w:noWrap w:val="0"/>
                  <w:vAlign w:val="center"/>
                </w:tcPr>
                <w:p w14:paraId="03D7C8A9">
                  <w:pPr>
                    <w:pStyle w:val="67"/>
                    <w:keepNext w:val="0"/>
                    <w:keepLines w:val="0"/>
                    <w:suppressLineNumbers w:val="0"/>
                    <w:spacing w:before="0" w:beforeAutospacing="0" w:after="0" w:afterAutospacing="0"/>
                    <w:ind w:left="0" w:right="0"/>
                    <w:jc w:val="center"/>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4</w:t>
                  </w:r>
                </w:p>
              </w:tc>
              <w:tc>
                <w:tcPr>
                  <w:tcW w:w="428" w:type="pct"/>
                  <w:noWrap w:val="0"/>
                  <w:vAlign w:val="center"/>
                </w:tcPr>
                <w:p w14:paraId="74617539">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szCs w:val="20"/>
                      <w:highlight w:val="none"/>
                      <w:lang w:val="en-US" w:eastAsia="zh-CN"/>
                    </w:rPr>
                  </w:pPr>
                  <w:r>
                    <w:rPr>
                      <w:rFonts w:hint="default" w:ascii="Times New Roman" w:hAnsi="Times New Roman" w:eastAsia="宋体" w:cs="Times New Roman"/>
                      <w:smallCaps w:val="0"/>
                      <w:color w:val="auto"/>
                      <w:spacing w:val="0"/>
                      <w:szCs w:val="20"/>
                      <w:highlight w:val="none"/>
                      <w:lang w:val="en-US" w:eastAsia="zh-CN"/>
                    </w:rPr>
                    <w:t>风机</w:t>
                  </w:r>
                </w:p>
              </w:tc>
              <w:tc>
                <w:tcPr>
                  <w:tcW w:w="239" w:type="pct"/>
                  <w:noWrap w:val="0"/>
                  <w:vAlign w:val="center"/>
                </w:tcPr>
                <w:p w14:paraId="008C7786">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20000m</w:t>
                  </w:r>
                  <w:r>
                    <w:rPr>
                      <w:rFonts w:hint="eastAsia" w:cs="Times New Roman"/>
                      <w:color w:val="auto"/>
                      <w:sz w:val="21"/>
                      <w:szCs w:val="21"/>
                      <w:highlight w:val="none"/>
                      <w:vertAlign w:val="superscript"/>
                      <w:lang w:val="en-US" w:eastAsia="zh-CN"/>
                    </w:rPr>
                    <w:t>3</w:t>
                  </w:r>
                  <w:r>
                    <w:rPr>
                      <w:rFonts w:hint="eastAsia" w:cs="Times New Roman"/>
                      <w:color w:val="auto"/>
                      <w:sz w:val="21"/>
                      <w:szCs w:val="21"/>
                      <w:highlight w:val="none"/>
                      <w:vertAlign w:val="baseline"/>
                      <w:lang w:val="en-US" w:eastAsia="zh-CN"/>
                    </w:rPr>
                    <w:t>/h</w:t>
                  </w:r>
                </w:p>
              </w:tc>
              <w:tc>
                <w:tcPr>
                  <w:tcW w:w="383" w:type="pct"/>
                  <w:noWrap w:val="0"/>
                  <w:vAlign w:val="center"/>
                </w:tcPr>
                <w:p w14:paraId="1B861E8A">
                  <w:pPr>
                    <w:pStyle w:val="67"/>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85</w:t>
                  </w:r>
                </w:p>
              </w:tc>
              <w:tc>
                <w:tcPr>
                  <w:tcW w:w="531" w:type="pct"/>
                  <w:noWrap w:val="0"/>
                  <w:vAlign w:val="center"/>
                </w:tcPr>
                <w:p w14:paraId="50EEC4BD">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70</w:t>
                  </w:r>
                </w:p>
              </w:tc>
              <w:tc>
                <w:tcPr>
                  <w:tcW w:w="1851" w:type="pct"/>
                  <w:vMerge w:val="continue"/>
                  <w:noWrap w:val="0"/>
                  <w:vAlign w:val="center"/>
                </w:tcPr>
                <w:p w14:paraId="5BD32B15">
                  <w:pPr>
                    <w:pStyle w:val="67"/>
                    <w:keepNext w:val="0"/>
                    <w:keepLines w:val="0"/>
                    <w:suppressLineNumbers w:val="0"/>
                    <w:spacing w:before="0" w:beforeAutospacing="0" w:after="0" w:afterAutospacing="0"/>
                    <w:ind w:left="0" w:right="0"/>
                    <w:jc w:val="center"/>
                    <w:rPr>
                      <w:rFonts w:hint="eastAsia" w:ascii="Times New Roman" w:hAnsi="Times New Roman" w:cs="Times New Roman"/>
                      <w:smallCaps w:val="0"/>
                      <w:color w:val="auto"/>
                      <w:spacing w:val="0"/>
                      <w:highlight w:val="none"/>
                      <w:lang w:val="en-US" w:eastAsia="zh-CN"/>
                    </w:rPr>
                  </w:pPr>
                </w:p>
              </w:tc>
              <w:tc>
                <w:tcPr>
                  <w:tcW w:w="311" w:type="pct"/>
                  <w:shd w:val="clear" w:color="auto" w:fill="auto"/>
                  <w:noWrap w:val="0"/>
                  <w:vAlign w:val="center"/>
                </w:tcPr>
                <w:p w14:paraId="3CD3928F">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231.21</w:t>
                  </w:r>
                </w:p>
              </w:tc>
              <w:tc>
                <w:tcPr>
                  <w:tcW w:w="311" w:type="pct"/>
                  <w:shd w:val="clear" w:color="auto" w:fill="auto"/>
                  <w:noWrap w:val="0"/>
                  <w:vAlign w:val="center"/>
                </w:tcPr>
                <w:p w14:paraId="6C5E72D8">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44.98</w:t>
                  </w:r>
                </w:p>
              </w:tc>
              <w:tc>
                <w:tcPr>
                  <w:tcW w:w="311" w:type="pct"/>
                  <w:shd w:val="clear" w:color="auto" w:fill="auto"/>
                  <w:noWrap w:val="0"/>
                  <w:vAlign w:val="center"/>
                </w:tcPr>
                <w:p w14:paraId="3F03BD9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kern w:val="2"/>
                      <w:sz w:val="21"/>
                      <w:szCs w:val="20"/>
                      <w:highlight w:val="none"/>
                      <w:lang w:val="en-US" w:eastAsia="zh-CN" w:bidi="ar-SA"/>
                    </w:rPr>
                    <w:t>3.0</w:t>
                  </w:r>
                </w:p>
              </w:tc>
              <w:tc>
                <w:tcPr>
                  <w:tcW w:w="440" w:type="pct"/>
                  <w:noWrap w:val="0"/>
                  <w:vAlign w:val="center"/>
                </w:tcPr>
                <w:p w14:paraId="34FDCB35">
                  <w:pPr>
                    <w:keepNext w:val="0"/>
                    <w:keepLines w:val="0"/>
                    <w:suppressLineNumbers w:val="0"/>
                    <w:spacing w:before="0" w:beforeAutospacing="0" w:after="0" w:afterAutospacing="0"/>
                    <w:ind w:left="0" w:right="0"/>
                    <w:jc w:val="center"/>
                    <w:rPr>
                      <w:rFonts w:hint="eastAsia"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r w14:paraId="26FEB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92" w:type="pct"/>
                  <w:noWrap w:val="0"/>
                  <w:vAlign w:val="center"/>
                </w:tcPr>
                <w:p w14:paraId="59B9A4D7">
                  <w:pPr>
                    <w:pStyle w:val="67"/>
                    <w:keepNext w:val="0"/>
                    <w:keepLines w:val="0"/>
                    <w:suppressLineNumbers w:val="0"/>
                    <w:spacing w:before="0" w:beforeAutospacing="0" w:after="0" w:afterAutospacing="0"/>
                    <w:ind w:left="0" w:right="0"/>
                    <w:jc w:val="center"/>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5</w:t>
                  </w:r>
                </w:p>
              </w:tc>
              <w:tc>
                <w:tcPr>
                  <w:tcW w:w="428" w:type="pct"/>
                  <w:noWrap w:val="0"/>
                  <w:vAlign w:val="center"/>
                </w:tcPr>
                <w:p w14:paraId="3C9D5994">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smallCaps w:val="0"/>
                      <w:color w:val="auto"/>
                      <w:spacing w:val="0"/>
                      <w:szCs w:val="20"/>
                      <w:highlight w:val="none"/>
                      <w:lang w:val="en-US" w:eastAsia="zh-CN"/>
                    </w:rPr>
                  </w:pPr>
                  <w:r>
                    <w:rPr>
                      <w:rFonts w:hint="default" w:ascii="Times New Roman" w:hAnsi="Times New Roman" w:eastAsia="宋体" w:cs="Times New Roman"/>
                      <w:smallCaps w:val="0"/>
                      <w:color w:val="auto"/>
                      <w:spacing w:val="0"/>
                      <w:szCs w:val="20"/>
                      <w:highlight w:val="none"/>
                      <w:lang w:val="en-US" w:eastAsia="zh-CN"/>
                    </w:rPr>
                    <w:t>风机</w:t>
                  </w:r>
                </w:p>
              </w:tc>
              <w:tc>
                <w:tcPr>
                  <w:tcW w:w="239" w:type="pct"/>
                  <w:noWrap w:val="0"/>
                  <w:vAlign w:val="center"/>
                </w:tcPr>
                <w:p w14:paraId="675B376D">
                  <w:pPr>
                    <w:keepNext w:val="0"/>
                    <w:keepLines w:val="0"/>
                    <w:suppressLineNumbers w:val="0"/>
                    <w:kinsoku w:val="0"/>
                    <w:overflowPunct w:val="0"/>
                    <w:autoSpaceDE w:val="0"/>
                    <w:autoSpaceDN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vertAlign w:val="baseline"/>
                      <w:lang w:val="en-US" w:eastAsia="zh-CN"/>
                    </w:rPr>
                  </w:pPr>
                  <w:r>
                    <w:rPr>
                      <w:rFonts w:hint="eastAsia" w:cs="Times New Roman"/>
                      <w:color w:val="auto"/>
                      <w:sz w:val="21"/>
                      <w:szCs w:val="21"/>
                      <w:highlight w:val="none"/>
                      <w:vertAlign w:val="baseline"/>
                      <w:lang w:val="en-US" w:eastAsia="zh-CN"/>
                    </w:rPr>
                    <w:t>20000m</w:t>
                  </w:r>
                  <w:r>
                    <w:rPr>
                      <w:rFonts w:hint="eastAsia" w:cs="Times New Roman"/>
                      <w:color w:val="auto"/>
                      <w:sz w:val="21"/>
                      <w:szCs w:val="21"/>
                      <w:highlight w:val="none"/>
                      <w:vertAlign w:val="superscript"/>
                      <w:lang w:val="en-US" w:eastAsia="zh-CN"/>
                    </w:rPr>
                    <w:t>3</w:t>
                  </w:r>
                  <w:r>
                    <w:rPr>
                      <w:rFonts w:hint="eastAsia" w:cs="Times New Roman"/>
                      <w:color w:val="auto"/>
                      <w:sz w:val="21"/>
                      <w:szCs w:val="21"/>
                      <w:highlight w:val="none"/>
                      <w:vertAlign w:val="baseline"/>
                      <w:lang w:val="en-US" w:eastAsia="zh-CN"/>
                    </w:rPr>
                    <w:t>/h</w:t>
                  </w:r>
                </w:p>
              </w:tc>
              <w:tc>
                <w:tcPr>
                  <w:tcW w:w="383" w:type="pct"/>
                  <w:noWrap w:val="0"/>
                  <w:vAlign w:val="center"/>
                </w:tcPr>
                <w:p w14:paraId="070189D8">
                  <w:pPr>
                    <w:pStyle w:val="67"/>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85</w:t>
                  </w:r>
                </w:p>
              </w:tc>
              <w:tc>
                <w:tcPr>
                  <w:tcW w:w="531" w:type="pct"/>
                  <w:noWrap w:val="0"/>
                  <w:vAlign w:val="center"/>
                </w:tcPr>
                <w:p w14:paraId="421626AB">
                  <w:pPr>
                    <w:pStyle w:val="67"/>
                    <w:keepNext w:val="0"/>
                    <w:keepLines w:val="0"/>
                    <w:suppressLineNumbers w:val="0"/>
                    <w:spacing w:before="0" w:beforeAutospacing="0" w:after="0" w:afterAutospacing="0"/>
                    <w:ind w:left="0" w:leftChars="0" w:right="0" w:rightChars="0"/>
                    <w:jc w:val="center"/>
                    <w:rPr>
                      <w:rFonts w:hint="default" w:cs="Times New Roman"/>
                      <w:smallCaps w:val="0"/>
                      <w:color w:val="auto"/>
                      <w:spacing w:val="0"/>
                      <w:kern w:val="2"/>
                      <w:highlight w:val="none"/>
                      <w:lang w:val="en-US" w:eastAsia="zh-CN"/>
                    </w:rPr>
                  </w:pPr>
                  <w:r>
                    <w:rPr>
                      <w:rFonts w:hint="eastAsia" w:cs="Times New Roman"/>
                      <w:smallCaps w:val="0"/>
                      <w:color w:val="auto"/>
                      <w:spacing w:val="0"/>
                      <w:kern w:val="2"/>
                      <w:highlight w:val="none"/>
                      <w:lang w:val="en-US" w:eastAsia="zh-CN"/>
                    </w:rPr>
                    <w:t>70</w:t>
                  </w:r>
                </w:p>
              </w:tc>
              <w:tc>
                <w:tcPr>
                  <w:tcW w:w="1851" w:type="pct"/>
                  <w:vMerge w:val="continue"/>
                  <w:noWrap w:val="0"/>
                  <w:vAlign w:val="center"/>
                </w:tcPr>
                <w:p w14:paraId="25B8C5ED">
                  <w:pPr>
                    <w:pStyle w:val="67"/>
                    <w:keepNext w:val="0"/>
                    <w:keepLines w:val="0"/>
                    <w:suppressLineNumbers w:val="0"/>
                    <w:spacing w:before="0" w:beforeAutospacing="0" w:after="0" w:afterAutospacing="0"/>
                    <w:ind w:left="0" w:right="0"/>
                    <w:jc w:val="center"/>
                    <w:rPr>
                      <w:rFonts w:hint="eastAsia" w:ascii="Times New Roman" w:hAnsi="Times New Roman" w:cs="Times New Roman"/>
                      <w:smallCaps w:val="0"/>
                      <w:color w:val="auto"/>
                      <w:spacing w:val="0"/>
                      <w:highlight w:val="none"/>
                      <w:lang w:val="en-US" w:eastAsia="zh-CN"/>
                    </w:rPr>
                  </w:pPr>
                </w:p>
              </w:tc>
              <w:tc>
                <w:tcPr>
                  <w:tcW w:w="311" w:type="pct"/>
                  <w:shd w:val="clear" w:color="auto" w:fill="auto"/>
                  <w:noWrap w:val="0"/>
                  <w:vAlign w:val="center"/>
                </w:tcPr>
                <w:p w14:paraId="595D86E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191.83</w:t>
                  </w:r>
                </w:p>
              </w:tc>
              <w:tc>
                <w:tcPr>
                  <w:tcW w:w="311" w:type="pct"/>
                  <w:shd w:val="clear" w:color="auto" w:fill="auto"/>
                  <w:noWrap w:val="0"/>
                  <w:vAlign w:val="center"/>
                </w:tcPr>
                <w:p w14:paraId="696A167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eastAsia"/>
                      <w:color w:val="auto"/>
                      <w:szCs w:val="20"/>
                      <w:highlight w:val="none"/>
                    </w:rPr>
                    <w:t>30.47</w:t>
                  </w:r>
                </w:p>
              </w:tc>
              <w:tc>
                <w:tcPr>
                  <w:tcW w:w="311" w:type="pct"/>
                  <w:shd w:val="clear" w:color="auto" w:fill="auto"/>
                  <w:noWrap w:val="0"/>
                  <w:vAlign w:val="center"/>
                </w:tcPr>
                <w:p w14:paraId="5FC3ABB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kern w:val="2"/>
                      <w:sz w:val="21"/>
                      <w:szCs w:val="20"/>
                      <w:highlight w:val="none"/>
                      <w:lang w:val="en-US" w:eastAsia="zh-CN" w:bidi="ar-SA"/>
                    </w:rPr>
                    <w:t>3.0</w:t>
                  </w:r>
                </w:p>
              </w:tc>
              <w:tc>
                <w:tcPr>
                  <w:tcW w:w="440" w:type="pct"/>
                  <w:noWrap w:val="0"/>
                  <w:vAlign w:val="center"/>
                </w:tcPr>
                <w:p w14:paraId="0363DDCD">
                  <w:pPr>
                    <w:keepNext w:val="0"/>
                    <w:keepLines w:val="0"/>
                    <w:suppressLineNumbers w:val="0"/>
                    <w:spacing w:before="0" w:beforeAutospacing="0" w:after="0" w:afterAutospacing="0"/>
                    <w:ind w:left="0" w:right="0"/>
                    <w:jc w:val="center"/>
                    <w:rPr>
                      <w:rFonts w:hint="eastAsia" w:cs="Times New Roman"/>
                      <w:smallCaps w:val="0"/>
                      <w:color w:val="auto"/>
                      <w:spacing w:val="0"/>
                      <w:w w:val="100"/>
                      <w:sz w:val="21"/>
                      <w:szCs w:val="21"/>
                      <w:highlight w:val="none"/>
                      <w:lang w:val="en-US" w:eastAsia="zh-CN"/>
                    </w:rPr>
                  </w:pPr>
                  <w:r>
                    <w:rPr>
                      <w:rFonts w:hint="eastAsia" w:cs="Times New Roman"/>
                      <w:smallCaps w:val="0"/>
                      <w:color w:val="auto"/>
                      <w:spacing w:val="0"/>
                      <w:w w:val="100"/>
                      <w:sz w:val="21"/>
                      <w:szCs w:val="21"/>
                      <w:highlight w:val="none"/>
                      <w:lang w:val="en-US" w:eastAsia="zh-CN"/>
                    </w:rPr>
                    <w:t>24</w:t>
                  </w:r>
                </w:p>
              </w:tc>
            </w:tr>
          </w:tbl>
          <w:p w14:paraId="190CB98F">
            <w:pPr>
              <w:pStyle w:val="187"/>
              <w:keepNext w:val="0"/>
              <w:keepLines w:val="0"/>
              <w:suppressLineNumbers w:val="0"/>
              <w:spacing w:before="0" w:beforeAutospacing="0" w:after="0" w:afterAutospacing="0"/>
              <w:ind w:left="0" w:right="0"/>
              <w:rPr>
                <w:rFonts w:hint="eastAsia" w:cs="Times New Roman"/>
                <w:smallCaps w:val="0"/>
                <w:color w:val="auto"/>
                <w:spacing w:val="0"/>
                <w:highlight w:val="none"/>
                <w:vertAlign w:val="baseline"/>
                <w:lang w:eastAsia="zh-CN"/>
              </w:rPr>
            </w:pPr>
          </w:p>
          <w:p w14:paraId="66336B46">
            <w:pPr>
              <w:pStyle w:val="187"/>
              <w:keepNext w:val="0"/>
              <w:keepLines w:val="0"/>
              <w:suppressLineNumbers w:val="0"/>
              <w:spacing w:before="0" w:beforeAutospacing="0" w:after="0" w:afterAutospacing="0"/>
              <w:ind w:left="0" w:right="0"/>
              <w:rPr>
                <w:rFonts w:hint="eastAsia" w:cs="Times New Roman"/>
                <w:smallCaps w:val="0"/>
                <w:color w:val="auto"/>
                <w:spacing w:val="0"/>
                <w:highlight w:val="none"/>
                <w:vertAlign w:val="baseline"/>
                <w:lang w:eastAsia="zh-CN"/>
              </w:rPr>
            </w:pPr>
          </w:p>
          <w:p w14:paraId="65E50F32">
            <w:pPr>
              <w:pStyle w:val="187"/>
              <w:keepNext w:val="0"/>
              <w:keepLines w:val="0"/>
              <w:suppressLineNumbers w:val="0"/>
              <w:spacing w:before="0" w:beforeAutospacing="0" w:after="0" w:afterAutospacing="0"/>
              <w:ind w:left="0" w:right="0"/>
              <w:rPr>
                <w:rFonts w:hint="eastAsia" w:cs="Times New Roman"/>
                <w:smallCaps w:val="0"/>
                <w:color w:val="auto"/>
                <w:spacing w:val="0"/>
                <w:highlight w:val="none"/>
                <w:vertAlign w:val="baseline"/>
                <w:lang w:eastAsia="zh-CN"/>
              </w:rPr>
            </w:pPr>
          </w:p>
          <w:p w14:paraId="02EBD845">
            <w:pPr>
              <w:pStyle w:val="187"/>
              <w:keepNext w:val="0"/>
              <w:keepLines w:val="0"/>
              <w:suppressLineNumbers w:val="0"/>
              <w:spacing w:before="0" w:beforeAutospacing="0" w:after="0" w:afterAutospacing="0"/>
              <w:ind w:left="0" w:right="0"/>
              <w:rPr>
                <w:rFonts w:hint="eastAsia" w:cs="Times New Roman"/>
                <w:smallCaps w:val="0"/>
                <w:color w:val="auto"/>
                <w:spacing w:val="0"/>
                <w:highlight w:val="none"/>
                <w:vertAlign w:val="baseline"/>
                <w:lang w:eastAsia="zh-CN"/>
              </w:rPr>
            </w:pPr>
          </w:p>
          <w:p w14:paraId="1977E1F1">
            <w:pPr>
              <w:pStyle w:val="187"/>
              <w:keepNext w:val="0"/>
              <w:keepLines w:val="0"/>
              <w:suppressLineNumbers w:val="0"/>
              <w:spacing w:before="0" w:beforeAutospacing="0" w:after="0" w:afterAutospacing="0"/>
              <w:ind w:left="0" w:right="0"/>
              <w:rPr>
                <w:rFonts w:hint="eastAsia" w:ascii="Times New Roman" w:hAnsi="Times New Roman" w:eastAsia="宋体" w:cs="Times New Roman"/>
                <w:smallCaps w:val="0"/>
                <w:color w:val="auto"/>
                <w:spacing w:val="0"/>
                <w:highlight w:val="none"/>
                <w:vertAlign w:val="baseline"/>
                <w:lang w:eastAsia="zh-CN"/>
              </w:rPr>
            </w:pPr>
          </w:p>
        </w:tc>
      </w:tr>
    </w:tbl>
    <w:p w14:paraId="469A2EC0">
      <w:pPr>
        <w:pStyle w:val="5"/>
        <w:keepNext w:val="0"/>
        <w:keepLines w:val="0"/>
        <w:suppressLineNumbers w:val="0"/>
        <w:spacing w:before="0" w:beforeAutospacing="0" w:after="0" w:afterAutospacing="0"/>
        <w:ind w:left="0" w:right="0"/>
        <w:rPr>
          <w:rFonts w:hint="default" w:ascii="Times New Roman" w:hAnsi="Times New Roman" w:cs="Times New Roman"/>
          <w:color w:val="auto"/>
          <w:szCs w:val="20"/>
          <w:highlight w:val="none"/>
        </w:rPr>
        <w:sectPr>
          <w:pgSz w:w="16840" w:h="11907" w:orient="landscape"/>
          <w:pgMar w:top="1800" w:right="1440" w:bottom="1800" w:left="1440" w:header="851" w:footer="992" w:gutter="0"/>
          <w:cols w:space="720" w:num="1"/>
          <w:docGrid w:type="linesAndChars" w:linePitch="319" w:charSpace="0"/>
        </w:sectPr>
      </w:pPr>
    </w:p>
    <w:tbl>
      <w:tblPr>
        <w:tblStyle w:val="4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9"/>
        <w:gridCol w:w="8204"/>
      </w:tblGrid>
      <w:tr w14:paraId="4768B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87" w:type="pct"/>
            <w:vAlign w:val="center"/>
          </w:tcPr>
          <w:p w14:paraId="3A2BFFFA">
            <w:pPr>
              <w:pStyle w:val="13"/>
              <w:keepNext w:val="0"/>
              <w:keepLines w:val="0"/>
              <w:suppressLineNumbers w:val="0"/>
              <w:spacing w:before="0" w:beforeAutospacing="0" w:after="0" w:afterAutospacing="0"/>
              <w:ind w:left="0" w:right="0"/>
              <w:rPr>
                <w:rFonts w:hint="default"/>
                <w:color w:val="auto"/>
                <w:highlight w:val="none"/>
              </w:rPr>
            </w:pPr>
          </w:p>
        </w:tc>
        <w:tc>
          <w:tcPr>
            <w:tcW w:w="4812" w:type="pct"/>
            <w:vAlign w:val="center"/>
          </w:tcPr>
          <w:p w14:paraId="7075ECE3">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（2）声环境影响预测</w:t>
            </w:r>
          </w:p>
          <w:p w14:paraId="04F4E7EC">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szCs w:val="32"/>
                <w:highlight w:val="none"/>
              </w:rPr>
            </w:pPr>
            <w:r>
              <w:rPr>
                <w:rFonts w:hint="default" w:ascii="Times New Roman" w:hAnsi="Times New Roman" w:cs="Times New Roman"/>
                <w:smallCaps w:val="0"/>
                <w:color w:val="auto"/>
                <w:spacing w:val="0"/>
                <w:szCs w:val="32"/>
                <w:highlight w:val="none"/>
              </w:rPr>
              <w:t>1）预测因子、方位</w:t>
            </w:r>
          </w:p>
          <w:p w14:paraId="02E2492C">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①预测因子</w:t>
            </w:r>
          </w:p>
          <w:p w14:paraId="744C186E">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等效连续A声级。</w:t>
            </w:r>
          </w:p>
          <w:p w14:paraId="334E3272">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②预测位置</w:t>
            </w:r>
          </w:p>
          <w:p w14:paraId="651F3F7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厂区东、西、南、北厂界作为评价点。</w:t>
            </w:r>
          </w:p>
          <w:p w14:paraId="05A3AAF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szCs w:val="32"/>
                <w:highlight w:val="none"/>
              </w:rPr>
            </w:pPr>
            <w:r>
              <w:rPr>
                <w:rFonts w:hint="default" w:ascii="Times New Roman" w:hAnsi="Times New Roman" w:cs="Times New Roman"/>
                <w:smallCaps w:val="0"/>
                <w:color w:val="auto"/>
                <w:spacing w:val="0"/>
                <w:szCs w:val="32"/>
                <w:highlight w:val="none"/>
              </w:rPr>
              <w:t>2）预测模式</w:t>
            </w:r>
          </w:p>
          <w:p w14:paraId="1391F334">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本次预测采用的《环境影响评价技术导则  声环境》（HJ2.4-2021）附录B中典型行业噪声预测模型进行预测</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具体公式如下</w:t>
            </w:r>
            <w:r>
              <w:rPr>
                <w:rFonts w:hint="eastAsia" w:cs="Times New Roman"/>
                <w:smallCaps w:val="0"/>
                <w:color w:val="auto"/>
                <w:spacing w:val="0"/>
                <w:highlight w:val="none"/>
                <w:lang w:eastAsia="zh-CN"/>
              </w:rPr>
              <w:t>：</w:t>
            </w:r>
          </w:p>
          <w:p w14:paraId="528A5D47">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①单个室外点声源在预测点产生的声级计算基本公式</w:t>
            </w:r>
          </w:p>
          <w:p w14:paraId="0A305586">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已知声源的倍频带声功率级</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从63Hz到8000Hz标称频带中心频率的8个倍频带</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预测点位置的倍频带声压级</w:t>
            </w:r>
            <w:r>
              <w:rPr>
                <w:rFonts w:hint="default" w:ascii="Times New Roman" w:hAnsi="Times New Roman" w:cs="Times New Roman"/>
                <w:smallCaps w:val="0"/>
                <w:color w:val="auto"/>
                <w:spacing w:val="0"/>
                <w:highlight w:val="none"/>
              </w:rPr>
              <w:drawing>
                <wp:inline distT="0" distB="0" distL="0" distR="0">
                  <wp:extent cx="292100" cy="165735"/>
                  <wp:effectExtent l="0" t="0" r="12700" b="5080"/>
                  <wp:docPr id="407" name="图片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图片 40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94206" cy="167281"/>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可按下式计算</w:t>
            </w:r>
            <w:r>
              <w:rPr>
                <w:rFonts w:hint="eastAsia" w:cs="Times New Roman"/>
                <w:smallCaps w:val="0"/>
                <w:color w:val="auto"/>
                <w:spacing w:val="0"/>
                <w:highlight w:val="none"/>
                <w:lang w:eastAsia="zh-CN"/>
              </w:rPr>
              <w:t>：</w:t>
            </w:r>
          </w:p>
          <w:p w14:paraId="2A7EC72C">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1329055" cy="233680"/>
                  <wp:effectExtent l="0" t="0" r="4445" b="14605"/>
                  <wp:docPr id="406" name="图片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图片 40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329055" cy="233680"/>
                          </a:xfrm>
                          <a:prstGeom prst="rect">
                            <a:avLst/>
                          </a:prstGeom>
                          <a:noFill/>
                          <a:ln>
                            <a:noFill/>
                          </a:ln>
                        </pic:spPr>
                      </pic:pic>
                    </a:graphicData>
                  </a:graphic>
                </wp:inline>
              </w:drawing>
            </w:r>
          </w:p>
          <w:p w14:paraId="30793DA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2105025" cy="233680"/>
                  <wp:effectExtent l="0" t="0" r="9525" b="14605"/>
                  <wp:docPr id="405" name="图片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图片 40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105025" cy="233680"/>
                          </a:xfrm>
                          <a:prstGeom prst="rect">
                            <a:avLst/>
                          </a:prstGeom>
                          <a:noFill/>
                          <a:ln>
                            <a:noFill/>
                          </a:ln>
                        </pic:spPr>
                      </pic:pic>
                    </a:graphicData>
                  </a:graphic>
                </wp:inline>
              </w:drawing>
            </w:r>
          </w:p>
          <w:p w14:paraId="1BDD557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式中</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drawing>
                <wp:inline distT="0" distB="0" distL="0" distR="0">
                  <wp:extent cx="393700" cy="233680"/>
                  <wp:effectExtent l="0" t="0" r="6350" b="14605"/>
                  <wp:docPr id="404" name="图片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图片 40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93700" cy="2336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——距离声源r处的倍频带声压级</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070637DB">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201930" cy="223520"/>
                  <wp:effectExtent l="0" t="0" r="7620" b="4445"/>
                  <wp:docPr id="403" name="图片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图片 40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01930" cy="22352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——倍频带声功率级</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637D6FD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201930" cy="233680"/>
                  <wp:effectExtent l="0" t="0" r="7620" b="14605"/>
                  <wp:docPr id="402" name="图片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图片 40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201930" cy="2336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——指向性校正</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44747172">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148590" cy="170180"/>
                  <wp:effectExtent l="0" t="0" r="3810" b="1270"/>
                  <wp:docPr id="401" name="图片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图片 40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148590" cy="1701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——倍频带衰减</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48D8FA29">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266065" cy="223520"/>
                  <wp:effectExtent l="0" t="0" r="635" b="4445"/>
                  <wp:docPr id="400" name="图片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图片 40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66065" cy="22352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——几何发散引起的倍频带衰减</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40230E53">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233680" cy="255270"/>
                  <wp:effectExtent l="0" t="0" r="13970" b="12700"/>
                  <wp:docPr id="399" name="图片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图片 39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233680" cy="25527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——地面效应引起的倍频带衰减</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7B5F0FF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276225" cy="223520"/>
                  <wp:effectExtent l="0" t="0" r="9525" b="4445"/>
                  <wp:docPr id="398" name="图片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图片 39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276225" cy="22352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——大气吸收引起的倍频带衰减</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1E123F3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276225" cy="223520"/>
                  <wp:effectExtent l="0" t="0" r="9525" b="4445"/>
                  <wp:docPr id="397" name="图片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图片 39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276225" cy="22352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——声屏障引起的倍频带衰减</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059BA8CD">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318770" cy="223520"/>
                  <wp:effectExtent l="0" t="0" r="5080" b="4445"/>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318770" cy="22352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——其它多方面效应引起的倍频带衰减</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63A45678">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②室内点声源对厂界噪声预测点贡献值预测模式</w:t>
            </w:r>
          </w:p>
          <w:p w14:paraId="06128CE0">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室内声源首先换算为等效室外声源</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再按各类声源模式计算。</w:t>
            </w:r>
          </w:p>
          <w:p w14:paraId="6AA5020B">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A首先计算出某个室内声源靠近围护结构处的倍频带声压级</w:t>
            </w:r>
            <w:r>
              <w:rPr>
                <w:rFonts w:hint="eastAsia" w:cs="Times New Roman"/>
                <w:smallCaps w:val="0"/>
                <w:color w:val="auto"/>
                <w:spacing w:val="0"/>
                <w:highlight w:val="none"/>
                <w:lang w:eastAsia="zh-CN"/>
              </w:rPr>
              <w:t>：</w:t>
            </w:r>
          </w:p>
          <w:p w14:paraId="2EC853FD">
            <w:pPr>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szCs w:val="20"/>
                <w:highlight w:val="none"/>
              </w:rPr>
            </w:pPr>
          </w:p>
          <w:p w14:paraId="72D72FB4">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anchor distT="0" distB="0" distL="0" distR="0" simplePos="0" relativeHeight="251662336" behindDoc="1" locked="0" layoutInCell="1" allowOverlap="1">
                  <wp:simplePos x="0" y="0"/>
                  <wp:positionH relativeFrom="column">
                    <wp:posOffset>304800</wp:posOffset>
                  </wp:positionH>
                  <wp:positionV relativeFrom="paragraph">
                    <wp:posOffset>-176530</wp:posOffset>
                  </wp:positionV>
                  <wp:extent cx="1701165" cy="393700"/>
                  <wp:effectExtent l="0" t="0" r="13335" b="5715"/>
                  <wp:wrapNone/>
                  <wp:docPr id="395" name="图片 395" descr="说明: 形状&#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图片 395" descr="说明: 形状&#10;&#10;中度可信度描述已自动生成"/>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1701165" cy="393700"/>
                          </a:xfrm>
                          <a:prstGeom prst="rect">
                            <a:avLst/>
                          </a:prstGeom>
                          <a:noFill/>
                          <a:ln>
                            <a:noFill/>
                          </a:ln>
                        </pic:spPr>
                      </pic:pic>
                    </a:graphicData>
                  </a:graphic>
                </wp:anchor>
              </w:drawing>
            </w:r>
          </w:p>
          <w:p w14:paraId="0E387CD6">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式中</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drawing>
                <wp:inline distT="0" distB="0" distL="0" distR="0">
                  <wp:extent cx="223520" cy="233680"/>
                  <wp:effectExtent l="0" t="0" r="5080" b="14605"/>
                  <wp:docPr id="394" name="图片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图片 39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223520" cy="2336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——室内声源在靠近围护结构处产生的倍频带声压级</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21B9217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201930" cy="223520"/>
                  <wp:effectExtent l="0" t="0" r="7620" b="4445"/>
                  <wp:docPr id="393"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图片 39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01930" cy="22352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——声源的倍频带声功率级</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287B8E18">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116840" cy="127635"/>
                  <wp:effectExtent l="0" t="0" r="16510" b="5080"/>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116840" cy="127635"/>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——声源到靠近围护结构某点处的距离</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m；</w:t>
            </w:r>
          </w:p>
          <w:p w14:paraId="1517A0C4">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148590" cy="201930"/>
                  <wp:effectExtent l="0" t="0" r="3810" b="6350"/>
                  <wp:docPr id="391" name="图片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图片 39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148590" cy="20193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——指向性因子；</w:t>
            </w:r>
          </w:p>
          <w:p w14:paraId="79B5E238">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148590" cy="170180"/>
                  <wp:effectExtent l="0" t="0" r="3810" b="1270"/>
                  <wp:docPr id="390" name="图片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图片 39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148590" cy="1701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——房间常数</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drawing>
                <wp:inline distT="0" distB="0" distL="0" distR="0">
                  <wp:extent cx="876300" cy="182880"/>
                  <wp:effectExtent l="0" t="0" r="0" b="6985"/>
                  <wp:docPr id="389" name="图片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图片 38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876588" cy="18291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drawing>
                <wp:inline distT="0" distB="0" distL="0" distR="0">
                  <wp:extent cx="138430" cy="180975"/>
                  <wp:effectExtent l="0" t="0" r="13970" b="7620"/>
                  <wp:docPr id="388" name="图片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图片 38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138430" cy="180975"/>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为房间内表面面积</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m</w:t>
            </w:r>
            <w:r>
              <w:rPr>
                <w:rFonts w:hint="default" w:ascii="Times New Roman" w:hAnsi="Times New Roman" w:cs="Times New Roman"/>
                <w:smallCaps w:val="0"/>
                <w:color w:val="auto"/>
                <w:spacing w:val="0"/>
                <w:highlight w:val="none"/>
                <w:vertAlign w:val="superscript"/>
              </w:rPr>
              <w:t>2</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drawing>
                <wp:inline distT="0" distB="0" distL="0" distR="0">
                  <wp:extent cx="148590" cy="138430"/>
                  <wp:effectExtent l="0" t="0" r="3810" b="14605"/>
                  <wp:docPr id="387" name="图片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图片 38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148590" cy="13843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为平均吸声系数。</w:t>
            </w:r>
          </w:p>
          <w:p w14:paraId="4354ADBF">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B计算出所有室内声源在靠近围护结构处产生的</w:t>
            </w:r>
            <w:r>
              <w:rPr>
                <w:rFonts w:hint="default" w:ascii="Times New Roman" w:hAnsi="Times New Roman" w:cs="Times New Roman"/>
                <w:smallCaps w:val="0"/>
                <w:color w:val="auto"/>
                <w:spacing w:val="0"/>
                <w:highlight w:val="none"/>
              </w:rPr>
              <w:drawing>
                <wp:inline distT="0" distB="0" distL="0" distR="0">
                  <wp:extent cx="85090" cy="170180"/>
                  <wp:effectExtent l="0" t="0" r="10160" b="1270"/>
                  <wp:docPr id="386" name="图片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图片 38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85090" cy="1701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倍频带叠加声压级</w:t>
            </w:r>
            <w:r>
              <w:rPr>
                <w:rFonts w:hint="eastAsia" w:cs="Times New Roman"/>
                <w:smallCaps w:val="0"/>
                <w:color w:val="auto"/>
                <w:spacing w:val="0"/>
                <w:highlight w:val="none"/>
                <w:lang w:eastAsia="zh-CN"/>
              </w:rPr>
              <w:t>：</w:t>
            </w:r>
          </w:p>
          <w:p w14:paraId="236A2100">
            <w:pPr>
              <w:pStyle w:val="39"/>
              <w:keepNext w:val="0"/>
              <w:keepLines w:val="0"/>
              <w:suppressLineNumbers w:val="0"/>
              <w:spacing w:before="0" w:beforeAutospacing="0" w:after="0" w:afterAutospacing="0"/>
              <w:ind w:right="0"/>
              <w:rPr>
                <w:rFonts w:hint="default"/>
                <w:color w:val="auto"/>
                <w:highlight w:val="none"/>
              </w:rPr>
            </w:pPr>
          </w:p>
          <w:p w14:paraId="61F8AE6C">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anchor distT="0" distB="0" distL="0" distR="0" simplePos="0" relativeHeight="251661312" behindDoc="1" locked="0" layoutInCell="1" allowOverlap="1">
                  <wp:simplePos x="0" y="0"/>
                  <wp:positionH relativeFrom="column">
                    <wp:posOffset>304800</wp:posOffset>
                  </wp:positionH>
                  <wp:positionV relativeFrom="paragraph">
                    <wp:posOffset>-222885</wp:posOffset>
                  </wp:positionV>
                  <wp:extent cx="1658620" cy="446405"/>
                  <wp:effectExtent l="0" t="0" r="0" b="11430"/>
                  <wp:wrapNone/>
                  <wp:docPr id="385" name="图片 385" descr="说明: 形状&#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图片 385" descr="说明: 形状&#10;&#10;中度可信度描述已自动生成"/>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1658620" cy="446405"/>
                          </a:xfrm>
                          <a:prstGeom prst="rect">
                            <a:avLst/>
                          </a:prstGeom>
                          <a:noFill/>
                          <a:ln>
                            <a:noFill/>
                          </a:ln>
                        </pic:spPr>
                      </pic:pic>
                    </a:graphicData>
                  </a:graphic>
                </wp:anchor>
              </w:drawing>
            </w:r>
          </w:p>
          <w:p w14:paraId="58B58280">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式中</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drawing>
                <wp:inline distT="0" distB="0" distL="0" distR="0">
                  <wp:extent cx="467995" cy="233680"/>
                  <wp:effectExtent l="0" t="0" r="8255" b="14605"/>
                  <wp:docPr id="384" name="图片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图片 38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467995" cy="2336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——靠近围护结构处室内N个声源</w:t>
            </w:r>
            <w:r>
              <w:rPr>
                <w:rFonts w:hint="default" w:ascii="Times New Roman" w:hAnsi="Times New Roman" w:cs="Times New Roman"/>
                <w:smallCaps w:val="0"/>
                <w:color w:val="auto"/>
                <w:spacing w:val="0"/>
                <w:highlight w:val="none"/>
              </w:rPr>
              <w:drawing>
                <wp:inline distT="0" distB="0" distL="0" distR="0">
                  <wp:extent cx="85090" cy="170180"/>
                  <wp:effectExtent l="0" t="0" r="10160" b="127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85090" cy="1701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倍频带的叠加声压级</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56D179CD">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287020" cy="233680"/>
                  <wp:effectExtent l="0" t="0" r="17780" b="1460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287020" cy="2336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——室内</w:t>
            </w:r>
            <w:r>
              <w:rPr>
                <w:rFonts w:hint="default" w:ascii="Times New Roman" w:hAnsi="Times New Roman" w:cs="Times New Roman"/>
                <w:smallCaps w:val="0"/>
                <w:color w:val="auto"/>
                <w:spacing w:val="0"/>
                <w:highlight w:val="none"/>
              </w:rPr>
              <w:drawing>
                <wp:inline distT="0" distB="0" distL="0" distR="0">
                  <wp:extent cx="127635" cy="191135"/>
                  <wp:effectExtent l="0" t="0" r="5715" b="18415"/>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127635" cy="191135"/>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声源</w:t>
            </w:r>
            <w:r>
              <w:rPr>
                <w:rFonts w:hint="default" w:ascii="Times New Roman" w:hAnsi="Times New Roman" w:cs="Times New Roman"/>
                <w:smallCaps w:val="0"/>
                <w:color w:val="auto"/>
                <w:spacing w:val="0"/>
                <w:highlight w:val="none"/>
              </w:rPr>
              <w:drawing>
                <wp:inline distT="0" distB="0" distL="0" distR="0">
                  <wp:extent cx="85090" cy="170180"/>
                  <wp:effectExtent l="0" t="0" r="10160" b="127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85090" cy="1701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倍频带的声压级</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16FDF990">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180975" cy="180975"/>
                  <wp:effectExtent l="0" t="0" r="9525" b="762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180975" cy="180975"/>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——室内声源总数。</w:t>
            </w:r>
          </w:p>
          <w:p w14:paraId="5E714F9C">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C计算出室外靠近围护结构处的声压级</w:t>
            </w:r>
            <w:r>
              <w:rPr>
                <w:rFonts w:hint="eastAsia" w:cs="Times New Roman"/>
                <w:smallCaps w:val="0"/>
                <w:color w:val="auto"/>
                <w:spacing w:val="0"/>
                <w:highlight w:val="none"/>
                <w:lang w:eastAsia="zh-CN"/>
              </w:rPr>
              <w:t>：</w:t>
            </w:r>
          </w:p>
          <w:p w14:paraId="239DECA9">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1775460" cy="233680"/>
                  <wp:effectExtent l="0" t="0" r="15240" b="1460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1775460" cy="233680"/>
                          </a:xfrm>
                          <a:prstGeom prst="rect">
                            <a:avLst/>
                          </a:prstGeom>
                          <a:noFill/>
                          <a:ln>
                            <a:noFill/>
                          </a:ln>
                        </pic:spPr>
                      </pic:pic>
                    </a:graphicData>
                  </a:graphic>
                </wp:inline>
              </w:drawing>
            </w:r>
          </w:p>
          <w:p w14:paraId="6134AC2C">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式中</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drawing>
                <wp:inline distT="0" distB="0" distL="0" distR="0">
                  <wp:extent cx="499745" cy="233680"/>
                  <wp:effectExtent l="0" t="0" r="14605" b="1460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499745" cy="2336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——靠近围护结构处室外N个声源</w:t>
            </w:r>
            <w:r>
              <w:rPr>
                <w:rFonts w:hint="default" w:ascii="Times New Roman" w:hAnsi="Times New Roman" w:cs="Times New Roman"/>
                <w:smallCaps w:val="0"/>
                <w:color w:val="auto"/>
                <w:spacing w:val="0"/>
                <w:highlight w:val="none"/>
              </w:rPr>
              <w:drawing>
                <wp:inline distT="0" distB="0" distL="0" distR="0">
                  <wp:extent cx="85090" cy="170180"/>
                  <wp:effectExtent l="0" t="0" r="10160" b="127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85090" cy="1701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倍频带的叠加声压级</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50E0FBAF">
            <w:pPr>
              <w:pStyle w:val="172"/>
              <w:keepNext w:val="0"/>
              <w:keepLines w:val="0"/>
              <w:suppressLineNumbers w:val="0"/>
              <w:spacing w:before="0" w:beforeAutospacing="0" w:after="0" w:afterAutospacing="0"/>
              <w:ind w:left="0" w:right="0" w:firstLine="500"/>
              <w:rPr>
                <w:rFonts w:hint="default" w:ascii="Times New Roman" w:hAnsi="Times New Roman" w:cs="Times New Roman"/>
                <w:smallCaps w:val="0"/>
                <w:color w:val="auto"/>
                <w:spacing w:val="0"/>
                <w:highlight w:val="none"/>
              </w:rPr>
            </w:pPr>
            <w:r>
              <w:rPr>
                <w:rFonts w:hint="default" w:ascii="Times New Roman" w:hAnsi="Times New Roman" w:cs="Times New Roman"/>
                <w:i/>
                <w:smallCaps w:val="0"/>
                <w:color w:val="auto"/>
                <w:spacing w:val="0"/>
                <w:highlight w:val="none"/>
              </w:rPr>
              <w:t>TL</w:t>
            </w:r>
            <w:r>
              <w:rPr>
                <w:rFonts w:hint="default" w:ascii="Times New Roman" w:hAnsi="Times New Roman" w:cs="Times New Roman"/>
                <w:i/>
                <w:smallCaps w:val="0"/>
                <w:color w:val="auto"/>
                <w:spacing w:val="0"/>
                <w:highlight w:val="none"/>
                <w:vertAlign w:val="subscript"/>
              </w:rPr>
              <w:t>i</w:t>
            </w:r>
            <w:r>
              <w:rPr>
                <w:rFonts w:hint="default" w:ascii="Times New Roman" w:hAnsi="Times New Roman" w:cs="Times New Roman"/>
                <w:smallCaps w:val="0"/>
                <w:color w:val="auto"/>
                <w:spacing w:val="0"/>
                <w:highlight w:val="none"/>
              </w:rPr>
              <w:t>——围护结构</w:t>
            </w:r>
            <w:r>
              <w:rPr>
                <w:rFonts w:hint="default" w:ascii="Times New Roman" w:hAnsi="Times New Roman" w:cs="Times New Roman"/>
                <w:smallCaps w:val="0"/>
                <w:color w:val="auto"/>
                <w:spacing w:val="0"/>
                <w:highlight w:val="none"/>
              </w:rPr>
              <w:drawing>
                <wp:inline distT="0" distB="0" distL="0" distR="0">
                  <wp:extent cx="85090" cy="170180"/>
                  <wp:effectExtent l="0" t="0" r="10160" b="127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85090" cy="170180"/>
                          </a:xfrm>
                          <a:prstGeom prst="rect">
                            <a:avLst/>
                          </a:prstGeom>
                          <a:noFill/>
                          <a:ln>
                            <a:noFill/>
                          </a:ln>
                        </pic:spPr>
                      </pic:pic>
                    </a:graphicData>
                  </a:graphic>
                </wp:inline>
              </w:drawing>
            </w:r>
            <w:r>
              <w:rPr>
                <w:rFonts w:hint="default" w:ascii="Times New Roman" w:hAnsi="Times New Roman" w:cs="Times New Roman"/>
                <w:smallCaps w:val="0"/>
                <w:color w:val="auto"/>
                <w:spacing w:val="0"/>
                <w:highlight w:val="none"/>
              </w:rPr>
              <w:t>倍频带的隔声量</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253DFD62">
            <w:pPr>
              <w:pStyle w:val="172"/>
              <w:keepNext w:val="0"/>
              <w:keepLines w:val="0"/>
              <w:suppressLineNumbers w:val="0"/>
              <w:spacing w:before="0" w:beforeAutospacing="0" w:after="0" w:afterAutospacing="0"/>
              <w:ind w:left="0" w:right="0" w:firstLine="50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D将室外声源的声压级和透过面积换算成等效的室外声源</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计算出中心位置位于透声面积</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S</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处的等效声源的倍频带声功率级。</w:t>
            </w:r>
          </w:p>
          <w:p w14:paraId="218D6BE5">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inline distT="0" distB="0" distL="0" distR="0">
                  <wp:extent cx="1339850" cy="233680"/>
                  <wp:effectExtent l="0" t="0" r="12700" b="1460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1341331" cy="233938"/>
                          </a:xfrm>
                          <a:prstGeom prst="rect">
                            <a:avLst/>
                          </a:prstGeom>
                          <a:noFill/>
                          <a:ln>
                            <a:noFill/>
                          </a:ln>
                        </pic:spPr>
                      </pic:pic>
                    </a:graphicData>
                  </a:graphic>
                </wp:inline>
              </w:drawing>
            </w:r>
          </w:p>
          <w:p w14:paraId="73BCDDA0">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式中</w:t>
            </w:r>
            <w:r>
              <w:rPr>
                <w:rFonts w:hint="eastAsia" w:cs="Times New Roman"/>
                <w:smallCaps w:val="0"/>
                <w:color w:val="auto"/>
                <w:spacing w:val="0"/>
                <w:highlight w:val="none"/>
                <w:lang w:eastAsia="zh-CN"/>
              </w:rPr>
              <w:t>：</w:t>
            </w:r>
            <w:r>
              <w:rPr>
                <w:rFonts w:hint="default" w:ascii="Times New Roman" w:hAnsi="Times New Roman" w:cs="Times New Roman"/>
                <w:i/>
                <w:iCs/>
                <w:smallCaps w:val="0"/>
                <w:color w:val="auto"/>
                <w:spacing w:val="0"/>
                <w:highlight w:val="none"/>
              </w:rPr>
              <w:t>L</w:t>
            </w:r>
            <w:r>
              <w:rPr>
                <w:rFonts w:hint="default" w:ascii="Times New Roman" w:hAnsi="Times New Roman" w:cs="Times New Roman"/>
                <w:i/>
                <w:iCs/>
                <w:smallCaps w:val="0"/>
                <w:color w:val="auto"/>
                <w:spacing w:val="0"/>
                <w:sz w:val="14"/>
                <w:szCs w:val="14"/>
                <w:highlight w:val="none"/>
              </w:rPr>
              <w:t xml:space="preserve">w </w:t>
            </w:r>
            <w:r>
              <w:rPr>
                <w:rFonts w:hint="default" w:ascii="Times New Roman" w:hAnsi="Times New Roman" w:cs="Times New Roman"/>
                <w:smallCaps w:val="0"/>
                <w:color w:val="auto"/>
                <w:spacing w:val="0"/>
                <w:highlight w:val="none"/>
              </w:rPr>
              <w:t>——中心位置位于透声面积（</w:t>
            </w:r>
            <w:r>
              <w:rPr>
                <w:rFonts w:hint="default" w:ascii="Times New Roman" w:hAnsi="Times New Roman" w:cs="Times New Roman"/>
                <w:i/>
                <w:iCs/>
                <w:smallCaps w:val="0"/>
                <w:color w:val="auto"/>
                <w:spacing w:val="0"/>
                <w:highlight w:val="none"/>
              </w:rPr>
              <w:t>S</w:t>
            </w:r>
            <w:r>
              <w:rPr>
                <w:rFonts w:hint="default" w:ascii="Times New Roman" w:hAnsi="Times New Roman" w:cs="Times New Roman"/>
                <w:smallCaps w:val="0"/>
                <w:color w:val="auto"/>
                <w:spacing w:val="0"/>
                <w:highlight w:val="none"/>
              </w:rPr>
              <w:t>）处的等效声源的倍频带声功率级</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41CE1C2B">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i/>
                <w:iCs/>
                <w:smallCaps w:val="0"/>
                <w:color w:val="auto"/>
                <w:spacing w:val="0"/>
                <w:highlight w:val="none"/>
              </w:rPr>
              <w:t>L</w:t>
            </w:r>
            <w:r>
              <w:rPr>
                <w:rFonts w:hint="default" w:ascii="Times New Roman" w:hAnsi="Times New Roman" w:cs="Times New Roman"/>
                <w:i/>
                <w:iCs/>
                <w:smallCaps w:val="0"/>
                <w:color w:val="auto"/>
                <w:spacing w:val="0"/>
                <w:sz w:val="14"/>
                <w:szCs w:val="14"/>
                <w:highlight w:val="none"/>
              </w:rPr>
              <w:t>p</w:t>
            </w:r>
            <w:r>
              <w:rPr>
                <w:rFonts w:hint="default" w:ascii="Times New Roman" w:hAnsi="Times New Roman" w:cs="Times New Roman"/>
                <w:smallCaps w:val="0"/>
                <w:color w:val="auto"/>
                <w:spacing w:val="0"/>
                <w:sz w:val="14"/>
                <w:szCs w:val="14"/>
                <w:highlight w:val="none"/>
              </w:rPr>
              <w:t>2</w:t>
            </w:r>
            <w:r>
              <w:rPr>
                <w:rFonts w:hint="eastAsia" w:cs="Times New Roman"/>
                <w:smallCaps w:val="0"/>
                <w:color w:val="auto"/>
                <w:spacing w:val="0"/>
                <w:highlight w:val="none"/>
                <w:lang w:eastAsia="zh-CN"/>
              </w:rPr>
              <w:t>（</w:t>
            </w:r>
            <w:r>
              <w:rPr>
                <w:rFonts w:hint="default" w:ascii="Times New Roman" w:hAnsi="Times New Roman" w:cs="Times New Roman"/>
                <w:i/>
                <w:iCs/>
                <w:smallCaps w:val="0"/>
                <w:color w:val="auto"/>
                <w:spacing w:val="0"/>
                <w:highlight w:val="none"/>
              </w:rPr>
              <w:t>T</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——靠近围护结构处室外声源的声压级</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 xml:space="preserve">dB； </w:t>
            </w:r>
          </w:p>
          <w:p w14:paraId="13511710">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i/>
                <w:iCs/>
                <w:smallCaps w:val="0"/>
                <w:color w:val="auto"/>
                <w:spacing w:val="0"/>
                <w:highlight w:val="none"/>
              </w:rPr>
              <w:t>S</w:t>
            </w:r>
            <w:r>
              <w:rPr>
                <w:rFonts w:hint="default" w:ascii="Times New Roman" w:hAnsi="Times New Roman" w:cs="Times New Roman"/>
                <w:smallCaps w:val="0"/>
                <w:color w:val="auto"/>
                <w:spacing w:val="0"/>
                <w:highlight w:val="none"/>
              </w:rPr>
              <w:t>——透声面积</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m</w:t>
            </w:r>
            <w:r>
              <w:rPr>
                <w:rFonts w:hint="default" w:ascii="Times New Roman" w:hAnsi="Times New Roman" w:cs="Times New Roman"/>
                <w:smallCaps w:val="0"/>
                <w:color w:val="auto"/>
                <w:spacing w:val="0"/>
                <w:highlight w:val="none"/>
                <w:vertAlign w:val="superscript"/>
              </w:rPr>
              <w:t>2</w:t>
            </w:r>
            <w:r>
              <w:rPr>
                <w:rFonts w:hint="default" w:ascii="Times New Roman" w:hAnsi="Times New Roman" w:cs="Times New Roman"/>
                <w:smallCaps w:val="0"/>
                <w:color w:val="auto"/>
                <w:spacing w:val="0"/>
                <w:highlight w:val="none"/>
              </w:rPr>
              <w:t xml:space="preserve">。 </w:t>
            </w:r>
          </w:p>
          <w:p w14:paraId="65CADDEC">
            <w:pPr>
              <w:pStyle w:val="172"/>
              <w:keepNext w:val="0"/>
              <w:keepLines w:val="0"/>
              <w:suppressLineNumbers w:val="0"/>
              <w:spacing w:before="0" w:beforeAutospacing="0" w:after="0" w:afterAutospacing="0"/>
              <w:ind w:left="0" w:right="0" w:firstLine="480"/>
              <w:rPr>
                <w:rFonts w:hint="default" w:ascii="Times New Roman" w:hAnsi="Times New Roman" w:cs="Times New Roman"/>
                <w:bCs/>
                <w:smallCaps w:val="0"/>
                <w:color w:val="auto"/>
                <w:spacing w:val="0"/>
                <w:szCs w:val="32"/>
                <w:highlight w:val="none"/>
              </w:rPr>
            </w:pPr>
            <w:r>
              <w:rPr>
                <w:rFonts w:hint="default" w:ascii="Times New Roman" w:hAnsi="Times New Roman" w:cs="Times New Roman"/>
                <w:smallCaps w:val="0"/>
                <w:color w:val="auto"/>
                <w:spacing w:val="0"/>
                <w:szCs w:val="32"/>
                <w:highlight w:val="none"/>
              </w:rPr>
              <w:t>3）预测步骤</w:t>
            </w:r>
          </w:p>
          <w:p w14:paraId="739C023E">
            <w:pPr>
              <w:pStyle w:val="172"/>
              <w:keepNext w:val="0"/>
              <w:keepLines w:val="0"/>
              <w:suppressLineNumbers w:val="0"/>
              <w:spacing w:before="0" w:beforeAutospacing="0" w:after="0" w:afterAutospacing="0"/>
              <w:ind w:left="0" w:right="0" w:firstLine="484"/>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①计算各室外噪声源和各含噪声源厂房对各预测点噪声贡献值</w:t>
            </w:r>
          </w:p>
          <w:p w14:paraId="25013B4E">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设第</w:t>
            </w:r>
            <w:r>
              <w:rPr>
                <w:rFonts w:hint="default" w:ascii="Times New Roman" w:hAnsi="Times New Roman" w:cs="Times New Roman"/>
                <w:i/>
                <w:smallCaps w:val="0"/>
                <w:color w:val="auto"/>
                <w:spacing w:val="0"/>
                <w:highlight w:val="none"/>
              </w:rPr>
              <w:t>i</w:t>
            </w:r>
            <w:r>
              <w:rPr>
                <w:rFonts w:hint="default" w:ascii="Times New Roman" w:hAnsi="Times New Roman" w:cs="Times New Roman"/>
                <w:smallCaps w:val="0"/>
                <w:color w:val="auto"/>
                <w:spacing w:val="0"/>
                <w:highlight w:val="none"/>
              </w:rPr>
              <w:t>个室外声源在预测点产生的A声级为</w:t>
            </w:r>
            <w:r>
              <w:rPr>
                <w:rFonts w:hint="default" w:ascii="Times New Roman" w:hAnsi="Times New Roman" w:cs="Times New Roman"/>
                <w:i/>
                <w:smallCaps w:val="0"/>
                <w:color w:val="auto"/>
                <w:spacing w:val="0"/>
                <w:highlight w:val="none"/>
              </w:rPr>
              <w:t>L</w:t>
            </w:r>
            <w:r>
              <w:rPr>
                <w:rFonts w:hint="default" w:ascii="Times New Roman" w:hAnsi="Times New Roman" w:cs="Times New Roman"/>
                <w:i/>
                <w:smallCaps w:val="0"/>
                <w:color w:val="auto"/>
                <w:spacing w:val="0"/>
                <w:highlight w:val="none"/>
                <w:vertAlign w:val="subscript"/>
              </w:rPr>
              <w:t>Aj</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在T时间内该声源工作时间为</w:t>
            </w:r>
            <w:r>
              <w:rPr>
                <w:rFonts w:hint="default" w:ascii="Times New Roman" w:hAnsi="Times New Roman" w:cs="Times New Roman"/>
                <w:i/>
                <w:smallCaps w:val="0"/>
                <w:color w:val="auto"/>
                <w:spacing w:val="0"/>
                <w:highlight w:val="none"/>
              </w:rPr>
              <w:t>t</w:t>
            </w:r>
            <w:r>
              <w:rPr>
                <w:rFonts w:hint="default" w:ascii="Times New Roman" w:hAnsi="Times New Roman" w:cs="Times New Roman"/>
                <w:i/>
                <w:smallCaps w:val="0"/>
                <w:color w:val="auto"/>
                <w:spacing w:val="0"/>
                <w:highlight w:val="none"/>
                <w:vertAlign w:val="subscript"/>
              </w:rPr>
              <w:t>i</w:t>
            </w:r>
            <w:r>
              <w:rPr>
                <w:rFonts w:hint="default" w:ascii="Times New Roman" w:hAnsi="Times New Roman" w:cs="Times New Roman"/>
                <w:smallCaps w:val="0"/>
                <w:color w:val="auto"/>
                <w:spacing w:val="0"/>
                <w:highlight w:val="none"/>
              </w:rPr>
              <w:t>；第</w:t>
            </w:r>
            <w:r>
              <w:rPr>
                <w:rFonts w:hint="default" w:ascii="Times New Roman" w:hAnsi="Times New Roman" w:cs="Times New Roman"/>
                <w:i/>
                <w:smallCaps w:val="0"/>
                <w:color w:val="auto"/>
                <w:spacing w:val="0"/>
                <w:highlight w:val="none"/>
              </w:rPr>
              <w:t>j</w:t>
            </w:r>
            <w:r>
              <w:rPr>
                <w:rFonts w:hint="default" w:ascii="Times New Roman" w:hAnsi="Times New Roman" w:cs="Times New Roman"/>
                <w:smallCaps w:val="0"/>
                <w:color w:val="auto"/>
                <w:spacing w:val="0"/>
                <w:highlight w:val="none"/>
              </w:rPr>
              <w:t>个等效室外声源在预测点产生的A声级为</w:t>
            </w:r>
            <w:r>
              <w:rPr>
                <w:rFonts w:hint="default" w:ascii="Times New Roman" w:hAnsi="Times New Roman" w:cs="Times New Roman"/>
                <w:i/>
                <w:smallCaps w:val="0"/>
                <w:color w:val="auto"/>
                <w:spacing w:val="0"/>
                <w:highlight w:val="none"/>
              </w:rPr>
              <w:t>L</w:t>
            </w:r>
            <w:r>
              <w:rPr>
                <w:rFonts w:hint="default" w:ascii="Times New Roman" w:hAnsi="Times New Roman" w:cs="Times New Roman"/>
                <w:i/>
                <w:smallCaps w:val="0"/>
                <w:color w:val="auto"/>
                <w:spacing w:val="0"/>
                <w:highlight w:val="none"/>
                <w:vertAlign w:val="subscript"/>
              </w:rPr>
              <w:t>Aj</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在T时间内该声源工作时间为</w:t>
            </w:r>
            <w:r>
              <w:rPr>
                <w:rFonts w:hint="default" w:ascii="Times New Roman" w:hAnsi="Times New Roman" w:cs="Times New Roman"/>
                <w:i/>
                <w:smallCaps w:val="0"/>
                <w:color w:val="auto"/>
                <w:spacing w:val="0"/>
                <w:highlight w:val="none"/>
              </w:rPr>
              <w:t>t</w:t>
            </w:r>
            <w:r>
              <w:rPr>
                <w:rFonts w:hint="default" w:ascii="Times New Roman" w:hAnsi="Times New Roman" w:cs="Times New Roman"/>
                <w:i/>
                <w:smallCaps w:val="0"/>
                <w:color w:val="auto"/>
                <w:spacing w:val="0"/>
                <w:highlight w:val="none"/>
                <w:vertAlign w:val="subscript"/>
              </w:rPr>
              <w:t>j</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则本项目声源对预测点产生的贡献值</w:t>
            </w:r>
            <w:r>
              <w:rPr>
                <w:rFonts w:hint="eastAsia" w:cs="Times New Roman"/>
                <w:smallCaps w:val="0"/>
                <w:color w:val="auto"/>
                <w:spacing w:val="0"/>
                <w:highlight w:val="none"/>
                <w:lang w:eastAsia="zh-CN"/>
              </w:rPr>
              <w:t>（</w:t>
            </w:r>
            <w:r>
              <w:rPr>
                <w:rFonts w:hint="default" w:ascii="Times New Roman" w:hAnsi="Times New Roman" w:cs="Times New Roman"/>
                <w:i/>
                <w:smallCaps w:val="0"/>
                <w:color w:val="auto"/>
                <w:spacing w:val="0"/>
                <w:highlight w:val="none"/>
              </w:rPr>
              <w:t>L</w:t>
            </w:r>
            <w:r>
              <w:rPr>
                <w:rFonts w:hint="default" w:ascii="Times New Roman" w:hAnsi="Times New Roman" w:cs="Times New Roman"/>
                <w:i/>
                <w:smallCaps w:val="0"/>
                <w:color w:val="auto"/>
                <w:spacing w:val="0"/>
                <w:highlight w:val="none"/>
                <w:vertAlign w:val="subscript"/>
              </w:rPr>
              <w:t>eqg</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为</w:t>
            </w:r>
            <w:r>
              <w:rPr>
                <w:rFonts w:hint="eastAsia" w:cs="Times New Roman"/>
                <w:smallCaps w:val="0"/>
                <w:color w:val="auto"/>
                <w:spacing w:val="0"/>
                <w:highlight w:val="none"/>
                <w:lang w:eastAsia="zh-CN"/>
              </w:rPr>
              <w:t>：</w:t>
            </w:r>
          </w:p>
          <w:p w14:paraId="7C1C13C5">
            <w:pPr>
              <w:pStyle w:val="172"/>
              <w:keepNext w:val="0"/>
              <w:keepLines w:val="0"/>
              <w:suppressLineNumbers w:val="0"/>
              <w:spacing w:before="0" w:beforeAutospacing="0" w:after="0" w:afterAutospacing="0" w:line="240" w:lineRule="auto"/>
              <w:ind w:left="0" w:right="0" w:firstLine="480"/>
              <w:rPr>
                <w:rFonts w:hint="default" w:ascii="Times New Roman" w:hAnsi="Times New Roman" w:cs="Times New Roman"/>
                <w:smallCaps w:val="0"/>
                <w:color w:val="auto"/>
                <w:spacing w:val="0"/>
                <w:kern w:val="0"/>
                <w:highlight w:val="none"/>
              </w:rPr>
            </w:pPr>
            <m:oMathPara>
              <m:oMath>
                <m:sSub>
                  <m:sSubPr>
                    <m:ctrlPr>
                      <w:rPr>
                        <w:rFonts w:hint="default" w:ascii="Cambria Math" w:hAnsi="Cambria Math" w:cs="Times New Roman"/>
                        <w:smallCaps w:val="0"/>
                        <w:color w:val="auto"/>
                        <w:spacing w:val="0"/>
                        <w:kern w:val="0"/>
                        <w:highlight w:val="none"/>
                      </w:rPr>
                    </m:ctrlPr>
                  </m:sSubPr>
                  <m:e>
                    <m:r>
                      <m:rPr/>
                      <w:rPr>
                        <w:rFonts w:hint="default" w:ascii="Cambria Math" w:hAnsi="Cambria Math" w:cs="Times New Roman"/>
                        <w:smallCaps w:val="0"/>
                        <w:color w:val="auto"/>
                        <w:spacing w:val="0"/>
                        <w:kern w:val="0"/>
                        <w:highlight w:val="none"/>
                      </w:rPr>
                      <m:t>L</m:t>
                    </m:r>
                    <m:ctrlPr>
                      <w:rPr>
                        <w:rFonts w:hint="default" w:ascii="Cambria Math" w:hAnsi="Cambria Math" w:cs="Times New Roman"/>
                        <w:smallCaps w:val="0"/>
                        <w:color w:val="auto"/>
                        <w:spacing w:val="0"/>
                        <w:kern w:val="0"/>
                        <w:highlight w:val="none"/>
                      </w:rPr>
                    </m:ctrlPr>
                  </m:e>
                  <m:sub>
                    <m:r>
                      <m:rPr/>
                      <w:rPr>
                        <w:rFonts w:hint="default" w:ascii="Cambria Math" w:hAnsi="Cambria Math" w:cs="Times New Roman"/>
                        <w:smallCaps w:val="0"/>
                        <w:color w:val="auto"/>
                        <w:spacing w:val="0"/>
                        <w:kern w:val="0"/>
                        <w:highlight w:val="none"/>
                      </w:rPr>
                      <m:t>eqg</m:t>
                    </m:r>
                    <m:ctrlPr>
                      <w:rPr>
                        <w:rFonts w:hint="default" w:ascii="Cambria Math" w:hAnsi="Cambria Math" w:cs="Times New Roman"/>
                        <w:smallCaps w:val="0"/>
                        <w:color w:val="auto"/>
                        <w:spacing w:val="0"/>
                        <w:kern w:val="0"/>
                        <w:highlight w:val="none"/>
                      </w:rPr>
                    </m:ctrlPr>
                  </m:sub>
                </m:sSub>
                <m:r>
                  <m:rPr/>
                  <w:rPr>
                    <w:rFonts w:hint="default" w:ascii="Cambria Math" w:hAnsi="Cambria Math" w:cs="Times New Roman"/>
                    <w:smallCaps w:val="0"/>
                    <w:color w:val="auto"/>
                    <w:spacing w:val="0"/>
                    <w:kern w:val="0"/>
                    <w:highlight w:val="none"/>
                  </w:rPr>
                  <m:t>=10lg</m:t>
                </m:r>
                <m:d>
                  <m:dPr>
                    <m:begChr m:val="["/>
                    <m:endChr m:val="]"/>
                    <m:ctrlPr>
                      <w:rPr>
                        <w:rFonts w:hint="default" w:ascii="Cambria Math" w:hAnsi="Cambria Math" w:cs="Times New Roman"/>
                        <w:i/>
                        <w:smallCaps w:val="0"/>
                        <w:color w:val="auto"/>
                        <w:spacing w:val="0"/>
                        <w:kern w:val="0"/>
                        <w:highlight w:val="none"/>
                      </w:rPr>
                    </m:ctrlPr>
                  </m:dPr>
                  <m:e>
                    <m:f>
                      <m:fPr>
                        <m:ctrlPr>
                          <w:rPr>
                            <w:rFonts w:hint="default" w:ascii="Cambria Math" w:hAnsi="Cambria Math" w:cs="Times New Roman"/>
                            <w:i/>
                            <w:smallCaps w:val="0"/>
                            <w:color w:val="auto"/>
                            <w:spacing w:val="0"/>
                            <w:kern w:val="0"/>
                            <w:highlight w:val="none"/>
                          </w:rPr>
                        </m:ctrlPr>
                      </m:fPr>
                      <m:num>
                        <m:r>
                          <m:rPr/>
                          <w:rPr>
                            <w:rFonts w:hint="default" w:ascii="Cambria Math" w:hAnsi="Cambria Math" w:cs="Times New Roman"/>
                            <w:smallCaps w:val="0"/>
                            <w:color w:val="auto"/>
                            <w:spacing w:val="0"/>
                            <w:kern w:val="0"/>
                            <w:highlight w:val="none"/>
                          </w:rPr>
                          <m:t>1</m:t>
                        </m:r>
                        <m:ctrlPr>
                          <w:rPr>
                            <w:rFonts w:hint="default" w:ascii="Cambria Math" w:hAnsi="Cambria Math" w:cs="Times New Roman"/>
                            <w:i/>
                            <w:smallCaps w:val="0"/>
                            <w:color w:val="auto"/>
                            <w:spacing w:val="0"/>
                            <w:kern w:val="0"/>
                            <w:highlight w:val="none"/>
                          </w:rPr>
                        </m:ctrlPr>
                      </m:num>
                      <m:den>
                        <m:r>
                          <m:rPr/>
                          <w:rPr>
                            <w:rFonts w:hint="default" w:ascii="Cambria Math" w:hAnsi="Cambria Math" w:cs="Times New Roman"/>
                            <w:smallCaps w:val="0"/>
                            <w:color w:val="auto"/>
                            <w:spacing w:val="0"/>
                            <w:kern w:val="0"/>
                            <w:highlight w:val="none"/>
                          </w:rPr>
                          <m:t>T</m:t>
                        </m:r>
                        <m:ctrlPr>
                          <w:rPr>
                            <w:rFonts w:hint="default" w:ascii="Cambria Math" w:hAnsi="Cambria Math" w:cs="Times New Roman"/>
                            <w:i/>
                            <w:smallCaps w:val="0"/>
                            <w:color w:val="auto"/>
                            <w:spacing w:val="0"/>
                            <w:kern w:val="0"/>
                            <w:highlight w:val="none"/>
                          </w:rPr>
                        </m:ctrlPr>
                      </m:den>
                    </m:f>
                    <m:d>
                      <m:dPr>
                        <m:ctrlPr>
                          <w:rPr>
                            <w:rFonts w:hint="default" w:ascii="Cambria Math" w:hAnsi="Cambria Math" w:cs="Times New Roman"/>
                            <w:i/>
                            <w:smallCaps w:val="0"/>
                            <w:color w:val="auto"/>
                            <w:spacing w:val="0"/>
                            <w:kern w:val="0"/>
                            <w:highlight w:val="none"/>
                          </w:rPr>
                        </m:ctrlPr>
                      </m:dPr>
                      <m:e>
                        <m:nary>
                          <m:naryPr>
                            <m:chr m:val="∑"/>
                            <m:limLoc m:val="undOvr"/>
                            <m:ctrlPr>
                              <w:rPr>
                                <w:rFonts w:hint="default" w:ascii="Cambria Math" w:hAnsi="Cambria Math" w:cs="Times New Roman"/>
                                <w:i/>
                                <w:smallCaps w:val="0"/>
                                <w:color w:val="auto"/>
                                <w:spacing w:val="0"/>
                                <w:kern w:val="0"/>
                                <w:highlight w:val="none"/>
                              </w:rPr>
                            </m:ctrlPr>
                          </m:naryPr>
                          <m:sub>
                            <m:r>
                              <m:rPr/>
                              <w:rPr>
                                <w:rFonts w:hint="default" w:ascii="Cambria Math" w:hAnsi="Cambria Math" w:cs="Times New Roman"/>
                                <w:smallCaps w:val="0"/>
                                <w:color w:val="auto"/>
                                <w:spacing w:val="0"/>
                                <w:kern w:val="0"/>
                                <w:highlight w:val="none"/>
                              </w:rPr>
                              <m:t>i=1</m:t>
                            </m:r>
                            <m:ctrlPr>
                              <w:rPr>
                                <w:rFonts w:hint="default" w:ascii="Cambria Math" w:hAnsi="Cambria Math" w:cs="Times New Roman"/>
                                <w:i/>
                                <w:smallCaps w:val="0"/>
                                <w:color w:val="auto"/>
                                <w:spacing w:val="0"/>
                                <w:kern w:val="0"/>
                                <w:highlight w:val="none"/>
                              </w:rPr>
                            </m:ctrlPr>
                          </m:sub>
                          <m:sup>
                            <m:argPr>
                              <m:argSz m:val="-1"/>
                            </m:argPr>
                            <m:r>
                              <m:rPr/>
                              <w:rPr>
                                <w:rFonts w:hint="default" w:ascii="Cambria Math" w:hAnsi="Cambria Math" w:cs="Times New Roman"/>
                                <w:smallCaps w:val="0"/>
                                <w:color w:val="auto"/>
                                <w:spacing w:val="0"/>
                                <w:kern w:val="0"/>
                                <w:highlight w:val="none"/>
                              </w:rPr>
                              <m:t>N</m:t>
                            </m:r>
                            <m:ctrlPr>
                              <w:rPr>
                                <w:rFonts w:hint="default" w:ascii="Cambria Math" w:hAnsi="Cambria Math" w:cs="Times New Roman"/>
                                <w:i/>
                                <w:smallCaps w:val="0"/>
                                <w:color w:val="auto"/>
                                <w:spacing w:val="0"/>
                                <w:kern w:val="0"/>
                                <w:highlight w:val="none"/>
                              </w:rPr>
                            </m:ctrlPr>
                          </m:sup>
                          <m:e>
                            <m:sSub>
                              <m:sSubPr>
                                <m:ctrlPr>
                                  <w:rPr>
                                    <w:rFonts w:hint="default" w:ascii="Cambria Math" w:hAnsi="Cambria Math" w:cs="Times New Roman"/>
                                    <w:i/>
                                    <w:smallCaps w:val="0"/>
                                    <w:color w:val="auto"/>
                                    <w:spacing w:val="0"/>
                                    <w:kern w:val="0"/>
                                    <w:highlight w:val="none"/>
                                  </w:rPr>
                                </m:ctrlPr>
                              </m:sSubPr>
                              <m:e>
                                <m:r>
                                  <m:rPr/>
                                  <w:rPr>
                                    <w:rFonts w:hint="default" w:ascii="Cambria Math" w:hAnsi="Cambria Math" w:cs="Times New Roman"/>
                                    <w:smallCaps w:val="0"/>
                                    <w:color w:val="auto"/>
                                    <w:spacing w:val="0"/>
                                    <w:kern w:val="0"/>
                                    <w:highlight w:val="none"/>
                                  </w:rPr>
                                  <m:t>t</m:t>
                                </m:r>
                                <m:ctrlPr>
                                  <w:rPr>
                                    <w:rFonts w:hint="default" w:ascii="Cambria Math" w:hAnsi="Cambria Math" w:cs="Times New Roman"/>
                                    <w:i/>
                                    <w:smallCaps w:val="0"/>
                                    <w:color w:val="auto"/>
                                    <w:spacing w:val="0"/>
                                    <w:kern w:val="0"/>
                                    <w:highlight w:val="none"/>
                                  </w:rPr>
                                </m:ctrlPr>
                              </m:e>
                              <m:sub>
                                <m:r>
                                  <m:rPr/>
                                  <w:rPr>
                                    <w:rFonts w:hint="default" w:ascii="Cambria Math" w:hAnsi="Cambria Math" w:cs="Times New Roman"/>
                                    <w:smallCaps w:val="0"/>
                                    <w:color w:val="auto"/>
                                    <w:spacing w:val="0"/>
                                    <w:kern w:val="0"/>
                                    <w:highlight w:val="none"/>
                                  </w:rPr>
                                  <m:t>i</m:t>
                                </m:r>
                                <m:ctrlPr>
                                  <w:rPr>
                                    <w:rFonts w:hint="default" w:ascii="Cambria Math" w:hAnsi="Cambria Math" w:cs="Times New Roman"/>
                                    <w:i/>
                                    <w:smallCaps w:val="0"/>
                                    <w:color w:val="auto"/>
                                    <w:spacing w:val="0"/>
                                    <w:kern w:val="0"/>
                                    <w:highlight w:val="none"/>
                                  </w:rPr>
                                </m:ctrlPr>
                              </m:sub>
                            </m:sSub>
                            <m:ctrlPr>
                              <w:rPr>
                                <w:rFonts w:hint="default" w:ascii="Cambria Math" w:hAnsi="Cambria Math" w:cs="Times New Roman"/>
                                <w:i/>
                                <w:smallCaps w:val="0"/>
                                <w:color w:val="auto"/>
                                <w:spacing w:val="0"/>
                                <w:kern w:val="0"/>
                                <w:highlight w:val="none"/>
                              </w:rPr>
                            </m:ctrlPr>
                          </m:e>
                        </m:nary>
                        <m:sSup>
                          <m:sSupPr>
                            <m:ctrlPr>
                              <w:rPr>
                                <w:rFonts w:hint="default" w:ascii="Cambria Math" w:hAnsi="Cambria Math" w:cs="Times New Roman"/>
                                <w:i/>
                                <w:smallCaps w:val="0"/>
                                <w:color w:val="auto"/>
                                <w:spacing w:val="0"/>
                                <w:kern w:val="0"/>
                                <w:highlight w:val="none"/>
                              </w:rPr>
                            </m:ctrlPr>
                          </m:sSupPr>
                          <m:e>
                            <m:r>
                              <m:rPr/>
                              <w:rPr>
                                <w:rFonts w:hint="default" w:ascii="Cambria Math" w:hAnsi="Cambria Math" w:cs="Times New Roman"/>
                                <w:smallCaps w:val="0"/>
                                <w:color w:val="auto"/>
                                <w:spacing w:val="0"/>
                                <w:kern w:val="0"/>
                                <w:highlight w:val="none"/>
                              </w:rPr>
                              <m:t>10</m:t>
                            </m:r>
                            <m:ctrlPr>
                              <w:rPr>
                                <w:rFonts w:hint="default" w:ascii="Cambria Math" w:hAnsi="Cambria Math" w:cs="Times New Roman"/>
                                <w:i/>
                                <w:smallCaps w:val="0"/>
                                <w:color w:val="auto"/>
                                <w:spacing w:val="0"/>
                                <w:kern w:val="0"/>
                                <w:highlight w:val="none"/>
                              </w:rPr>
                            </m:ctrlPr>
                          </m:e>
                          <m:sup>
                            <m:sSub>
                              <m:sSubPr>
                                <m:ctrlPr>
                                  <w:rPr>
                                    <w:rFonts w:hint="default" w:ascii="Cambria Math" w:hAnsi="Cambria Math" w:cs="Times New Roman"/>
                                    <w:i/>
                                    <w:smallCaps w:val="0"/>
                                    <w:color w:val="auto"/>
                                    <w:spacing w:val="0"/>
                                    <w:kern w:val="0"/>
                                    <w:highlight w:val="none"/>
                                  </w:rPr>
                                </m:ctrlPr>
                              </m:sSubPr>
                              <m:e>
                                <m:r>
                                  <m:rPr/>
                                  <w:rPr>
                                    <w:rFonts w:hint="default" w:ascii="Cambria Math" w:hAnsi="Cambria Math" w:cs="Times New Roman"/>
                                    <w:smallCaps w:val="0"/>
                                    <w:color w:val="auto"/>
                                    <w:spacing w:val="0"/>
                                    <w:kern w:val="0"/>
                                    <w:highlight w:val="none"/>
                                  </w:rPr>
                                  <m:t>0.1L</m:t>
                                </m:r>
                                <m:ctrlPr>
                                  <w:rPr>
                                    <w:rFonts w:hint="default" w:ascii="Cambria Math" w:hAnsi="Cambria Math" w:cs="Times New Roman"/>
                                    <w:i/>
                                    <w:smallCaps w:val="0"/>
                                    <w:color w:val="auto"/>
                                    <w:spacing w:val="0"/>
                                    <w:kern w:val="0"/>
                                    <w:highlight w:val="none"/>
                                  </w:rPr>
                                </m:ctrlPr>
                              </m:e>
                              <m:sub>
                                <m:r>
                                  <m:rPr/>
                                  <w:rPr>
                                    <w:rFonts w:hint="default" w:ascii="Cambria Math" w:hAnsi="Cambria Math" w:cs="Times New Roman"/>
                                    <w:smallCaps w:val="0"/>
                                    <w:color w:val="auto"/>
                                    <w:spacing w:val="0"/>
                                    <w:kern w:val="0"/>
                                    <w:highlight w:val="none"/>
                                  </w:rPr>
                                  <m:t>Ai</m:t>
                                </m:r>
                                <m:ctrlPr>
                                  <w:rPr>
                                    <w:rFonts w:hint="default" w:ascii="Cambria Math" w:hAnsi="Cambria Math" w:cs="Times New Roman"/>
                                    <w:i/>
                                    <w:smallCaps w:val="0"/>
                                    <w:color w:val="auto"/>
                                    <w:spacing w:val="0"/>
                                    <w:kern w:val="0"/>
                                    <w:highlight w:val="none"/>
                                  </w:rPr>
                                </m:ctrlPr>
                              </m:sub>
                            </m:sSub>
                            <m:ctrlPr>
                              <w:rPr>
                                <w:rFonts w:hint="default" w:ascii="Cambria Math" w:hAnsi="Cambria Math" w:cs="Times New Roman"/>
                                <w:i/>
                                <w:smallCaps w:val="0"/>
                                <w:color w:val="auto"/>
                                <w:spacing w:val="0"/>
                                <w:kern w:val="0"/>
                                <w:highlight w:val="none"/>
                              </w:rPr>
                            </m:ctrlPr>
                          </m:sup>
                        </m:sSup>
                        <m:r>
                          <m:rPr/>
                          <w:rPr>
                            <w:rFonts w:hint="default" w:ascii="Cambria Math" w:hAnsi="Cambria Math" w:cs="Times New Roman"/>
                            <w:smallCaps w:val="0"/>
                            <w:color w:val="auto"/>
                            <w:spacing w:val="0"/>
                            <w:kern w:val="0"/>
                            <w:highlight w:val="none"/>
                          </w:rPr>
                          <m:t>+</m:t>
                        </m:r>
                        <m:nary>
                          <m:naryPr>
                            <m:chr m:val="∑"/>
                            <m:limLoc m:val="undOvr"/>
                            <m:ctrlPr>
                              <w:rPr>
                                <w:rFonts w:hint="default" w:ascii="Cambria Math" w:hAnsi="Cambria Math" w:cs="Times New Roman"/>
                                <w:i/>
                                <w:smallCaps w:val="0"/>
                                <w:color w:val="auto"/>
                                <w:spacing w:val="0"/>
                                <w:kern w:val="0"/>
                                <w:highlight w:val="none"/>
                              </w:rPr>
                            </m:ctrlPr>
                          </m:naryPr>
                          <m:sub>
                            <m:r>
                              <m:rPr/>
                              <w:rPr>
                                <w:rFonts w:hint="default" w:ascii="Cambria Math" w:hAnsi="Cambria Math" w:cs="Times New Roman"/>
                                <w:smallCaps w:val="0"/>
                                <w:color w:val="auto"/>
                                <w:spacing w:val="0"/>
                                <w:kern w:val="0"/>
                                <w:highlight w:val="none"/>
                              </w:rPr>
                              <m:t>j=1</m:t>
                            </m:r>
                            <m:ctrlPr>
                              <w:rPr>
                                <w:rFonts w:hint="default" w:ascii="Cambria Math" w:hAnsi="Cambria Math" w:cs="Times New Roman"/>
                                <w:i/>
                                <w:smallCaps w:val="0"/>
                                <w:color w:val="auto"/>
                                <w:spacing w:val="0"/>
                                <w:kern w:val="0"/>
                                <w:highlight w:val="none"/>
                              </w:rPr>
                            </m:ctrlPr>
                          </m:sub>
                          <m:sup>
                            <m:r>
                              <m:rPr/>
                              <w:rPr>
                                <w:rFonts w:hint="default" w:ascii="Cambria Math" w:hAnsi="Cambria Math" w:cs="Times New Roman"/>
                                <w:smallCaps w:val="0"/>
                                <w:color w:val="auto"/>
                                <w:spacing w:val="0"/>
                                <w:kern w:val="0"/>
                                <w:highlight w:val="none"/>
                              </w:rPr>
                              <m:t>M</m:t>
                            </m:r>
                            <m:ctrlPr>
                              <w:rPr>
                                <w:rFonts w:hint="default" w:ascii="Cambria Math" w:hAnsi="Cambria Math" w:cs="Times New Roman"/>
                                <w:i/>
                                <w:smallCaps w:val="0"/>
                                <w:color w:val="auto"/>
                                <w:spacing w:val="0"/>
                                <w:kern w:val="0"/>
                                <w:highlight w:val="none"/>
                              </w:rPr>
                            </m:ctrlPr>
                          </m:sup>
                          <m:e>
                            <m:sSub>
                              <m:sSubPr>
                                <m:ctrlPr>
                                  <w:rPr>
                                    <w:rFonts w:hint="default" w:ascii="Cambria Math" w:hAnsi="Cambria Math" w:cs="Times New Roman"/>
                                    <w:i/>
                                    <w:smallCaps w:val="0"/>
                                    <w:color w:val="auto"/>
                                    <w:spacing w:val="0"/>
                                    <w:kern w:val="0"/>
                                    <w:highlight w:val="none"/>
                                  </w:rPr>
                                </m:ctrlPr>
                              </m:sSubPr>
                              <m:e>
                                <m:r>
                                  <m:rPr/>
                                  <w:rPr>
                                    <w:rFonts w:hint="default" w:ascii="Cambria Math" w:hAnsi="Cambria Math" w:cs="Times New Roman"/>
                                    <w:smallCaps w:val="0"/>
                                    <w:color w:val="auto"/>
                                    <w:spacing w:val="0"/>
                                    <w:kern w:val="0"/>
                                    <w:highlight w:val="none"/>
                                  </w:rPr>
                                  <m:t>t</m:t>
                                </m:r>
                                <m:ctrlPr>
                                  <w:rPr>
                                    <w:rFonts w:hint="default" w:ascii="Cambria Math" w:hAnsi="Cambria Math" w:cs="Times New Roman"/>
                                    <w:i/>
                                    <w:smallCaps w:val="0"/>
                                    <w:color w:val="auto"/>
                                    <w:spacing w:val="0"/>
                                    <w:kern w:val="0"/>
                                    <w:highlight w:val="none"/>
                                  </w:rPr>
                                </m:ctrlPr>
                              </m:e>
                              <m:sub>
                                <m:r>
                                  <m:rPr/>
                                  <w:rPr>
                                    <w:rFonts w:hint="default" w:ascii="Cambria Math" w:hAnsi="Cambria Math" w:cs="Times New Roman"/>
                                    <w:smallCaps w:val="0"/>
                                    <w:color w:val="auto"/>
                                    <w:spacing w:val="0"/>
                                    <w:kern w:val="0"/>
                                    <w:highlight w:val="none"/>
                                  </w:rPr>
                                  <m:t>j</m:t>
                                </m:r>
                                <m:ctrlPr>
                                  <w:rPr>
                                    <w:rFonts w:hint="default" w:ascii="Cambria Math" w:hAnsi="Cambria Math" w:cs="Times New Roman"/>
                                    <w:i/>
                                    <w:smallCaps w:val="0"/>
                                    <w:color w:val="auto"/>
                                    <w:spacing w:val="0"/>
                                    <w:kern w:val="0"/>
                                    <w:highlight w:val="none"/>
                                  </w:rPr>
                                </m:ctrlPr>
                              </m:sub>
                            </m:sSub>
                            <m:ctrlPr>
                              <w:rPr>
                                <w:rFonts w:hint="default" w:ascii="Cambria Math" w:hAnsi="Cambria Math" w:cs="Times New Roman"/>
                                <w:i/>
                                <w:smallCaps w:val="0"/>
                                <w:color w:val="auto"/>
                                <w:spacing w:val="0"/>
                                <w:kern w:val="0"/>
                                <w:highlight w:val="none"/>
                              </w:rPr>
                            </m:ctrlPr>
                          </m:e>
                        </m:nary>
                        <m:sSup>
                          <m:sSupPr>
                            <m:ctrlPr>
                              <w:rPr>
                                <w:rFonts w:hint="default" w:ascii="Cambria Math" w:hAnsi="Cambria Math" w:cs="Times New Roman"/>
                                <w:i/>
                                <w:smallCaps w:val="0"/>
                                <w:color w:val="auto"/>
                                <w:spacing w:val="0"/>
                                <w:kern w:val="0"/>
                                <w:highlight w:val="none"/>
                              </w:rPr>
                            </m:ctrlPr>
                          </m:sSupPr>
                          <m:e>
                            <m:r>
                              <m:rPr/>
                              <w:rPr>
                                <w:rFonts w:hint="default" w:ascii="Cambria Math" w:hAnsi="Cambria Math" w:cs="Times New Roman"/>
                                <w:smallCaps w:val="0"/>
                                <w:color w:val="auto"/>
                                <w:spacing w:val="0"/>
                                <w:kern w:val="0"/>
                                <w:highlight w:val="none"/>
                              </w:rPr>
                              <m:t>10</m:t>
                            </m:r>
                            <m:ctrlPr>
                              <w:rPr>
                                <w:rFonts w:hint="default" w:ascii="Cambria Math" w:hAnsi="Cambria Math" w:cs="Times New Roman"/>
                                <w:i/>
                                <w:smallCaps w:val="0"/>
                                <w:color w:val="auto"/>
                                <w:spacing w:val="0"/>
                                <w:kern w:val="0"/>
                                <w:highlight w:val="none"/>
                              </w:rPr>
                            </m:ctrlPr>
                          </m:e>
                          <m:sup>
                            <m:sSub>
                              <m:sSubPr>
                                <m:ctrlPr>
                                  <w:rPr>
                                    <w:rFonts w:hint="default" w:ascii="Cambria Math" w:hAnsi="Cambria Math" w:cs="Times New Roman"/>
                                    <w:i/>
                                    <w:smallCaps w:val="0"/>
                                    <w:color w:val="auto"/>
                                    <w:spacing w:val="0"/>
                                    <w:kern w:val="0"/>
                                    <w:highlight w:val="none"/>
                                  </w:rPr>
                                </m:ctrlPr>
                              </m:sSubPr>
                              <m:e>
                                <m:r>
                                  <m:rPr/>
                                  <w:rPr>
                                    <w:rFonts w:hint="default" w:ascii="Cambria Math" w:hAnsi="Cambria Math" w:cs="Times New Roman"/>
                                    <w:smallCaps w:val="0"/>
                                    <w:color w:val="auto"/>
                                    <w:spacing w:val="0"/>
                                    <w:kern w:val="0"/>
                                    <w:highlight w:val="none"/>
                                  </w:rPr>
                                  <m:t>0.1L</m:t>
                                </m:r>
                                <m:ctrlPr>
                                  <w:rPr>
                                    <w:rFonts w:hint="default" w:ascii="Cambria Math" w:hAnsi="Cambria Math" w:cs="Times New Roman"/>
                                    <w:i/>
                                    <w:smallCaps w:val="0"/>
                                    <w:color w:val="auto"/>
                                    <w:spacing w:val="0"/>
                                    <w:kern w:val="0"/>
                                    <w:highlight w:val="none"/>
                                  </w:rPr>
                                </m:ctrlPr>
                              </m:e>
                              <m:sub>
                                <m:r>
                                  <m:rPr/>
                                  <w:rPr>
                                    <w:rFonts w:hint="default" w:ascii="Cambria Math" w:hAnsi="Cambria Math" w:cs="Times New Roman"/>
                                    <w:smallCaps w:val="0"/>
                                    <w:color w:val="auto"/>
                                    <w:spacing w:val="0"/>
                                    <w:kern w:val="0"/>
                                    <w:highlight w:val="none"/>
                                  </w:rPr>
                                  <m:t>Aj</m:t>
                                </m:r>
                                <m:ctrlPr>
                                  <w:rPr>
                                    <w:rFonts w:hint="default" w:ascii="Cambria Math" w:hAnsi="Cambria Math" w:cs="Times New Roman"/>
                                    <w:i/>
                                    <w:smallCaps w:val="0"/>
                                    <w:color w:val="auto"/>
                                    <w:spacing w:val="0"/>
                                    <w:kern w:val="0"/>
                                    <w:highlight w:val="none"/>
                                  </w:rPr>
                                </m:ctrlPr>
                              </m:sub>
                            </m:sSub>
                            <m:ctrlPr>
                              <w:rPr>
                                <w:rFonts w:hint="default" w:ascii="Cambria Math" w:hAnsi="Cambria Math" w:cs="Times New Roman"/>
                                <w:i/>
                                <w:smallCaps w:val="0"/>
                                <w:color w:val="auto"/>
                                <w:spacing w:val="0"/>
                                <w:kern w:val="0"/>
                                <w:highlight w:val="none"/>
                              </w:rPr>
                            </m:ctrlPr>
                          </m:sup>
                        </m:sSup>
                        <m:ctrlPr>
                          <w:rPr>
                            <w:rFonts w:hint="default" w:ascii="Cambria Math" w:hAnsi="Cambria Math" w:cs="Times New Roman"/>
                            <w:i/>
                            <w:smallCaps w:val="0"/>
                            <w:color w:val="auto"/>
                            <w:spacing w:val="0"/>
                            <w:kern w:val="0"/>
                            <w:highlight w:val="none"/>
                          </w:rPr>
                        </m:ctrlPr>
                      </m:e>
                    </m:d>
                    <m:ctrlPr>
                      <w:rPr>
                        <w:rFonts w:hint="default" w:ascii="Cambria Math" w:hAnsi="Cambria Math" w:cs="Times New Roman"/>
                        <w:i/>
                        <w:smallCaps w:val="0"/>
                        <w:color w:val="auto"/>
                        <w:spacing w:val="0"/>
                        <w:kern w:val="0"/>
                        <w:highlight w:val="none"/>
                      </w:rPr>
                    </m:ctrlPr>
                  </m:e>
                </m:d>
              </m:oMath>
            </m:oMathPara>
          </w:p>
          <w:p w14:paraId="6145E032">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式中</w:t>
            </w:r>
            <w:r>
              <w:rPr>
                <w:rFonts w:hint="eastAsia" w:cs="Times New Roman"/>
                <w:smallCaps w:val="0"/>
                <w:color w:val="auto"/>
                <w:spacing w:val="0"/>
                <w:highlight w:val="none"/>
                <w:lang w:eastAsia="zh-CN"/>
              </w:rPr>
              <w:t>：</w:t>
            </w:r>
            <w:r>
              <w:rPr>
                <w:rFonts w:hint="default" w:ascii="Times New Roman" w:hAnsi="Times New Roman" w:cs="Times New Roman"/>
                <w:i/>
                <w:smallCaps w:val="0"/>
                <w:color w:val="auto"/>
                <w:spacing w:val="0"/>
                <w:highlight w:val="none"/>
              </w:rPr>
              <w:t>L</w:t>
            </w:r>
            <w:r>
              <w:rPr>
                <w:rFonts w:hint="default" w:ascii="Times New Roman" w:hAnsi="Times New Roman" w:cs="Times New Roman"/>
                <w:i/>
                <w:smallCaps w:val="0"/>
                <w:color w:val="auto"/>
                <w:spacing w:val="0"/>
                <w:highlight w:val="none"/>
                <w:vertAlign w:val="subscript"/>
              </w:rPr>
              <w:t>eqg</w:t>
            </w:r>
            <w:r>
              <w:rPr>
                <w:rFonts w:hint="default" w:ascii="Times New Roman" w:hAnsi="Times New Roman" w:cs="Times New Roman"/>
                <w:smallCaps w:val="0"/>
                <w:color w:val="auto"/>
                <w:spacing w:val="0"/>
                <w:highlight w:val="none"/>
              </w:rPr>
              <w:t>——建设项目声源在预测点产生的噪声贡献值</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 xml:space="preserve">dB； </w:t>
            </w:r>
          </w:p>
          <w:p w14:paraId="1EC119D7">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i/>
                <w:smallCaps w:val="0"/>
                <w:color w:val="auto"/>
                <w:spacing w:val="0"/>
                <w:highlight w:val="none"/>
              </w:rPr>
              <w:t>T</w:t>
            </w:r>
            <w:r>
              <w:rPr>
                <w:rFonts w:hint="default" w:ascii="Times New Roman" w:hAnsi="Times New Roman" w:cs="Times New Roman"/>
                <w:smallCaps w:val="0"/>
                <w:color w:val="auto"/>
                <w:spacing w:val="0"/>
                <w:highlight w:val="none"/>
              </w:rPr>
              <w:t xml:space="preserve"> ——用于计算等效声级的时间</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s；</w:t>
            </w:r>
          </w:p>
          <w:p w14:paraId="4910509E">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i/>
                <w:smallCaps w:val="0"/>
                <w:color w:val="auto"/>
                <w:spacing w:val="0"/>
                <w:highlight w:val="none"/>
              </w:rPr>
              <w:t>N</w:t>
            </w:r>
            <w:r>
              <w:rPr>
                <w:rFonts w:hint="default" w:ascii="Times New Roman" w:hAnsi="Times New Roman" w:cs="Times New Roman"/>
                <w:smallCaps w:val="0"/>
                <w:color w:val="auto"/>
                <w:spacing w:val="0"/>
                <w:highlight w:val="none"/>
              </w:rPr>
              <w:t xml:space="preserve"> ——室外声源个数；</w:t>
            </w:r>
          </w:p>
          <w:p w14:paraId="0BD335F3">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i/>
                <w:smallCaps w:val="0"/>
                <w:color w:val="auto"/>
                <w:spacing w:val="0"/>
                <w:highlight w:val="none"/>
              </w:rPr>
              <w:t>t</w:t>
            </w:r>
            <w:r>
              <w:rPr>
                <w:rFonts w:hint="default" w:ascii="Times New Roman" w:hAnsi="Times New Roman" w:cs="Times New Roman"/>
                <w:i/>
                <w:smallCaps w:val="0"/>
                <w:color w:val="auto"/>
                <w:spacing w:val="0"/>
                <w:highlight w:val="none"/>
                <w:vertAlign w:val="subscript"/>
              </w:rPr>
              <w:t>i</w:t>
            </w:r>
            <w:r>
              <w:rPr>
                <w:rFonts w:hint="default" w:ascii="Times New Roman" w:hAnsi="Times New Roman" w:cs="Times New Roman"/>
                <w:smallCaps w:val="0"/>
                <w:color w:val="auto"/>
                <w:spacing w:val="0"/>
                <w:highlight w:val="none"/>
              </w:rPr>
              <w:t xml:space="preserve"> ——在 T 时间内i声源工作时间</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s；</w:t>
            </w:r>
          </w:p>
          <w:p w14:paraId="7C3B909D">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i/>
                <w:smallCaps w:val="0"/>
                <w:color w:val="auto"/>
                <w:spacing w:val="0"/>
                <w:highlight w:val="none"/>
              </w:rPr>
              <w:t>M</w:t>
            </w:r>
            <w:r>
              <w:rPr>
                <w:rFonts w:hint="default" w:ascii="Times New Roman" w:hAnsi="Times New Roman" w:cs="Times New Roman"/>
                <w:smallCaps w:val="0"/>
                <w:color w:val="auto"/>
                <w:spacing w:val="0"/>
                <w:highlight w:val="none"/>
              </w:rPr>
              <w:t xml:space="preserve"> ——等效室外声源个数；</w:t>
            </w:r>
          </w:p>
          <w:p w14:paraId="017187AE">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lang w:eastAsia="zh-CN"/>
              </w:rPr>
            </w:pPr>
            <w:r>
              <w:rPr>
                <w:rFonts w:hint="default" w:ascii="Times New Roman" w:hAnsi="Times New Roman" w:cs="Times New Roman"/>
                <w:i/>
                <w:smallCaps w:val="0"/>
                <w:color w:val="auto"/>
                <w:spacing w:val="0"/>
                <w:highlight w:val="none"/>
              </w:rPr>
              <w:t>t</w:t>
            </w:r>
            <w:r>
              <w:rPr>
                <w:rFonts w:hint="default" w:ascii="Times New Roman" w:hAnsi="Times New Roman" w:cs="Times New Roman"/>
                <w:i/>
                <w:smallCaps w:val="0"/>
                <w:color w:val="auto"/>
                <w:spacing w:val="0"/>
                <w:highlight w:val="none"/>
                <w:vertAlign w:val="subscript"/>
              </w:rPr>
              <w:t>j</w:t>
            </w:r>
            <w:r>
              <w:rPr>
                <w:rFonts w:hint="default" w:ascii="Times New Roman" w:hAnsi="Times New Roman" w:cs="Times New Roman"/>
                <w:smallCaps w:val="0"/>
                <w:color w:val="auto"/>
                <w:spacing w:val="0"/>
                <w:highlight w:val="none"/>
              </w:rPr>
              <w:t>——在T时间内j声源工作时间</w:t>
            </w:r>
            <w:r>
              <w:rPr>
                <w:rFonts w:hint="default" w:ascii="Times New Roman" w:hAnsi="Times New Roman" w:cs="Times New Roman"/>
                <w:smallCaps w:val="0"/>
                <w:color w:val="auto"/>
                <w:spacing w:val="0"/>
                <w:highlight w:val="none"/>
                <w:lang w:eastAsia="zh-CN"/>
              </w:rPr>
              <w:t>，</w:t>
            </w:r>
          </w:p>
          <w:p w14:paraId="254AA69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drawing>
                <wp:anchor distT="0" distB="0" distL="114300" distR="114300" simplePos="0" relativeHeight="251660288" behindDoc="0" locked="0" layoutInCell="1" allowOverlap="1">
                  <wp:simplePos x="0" y="0"/>
                  <wp:positionH relativeFrom="column">
                    <wp:posOffset>427990</wp:posOffset>
                  </wp:positionH>
                  <wp:positionV relativeFrom="paragraph">
                    <wp:posOffset>433705</wp:posOffset>
                  </wp:positionV>
                  <wp:extent cx="1905000" cy="304800"/>
                  <wp:effectExtent l="0" t="0" r="0" b="0"/>
                  <wp:wrapTopAndBottom/>
                  <wp:docPr id="408" name="图片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图片 40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1905000" cy="304800"/>
                          </a:xfrm>
                          <a:prstGeom prst="rect">
                            <a:avLst/>
                          </a:prstGeom>
                          <a:noFill/>
                          <a:ln>
                            <a:noFill/>
                          </a:ln>
                        </pic:spPr>
                      </pic:pic>
                    </a:graphicData>
                  </a:graphic>
                </wp:anchor>
              </w:drawing>
            </w:r>
            <w:r>
              <w:rPr>
                <w:rFonts w:hint="default" w:ascii="Times New Roman" w:hAnsi="Times New Roman" w:cs="Times New Roman"/>
                <w:smallCaps w:val="0"/>
                <w:color w:val="auto"/>
                <w:spacing w:val="0"/>
                <w:highlight w:val="none"/>
              </w:rPr>
              <w:t>②保护目标噪声预测值计算</w:t>
            </w:r>
          </w:p>
          <w:p w14:paraId="0C97C7F9">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将厂址周边噪声环境保护目标现状监测值与噪声贡献值叠加即得噪声预测值。</w:t>
            </w:r>
          </w:p>
          <w:p w14:paraId="70838DD1">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式中</w:t>
            </w:r>
            <w:r>
              <w:rPr>
                <w:rFonts w:hint="eastAsia" w:cs="Times New Roman"/>
                <w:smallCaps w:val="0"/>
                <w:color w:val="auto"/>
                <w:spacing w:val="0"/>
                <w:highlight w:val="none"/>
                <w:lang w:eastAsia="zh-CN"/>
              </w:rPr>
              <w:t>：</w:t>
            </w:r>
            <w:r>
              <w:rPr>
                <w:rFonts w:hint="default" w:ascii="Times New Roman" w:hAnsi="Times New Roman" w:cs="Times New Roman"/>
                <w:i/>
                <w:smallCaps w:val="0"/>
                <w:color w:val="auto"/>
                <w:spacing w:val="0"/>
                <w:highlight w:val="none"/>
              </w:rPr>
              <w:t>L</w:t>
            </w:r>
            <w:r>
              <w:rPr>
                <w:rFonts w:hint="default" w:ascii="Times New Roman" w:hAnsi="Times New Roman" w:cs="Times New Roman"/>
                <w:i/>
                <w:smallCaps w:val="0"/>
                <w:color w:val="auto"/>
                <w:spacing w:val="0"/>
                <w:highlight w:val="none"/>
                <w:vertAlign w:val="subscript"/>
              </w:rPr>
              <w:t>eq</w:t>
            </w:r>
            <w:r>
              <w:rPr>
                <w:rFonts w:hint="default" w:ascii="Times New Roman" w:hAnsi="Times New Roman" w:cs="Times New Roman"/>
                <w:smallCaps w:val="0"/>
                <w:color w:val="auto"/>
                <w:spacing w:val="0"/>
                <w:highlight w:val="none"/>
              </w:rPr>
              <w:t>——预测点的噪声预测值</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59C053D8">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i/>
                <w:smallCaps w:val="0"/>
                <w:color w:val="auto"/>
                <w:spacing w:val="0"/>
                <w:highlight w:val="none"/>
              </w:rPr>
              <w:t>L</w:t>
            </w:r>
            <w:r>
              <w:rPr>
                <w:rFonts w:hint="default" w:ascii="Times New Roman" w:hAnsi="Times New Roman" w:cs="Times New Roman"/>
                <w:i/>
                <w:smallCaps w:val="0"/>
                <w:color w:val="auto"/>
                <w:spacing w:val="0"/>
                <w:highlight w:val="none"/>
                <w:vertAlign w:val="subscript"/>
              </w:rPr>
              <w:t>eqg</w:t>
            </w:r>
            <w:r>
              <w:rPr>
                <w:rFonts w:hint="default" w:ascii="Times New Roman" w:hAnsi="Times New Roman" w:cs="Times New Roman"/>
                <w:smallCaps w:val="0"/>
                <w:color w:val="auto"/>
                <w:spacing w:val="0"/>
                <w:highlight w:val="none"/>
              </w:rPr>
              <w:t>——建设项目声源在预测点的等效声级贡献值</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6F66139E">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i/>
                <w:smallCaps w:val="0"/>
                <w:color w:val="auto"/>
                <w:spacing w:val="0"/>
                <w:highlight w:val="none"/>
              </w:rPr>
              <w:t>L</w:t>
            </w:r>
            <w:r>
              <w:rPr>
                <w:rFonts w:hint="default" w:ascii="Times New Roman" w:hAnsi="Times New Roman" w:cs="Times New Roman"/>
                <w:i/>
                <w:smallCaps w:val="0"/>
                <w:color w:val="auto"/>
                <w:spacing w:val="0"/>
                <w:highlight w:val="none"/>
                <w:vertAlign w:val="subscript"/>
              </w:rPr>
              <w:t>eqb</w:t>
            </w:r>
            <w:r>
              <w:rPr>
                <w:rFonts w:hint="default" w:ascii="Times New Roman" w:hAnsi="Times New Roman" w:cs="Times New Roman"/>
                <w:smallCaps w:val="0"/>
                <w:color w:val="auto"/>
                <w:spacing w:val="0"/>
                <w:highlight w:val="none"/>
              </w:rPr>
              <w:t>——预测点的背景值</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w:t>
            </w:r>
          </w:p>
          <w:p w14:paraId="137C68C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本</w:t>
            </w:r>
            <w:r>
              <w:rPr>
                <w:rFonts w:hint="eastAsia" w:cs="Times New Roman"/>
                <w:smallCaps w:val="0"/>
                <w:color w:val="auto"/>
                <w:spacing w:val="0"/>
                <w:highlight w:val="none"/>
                <w:lang w:val="en-US" w:eastAsia="zh-CN"/>
              </w:rPr>
              <w:t>项目</w:t>
            </w:r>
            <w:r>
              <w:rPr>
                <w:rFonts w:hint="default" w:ascii="Times New Roman" w:hAnsi="Times New Roman" w:eastAsia="宋体" w:cs="Times New Roman"/>
                <w:smallCaps w:val="0"/>
                <w:color w:val="auto"/>
                <w:spacing w:val="0"/>
                <w:highlight w:val="none"/>
              </w:rPr>
              <w:t>50m范围内</w:t>
            </w:r>
            <w:r>
              <w:rPr>
                <w:rFonts w:hint="eastAsia" w:cs="Times New Roman"/>
                <w:smallCaps w:val="0"/>
                <w:color w:val="auto"/>
                <w:spacing w:val="0"/>
                <w:highlight w:val="none"/>
                <w:lang w:val="en-US" w:eastAsia="zh-CN"/>
              </w:rPr>
              <w:t>不</w:t>
            </w:r>
            <w:r>
              <w:rPr>
                <w:rFonts w:hint="default" w:ascii="Times New Roman" w:hAnsi="Times New Roman" w:eastAsia="宋体" w:cs="Times New Roman"/>
                <w:smallCaps w:val="0"/>
                <w:color w:val="auto"/>
                <w:spacing w:val="0"/>
                <w:highlight w:val="none"/>
                <w:lang w:val="en-US" w:eastAsia="zh-CN"/>
              </w:rPr>
              <w:t>存在</w:t>
            </w:r>
            <w:r>
              <w:rPr>
                <w:rFonts w:hint="default" w:ascii="Times New Roman" w:hAnsi="Times New Roman" w:eastAsia="宋体" w:cs="Times New Roman"/>
                <w:smallCaps w:val="0"/>
                <w:color w:val="auto"/>
                <w:spacing w:val="0"/>
                <w:highlight w:val="none"/>
              </w:rPr>
              <w:t>声环境保护目标</w:t>
            </w:r>
            <w:r>
              <w:rPr>
                <w:rFonts w:hint="default" w:ascii="Times New Roman" w:hAnsi="Times New Roman" w:eastAsia="宋体" w:cs="Times New Roman"/>
                <w:smallCaps w:val="0"/>
                <w:color w:val="auto"/>
                <w:spacing w:val="0"/>
                <w:highlight w:val="none"/>
                <w:lang w:eastAsia="zh-CN"/>
              </w:rPr>
              <w:t>，</w:t>
            </w:r>
            <w:r>
              <w:rPr>
                <w:rFonts w:hint="eastAsia" w:cs="Times New Roman"/>
                <w:smallCaps w:val="0"/>
                <w:color w:val="auto"/>
                <w:spacing w:val="0"/>
                <w:highlight w:val="none"/>
                <w:lang w:val="en-US" w:eastAsia="zh-CN"/>
              </w:rPr>
              <w:t>仅针对厂界进行</w:t>
            </w:r>
            <w:r>
              <w:rPr>
                <w:rFonts w:hint="default" w:ascii="Times New Roman" w:hAnsi="Times New Roman" w:eastAsia="宋体" w:cs="Times New Roman"/>
                <w:smallCaps w:val="0"/>
                <w:color w:val="auto"/>
                <w:spacing w:val="0"/>
                <w:highlight w:val="none"/>
              </w:rPr>
              <w:t>预测</w:t>
            </w:r>
            <w:r>
              <w:rPr>
                <w:rFonts w:hint="default" w:ascii="Times New Roman" w:hAnsi="Times New Roman" w:cs="Times New Roman"/>
                <w:smallCaps w:val="0"/>
                <w:color w:val="auto"/>
                <w:spacing w:val="0"/>
                <w:highlight w:val="none"/>
              </w:rPr>
              <w:t>。</w:t>
            </w:r>
          </w:p>
          <w:p w14:paraId="7F4AEC63">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（3）预测结果及分析</w:t>
            </w:r>
          </w:p>
          <w:p w14:paraId="0CBC5663">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各预测点噪声预测结果见表4-</w:t>
            </w:r>
            <w:r>
              <w:rPr>
                <w:rFonts w:hint="eastAsia" w:cs="Times New Roman"/>
                <w:smallCaps w:val="0"/>
                <w:color w:val="auto"/>
                <w:spacing w:val="0"/>
                <w:highlight w:val="none"/>
                <w:lang w:val="en-US" w:eastAsia="zh-CN"/>
              </w:rPr>
              <w:t>8</w:t>
            </w:r>
            <w:r>
              <w:rPr>
                <w:rFonts w:hint="default" w:ascii="Times New Roman" w:hAnsi="Times New Roman" w:cs="Times New Roman"/>
                <w:smallCaps w:val="0"/>
                <w:color w:val="auto"/>
                <w:spacing w:val="0"/>
                <w:highlight w:val="none"/>
              </w:rPr>
              <w:t>。</w:t>
            </w:r>
          </w:p>
          <w:p w14:paraId="6C4AAF17">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表4-</w:t>
            </w:r>
            <w:r>
              <w:rPr>
                <w:rFonts w:hint="eastAsia" w:cs="Times New Roman"/>
                <w:smallCaps w:val="0"/>
                <w:color w:val="auto"/>
                <w:spacing w:val="0"/>
                <w:highlight w:val="none"/>
                <w:lang w:val="en-US" w:eastAsia="zh-CN"/>
              </w:rPr>
              <w:t>8</w:t>
            </w:r>
            <w:r>
              <w:rPr>
                <w:rFonts w:hint="default" w:ascii="Times New Roman" w:hAnsi="Times New Roman" w:cs="Times New Roman"/>
                <w:smallCaps w:val="0"/>
                <w:color w:val="auto"/>
                <w:spacing w:val="0"/>
                <w:highlight w:val="none"/>
              </w:rPr>
              <w:t xml:space="preserve">    预测点噪声预测结果表单位</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dB（A）</w:t>
            </w:r>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1"/>
              <w:gridCol w:w="996"/>
              <w:gridCol w:w="1429"/>
              <w:gridCol w:w="1429"/>
              <w:gridCol w:w="1429"/>
              <w:gridCol w:w="1431"/>
            </w:tblGrid>
            <w:tr w14:paraId="6922B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415" w:type="pct"/>
                  <w:gridSpan w:val="2"/>
                  <w:vMerge w:val="restart"/>
                  <w:tcBorders>
                    <w:tl2br w:val="single" w:color="auto" w:sz="4" w:space="0"/>
                  </w:tcBorders>
                  <w:noWrap w:val="0"/>
                  <w:vAlign w:val="center"/>
                </w:tcPr>
                <w:p w14:paraId="2475B31C">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 xml:space="preserve">        预测点</w:t>
                  </w:r>
                </w:p>
                <w:p w14:paraId="67A758F5">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jc w:val="both"/>
                    <w:textAlignment w:val="baseline"/>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时间</w:t>
                  </w:r>
                </w:p>
              </w:tc>
              <w:tc>
                <w:tcPr>
                  <w:tcW w:w="3584" w:type="pct"/>
                  <w:gridSpan w:val="4"/>
                  <w:noWrap w:val="0"/>
                  <w:vAlign w:val="center"/>
                </w:tcPr>
                <w:p w14:paraId="68B468C4">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lang w:val="en-US" w:eastAsia="zh-CN"/>
                    </w:rPr>
                    <w:t>贡献</w:t>
                  </w:r>
                  <w:r>
                    <w:rPr>
                      <w:rFonts w:hint="default" w:ascii="Times New Roman" w:hAnsi="Times New Roman" w:eastAsia="宋体" w:cs="Times New Roman"/>
                      <w:smallCaps w:val="0"/>
                      <w:color w:val="auto"/>
                      <w:spacing w:val="0"/>
                      <w:highlight w:val="none"/>
                    </w:rPr>
                    <w:t>值</w:t>
                  </w:r>
                </w:p>
              </w:tc>
            </w:tr>
            <w:tr w14:paraId="05F1A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6" w:hRule="atLeast"/>
                <w:jc w:val="center"/>
              </w:trPr>
              <w:tc>
                <w:tcPr>
                  <w:tcW w:w="1415" w:type="pct"/>
                  <w:gridSpan w:val="2"/>
                  <w:vMerge w:val="continue"/>
                  <w:tcBorders>
                    <w:tl2br w:val="single" w:color="auto" w:sz="4" w:space="0"/>
                  </w:tcBorders>
                  <w:noWrap w:val="0"/>
                  <w:vAlign w:val="center"/>
                </w:tcPr>
                <w:p w14:paraId="49BABBEE">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smallCaps w:val="0"/>
                      <w:color w:val="auto"/>
                      <w:spacing w:val="0"/>
                      <w:highlight w:val="none"/>
                    </w:rPr>
                  </w:pPr>
                </w:p>
              </w:tc>
              <w:tc>
                <w:tcPr>
                  <w:tcW w:w="895" w:type="pct"/>
                  <w:noWrap w:val="0"/>
                  <w:vAlign w:val="center"/>
                </w:tcPr>
                <w:p w14:paraId="3E29044C">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东厂界</w:t>
                  </w:r>
                </w:p>
              </w:tc>
              <w:tc>
                <w:tcPr>
                  <w:tcW w:w="895" w:type="pct"/>
                  <w:noWrap w:val="0"/>
                  <w:vAlign w:val="center"/>
                </w:tcPr>
                <w:p w14:paraId="0D109709">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smallCaps w:val="0"/>
                      <w:color w:val="auto"/>
                      <w:spacing w:val="0"/>
                      <w:highlight w:val="none"/>
                    </w:rPr>
                    <w:t>南厂界</w:t>
                  </w:r>
                </w:p>
              </w:tc>
              <w:tc>
                <w:tcPr>
                  <w:tcW w:w="895" w:type="pct"/>
                  <w:noWrap w:val="0"/>
                  <w:vAlign w:val="center"/>
                </w:tcPr>
                <w:p w14:paraId="4FA9AB60">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smallCaps w:val="0"/>
                      <w:color w:val="auto"/>
                      <w:spacing w:val="0"/>
                      <w:highlight w:val="none"/>
                    </w:rPr>
                    <w:t>西厂界</w:t>
                  </w:r>
                </w:p>
              </w:tc>
              <w:tc>
                <w:tcPr>
                  <w:tcW w:w="897" w:type="pct"/>
                  <w:noWrap w:val="0"/>
                  <w:vAlign w:val="center"/>
                </w:tcPr>
                <w:p w14:paraId="0DF0B5E5">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smallCaps w:val="0"/>
                      <w:color w:val="auto"/>
                      <w:spacing w:val="0"/>
                      <w:highlight w:val="none"/>
                    </w:rPr>
                    <w:t>北厂界</w:t>
                  </w:r>
                </w:p>
              </w:tc>
            </w:tr>
            <w:tr w14:paraId="7BF52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3" w:hRule="atLeast"/>
                <w:jc w:val="center"/>
              </w:trPr>
              <w:tc>
                <w:tcPr>
                  <w:tcW w:w="1415" w:type="pct"/>
                  <w:gridSpan w:val="2"/>
                  <w:noWrap w:val="0"/>
                  <w:vAlign w:val="center"/>
                </w:tcPr>
                <w:p w14:paraId="18C88411">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eastAsia="宋体" w:cs="Times New Roman"/>
                      <w:smallCaps w:val="0"/>
                      <w:color w:val="auto"/>
                      <w:spacing w:val="0"/>
                      <w:highlight w:val="none"/>
                      <w:lang w:val="en-US" w:eastAsia="zh-CN"/>
                    </w:rPr>
                    <w:t>贡献值</w:t>
                  </w:r>
                  <w:r>
                    <w:rPr>
                      <w:rFonts w:hint="default" w:ascii="Times New Roman" w:hAnsi="Times New Roman" w:eastAsia="宋体" w:cs="Times New Roman"/>
                      <w:smallCaps w:val="0"/>
                      <w:color w:val="auto"/>
                      <w:spacing w:val="0"/>
                      <w:highlight w:val="none"/>
                    </w:rPr>
                    <w:t>dB</w:t>
                  </w:r>
                  <w:r>
                    <w:rPr>
                      <w:rFonts w:hint="default"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rPr>
                    <w:t>A</w:t>
                  </w:r>
                  <w:r>
                    <w:rPr>
                      <w:rFonts w:hint="default" w:ascii="Times New Roman" w:hAnsi="Times New Roman" w:eastAsia="宋体" w:cs="Times New Roman"/>
                      <w:smallCaps w:val="0"/>
                      <w:color w:val="auto"/>
                      <w:spacing w:val="0"/>
                      <w:highlight w:val="none"/>
                      <w:lang w:eastAsia="zh-CN"/>
                    </w:rPr>
                    <w:t>）</w:t>
                  </w:r>
                </w:p>
              </w:tc>
              <w:tc>
                <w:tcPr>
                  <w:tcW w:w="895" w:type="pct"/>
                  <w:noWrap w:val="0"/>
                  <w:vAlign w:val="center"/>
                </w:tcPr>
                <w:p w14:paraId="1E42762F">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34.38</w:t>
                  </w:r>
                </w:p>
              </w:tc>
              <w:tc>
                <w:tcPr>
                  <w:tcW w:w="895" w:type="pct"/>
                  <w:noWrap w:val="0"/>
                  <w:vAlign w:val="center"/>
                </w:tcPr>
                <w:p w14:paraId="5CB36917">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35.23</w:t>
                  </w:r>
                </w:p>
              </w:tc>
              <w:tc>
                <w:tcPr>
                  <w:tcW w:w="895" w:type="pct"/>
                  <w:noWrap w:val="0"/>
                  <w:vAlign w:val="center"/>
                </w:tcPr>
                <w:p w14:paraId="2201F916">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20.49</w:t>
                  </w:r>
                </w:p>
              </w:tc>
              <w:tc>
                <w:tcPr>
                  <w:tcW w:w="897" w:type="pct"/>
                  <w:noWrap w:val="0"/>
                  <w:vAlign w:val="center"/>
                </w:tcPr>
                <w:p w14:paraId="03734586">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kern w:val="0"/>
                      <w:sz w:val="21"/>
                      <w:szCs w:val="20"/>
                      <w:highlight w:val="none"/>
                      <w:lang w:val="en-US" w:eastAsia="zh-CN" w:bidi="ar-SA"/>
                    </w:rPr>
                    <w:t>42.6</w:t>
                  </w:r>
                </w:p>
              </w:tc>
            </w:tr>
            <w:tr w14:paraId="259B9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8" w:hRule="atLeast"/>
                <w:jc w:val="center"/>
              </w:trPr>
              <w:tc>
                <w:tcPr>
                  <w:tcW w:w="790" w:type="pct"/>
                  <w:vMerge w:val="restart"/>
                  <w:noWrap w:val="0"/>
                  <w:vAlign w:val="center"/>
                </w:tcPr>
                <w:p w14:paraId="436045BB">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highlight w:val="none"/>
                      <w:lang w:eastAsia="zh-CN"/>
                    </w:rPr>
                  </w:pPr>
                  <w:r>
                    <w:rPr>
                      <w:rFonts w:hint="default" w:ascii="Times New Roman" w:hAnsi="Times New Roman" w:eastAsia="宋体" w:cs="Times New Roman"/>
                      <w:bCs/>
                      <w:smallCaps w:val="0"/>
                      <w:color w:val="auto"/>
                      <w:spacing w:val="0"/>
                      <w:highlight w:val="none"/>
                    </w:rPr>
                    <w:t>评价标准dB</w:t>
                  </w:r>
                  <w:r>
                    <w:rPr>
                      <w:rFonts w:hint="default" w:ascii="Times New Roman" w:hAnsi="Times New Roman" w:eastAsia="宋体" w:cs="Times New Roman"/>
                      <w:bCs/>
                      <w:smallCaps w:val="0"/>
                      <w:color w:val="auto"/>
                      <w:spacing w:val="0"/>
                      <w:highlight w:val="none"/>
                      <w:lang w:eastAsia="zh-CN"/>
                    </w:rPr>
                    <w:t>（</w:t>
                  </w:r>
                  <w:r>
                    <w:rPr>
                      <w:rFonts w:hint="default" w:ascii="Times New Roman" w:hAnsi="Times New Roman" w:eastAsia="宋体" w:cs="Times New Roman"/>
                      <w:bCs/>
                      <w:smallCaps w:val="0"/>
                      <w:color w:val="auto"/>
                      <w:spacing w:val="0"/>
                      <w:highlight w:val="none"/>
                    </w:rPr>
                    <w:t>A</w:t>
                  </w:r>
                  <w:r>
                    <w:rPr>
                      <w:rFonts w:hint="default" w:ascii="Times New Roman" w:hAnsi="Times New Roman" w:eastAsia="宋体" w:cs="Times New Roman"/>
                      <w:bCs/>
                      <w:smallCaps w:val="0"/>
                      <w:color w:val="auto"/>
                      <w:spacing w:val="0"/>
                      <w:highlight w:val="none"/>
                      <w:lang w:eastAsia="zh-CN"/>
                    </w:rPr>
                    <w:t>）</w:t>
                  </w:r>
                </w:p>
              </w:tc>
              <w:tc>
                <w:tcPr>
                  <w:tcW w:w="624" w:type="pct"/>
                  <w:noWrap w:val="0"/>
                  <w:vAlign w:val="center"/>
                </w:tcPr>
                <w:p w14:paraId="052D41F4">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jc w:val="center"/>
                    <w:textAlignment w:val="baseline"/>
                    <w:rPr>
                      <w:rFonts w:hint="default" w:ascii="Times New Roman" w:hAnsi="Times New Roman" w:eastAsia="宋体" w:cs="Times New Roman"/>
                      <w:bCs/>
                      <w:smallCaps w:val="0"/>
                      <w:color w:val="auto"/>
                      <w:spacing w:val="0"/>
                      <w:highlight w:val="none"/>
                      <w:lang w:val="en-US" w:eastAsia="zh-CN"/>
                    </w:rPr>
                  </w:pPr>
                  <w:r>
                    <w:rPr>
                      <w:rFonts w:hint="default" w:ascii="Times New Roman" w:hAnsi="Times New Roman" w:eastAsia="宋体" w:cs="Times New Roman"/>
                      <w:bCs/>
                      <w:smallCaps w:val="0"/>
                      <w:color w:val="auto"/>
                      <w:spacing w:val="0"/>
                      <w:highlight w:val="none"/>
                      <w:lang w:val="en-US" w:eastAsia="zh-CN"/>
                    </w:rPr>
                    <w:t>昼间</w:t>
                  </w:r>
                </w:p>
              </w:tc>
              <w:tc>
                <w:tcPr>
                  <w:tcW w:w="895" w:type="pct"/>
                  <w:noWrap w:val="0"/>
                  <w:vAlign w:val="center"/>
                </w:tcPr>
                <w:p w14:paraId="2A547E23">
                  <w:pPr>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jc w:val="center"/>
                    <w:textAlignment w:val="baseline"/>
                    <w:rPr>
                      <w:rFonts w:hint="default" w:ascii="Times New Roman" w:hAnsi="Times New Roman" w:eastAsia="宋体" w:cs="Times New Roman"/>
                      <w:bCs/>
                      <w:smallCaps w:val="0"/>
                      <w:color w:val="auto"/>
                      <w:spacing w:val="0"/>
                      <w:szCs w:val="20"/>
                      <w:highlight w:val="none"/>
                      <w:lang w:val="en-US" w:eastAsia="zh-CN"/>
                    </w:rPr>
                  </w:pPr>
                  <w:r>
                    <w:rPr>
                      <w:rFonts w:hint="eastAsia" w:cs="Times New Roman"/>
                      <w:bCs/>
                      <w:smallCaps w:val="0"/>
                      <w:color w:val="auto"/>
                      <w:spacing w:val="0"/>
                      <w:szCs w:val="20"/>
                      <w:highlight w:val="none"/>
                      <w:lang w:val="en-US" w:eastAsia="zh-CN"/>
                    </w:rPr>
                    <w:t>65</w:t>
                  </w:r>
                </w:p>
              </w:tc>
              <w:tc>
                <w:tcPr>
                  <w:tcW w:w="895" w:type="pct"/>
                  <w:noWrap w:val="0"/>
                  <w:vAlign w:val="center"/>
                </w:tcPr>
                <w:p w14:paraId="4304E5A7">
                  <w:pPr>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bCs/>
                      <w:smallCaps w:val="0"/>
                      <w:color w:val="auto"/>
                      <w:spacing w:val="0"/>
                      <w:szCs w:val="20"/>
                      <w:highlight w:val="none"/>
                      <w:lang w:val="en-US" w:eastAsia="zh-CN"/>
                    </w:rPr>
                    <w:t>65</w:t>
                  </w:r>
                </w:p>
              </w:tc>
              <w:tc>
                <w:tcPr>
                  <w:tcW w:w="895" w:type="pct"/>
                  <w:noWrap w:val="0"/>
                  <w:vAlign w:val="center"/>
                </w:tcPr>
                <w:p w14:paraId="136CAE02">
                  <w:pPr>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bCs/>
                      <w:smallCaps w:val="0"/>
                      <w:color w:val="auto"/>
                      <w:spacing w:val="0"/>
                      <w:szCs w:val="20"/>
                      <w:highlight w:val="none"/>
                      <w:lang w:val="en-US" w:eastAsia="zh-CN"/>
                    </w:rPr>
                  </w:pPr>
                  <w:r>
                    <w:rPr>
                      <w:rFonts w:hint="eastAsia" w:cs="Times New Roman"/>
                      <w:bCs/>
                      <w:smallCaps w:val="0"/>
                      <w:color w:val="auto"/>
                      <w:spacing w:val="0"/>
                      <w:szCs w:val="20"/>
                      <w:highlight w:val="none"/>
                      <w:lang w:val="en-US" w:eastAsia="zh-CN"/>
                    </w:rPr>
                    <w:t>65</w:t>
                  </w:r>
                </w:p>
              </w:tc>
              <w:tc>
                <w:tcPr>
                  <w:tcW w:w="897" w:type="pct"/>
                  <w:noWrap w:val="0"/>
                  <w:vAlign w:val="center"/>
                </w:tcPr>
                <w:p w14:paraId="14B14B7E">
                  <w:pPr>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bCs/>
                      <w:smallCaps w:val="0"/>
                      <w:color w:val="auto"/>
                      <w:spacing w:val="0"/>
                      <w:szCs w:val="20"/>
                      <w:highlight w:val="none"/>
                      <w:lang w:val="en-US" w:eastAsia="zh-CN"/>
                    </w:rPr>
                  </w:pPr>
                  <w:r>
                    <w:rPr>
                      <w:rFonts w:hint="eastAsia" w:cs="Times New Roman"/>
                      <w:bCs/>
                      <w:smallCaps w:val="0"/>
                      <w:color w:val="auto"/>
                      <w:spacing w:val="0"/>
                      <w:szCs w:val="20"/>
                      <w:highlight w:val="none"/>
                      <w:lang w:val="en-US" w:eastAsia="zh-CN"/>
                    </w:rPr>
                    <w:t>65</w:t>
                  </w:r>
                </w:p>
              </w:tc>
            </w:tr>
            <w:tr w14:paraId="5AE8F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8" w:hRule="atLeast"/>
                <w:jc w:val="center"/>
              </w:trPr>
              <w:tc>
                <w:tcPr>
                  <w:tcW w:w="790" w:type="pct"/>
                  <w:vMerge w:val="continue"/>
                  <w:noWrap w:val="0"/>
                  <w:vAlign w:val="center"/>
                </w:tcPr>
                <w:p w14:paraId="28867B35">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highlight w:val="none"/>
                    </w:rPr>
                  </w:pPr>
                </w:p>
              </w:tc>
              <w:tc>
                <w:tcPr>
                  <w:tcW w:w="624" w:type="pct"/>
                  <w:noWrap w:val="0"/>
                  <w:vAlign w:val="center"/>
                </w:tcPr>
                <w:p w14:paraId="09479D8A">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jc w:val="center"/>
                    <w:textAlignment w:val="baseline"/>
                    <w:rPr>
                      <w:rFonts w:hint="default" w:ascii="Times New Roman" w:hAnsi="Times New Roman" w:eastAsia="宋体" w:cs="Times New Roman"/>
                      <w:bCs/>
                      <w:smallCaps w:val="0"/>
                      <w:color w:val="auto"/>
                      <w:spacing w:val="0"/>
                      <w:highlight w:val="none"/>
                      <w:lang w:val="en-US" w:eastAsia="zh-CN"/>
                    </w:rPr>
                  </w:pPr>
                  <w:r>
                    <w:rPr>
                      <w:rFonts w:hint="eastAsia" w:cs="Times New Roman"/>
                      <w:bCs/>
                      <w:smallCaps w:val="0"/>
                      <w:color w:val="auto"/>
                      <w:spacing w:val="0"/>
                      <w:highlight w:val="none"/>
                      <w:lang w:val="en-US" w:eastAsia="zh-CN"/>
                    </w:rPr>
                    <w:t>夜间</w:t>
                  </w:r>
                </w:p>
              </w:tc>
              <w:tc>
                <w:tcPr>
                  <w:tcW w:w="895" w:type="pct"/>
                  <w:shd w:val="clear" w:color="auto" w:fill="auto"/>
                  <w:noWrap w:val="0"/>
                  <w:vAlign w:val="center"/>
                </w:tcPr>
                <w:p w14:paraId="470A7F19">
                  <w:pPr>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default" w:ascii="Times New Roman" w:hAnsi="Times New Roman" w:eastAsia="宋体" w:cs="Times New Roman"/>
                      <w:bCs/>
                      <w:smallCaps w:val="0"/>
                      <w:color w:val="auto"/>
                      <w:spacing w:val="0"/>
                      <w:szCs w:val="20"/>
                      <w:highlight w:val="none"/>
                      <w:lang w:val="en-US" w:eastAsia="zh-CN"/>
                    </w:rPr>
                    <w:t>55</w:t>
                  </w:r>
                </w:p>
              </w:tc>
              <w:tc>
                <w:tcPr>
                  <w:tcW w:w="895" w:type="pct"/>
                  <w:shd w:val="clear" w:color="auto" w:fill="auto"/>
                  <w:noWrap w:val="0"/>
                  <w:vAlign w:val="center"/>
                </w:tcPr>
                <w:p w14:paraId="0B49A233">
                  <w:pPr>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bCs/>
                      <w:smallCaps w:val="0"/>
                      <w:color w:val="auto"/>
                      <w:spacing w:val="0"/>
                      <w:szCs w:val="20"/>
                      <w:highlight w:val="none"/>
                      <w:lang w:val="en-US" w:eastAsia="zh-CN"/>
                    </w:rPr>
                    <w:t>55</w:t>
                  </w:r>
                </w:p>
              </w:tc>
              <w:tc>
                <w:tcPr>
                  <w:tcW w:w="895" w:type="pct"/>
                  <w:shd w:val="clear" w:color="auto" w:fill="auto"/>
                  <w:noWrap w:val="0"/>
                  <w:vAlign w:val="center"/>
                </w:tcPr>
                <w:p w14:paraId="623217F9">
                  <w:pPr>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default" w:ascii="Times New Roman" w:hAnsi="Times New Roman" w:eastAsia="宋体" w:cs="Times New Roman"/>
                      <w:bCs/>
                      <w:smallCaps w:val="0"/>
                      <w:color w:val="auto"/>
                      <w:spacing w:val="0"/>
                      <w:szCs w:val="20"/>
                      <w:highlight w:val="none"/>
                      <w:lang w:val="en-US" w:eastAsia="zh-CN"/>
                    </w:rPr>
                    <w:t>55</w:t>
                  </w:r>
                </w:p>
              </w:tc>
              <w:tc>
                <w:tcPr>
                  <w:tcW w:w="897" w:type="pct"/>
                  <w:shd w:val="clear" w:color="auto" w:fill="auto"/>
                  <w:noWrap w:val="0"/>
                  <w:vAlign w:val="center"/>
                </w:tcPr>
                <w:p w14:paraId="7C5B011F">
                  <w:pPr>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leftChars="0" w:right="0" w:rightChars="0"/>
                    <w:jc w:val="center"/>
                    <w:textAlignment w:val="baseline"/>
                    <w:rPr>
                      <w:rFonts w:hint="default" w:ascii="Times New Roman" w:hAnsi="Times New Roman" w:eastAsia="宋体" w:cs="Times New Roman"/>
                      <w:bCs/>
                      <w:smallCaps w:val="0"/>
                      <w:color w:val="auto"/>
                      <w:spacing w:val="0"/>
                      <w:kern w:val="2"/>
                      <w:sz w:val="21"/>
                      <w:szCs w:val="20"/>
                      <w:highlight w:val="none"/>
                      <w:lang w:val="en-US" w:eastAsia="zh-CN" w:bidi="ar-SA"/>
                    </w:rPr>
                  </w:pPr>
                  <w:r>
                    <w:rPr>
                      <w:rFonts w:hint="default" w:ascii="Times New Roman" w:hAnsi="Times New Roman" w:eastAsia="宋体" w:cs="Times New Roman"/>
                      <w:bCs/>
                      <w:smallCaps w:val="0"/>
                      <w:color w:val="auto"/>
                      <w:spacing w:val="0"/>
                      <w:szCs w:val="20"/>
                      <w:highlight w:val="none"/>
                      <w:lang w:val="en-US" w:eastAsia="zh-CN"/>
                    </w:rPr>
                    <w:t>55</w:t>
                  </w:r>
                </w:p>
              </w:tc>
            </w:tr>
            <w:tr w14:paraId="099C6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415" w:type="pct"/>
                  <w:gridSpan w:val="2"/>
                  <w:noWrap w:val="0"/>
                  <w:vAlign w:val="center"/>
                </w:tcPr>
                <w:p w14:paraId="75A551F3">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评价结果</w:t>
                  </w:r>
                </w:p>
              </w:tc>
              <w:tc>
                <w:tcPr>
                  <w:tcW w:w="895" w:type="pct"/>
                  <w:noWrap w:val="0"/>
                  <w:vAlign w:val="center"/>
                </w:tcPr>
                <w:p w14:paraId="24DBAF20">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达标</w:t>
                  </w:r>
                </w:p>
              </w:tc>
              <w:tc>
                <w:tcPr>
                  <w:tcW w:w="895" w:type="pct"/>
                  <w:noWrap w:val="0"/>
                  <w:vAlign w:val="center"/>
                </w:tcPr>
                <w:p w14:paraId="73DE372E">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smallCaps w:val="0"/>
                      <w:color w:val="auto"/>
                      <w:spacing w:val="0"/>
                      <w:highlight w:val="none"/>
                    </w:rPr>
                    <w:t>达标</w:t>
                  </w:r>
                </w:p>
              </w:tc>
              <w:tc>
                <w:tcPr>
                  <w:tcW w:w="895" w:type="pct"/>
                  <w:noWrap w:val="0"/>
                  <w:vAlign w:val="center"/>
                </w:tcPr>
                <w:p w14:paraId="3D676D05">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smallCaps w:val="0"/>
                      <w:color w:val="auto"/>
                      <w:spacing w:val="0"/>
                      <w:highlight w:val="none"/>
                    </w:rPr>
                    <w:t>达标</w:t>
                  </w:r>
                </w:p>
              </w:tc>
              <w:tc>
                <w:tcPr>
                  <w:tcW w:w="897" w:type="pct"/>
                  <w:noWrap w:val="0"/>
                  <w:vAlign w:val="center"/>
                </w:tcPr>
                <w:p w14:paraId="2BFD35FB">
                  <w:pPr>
                    <w:pStyle w:val="67"/>
                    <w:keepNext w:val="0"/>
                    <w:keepLines w:val="0"/>
                    <w:pageBreakBefore w:val="0"/>
                    <w:widowControl w:val="0"/>
                    <w:suppressLineNumbers w:val="0"/>
                    <w:kinsoku/>
                    <w:wordWrap/>
                    <w:overflowPunct/>
                    <w:topLinePunct/>
                    <w:autoSpaceDE w:val="0"/>
                    <w:autoSpaceDN w:val="0"/>
                    <w:bidi w:val="0"/>
                    <w:adjustRightInd w:val="0"/>
                    <w:snapToGrid w:val="0"/>
                    <w:spacing w:before="0" w:beforeAutospacing="0" w:after="0" w:afterAutospacing="0" w:line="360" w:lineRule="exact"/>
                    <w:ind w:left="0" w:right="0"/>
                    <w:textAlignment w:val="baseline"/>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eastAsia="宋体" w:cs="Times New Roman"/>
                      <w:smallCaps w:val="0"/>
                      <w:color w:val="auto"/>
                      <w:spacing w:val="0"/>
                      <w:highlight w:val="none"/>
                    </w:rPr>
                    <w:t>达标</w:t>
                  </w:r>
                </w:p>
              </w:tc>
            </w:tr>
          </w:tbl>
          <w:p w14:paraId="26FFFC26">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eastAsia="宋体" w:cs="Times New Roman"/>
                <w:smallCaps w:val="0"/>
                <w:color w:val="auto"/>
                <w:spacing w:val="0"/>
                <w:highlight w:val="none"/>
              </w:rPr>
              <w:t>根据预测结果可知</w:t>
            </w:r>
            <w:r>
              <w:rPr>
                <w:rFonts w:hint="default"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rPr>
              <w:t>在采取相关防治措施后</w:t>
            </w:r>
            <w:r>
              <w:rPr>
                <w:rFonts w:hint="default"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rPr>
              <w:t>项目运营期间</w:t>
            </w:r>
            <w:r>
              <w:rPr>
                <w:rFonts w:hint="default" w:ascii="Times New Roman" w:hAnsi="Times New Roman" w:eastAsia="宋体" w:cs="Times New Roman"/>
                <w:smallCaps w:val="0"/>
                <w:color w:val="auto"/>
                <w:spacing w:val="0"/>
                <w:highlight w:val="none"/>
                <w:lang w:eastAsia="zh-CN"/>
              </w:rPr>
              <w:t>，</w:t>
            </w:r>
            <w:r>
              <w:rPr>
                <w:rFonts w:hint="default" w:ascii="Times New Roman" w:hAnsi="Times New Roman" w:eastAsia="宋体" w:cs="Times New Roman"/>
                <w:smallCaps w:val="0"/>
                <w:color w:val="auto"/>
                <w:spacing w:val="0"/>
                <w:highlight w:val="none"/>
              </w:rPr>
              <w:t>厂界噪声</w:t>
            </w:r>
            <w:r>
              <w:rPr>
                <w:rFonts w:hint="default" w:ascii="Times New Roman" w:hAnsi="Times New Roman" w:eastAsia="宋体" w:cs="Times New Roman"/>
                <w:smallCaps w:val="0"/>
                <w:color w:val="auto"/>
                <w:spacing w:val="0"/>
                <w:highlight w:val="none"/>
                <w:lang w:val="en-US" w:eastAsia="zh-CN"/>
              </w:rPr>
              <w:t>贡献值为</w:t>
            </w:r>
            <w:r>
              <w:rPr>
                <w:rFonts w:hint="eastAsia" w:cs="Times New Roman"/>
                <w:smallCaps w:val="0"/>
                <w:color w:val="auto"/>
                <w:spacing w:val="0"/>
                <w:highlight w:val="none"/>
                <w:lang w:val="en-US" w:eastAsia="zh-CN"/>
              </w:rPr>
              <w:t>20.49~42.6</w:t>
            </w:r>
            <w:r>
              <w:rPr>
                <w:rFonts w:hint="default" w:ascii="Times New Roman" w:hAnsi="Times New Roman" w:eastAsia="宋体" w:cs="Times New Roman"/>
                <w:smallCaps w:val="0"/>
                <w:color w:val="auto"/>
                <w:spacing w:val="0"/>
                <w:highlight w:val="none"/>
                <w:lang w:val="en-US" w:eastAsia="zh-CN"/>
              </w:rPr>
              <w:t>dB（A），</w:t>
            </w:r>
            <w:r>
              <w:rPr>
                <w:rFonts w:hint="default" w:ascii="Times New Roman" w:hAnsi="Times New Roman" w:eastAsia="宋体" w:cs="Times New Roman"/>
                <w:smallCaps w:val="0"/>
                <w:color w:val="auto"/>
                <w:spacing w:val="0"/>
                <w:highlight w:val="none"/>
              </w:rPr>
              <w:t>满足《工业企业厂界环境噪声排放标准》（GB12348-2008）</w:t>
            </w:r>
            <w:r>
              <w:rPr>
                <w:rFonts w:hint="default" w:ascii="Times New Roman" w:hAnsi="Times New Roman" w:eastAsia="宋体" w:cs="Times New Roman"/>
                <w:smallCaps w:val="0"/>
                <w:color w:val="auto"/>
                <w:spacing w:val="0"/>
                <w:highlight w:val="none"/>
                <w:lang w:val="en-US" w:eastAsia="zh-CN"/>
              </w:rPr>
              <w:t>1类</w:t>
            </w:r>
            <w:r>
              <w:rPr>
                <w:rFonts w:hint="default" w:ascii="Times New Roman" w:hAnsi="Times New Roman" w:eastAsia="宋体" w:cs="Times New Roman"/>
                <w:smallCaps w:val="0"/>
                <w:color w:val="auto"/>
                <w:spacing w:val="0"/>
                <w:highlight w:val="none"/>
              </w:rPr>
              <w:t>标准的要求</w:t>
            </w:r>
            <w:r>
              <w:rPr>
                <w:rFonts w:hint="default" w:ascii="Times New Roman" w:hAnsi="Times New Roman" w:cs="Times New Roman"/>
                <w:smallCaps w:val="0"/>
                <w:color w:val="auto"/>
                <w:spacing w:val="0"/>
                <w:highlight w:val="none"/>
              </w:rPr>
              <w:t>。</w:t>
            </w:r>
          </w:p>
          <w:p w14:paraId="0903E6CF">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（4）噪声监测计划</w:t>
            </w:r>
          </w:p>
          <w:p w14:paraId="19A96658">
            <w:pPr>
              <w:pStyle w:val="172"/>
              <w:keepNext w:val="0"/>
              <w:keepLines w:val="0"/>
              <w:suppressLineNumbers w:val="0"/>
              <w:spacing w:before="0" w:beforeAutospacing="0" w:after="0" w:afterAutospacing="0"/>
              <w:ind w:left="0" w:right="0" w:firstLine="480"/>
              <w:rPr>
                <w:rFonts w:hint="eastAsia" w:ascii="Times New Roman" w:hAnsi="Times New Roman" w:eastAsia="宋体" w:cs="Times New Roman"/>
                <w:smallCaps w:val="0"/>
                <w:color w:val="auto"/>
                <w:spacing w:val="0"/>
                <w:highlight w:val="none"/>
                <w:lang w:eastAsia="zh-CN"/>
              </w:rPr>
            </w:pPr>
            <w:r>
              <w:rPr>
                <w:rFonts w:hint="eastAsia" w:cs="Times New Roman"/>
                <w:smallCaps w:val="0"/>
                <w:color w:val="auto"/>
                <w:spacing w:val="0"/>
                <w:highlight w:val="none"/>
                <w:lang w:val="en-US" w:eastAsia="zh-CN"/>
              </w:rPr>
              <w:t>根据《排污许可证申请与核发技术规范 工业噪声》（HJ1301-2023）</w:t>
            </w:r>
            <w:r>
              <w:rPr>
                <w:rFonts w:hint="default" w:ascii="Times New Roman" w:hAnsi="Times New Roman" w:cs="Times New Roman"/>
                <w:smallCaps w:val="0"/>
                <w:color w:val="auto"/>
                <w:spacing w:val="0"/>
                <w:highlight w:val="none"/>
              </w:rPr>
              <w:t>项目噪声监测计划见下表</w:t>
            </w:r>
            <w:r>
              <w:rPr>
                <w:rFonts w:hint="eastAsia" w:cs="Times New Roman"/>
                <w:smallCaps w:val="0"/>
                <w:color w:val="auto"/>
                <w:spacing w:val="0"/>
                <w:highlight w:val="none"/>
                <w:lang w:eastAsia="zh-CN"/>
              </w:rPr>
              <w:t>：</w:t>
            </w:r>
          </w:p>
          <w:p w14:paraId="5752979E">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表4-</w:t>
            </w:r>
            <w:r>
              <w:rPr>
                <w:rFonts w:hint="eastAsia" w:cs="Times New Roman"/>
                <w:smallCaps w:val="0"/>
                <w:color w:val="auto"/>
                <w:spacing w:val="0"/>
                <w:highlight w:val="none"/>
                <w:lang w:val="en-US" w:eastAsia="zh-CN"/>
              </w:rPr>
              <w:t>9</w:t>
            </w:r>
            <w:r>
              <w:rPr>
                <w:rFonts w:hint="default" w:ascii="Times New Roman" w:hAnsi="Times New Roman" w:cs="Times New Roman"/>
                <w:smallCaps w:val="0"/>
                <w:color w:val="auto"/>
                <w:spacing w:val="0"/>
                <w:highlight w:val="none"/>
              </w:rPr>
              <w:t xml:space="preserve">    噪声监测计划一览表</w:t>
            </w:r>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0" w:type="dxa"/>
                <w:bottom w:w="0" w:type="dxa"/>
                <w:right w:w="0" w:type="dxa"/>
              </w:tblCellMar>
            </w:tblPr>
            <w:tblGrid>
              <w:gridCol w:w="721"/>
              <w:gridCol w:w="1730"/>
              <w:gridCol w:w="1730"/>
              <w:gridCol w:w="2412"/>
              <w:gridCol w:w="1385"/>
            </w:tblGrid>
            <w:tr w14:paraId="701E097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452" w:type="pct"/>
                  <w:vAlign w:val="center"/>
                </w:tcPr>
                <w:p w14:paraId="1CA5179D">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序号</w:t>
                  </w:r>
                </w:p>
              </w:tc>
              <w:tc>
                <w:tcPr>
                  <w:tcW w:w="1084" w:type="pct"/>
                  <w:vAlign w:val="center"/>
                </w:tcPr>
                <w:p w14:paraId="6B599AB1">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监测项目</w:t>
                  </w:r>
                </w:p>
              </w:tc>
              <w:tc>
                <w:tcPr>
                  <w:tcW w:w="1084" w:type="pct"/>
                  <w:vAlign w:val="center"/>
                </w:tcPr>
                <w:p w14:paraId="369B1CF4">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监测因子</w:t>
                  </w:r>
                </w:p>
              </w:tc>
              <w:tc>
                <w:tcPr>
                  <w:tcW w:w="1511" w:type="pct"/>
                  <w:vAlign w:val="center"/>
                </w:tcPr>
                <w:p w14:paraId="338FAE60">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取样位置</w:t>
                  </w:r>
                </w:p>
              </w:tc>
              <w:tc>
                <w:tcPr>
                  <w:tcW w:w="868" w:type="pct"/>
                  <w:vAlign w:val="center"/>
                </w:tcPr>
                <w:p w14:paraId="7D7F6A80">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监测频率</w:t>
                  </w:r>
                </w:p>
              </w:tc>
            </w:tr>
            <w:tr w14:paraId="0593FA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452" w:type="pct"/>
                  <w:vAlign w:val="center"/>
                </w:tcPr>
                <w:p w14:paraId="3D800B2E">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1</w:t>
                  </w:r>
                </w:p>
              </w:tc>
              <w:tc>
                <w:tcPr>
                  <w:tcW w:w="1084" w:type="pct"/>
                  <w:vAlign w:val="center"/>
                </w:tcPr>
                <w:p w14:paraId="60A968D1">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厂界噪声</w:t>
                  </w:r>
                </w:p>
              </w:tc>
              <w:tc>
                <w:tcPr>
                  <w:tcW w:w="1084" w:type="pct"/>
                  <w:vAlign w:val="center"/>
                </w:tcPr>
                <w:p w14:paraId="6EB2A524">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等效声级</w:t>
                  </w:r>
                </w:p>
              </w:tc>
              <w:tc>
                <w:tcPr>
                  <w:tcW w:w="1511" w:type="pct"/>
                  <w:vAlign w:val="center"/>
                </w:tcPr>
                <w:p w14:paraId="7CA9EF10">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厂界外1m处</w:t>
                  </w:r>
                </w:p>
              </w:tc>
              <w:tc>
                <w:tcPr>
                  <w:tcW w:w="868" w:type="pct"/>
                  <w:vAlign w:val="center"/>
                </w:tcPr>
                <w:p w14:paraId="2D6827CF">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1次/季度</w:t>
                  </w:r>
                </w:p>
              </w:tc>
            </w:tr>
          </w:tbl>
          <w:p w14:paraId="41D58F3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（1）固体废物产生及处置情况</w:t>
            </w:r>
          </w:p>
          <w:p w14:paraId="4293C065">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根据工程分析</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本项目运行期产生的固体废物主要为</w:t>
            </w:r>
            <w:r>
              <w:rPr>
                <w:rFonts w:hint="eastAsia" w:cs="Times New Roman"/>
                <w:smallCaps w:val="0"/>
                <w:color w:val="auto"/>
                <w:spacing w:val="0"/>
                <w:highlight w:val="none"/>
                <w:lang w:val="en-US" w:eastAsia="zh-CN"/>
              </w:rPr>
              <w:t>废包装袋、废布袋、除尘灰、废铁屑、沉淀池底泥（氧化铁渣）、不合格品、废润滑油、废润滑油桶、废切削液、废切削液桶、含油抹布及废劳保用品</w:t>
            </w:r>
            <w:r>
              <w:rPr>
                <w:rFonts w:hint="default" w:ascii="Times New Roman" w:hAnsi="Times New Roman" w:cs="Times New Roman"/>
                <w:smallCaps w:val="0"/>
                <w:color w:val="auto"/>
                <w:spacing w:val="0"/>
                <w:highlight w:val="none"/>
                <w:lang w:val="en-US" w:eastAsia="zh-CN"/>
              </w:rPr>
              <w:t>。</w:t>
            </w:r>
          </w:p>
          <w:p w14:paraId="12BF98BB">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eastAsia" w:cs="Times New Roman"/>
                <w:smallCaps w:val="0"/>
                <w:color w:val="auto"/>
                <w:spacing w:val="0"/>
                <w:highlight w:val="none"/>
                <w:lang w:val="en-US" w:eastAsia="zh-CN"/>
              </w:rPr>
              <w:t>废包装袋、废布袋、除尘灰、废铁屑、沉淀池底泥（氧化铁渣）、不合格品收集后外售；废润滑油、废润滑油桶、废切削液、废切削液桶、含油抹布及废劳保用品即产即清，交由有资质单位处理；职工生活垃圾收集后由环卫部门统一处置</w:t>
            </w:r>
            <w:r>
              <w:rPr>
                <w:rFonts w:hint="default" w:ascii="Times New Roman" w:hAnsi="Times New Roman" w:cs="Times New Roman"/>
                <w:smallCaps w:val="0"/>
                <w:color w:val="auto"/>
                <w:spacing w:val="0"/>
                <w:highlight w:val="none"/>
                <w:lang w:val="en-US" w:eastAsia="zh-CN"/>
              </w:rPr>
              <w:t>。</w:t>
            </w:r>
          </w:p>
          <w:p w14:paraId="062DB124">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1）</w:t>
            </w:r>
            <w:r>
              <w:rPr>
                <w:rFonts w:hint="eastAsia" w:cs="Times New Roman"/>
                <w:smallCaps w:val="0"/>
                <w:color w:val="auto"/>
                <w:spacing w:val="0"/>
                <w:highlight w:val="none"/>
                <w:lang w:val="en-US" w:eastAsia="zh-CN"/>
              </w:rPr>
              <w:t>废包装材料</w:t>
            </w:r>
          </w:p>
          <w:p w14:paraId="34ABA2AA">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废包装材料主要为人工解捆时产生的废包装材料，收集后外售。项目圆管采用铁丝1.5t/捆，棒材采用3t/捆，每个帖子的重量为0.35kg，废包装材料产生量为81.13t/a。</w:t>
            </w:r>
          </w:p>
          <w:p w14:paraId="209D8319">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lang w:val="en-US" w:eastAsia="zh-CN"/>
              </w:rPr>
              <w:t>2</w:t>
            </w:r>
            <w:r>
              <w:rPr>
                <w:rFonts w:hint="default" w:ascii="Times New Roman" w:hAnsi="Times New Roman" w:cs="Times New Roman"/>
                <w:smallCaps w:val="0"/>
                <w:color w:val="auto"/>
                <w:spacing w:val="0"/>
                <w:highlight w:val="none"/>
              </w:rPr>
              <w:t>）</w:t>
            </w:r>
            <w:r>
              <w:rPr>
                <w:rFonts w:hint="eastAsia" w:cs="Times New Roman"/>
                <w:smallCaps w:val="0"/>
                <w:color w:val="auto"/>
                <w:spacing w:val="0"/>
                <w:highlight w:val="none"/>
                <w:lang w:val="en-US" w:eastAsia="zh-CN"/>
              </w:rPr>
              <w:t>废布袋</w:t>
            </w:r>
          </w:p>
          <w:p w14:paraId="7FD1B698">
            <w:pPr>
              <w:pStyle w:val="172"/>
              <w:keepNext w:val="0"/>
              <w:keepLines w:val="0"/>
              <w:suppressLineNumbers w:val="0"/>
              <w:spacing w:before="0" w:beforeAutospacing="0" w:after="0" w:afterAutospacing="0"/>
              <w:ind w:left="0" w:right="0" w:firstLine="480"/>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项目设置5套脉冲布袋除尘器，每年更换一次布袋，废布袋产生量为0.48t/a，收集后外售。</w:t>
            </w:r>
          </w:p>
          <w:p w14:paraId="57E8361F">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lang w:val="en-US"/>
              </w:rPr>
            </w:pPr>
            <w:r>
              <w:rPr>
                <w:rFonts w:hint="eastAsia" w:cs="Times New Roman"/>
                <w:smallCaps w:val="0"/>
                <w:color w:val="auto"/>
                <w:spacing w:val="0"/>
                <w:highlight w:val="none"/>
                <w:lang w:val="en-US" w:eastAsia="zh-CN"/>
              </w:rPr>
              <w:t>3）除尘灰</w:t>
            </w:r>
          </w:p>
          <w:p w14:paraId="20CA8474">
            <w:pPr>
              <w:pStyle w:val="172"/>
              <w:keepNext w:val="0"/>
              <w:keepLines w:val="0"/>
              <w:suppressLineNumbers w:val="0"/>
              <w:spacing w:before="0" w:beforeAutospacing="0" w:after="0" w:afterAutospacing="0"/>
              <w:ind w:left="0" w:right="0" w:firstLine="480"/>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 xml:space="preserve">除尘灰产生量为1239.307t/a，收集后回用。 </w:t>
            </w:r>
          </w:p>
          <w:p w14:paraId="557B634B">
            <w:pPr>
              <w:pStyle w:val="172"/>
              <w:keepNext w:val="0"/>
              <w:keepLines w:val="0"/>
              <w:suppressLineNumbers w:val="0"/>
              <w:spacing w:before="0" w:beforeAutospacing="0" w:after="0" w:afterAutospacing="0"/>
              <w:ind w:left="0" w:right="0" w:firstLine="480"/>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4）废铁屑</w:t>
            </w:r>
          </w:p>
          <w:p w14:paraId="3555529B">
            <w:pPr>
              <w:pStyle w:val="172"/>
              <w:keepNext w:val="0"/>
              <w:keepLines w:val="0"/>
              <w:suppressLineNumbers w:val="0"/>
              <w:spacing w:before="0" w:beforeAutospacing="0" w:after="0" w:afterAutospacing="0"/>
              <w:ind w:left="0" w:right="0" w:firstLine="480"/>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切削、修磨等机加工工序会产生废铁屑，产生量为7929.284t/a。</w:t>
            </w:r>
          </w:p>
          <w:p w14:paraId="7E37F770">
            <w:pPr>
              <w:pStyle w:val="172"/>
              <w:keepNext w:val="0"/>
              <w:keepLines w:val="0"/>
              <w:suppressLineNumbers w:val="0"/>
              <w:spacing w:before="0" w:beforeAutospacing="0" w:after="0" w:afterAutospacing="0"/>
              <w:ind w:left="0" w:right="0" w:firstLine="480"/>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5）沉淀池底泥（氧化铁渣）</w:t>
            </w:r>
          </w:p>
          <w:p w14:paraId="6DCE0158">
            <w:pPr>
              <w:pStyle w:val="172"/>
              <w:keepNext w:val="0"/>
              <w:keepLines w:val="0"/>
              <w:suppressLineNumbers w:val="0"/>
              <w:spacing w:before="0" w:beforeAutospacing="0" w:after="0" w:afterAutospacing="0"/>
              <w:ind w:left="0" w:right="0" w:firstLine="480"/>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沉淀池底泥（氧化铁渣）产生量为3.20t/a。</w:t>
            </w:r>
          </w:p>
          <w:p w14:paraId="42A17CCD">
            <w:pPr>
              <w:pStyle w:val="172"/>
              <w:keepNext w:val="0"/>
              <w:keepLines w:val="0"/>
              <w:suppressLineNumbers w:val="0"/>
              <w:spacing w:before="0" w:beforeAutospacing="0" w:after="0" w:afterAutospacing="0"/>
              <w:ind w:left="0" w:right="0" w:firstLine="480"/>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6）不合格品</w:t>
            </w:r>
          </w:p>
          <w:p w14:paraId="7A45D4AB">
            <w:pPr>
              <w:pStyle w:val="172"/>
              <w:keepNext w:val="0"/>
              <w:keepLines w:val="0"/>
              <w:suppressLineNumbers w:val="0"/>
              <w:spacing w:before="0" w:beforeAutospacing="0" w:after="0" w:afterAutospacing="0"/>
              <w:ind w:left="0" w:right="0" w:firstLine="480"/>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项目不合格品产生量为8t/a。</w:t>
            </w:r>
          </w:p>
          <w:p w14:paraId="3498A9BA">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7</w:t>
            </w:r>
            <w:r>
              <w:rPr>
                <w:rFonts w:hint="default" w:ascii="Times New Roman" w:hAnsi="Times New Roman" w:cs="Times New Roman"/>
                <w:smallCaps w:val="0"/>
                <w:color w:val="auto"/>
                <w:spacing w:val="0"/>
                <w:highlight w:val="none"/>
                <w:lang w:eastAsia="zh-CN"/>
              </w:rPr>
              <w:t>）</w:t>
            </w:r>
            <w:r>
              <w:rPr>
                <w:rFonts w:hint="eastAsia" w:cs="Times New Roman"/>
                <w:smallCaps w:val="0"/>
                <w:color w:val="auto"/>
                <w:spacing w:val="0"/>
                <w:highlight w:val="none"/>
                <w:lang w:val="en-US" w:eastAsia="zh-CN"/>
              </w:rPr>
              <w:t>废润滑油、废润滑油桶、废切削液、废切削液桶、含油抹布及废劳保用品</w:t>
            </w:r>
          </w:p>
          <w:p w14:paraId="0292306F">
            <w:pPr>
              <w:pStyle w:val="172"/>
              <w:keepNext w:val="0"/>
              <w:keepLines w:val="0"/>
              <w:suppressLineNumbers w:val="0"/>
              <w:spacing w:before="0" w:beforeAutospacing="0" w:after="0" w:afterAutospacing="0"/>
              <w:ind w:left="0" w:right="0" w:firstLine="480"/>
              <w:rPr>
                <w:rFonts w:hint="default" w:ascii="Times New Roman" w:hAnsi="Times New Roman" w:cs="Times New Roman"/>
                <w:color w:val="auto"/>
                <w:sz w:val="24"/>
                <w:highlight w:val="none"/>
                <w:lang w:val="en-US" w:eastAsia="zh-CN"/>
              </w:rPr>
            </w:pPr>
            <w:r>
              <w:rPr>
                <w:rFonts w:hint="default" w:ascii="Times New Roman" w:hAnsi="Times New Roman" w:cs="Times New Roman"/>
                <w:color w:val="auto"/>
                <w:sz w:val="24"/>
                <w:highlight w:val="none"/>
              </w:rPr>
              <w:t>根据</w:t>
            </w:r>
            <w:r>
              <w:rPr>
                <w:rFonts w:hint="eastAsia" w:cs="Times New Roman"/>
                <w:color w:val="auto"/>
                <w:sz w:val="24"/>
                <w:highlight w:val="none"/>
                <w:lang w:eastAsia="zh-CN"/>
              </w:rPr>
              <w:t>《国家危险废物名录》（2025年版）</w:t>
            </w:r>
            <w:r>
              <w:rPr>
                <w:rFonts w:hint="default" w:ascii="Times New Roman" w:hAnsi="Times New Roman" w:cs="Times New Roman"/>
                <w:color w:val="auto"/>
                <w:sz w:val="24"/>
                <w:highlight w:val="none"/>
              </w:rPr>
              <w:t>，设备维护产生的废润滑油（废物类别</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HW08废矿物油与含矿物油废物；行业来源</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非特定行业；废物代码</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900-217-08）</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废润滑油桶（废物类别</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HW08废矿物油与含矿物油废物；行业来源</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非特定行业；废物代码</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900-249-08）</w:t>
            </w:r>
            <w:r>
              <w:rPr>
                <w:rFonts w:hint="eastAsia" w:cs="Times New Roman"/>
                <w:color w:val="auto"/>
                <w:sz w:val="24"/>
                <w:highlight w:val="none"/>
                <w:lang w:eastAsia="zh-CN"/>
              </w:rPr>
              <w:t>；</w:t>
            </w:r>
            <w:r>
              <w:rPr>
                <w:rFonts w:hint="eastAsia" w:cs="Times New Roman"/>
                <w:color w:val="auto"/>
                <w:sz w:val="24"/>
                <w:highlight w:val="none"/>
                <w:lang w:val="en-US" w:eastAsia="zh-CN"/>
              </w:rPr>
              <w:t>废切削液</w:t>
            </w:r>
            <w:r>
              <w:rPr>
                <w:rFonts w:hint="default" w:ascii="Times New Roman" w:hAnsi="Times New Roman" w:cs="Times New Roman"/>
                <w:color w:val="auto"/>
                <w:sz w:val="24"/>
                <w:highlight w:val="none"/>
              </w:rPr>
              <w:t>（废物类别</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HW</w:t>
            </w:r>
            <w:r>
              <w:rPr>
                <w:rFonts w:hint="eastAsia" w:cs="Times New Roman"/>
                <w:color w:val="auto"/>
                <w:sz w:val="24"/>
                <w:highlight w:val="none"/>
                <w:lang w:val="en-US" w:eastAsia="zh-CN"/>
              </w:rPr>
              <w:t>09油/水、烃/水混合物或者乳化液</w:t>
            </w:r>
            <w:r>
              <w:rPr>
                <w:rFonts w:hint="default" w:ascii="Times New Roman" w:hAnsi="Times New Roman" w:cs="Times New Roman"/>
                <w:color w:val="auto"/>
                <w:sz w:val="24"/>
                <w:highlight w:val="none"/>
              </w:rPr>
              <w:t>；行业来源</w:t>
            </w:r>
            <w:r>
              <w:rPr>
                <w:rFonts w:hint="eastAsia" w:cs="Times New Roman"/>
                <w:color w:val="auto"/>
                <w:sz w:val="24"/>
                <w:highlight w:val="none"/>
                <w:lang w:eastAsia="zh-CN"/>
              </w:rPr>
              <w:t>：</w:t>
            </w:r>
            <w:r>
              <w:rPr>
                <w:rFonts w:hint="default" w:ascii="Times New Roman" w:hAnsi="Times New Roman" w:cs="Times New Roman"/>
                <w:color w:val="auto"/>
                <w:sz w:val="24"/>
                <w:highlight w:val="none"/>
              </w:rPr>
              <w:t>非特定行业；废物代码</w:t>
            </w:r>
            <w:r>
              <w:rPr>
                <w:rFonts w:hint="eastAsia" w:cs="Times New Roman"/>
                <w:color w:val="auto"/>
                <w:sz w:val="24"/>
                <w:highlight w:val="none"/>
                <w:lang w:eastAsia="zh-CN"/>
              </w:rPr>
              <w:t>：</w:t>
            </w:r>
            <w:r>
              <w:rPr>
                <w:rFonts w:hint="eastAsia" w:cs="Times New Roman"/>
                <w:color w:val="auto"/>
                <w:sz w:val="24"/>
                <w:highlight w:val="none"/>
                <w:lang w:val="en-US" w:eastAsia="zh-CN"/>
              </w:rPr>
              <w:t>900-006-09</w:t>
            </w:r>
            <w:r>
              <w:rPr>
                <w:rFonts w:hint="default" w:ascii="Times New Roman" w:hAnsi="Times New Roman" w:cs="Times New Roman"/>
                <w:color w:val="auto"/>
                <w:sz w:val="24"/>
                <w:highlight w:val="none"/>
              </w:rPr>
              <w:t>）</w:t>
            </w:r>
            <w:r>
              <w:rPr>
                <w:rFonts w:hint="eastAsia" w:cs="Times New Roman"/>
                <w:color w:val="auto"/>
                <w:sz w:val="24"/>
                <w:highlight w:val="none"/>
                <w:lang w:eastAsia="zh-CN"/>
              </w:rPr>
              <w:t>；</w:t>
            </w:r>
            <w:r>
              <w:rPr>
                <w:rFonts w:hint="eastAsia" w:cs="Times New Roman"/>
                <w:color w:val="auto"/>
                <w:sz w:val="24"/>
                <w:highlight w:val="none"/>
                <w:lang w:val="en-US" w:eastAsia="zh-CN"/>
              </w:rPr>
              <w:t>废切削液</w:t>
            </w:r>
            <w:r>
              <w:rPr>
                <w:rFonts w:hint="default" w:ascii="Times New Roman" w:hAnsi="Times New Roman" w:cs="Times New Roman"/>
                <w:color w:val="auto"/>
                <w:sz w:val="24"/>
                <w:highlight w:val="none"/>
              </w:rPr>
              <w:t>桶（</w:t>
            </w:r>
            <w:r>
              <w:rPr>
                <w:rFonts w:hint="eastAsia" w:cs="Times New Roman"/>
                <w:color w:val="auto"/>
                <w:sz w:val="24"/>
                <w:highlight w:val="none"/>
                <w:lang w:val="en-US" w:eastAsia="zh-CN"/>
              </w:rPr>
              <w:t>废物类别：</w:t>
            </w:r>
            <w:r>
              <w:rPr>
                <w:rFonts w:hint="default" w:ascii="Times New Roman" w:hAnsi="Times New Roman" w:cs="Times New Roman"/>
                <w:color w:val="auto"/>
                <w:sz w:val="24"/>
                <w:highlight w:val="none"/>
              </w:rPr>
              <w:t>HW</w:t>
            </w:r>
            <w:r>
              <w:rPr>
                <w:rFonts w:hint="eastAsia" w:cs="Times New Roman"/>
                <w:color w:val="auto"/>
                <w:sz w:val="24"/>
                <w:highlight w:val="none"/>
                <w:lang w:val="en-US" w:eastAsia="zh-CN"/>
              </w:rPr>
              <w:t>49其他废物</w:t>
            </w: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行业来源</w:t>
            </w:r>
            <w:r>
              <w:rPr>
                <w:rFonts w:hint="eastAsia" w:cs="Times New Roman"/>
                <w:color w:val="auto"/>
                <w:sz w:val="24"/>
                <w:highlight w:val="none"/>
                <w:lang w:val="en-US" w:eastAsia="zh-CN"/>
              </w:rPr>
              <w:t>：</w:t>
            </w:r>
            <w:r>
              <w:rPr>
                <w:rFonts w:hint="eastAsia" w:ascii="Times New Roman" w:hAnsi="Times New Roman" w:cs="Times New Roman"/>
                <w:color w:val="auto"/>
                <w:sz w:val="24"/>
                <w:highlight w:val="none"/>
                <w:lang w:val="en-US" w:eastAsia="zh-CN"/>
              </w:rPr>
              <w:t>非特定行业；废物代码9</w:t>
            </w:r>
            <w:r>
              <w:rPr>
                <w:rFonts w:hint="eastAsia" w:cs="Times New Roman"/>
                <w:color w:val="auto"/>
                <w:sz w:val="24"/>
                <w:highlight w:val="none"/>
                <w:lang w:val="en-US" w:eastAsia="zh-CN"/>
              </w:rPr>
              <w:t>00-041-49</w:t>
            </w:r>
            <w:r>
              <w:rPr>
                <w:rFonts w:hint="default" w:ascii="Times New Roman" w:hAnsi="Times New Roman" w:cs="Times New Roman"/>
                <w:color w:val="auto"/>
                <w:sz w:val="24"/>
                <w:highlight w:val="none"/>
              </w:rPr>
              <w:t>）</w:t>
            </w:r>
            <w:r>
              <w:rPr>
                <w:rFonts w:hint="eastAsia" w:cs="Times New Roman"/>
                <w:color w:val="auto"/>
                <w:sz w:val="24"/>
                <w:highlight w:val="none"/>
                <w:lang w:eastAsia="zh-CN"/>
              </w:rPr>
              <w:t>；</w:t>
            </w:r>
            <w:r>
              <w:rPr>
                <w:rFonts w:hint="eastAsia" w:cs="Times New Roman"/>
                <w:color w:val="auto"/>
                <w:sz w:val="24"/>
                <w:highlight w:val="none"/>
                <w:lang w:val="en-US" w:eastAsia="zh-CN"/>
              </w:rPr>
              <w:t>含油抹布及废劳保用品（废物类别：</w:t>
            </w:r>
            <w:r>
              <w:rPr>
                <w:rFonts w:hint="default" w:ascii="Times New Roman" w:hAnsi="Times New Roman" w:cs="Times New Roman"/>
                <w:color w:val="auto"/>
                <w:sz w:val="24"/>
                <w:highlight w:val="none"/>
              </w:rPr>
              <w:t>HW</w:t>
            </w:r>
            <w:r>
              <w:rPr>
                <w:rFonts w:hint="eastAsia" w:cs="Times New Roman"/>
                <w:color w:val="auto"/>
                <w:sz w:val="24"/>
                <w:highlight w:val="none"/>
                <w:lang w:val="en-US" w:eastAsia="zh-CN"/>
              </w:rPr>
              <w:t>49其他废物</w:t>
            </w:r>
            <w:r>
              <w:rPr>
                <w:rFonts w:hint="default" w:ascii="Times New Roman" w:hAnsi="Times New Roman" w:cs="Times New Roman"/>
                <w:color w:val="auto"/>
                <w:sz w:val="24"/>
                <w:highlight w:val="none"/>
              </w:rPr>
              <w:t>；</w:t>
            </w:r>
            <w:r>
              <w:rPr>
                <w:rFonts w:hint="eastAsia" w:ascii="Times New Roman" w:hAnsi="Times New Roman" w:cs="Times New Roman"/>
                <w:color w:val="auto"/>
                <w:sz w:val="24"/>
                <w:highlight w:val="none"/>
                <w:lang w:val="en-US" w:eastAsia="zh-CN"/>
              </w:rPr>
              <w:t>行业来源</w:t>
            </w:r>
            <w:r>
              <w:rPr>
                <w:rFonts w:hint="eastAsia" w:cs="Times New Roman"/>
                <w:color w:val="auto"/>
                <w:sz w:val="24"/>
                <w:highlight w:val="none"/>
                <w:lang w:val="en-US" w:eastAsia="zh-CN"/>
              </w:rPr>
              <w:t>：</w:t>
            </w:r>
            <w:r>
              <w:rPr>
                <w:rFonts w:hint="eastAsia" w:ascii="Times New Roman" w:hAnsi="Times New Roman" w:cs="Times New Roman"/>
                <w:color w:val="auto"/>
                <w:sz w:val="24"/>
                <w:highlight w:val="none"/>
                <w:lang w:val="en-US" w:eastAsia="zh-CN"/>
              </w:rPr>
              <w:t>非特定行业；废物代码9</w:t>
            </w:r>
            <w:r>
              <w:rPr>
                <w:rFonts w:hint="eastAsia" w:cs="Times New Roman"/>
                <w:color w:val="auto"/>
                <w:sz w:val="24"/>
                <w:highlight w:val="none"/>
                <w:lang w:val="en-US" w:eastAsia="zh-CN"/>
              </w:rPr>
              <w:t>00-041-49）</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均属于危险废物。</w:t>
            </w:r>
          </w:p>
          <w:p w14:paraId="79BFDD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460" w:lineRule="exact"/>
              <w:ind w:left="0" w:right="0" w:firstLine="480" w:firstLineChars="200"/>
              <w:textAlignment w:val="auto"/>
              <w:rPr>
                <w:rFonts w:hint="default" w:ascii="Times New Roman" w:hAnsi="Times New Roman" w:cs="Times New Roman"/>
                <w:smallCaps w:val="0"/>
                <w:color w:val="auto"/>
                <w:spacing w:val="0"/>
                <w:sz w:val="24"/>
                <w:szCs w:val="24"/>
                <w:highlight w:val="none"/>
              </w:rPr>
            </w:pPr>
            <w:r>
              <w:rPr>
                <w:rFonts w:hint="default" w:ascii="Times New Roman" w:hAnsi="Times New Roman" w:cs="Times New Roman"/>
                <w:color w:val="auto"/>
                <w:sz w:val="24"/>
                <w:szCs w:val="20"/>
                <w:highlight w:val="none"/>
              </w:rPr>
              <w:t>设备维护产生的废润滑油产生量为</w:t>
            </w:r>
            <w:r>
              <w:rPr>
                <w:rFonts w:hint="eastAsia" w:cs="Times New Roman"/>
                <w:color w:val="auto"/>
                <w:sz w:val="24"/>
                <w:szCs w:val="20"/>
                <w:highlight w:val="none"/>
                <w:lang w:val="en-US" w:eastAsia="zh-CN"/>
              </w:rPr>
              <w:t>0.048</w:t>
            </w:r>
            <w:r>
              <w:rPr>
                <w:rFonts w:hint="default" w:ascii="Times New Roman" w:hAnsi="Times New Roman" w:cs="Times New Roman"/>
                <w:color w:val="auto"/>
                <w:sz w:val="24"/>
                <w:szCs w:val="20"/>
                <w:highlight w:val="none"/>
              </w:rPr>
              <w:t>t/a，废润滑油桶产生量为</w:t>
            </w:r>
            <w:r>
              <w:rPr>
                <w:rFonts w:hint="eastAsia" w:cs="Times New Roman"/>
                <w:color w:val="auto"/>
                <w:sz w:val="24"/>
                <w:szCs w:val="20"/>
                <w:highlight w:val="none"/>
                <w:lang w:val="en-US" w:eastAsia="zh-CN"/>
              </w:rPr>
              <w:t>0.002</w:t>
            </w:r>
            <w:r>
              <w:rPr>
                <w:rFonts w:hint="default" w:ascii="Times New Roman" w:hAnsi="Times New Roman" w:cs="Times New Roman"/>
                <w:color w:val="auto"/>
                <w:sz w:val="24"/>
                <w:szCs w:val="20"/>
                <w:highlight w:val="none"/>
              </w:rPr>
              <w:t>t/a</w:t>
            </w:r>
            <w:r>
              <w:rPr>
                <w:rFonts w:hint="eastAsia" w:cs="Times New Roman"/>
                <w:color w:val="auto"/>
                <w:sz w:val="24"/>
                <w:szCs w:val="20"/>
                <w:highlight w:val="none"/>
                <w:lang w:eastAsia="zh-CN"/>
              </w:rPr>
              <w:t>，</w:t>
            </w:r>
            <w:r>
              <w:rPr>
                <w:rFonts w:hint="eastAsia" w:cs="Times New Roman"/>
                <w:color w:val="auto"/>
                <w:sz w:val="24"/>
                <w:szCs w:val="20"/>
                <w:highlight w:val="none"/>
                <w:lang w:val="en-US" w:eastAsia="zh-CN"/>
              </w:rPr>
              <w:t>废切削液产生量为0.576t/a，废切削液桶产生量为0.006t/a</w:t>
            </w:r>
            <w:r>
              <w:rPr>
                <w:rFonts w:hint="eastAsia" w:cs="Times New Roman"/>
                <w:color w:val="auto"/>
                <w:sz w:val="24"/>
                <w:szCs w:val="20"/>
                <w:highlight w:val="none"/>
                <w:lang w:eastAsia="zh-CN"/>
              </w:rPr>
              <w:t>，含油抹布及废劳保用品</w:t>
            </w:r>
            <w:r>
              <w:rPr>
                <w:rFonts w:hint="eastAsia" w:cs="Times New Roman"/>
                <w:color w:val="auto"/>
                <w:sz w:val="24"/>
                <w:szCs w:val="20"/>
                <w:highlight w:val="none"/>
                <w:lang w:val="en-US" w:eastAsia="zh-CN"/>
              </w:rPr>
              <w:t>产生量为0.368t/a</w:t>
            </w:r>
            <w:r>
              <w:rPr>
                <w:rFonts w:hint="eastAsia" w:cs="Times New Roman"/>
                <w:color w:val="auto"/>
                <w:sz w:val="24"/>
                <w:szCs w:val="24"/>
                <w:highlight w:val="none"/>
                <w:lang w:eastAsia="zh-CN"/>
              </w:rPr>
              <w:t>即产即清，交由有资质单位处理</w:t>
            </w:r>
            <w:r>
              <w:rPr>
                <w:rFonts w:hint="default" w:ascii="Times New Roman" w:hAnsi="Times New Roman" w:cs="Times New Roman"/>
                <w:smallCaps w:val="0"/>
                <w:color w:val="auto"/>
                <w:spacing w:val="0"/>
                <w:sz w:val="24"/>
                <w:szCs w:val="24"/>
                <w:highlight w:val="none"/>
              </w:rPr>
              <w:t>。</w:t>
            </w:r>
          </w:p>
          <w:p w14:paraId="028FF97B">
            <w:pPr>
              <w:pStyle w:val="172"/>
              <w:keepNext w:val="0"/>
              <w:keepLines w:val="0"/>
              <w:suppressLineNumbers w:val="0"/>
              <w:spacing w:before="0" w:beforeAutospacing="0" w:after="0" w:afterAutospacing="0"/>
              <w:ind w:left="0" w:right="0" w:firstLine="480"/>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8</w:t>
            </w:r>
            <w:r>
              <w:rPr>
                <w:rFonts w:hint="eastAsia" w:cs="Times New Roman"/>
                <w:smallCaps w:val="0"/>
                <w:color w:val="auto"/>
                <w:spacing w:val="0"/>
                <w:highlight w:val="none"/>
                <w:lang w:eastAsia="zh-CN"/>
              </w:rPr>
              <w:t>）</w:t>
            </w:r>
            <w:r>
              <w:rPr>
                <w:rFonts w:hint="eastAsia" w:cs="Times New Roman"/>
                <w:smallCaps w:val="0"/>
                <w:color w:val="auto"/>
                <w:spacing w:val="0"/>
                <w:highlight w:val="none"/>
                <w:lang w:val="en-US" w:eastAsia="zh-CN"/>
              </w:rPr>
              <w:t>职工生活垃圾</w:t>
            </w:r>
          </w:p>
          <w:p w14:paraId="1E5E4553">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职工生活垃圾产生量按0.5kg/人·天计算，项目劳动定员</w:t>
            </w:r>
            <w:r>
              <w:rPr>
                <w:rFonts w:hint="eastAsia" w:cs="Times New Roman"/>
                <w:smallCaps w:val="0"/>
                <w:color w:val="auto"/>
                <w:spacing w:val="0"/>
                <w:highlight w:val="none"/>
                <w:lang w:val="en-US" w:eastAsia="zh-CN"/>
              </w:rPr>
              <w:t>10</w:t>
            </w:r>
            <w:r>
              <w:rPr>
                <w:rFonts w:hint="default" w:ascii="Times New Roman" w:hAnsi="Times New Roman" w:cs="Times New Roman"/>
                <w:smallCaps w:val="0"/>
                <w:color w:val="auto"/>
                <w:spacing w:val="0"/>
                <w:highlight w:val="none"/>
              </w:rPr>
              <w:t>人，年工作300天，则项目生活垃圾产生量为</w:t>
            </w:r>
            <w:r>
              <w:rPr>
                <w:rFonts w:hint="eastAsia" w:cs="Times New Roman"/>
                <w:smallCaps w:val="0"/>
                <w:color w:val="auto"/>
                <w:spacing w:val="0"/>
                <w:highlight w:val="none"/>
                <w:lang w:val="en-US" w:eastAsia="zh-CN"/>
              </w:rPr>
              <w:t>1.5</w:t>
            </w:r>
            <w:r>
              <w:rPr>
                <w:rFonts w:hint="default" w:ascii="Times New Roman" w:hAnsi="Times New Roman" w:cs="Times New Roman"/>
                <w:smallCaps w:val="0"/>
                <w:color w:val="auto"/>
                <w:spacing w:val="0"/>
                <w:highlight w:val="none"/>
              </w:rPr>
              <w:t>t/a，收集后由环卫部门统一处置。</w:t>
            </w:r>
          </w:p>
          <w:p w14:paraId="5DC904D0">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本项目固体废物产生与处置情况汇总</w:t>
            </w:r>
            <w:r>
              <w:rPr>
                <w:rFonts w:hint="default" w:ascii="Times New Roman" w:hAnsi="Times New Roman" w:cs="Times New Roman"/>
                <w:smallCaps w:val="0"/>
                <w:color w:val="auto"/>
                <w:spacing w:val="0"/>
                <w:highlight w:val="none"/>
                <w:lang w:val="en-US" w:eastAsia="zh-CN"/>
              </w:rPr>
              <w:t>见下表</w:t>
            </w:r>
            <w:r>
              <w:rPr>
                <w:rFonts w:hint="default" w:ascii="Times New Roman" w:hAnsi="Times New Roman" w:cs="Times New Roman"/>
                <w:smallCaps w:val="0"/>
                <w:color w:val="auto"/>
                <w:spacing w:val="0"/>
                <w:highlight w:val="none"/>
              </w:rPr>
              <w:t>。</w:t>
            </w:r>
          </w:p>
          <w:p w14:paraId="57CCCF12">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表4-</w:t>
            </w:r>
            <w:r>
              <w:rPr>
                <w:rFonts w:hint="eastAsia" w:cs="Times New Roman"/>
                <w:smallCaps w:val="0"/>
                <w:color w:val="auto"/>
                <w:spacing w:val="0"/>
                <w:highlight w:val="none"/>
                <w:lang w:val="en-US" w:eastAsia="zh-CN"/>
              </w:rPr>
              <w:t xml:space="preserve">10 </w:t>
            </w:r>
            <w:r>
              <w:rPr>
                <w:rFonts w:hint="default" w:ascii="Times New Roman" w:hAnsi="Times New Roman" w:cs="Times New Roman"/>
                <w:smallCaps w:val="0"/>
                <w:color w:val="auto"/>
                <w:spacing w:val="0"/>
                <w:highlight w:val="none"/>
              </w:rPr>
              <w:t xml:space="preserve">  </w:t>
            </w:r>
            <w:r>
              <w:rPr>
                <w:rFonts w:hint="eastAsia" w:cs="Times New Roman"/>
                <w:smallCaps w:val="0"/>
                <w:color w:val="auto"/>
                <w:spacing w:val="0"/>
                <w:highlight w:val="none"/>
                <w:lang w:val="en-US" w:eastAsia="zh-CN"/>
              </w:rPr>
              <w:t>项目</w:t>
            </w:r>
            <w:r>
              <w:rPr>
                <w:rFonts w:hint="default" w:ascii="Times New Roman" w:hAnsi="Times New Roman" w:cs="Times New Roman"/>
                <w:smallCaps w:val="0"/>
                <w:color w:val="auto"/>
                <w:spacing w:val="0"/>
                <w:highlight w:val="none"/>
              </w:rPr>
              <w:t>固体废物产生量与处置措施一览表</w:t>
            </w:r>
          </w:p>
          <w:tbl>
            <w:tblPr>
              <w:tblStyle w:val="4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43"/>
              <w:gridCol w:w="1550"/>
              <w:gridCol w:w="1202"/>
              <w:gridCol w:w="790"/>
              <w:gridCol w:w="654"/>
              <w:gridCol w:w="5"/>
              <w:gridCol w:w="1377"/>
              <w:gridCol w:w="1754"/>
            </w:tblGrid>
            <w:tr w14:paraId="3CDA6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noWrap w:val="0"/>
                  <w:vAlign w:val="center"/>
                </w:tcPr>
                <w:p w14:paraId="7AF63E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cs="Times New Roman"/>
                      <w:smallCaps w:val="0"/>
                      <w:color w:val="auto"/>
                      <w:spacing w:val="0"/>
                      <w:sz w:val="21"/>
                      <w:szCs w:val="21"/>
                      <w:highlight w:val="none"/>
                      <w:lang w:val="en-US" w:eastAsia="zh-CN"/>
                    </w:rPr>
                    <w:t>序号</w:t>
                  </w:r>
                </w:p>
              </w:tc>
              <w:tc>
                <w:tcPr>
                  <w:tcW w:w="971" w:type="pct"/>
                  <w:noWrap w:val="0"/>
                  <w:vAlign w:val="center"/>
                </w:tcPr>
                <w:p w14:paraId="580BA3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cs="Times New Roman"/>
                      <w:smallCaps w:val="0"/>
                      <w:color w:val="auto"/>
                      <w:spacing w:val="0"/>
                      <w:sz w:val="21"/>
                      <w:szCs w:val="21"/>
                      <w:highlight w:val="none"/>
                    </w:rPr>
                  </w:pPr>
                  <w:r>
                    <w:rPr>
                      <w:rFonts w:hint="default" w:ascii="Times New Roman" w:hAnsi="Times New Roman" w:cs="Times New Roman"/>
                      <w:smallCaps w:val="0"/>
                      <w:color w:val="auto"/>
                      <w:spacing w:val="0"/>
                      <w:sz w:val="21"/>
                      <w:szCs w:val="21"/>
                      <w:highlight w:val="none"/>
                      <w:lang w:val="en-US" w:eastAsia="zh-CN"/>
                    </w:rPr>
                    <w:t>污染物</w:t>
                  </w:r>
                </w:p>
              </w:tc>
              <w:tc>
                <w:tcPr>
                  <w:tcW w:w="753" w:type="pct"/>
                  <w:noWrap w:val="0"/>
                  <w:vAlign w:val="center"/>
                </w:tcPr>
                <w:p w14:paraId="264786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cs="Times New Roman"/>
                      <w:smallCaps w:val="0"/>
                      <w:color w:val="auto"/>
                      <w:spacing w:val="0"/>
                      <w:sz w:val="21"/>
                      <w:szCs w:val="21"/>
                      <w:highlight w:val="none"/>
                      <w:lang w:val="en-US" w:eastAsia="zh-CN"/>
                    </w:rPr>
                  </w:pPr>
                  <w:r>
                    <w:rPr>
                      <w:rFonts w:hint="default" w:ascii="Times New Roman" w:hAnsi="Times New Roman" w:cs="Times New Roman"/>
                      <w:smallCaps w:val="0"/>
                      <w:color w:val="auto"/>
                      <w:spacing w:val="0"/>
                      <w:sz w:val="21"/>
                      <w:szCs w:val="21"/>
                      <w:highlight w:val="none"/>
                    </w:rPr>
                    <w:t>产生量</w:t>
                  </w:r>
                </w:p>
              </w:tc>
              <w:tc>
                <w:tcPr>
                  <w:tcW w:w="495" w:type="pct"/>
                  <w:noWrap w:val="0"/>
                  <w:vAlign w:val="center"/>
                </w:tcPr>
                <w:p w14:paraId="3E5F18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sz w:val="21"/>
                      <w:szCs w:val="21"/>
                      <w:highlight w:val="none"/>
                      <w:lang w:eastAsia="zh-CN"/>
                    </w:rPr>
                  </w:pPr>
                  <w:r>
                    <w:rPr>
                      <w:rFonts w:hint="default" w:ascii="Times New Roman" w:hAnsi="Times New Roman" w:cs="Times New Roman"/>
                      <w:smallCaps w:val="0"/>
                      <w:color w:val="auto"/>
                      <w:spacing w:val="0"/>
                      <w:sz w:val="21"/>
                      <w:szCs w:val="21"/>
                      <w:highlight w:val="none"/>
                      <w:lang w:val="en-US" w:eastAsia="zh-CN"/>
                    </w:rPr>
                    <w:t>类别</w:t>
                  </w:r>
                </w:p>
              </w:tc>
              <w:tc>
                <w:tcPr>
                  <w:tcW w:w="1276" w:type="pct"/>
                  <w:gridSpan w:val="3"/>
                  <w:noWrap w:val="0"/>
                  <w:vAlign w:val="center"/>
                </w:tcPr>
                <w:p w14:paraId="6C4FB9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cs="Times New Roman"/>
                      <w:smallCaps w:val="0"/>
                      <w:color w:val="auto"/>
                      <w:spacing w:val="0"/>
                      <w:sz w:val="21"/>
                      <w:szCs w:val="21"/>
                      <w:highlight w:val="none"/>
                      <w:lang w:val="en-US" w:eastAsia="zh-CN"/>
                    </w:rPr>
                    <w:t>固废代码</w:t>
                  </w:r>
                </w:p>
              </w:tc>
              <w:tc>
                <w:tcPr>
                  <w:tcW w:w="1099" w:type="pct"/>
                  <w:noWrap w:val="0"/>
                  <w:vAlign w:val="center"/>
                </w:tcPr>
                <w:p w14:paraId="31E7356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cs="Times New Roman"/>
                      <w:smallCaps w:val="0"/>
                      <w:color w:val="auto"/>
                      <w:spacing w:val="0"/>
                      <w:sz w:val="21"/>
                      <w:szCs w:val="21"/>
                      <w:highlight w:val="none"/>
                      <w:lang w:val="en-US" w:eastAsia="zh-CN"/>
                    </w:rPr>
                    <w:t>处置措施</w:t>
                  </w:r>
                </w:p>
              </w:tc>
            </w:tr>
            <w:tr w14:paraId="675EE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noWrap w:val="0"/>
                  <w:vAlign w:val="center"/>
                </w:tcPr>
                <w:p w14:paraId="43B9E46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ascii="Times New Roman" w:hAnsi="Times New Roman" w:eastAsia="宋体" w:cs="Times New Roman"/>
                      <w:smallCaps w:val="0"/>
                      <w:color w:val="auto"/>
                      <w:spacing w:val="0"/>
                      <w:kern w:val="2"/>
                      <w:sz w:val="21"/>
                      <w:szCs w:val="21"/>
                      <w:highlight w:val="none"/>
                      <w:lang w:val="en-US" w:eastAsia="zh-CN" w:bidi="ar-SA"/>
                    </w:rPr>
                    <w:t>1</w:t>
                  </w:r>
                </w:p>
              </w:tc>
              <w:tc>
                <w:tcPr>
                  <w:tcW w:w="971" w:type="pct"/>
                  <w:shd w:val="clear" w:color="auto" w:fill="auto"/>
                  <w:noWrap w:val="0"/>
                  <w:vAlign w:val="center"/>
                </w:tcPr>
                <w:p w14:paraId="59C5D3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废包装材料</w:t>
                  </w:r>
                </w:p>
              </w:tc>
              <w:tc>
                <w:tcPr>
                  <w:tcW w:w="753" w:type="pct"/>
                  <w:shd w:val="clear" w:color="auto" w:fill="auto"/>
                  <w:noWrap w:val="0"/>
                  <w:vAlign w:val="center"/>
                </w:tcPr>
                <w:p w14:paraId="432D25F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81.13</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495" w:type="pct"/>
                  <w:shd w:val="clear" w:color="auto" w:fill="auto"/>
                  <w:noWrap w:val="0"/>
                  <w:vAlign w:val="center"/>
                </w:tcPr>
                <w:p w14:paraId="3B4739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铁丝</w:t>
                  </w:r>
                </w:p>
              </w:tc>
              <w:tc>
                <w:tcPr>
                  <w:tcW w:w="413" w:type="pct"/>
                  <w:gridSpan w:val="2"/>
                  <w:shd w:val="clear" w:color="auto" w:fill="auto"/>
                  <w:noWrap w:val="0"/>
                  <w:vAlign w:val="center"/>
                </w:tcPr>
                <w:p w14:paraId="6E7F73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SW17</w:t>
                  </w:r>
                </w:p>
              </w:tc>
              <w:tc>
                <w:tcPr>
                  <w:tcW w:w="863" w:type="pct"/>
                  <w:shd w:val="clear" w:color="auto" w:fill="auto"/>
                  <w:noWrap w:val="0"/>
                  <w:vAlign w:val="center"/>
                </w:tcPr>
                <w:p w14:paraId="23D064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900-001-S17</w:t>
                  </w:r>
                </w:p>
              </w:tc>
              <w:tc>
                <w:tcPr>
                  <w:tcW w:w="1099" w:type="pct"/>
                  <w:shd w:val="clear" w:color="auto" w:fill="auto"/>
                  <w:noWrap w:val="0"/>
                  <w:vAlign w:val="center"/>
                </w:tcPr>
                <w:p w14:paraId="74E0B9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 w:val="21"/>
                      <w:szCs w:val="21"/>
                      <w:highlight w:val="none"/>
                      <w:lang w:val="en-US" w:eastAsia="zh-CN"/>
                    </w:rPr>
                    <w:t>收集后外售</w:t>
                  </w:r>
                </w:p>
              </w:tc>
            </w:tr>
            <w:tr w14:paraId="75AA8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noWrap w:val="0"/>
                  <w:vAlign w:val="center"/>
                </w:tcPr>
                <w:p w14:paraId="193617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ascii="Times New Roman" w:hAnsi="Times New Roman" w:eastAsia="宋体" w:cs="Times New Roman"/>
                      <w:smallCaps w:val="0"/>
                      <w:color w:val="auto"/>
                      <w:spacing w:val="0"/>
                      <w:kern w:val="2"/>
                      <w:sz w:val="21"/>
                      <w:szCs w:val="21"/>
                      <w:highlight w:val="none"/>
                      <w:lang w:val="en-US" w:eastAsia="zh-CN" w:bidi="ar-SA"/>
                    </w:rPr>
                    <w:t>2</w:t>
                  </w:r>
                </w:p>
              </w:tc>
              <w:tc>
                <w:tcPr>
                  <w:tcW w:w="971" w:type="pct"/>
                  <w:shd w:val="clear" w:color="auto" w:fill="auto"/>
                  <w:noWrap w:val="0"/>
                  <w:vAlign w:val="center"/>
                </w:tcPr>
                <w:p w14:paraId="26AA3DBB">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废布袋</w:t>
                  </w:r>
                </w:p>
              </w:tc>
              <w:tc>
                <w:tcPr>
                  <w:tcW w:w="753" w:type="pct"/>
                  <w:shd w:val="clear" w:color="auto" w:fill="auto"/>
                  <w:noWrap w:val="0"/>
                  <w:vAlign w:val="center"/>
                </w:tcPr>
                <w:p w14:paraId="4C2C84F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0.48t/a</w:t>
                  </w:r>
                </w:p>
              </w:tc>
              <w:tc>
                <w:tcPr>
                  <w:tcW w:w="495" w:type="pct"/>
                  <w:noWrap w:val="0"/>
                  <w:vAlign w:val="center"/>
                </w:tcPr>
                <w:p w14:paraId="64D553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滤袋</w:t>
                  </w:r>
                </w:p>
              </w:tc>
              <w:tc>
                <w:tcPr>
                  <w:tcW w:w="413" w:type="pct"/>
                  <w:gridSpan w:val="2"/>
                  <w:noWrap w:val="0"/>
                  <w:vAlign w:val="center"/>
                </w:tcPr>
                <w:p w14:paraId="6F44268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SW59</w:t>
                  </w:r>
                </w:p>
              </w:tc>
              <w:tc>
                <w:tcPr>
                  <w:tcW w:w="863" w:type="pct"/>
                  <w:noWrap w:val="0"/>
                  <w:vAlign w:val="center"/>
                </w:tcPr>
                <w:p w14:paraId="2F4323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900-099-S59</w:t>
                  </w:r>
                </w:p>
              </w:tc>
              <w:tc>
                <w:tcPr>
                  <w:tcW w:w="1099" w:type="pct"/>
                  <w:noWrap w:val="0"/>
                  <w:vAlign w:val="center"/>
                </w:tcPr>
                <w:p w14:paraId="0735CF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 w:val="21"/>
                      <w:szCs w:val="21"/>
                      <w:highlight w:val="none"/>
                      <w:lang w:val="en-US" w:eastAsia="zh-CN"/>
                    </w:rPr>
                    <w:t>收集后外售</w:t>
                  </w:r>
                </w:p>
              </w:tc>
            </w:tr>
            <w:tr w14:paraId="7367F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shd w:val="clear" w:color="auto" w:fill="auto"/>
                  <w:noWrap w:val="0"/>
                  <w:vAlign w:val="center"/>
                </w:tcPr>
                <w:p w14:paraId="489D6B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3</w:t>
                  </w:r>
                </w:p>
              </w:tc>
              <w:tc>
                <w:tcPr>
                  <w:tcW w:w="971" w:type="pct"/>
                  <w:shd w:val="clear" w:color="auto" w:fill="auto"/>
                  <w:noWrap w:val="0"/>
                  <w:vAlign w:val="center"/>
                </w:tcPr>
                <w:p w14:paraId="1302FEEC">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除尘灰</w:t>
                  </w:r>
                </w:p>
              </w:tc>
              <w:tc>
                <w:tcPr>
                  <w:tcW w:w="753" w:type="pct"/>
                  <w:shd w:val="clear" w:color="auto" w:fill="auto"/>
                  <w:noWrap w:val="0"/>
                  <w:vAlign w:val="center"/>
                </w:tcPr>
                <w:p w14:paraId="3CC4FB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1239.307t/a</w:t>
                  </w:r>
                </w:p>
              </w:tc>
              <w:tc>
                <w:tcPr>
                  <w:tcW w:w="495" w:type="pct"/>
                  <w:noWrap w:val="0"/>
                  <w:vAlign w:val="center"/>
                </w:tcPr>
                <w:p w14:paraId="6442AE34">
                  <w:pPr>
                    <w:keepNext w:val="0"/>
                    <w:keepLines w:val="0"/>
                    <w:pageBreakBefore w:val="0"/>
                    <w:widowControl w:val="0"/>
                    <w:suppressLineNumbers w:val="0"/>
                    <w:tabs>
                      <w:tab w:val="left" w:pos="253"/>
                    </w:tabs>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铁粉</w:t>
                  </w:r>
                </w:p>
              </w:tc>
              <w:tc>
                <w:tcPr>
                  <w:tcW w:w="413" w:type="pct"/>
                  <w:gridSpan w:val="2"/>
                  <w:shd w:val="clear" w:color="auto" w:fill="auto"/>
                  <w:noWrap w:val="0"/>
                  <w:vAlign w:val="center"/>
                </w:tcPr>
                <w:p w14:paraId="3FEA4AF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SW17</w:t>
                  </w:r>
                </w:p>
              </w:tc>
              <w:tc>
                <w:tcPr>
                  <w:tcW w:w="863" w:type="pct"/>
                  <w:shd w:val="clear" w:color="auto" w:fill="auto"/>
                  <w:noWrap w:val="0"/>
                  <w:vAlign w:val="center"/>
                </w:tcPr>
                <w:p w14:paraId="7123718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900-001-S17</w:t>
                  </w:r>
                </w:p>
              </w:tc>
              <w:tc>
                <w:tcPr>
                  <w:tcW w:w="1099" w:type="pct"/>
                  <w:noWrap w:val="0"/>
                  <w:vAlign w:val="center"/>
                </w:tcPr>
                <w:p w14:paraId="0C83F6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收集后外售</w:t>
                  </w:r>
                </w:p>
              </w:tc>
            </w:tr>
            <w:tr w14:paraId="3443F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shd w:val="clear" w:color="auto" w:fill="auto"/>
                  <w:noWrap w:val="0"/>
                  <w:vAlign w:val="center"/>
                </w:tcPr>
                <w:p w14:paraId="67E576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4</w:t>
                  </w:r>
                </w:p>
              </w:tc>
              <w:tc>
                <w:tcPr>
                  <w:tcW w:w="971" w:type="pct"/>
                  <w:shd w:val="clear" w:color="auto" w:fill="auto"/>
                  <w:noWrap w:val="0"/>
                  <w:vAlign w:val="center"/>
                </w:tcPr>
                <w:p w14:paraId="1422FC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废铁屑</w:t>
                  </w:r>
                </w:p>
              </w:tc>
              <w:tc>
                <w:tcPr>
                  <w:tcW w:w="753" w:type="pct"/>
                  <w:shd w:val="clear" w:color="auto" w:fill="auto"/>
                  <w:noWrap w:val="0"/>
                  <w:vAlign w:val="center"/>
                </w:tcPr>
                <w:p w14:paraId="0B876A9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7929.284t/a</w:t>
                  </w:r>
                </w:p>
              </w:tc>
              <w:tc>
                <w:tcPr>
                  <w:tcW w:w="495" w:type="pct"/>
                  <w:shd w:val="clear" w:color="auto" w:fill="auto"/>
                  <w:noWrap w:val="0"/>
                  <w:vAlign w:val="center"/>
                </w:tcPr>
                <w:p w14:paraId="4842E8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铁屑</w:t>
                  </w:r>
                </w:p>
              </w:tc>
              <w:tc>
                <w:tcPr>
                  <w:tcW w:w="413" w:type="pct"/>
                  <w:gridSpan w:val="2"/>
                  <w:shd w:val="clear" w:color="auto" w:fill="auto"/>
                  <w:noWrap w:val="0"/>
                  <w:vAlign w:val="center"/>
                </w:tcPr>
                <w:p w14:paraId="2883807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SW17</w:t>
                  </w:r>
                </w:p>
              </w:tc>
              <w:tc>
                <w:tcPr>
                  <w:tcW w:w="863" w:type="pct"/>
                  <w:shd w:val="clear" w:color="auto" w:fill="auto"/>
                  <w:noWrap w:val="0"/>
                  <w:vAlign w:val="center"/>
                </w:tcPr>
                <w:p w14:paraId="0DEA44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900-001-S17</w:t>
                  </w:r>
                </w:p>
              </w:tc>
              <w:tc>
                <w:tcPr>
                  <w:tcW w:w="1099" w:type="pct"/>
                  <w:shd w:val="clear" w:color="auto" w:fill="auto"/>
                  <w:noWrap w:val="0"/>
                  <w:vAlign w:val="center"/>
                </w:tcPr>
                <w:p w14:paraId="48493C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 w:val="21"/>
                      <w:szCs w:val="21"/>
                      <w:highlight w:val="none"/>
                      <w:lang w:val="en-US" w:eastAsia="zh-CN"/>
                    </w:rPr>
                    <w:t>收集后外售</w:t>
                  </w:r>
                </w:p>
              </w:tc>
            </w:tr>
            <w:tr w14:paraId="2A4D8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shd w:val="clear" w:color="auto" w:fill="auto"/>
                  <w:noWrap w:val="0"/>
                  <w:vAlign w:val="center"/>
                </w:tcPr>
                <w:p w14:paraId="64F3DD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5</w:t>
                  </w:r>
                </w:p>
              </w:tc>
              <w:tc>
                <w:tcPr>
                  <w:tcW w:w="971" w:type="pct"/>
                  <w:shd w:val="clear" w:color="auto" w:fill="auto"/>
                  <w:noWrap w:val="0"/>
                  <w:vAlign w:val="center"/>
                </w:tcPr>
                <w:p w14:paraId="7013DB8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沉淀池底泥（氧化铁渣）</w:t>
                  </w:r>
                </w:p>
              </w:tc>
              <w:tc>
                <w:tcPr>
                  <w:tcW w:w="753" w:type="pct"/>
                  <w:shd w:val="clear" w:color="auto" w:fill="auto"/>
                  <w:noWrap w:val="0"/>
                  <w:vAlign w:val="center"/>
                </w:tcPr>
                <w:p w14:paraId="50573F8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3.20t/a</w:t>
                  </w:r>
                </w:p>
              </w:tc>
              <w:tc>
                <w:tcPr>
                  <w:tcW w:w="495" w:type="pct"/>
                  <w:shd w:val="clear" w:color="auto" w:fill="auto"/>
                  <w:noWrap w:val="0"/>
                  <w:vAlign w:val="center"/>
                </w:tcPr>
                <w:p w14:paraId="7DA872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氧化铁渣</w:t>
                  </w:r>
                </w:p>
              </w:tc>
              <w:tc>
                <w:tcPr>
                  <w:tcW w:w="413" w:type="pct"/>
                  <w:gridSpan w:val="2"/>
                  <w:shd w:val="clear" w:color="auto" w:fill="auto"/>
                  <w:noWrap w:val="0"/>
                  <w:vAlign w:val="center"/>
                </w:tcPr>
                <w:p w14:paraId="6427C1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SW17</w:t>
                  </w:r>
                </w:p>
              </w:tc>
              <w:tc>
                <w:tcPr>
                  <w:tcW w:w="863" w:type="pct"/>
                  <w:shd w:val="clear" w:color="auto" w:fill="auto"/>
                  <w:noWrap w:val="0"/>
                  <w:vAlign w:val="center"/>
                </w:tcPr>
                <w:p w14:paraId="5C3031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900-001-S17</w:t>
                  </w:r>
                </w:p>
              </w:tc>
              <w:tc>
                <w:tcPr>
                  <w:tcW w:w="1099" w:type="pct"/>
                  <w:shd w:val="clear" w:color="auto" w:fill="auto"/>
                  <w:noWrap w:val="0"/>
                  <w:vAlign w:val="center"/>
                </w:tcPr>
                <w:p w14:paraId="24BF0C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收集后外售</w:t>
                  </w:r>
                </w:p>
              </w:tc>
            </w:tr>
            <w:tr w14:paraId="0F7B5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shd w:val="clear" w:color="auto" w:fill="auto"/>
                  <w:noWrap w:val="0"/>
                  <w:vAlign w:val="center"/>
                </w:tcPr>
                <w:p w14:paraId="1EF1CA3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6</w:t>
                  </w:r>
                </w:p>
              </w:tc>
              <w:tc>
                <w:tcPr>
                  <w:tcW w:w="971" w:type="pct"/>
                  <w:shd w:val="clear" w:color="auto" w:fill="auto"/>
                  <w:noWrap w:val="0"/>
                  <w:vAlign w:val="center"/>
                </w:tcPr>
                <w:p w14:paraId="2D43DF5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不合格品</w:t>
                  </w:r>
                </w:p>
              </w:tc>
              <w:tc>
                <w:tcPr>
                  <w:tcW w:w="753" w:type="pct"/>
                  <w:shd w:val="clear" w:color="auto" w:fill="auto"/>
                  <w:noWrap w:val="0"/>
                  <w:vAlign w:val="center"/>
                </w:tcPr>
                <w:p w14:paraId="5096BC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8t/a</w:t>
                  </w:r>
                </w:p>
              </w:tc>
              <w:tc>
                <w:tcPr>
                  <w:tcW w:w="495" w:type="pct"/>
                  <w:shd w:val="clear" w:color="auto" w:fill="auto"/>
                  <w:noWrap w:val="0"/>
                  <w:vAlign w:val="center"/>
                </w:tcPr>
                <w:p w14:paraId="34A99F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钢材</w:t>
                  </w:r>
                </w:p>
              </w:tc>
              <w:tc>
                <w:tcPr>
                  <w:tcW w:w="413" w:type="pct"/>
                  <w:gridSpan w:val="2"/>
                  <w:shd w:val="clear" w:color="auto" w:fill="auto"/>
                  <w:noWrap w:val="0"/>
                  <w:vAlign w:val="center"/>
                </w:tcPr>
                <w:p w14:paraId="495FFC1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SW17</w:t>
                  </w:r>
                </w:p>
              </w:tc>
              <w:tc>
                <w:tcPr>
                  <w:tcW w:w="863" w:type="pct"/>
                  <w:shd w:val="clear" w:color="auto" w:fill="auto"/>
                  <w:noWrap w:val="0"/>
                  <w:vAlign w:val="center"/>
                </w:tcPr>
                <w:p w14:paraId="24B2D8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900-001-S17</w:t>
                  </w:r>
                </w:p>
              </w:tc>
              <w:tc>
                <w:tcPr>
                  <w:tcW w:w="1099" w:type="pct"/>
                  <w:shd w:val="clear" w:color="auto" w:fill="auto"/>
                  <w:noWrap w:val="0"/>
                  <w:vAlign w:val="center"/>
                </w:tcPr>
                <w:p w14:paraId="3258E8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收集后外售</w:t>
                  </w:r>
                </w:p>
              </w:tc>
            </w:tr>
            <w:tr w14:paraId="60DBB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shd w:val="clear" w:color="auto" w:fill="auto"/>
                  <w:noWrap w:val="0"/>
                  <w:vAlign w:val="center"/>
                </w:tcPr>
                <w:p w14:paraId="4F5C82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7</w:t>
                  </w:r>
                </w:p>
              </w:tc>
              <w:tc>
                <w:tcPr>
                  <w:tcW w:w="971" w:type="pct"/>
                  <w:noWrap w:val="0"/>
                  <w:vAlign w:val="center"/>
                </w:tcPr>
                <w:p w14:paraId="5B27C826">
                  <w:pPr>
                    <w:pStyle w:val="39"/>
                    <w:keepNext w:val="0"/>
                    <w:keepLines w:val="0"/>
                    <w:suppressLineNumbers w:val="0"/>
                    <w:spacing w:before="0" w:beforeAutospacing="0" w:after="0" w:afterAutospacing="0" w:line="360" w:lineRule="exact"/>
                    <w:ind w:left="0" w:leftChars="0" w:right="0" w:rightChars="0"/>
                    <w:jc w:val="center"/>
                    <w:rPr>
                      <w:rFonts w:hint="eastAsia"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废润滑油</w:t>
                  </w:r>
                </w:p>
              </w:tc>
              <w:tc>
                <w:tcPr>
                  <w:tcW w:w="753" w:type="pct"/>
                  <w:noWrap w:val="0"/>
                  <w:vAlign w:val="center"/>
                </w:tcPr>
                <w:p w14:paraId="5F0D1349">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0.048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495" w:type="pct"/>
                  <w:noWrap w:val="0"/>
                  <w:vAlign w:val="center"/>
                </w:tcPr>
                <w:p w14:paraId="43B4F0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 w:val="21"/>
                      <w:szCs w:val="21"/>
                      <w:highlight w:val="none"/>
                      <w:lang w:val="en-US" w:eastAsia="zh-CN"/>
                    </w:rPr>
                    <w:t>矿物油</w:t>
                  </w:r>
                </w:p>
              </w:tc>
              <w:tc>
                <w:tcPr>
                  <w:tcW w:w="410" w:type="pct"/>
                  <w:noWrap w:val="0"/>
                  <w:vAlign w:val="center"/>
                </w:tcPr>
                <w:p w14:paraId="5EC05E31">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eastAsia"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HW08</w:t>
                  </w:r>
                </w:p>
              </w:tc>
              <w:tc>
                <w:tcPr>
                  <w:tcW w:w="866" w:type="pct"/>
                  <w:gridSpan w:val="2"/>
                  <w:noWrap w:val="0"/>
                  <w:vAlign w:val="center"/>
                </w:tcPr>
                <w:p w14:paraId="7D0B45A9">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900-</w:t>
                  </w:r>
                  <w:r>
                    <w:rPr>
                      <w:rFonts w:hint="eastAsia"/>
                      <w:bCs/>
                      <w:color w:val="auto"/>
                      <w:sz w:val="21"/>
                      <w:szCs w:val="21"/>
                      <w:highlight w:val="none"/>
                      <w:lang w:val="en-US" w:eastAsia="zh-CN"/>
                    </w:rPr>
                    <w:t>217-08</w:t>
                  </w:r>
                </w:p>
              </w:tc>
              <w:tc>
                <w:tcPr>
                  <w:tcW w:w="1099" w:type="pct"/>
                  <w:vMerge w:val="restart"/>
                  <w:noWrap w:val="0"/>
                  <w:vAlign w:val="center"/>
                </w:tcPr>
                <w:p w14:paraId="0D8244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即产即清交由有资质单位处置</w:t>
                  </w:r>
                </w:p>
              </w:tc>
            </w:tr>
            <w:tr w14:paraId="44545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shd w:val="clear" w:color="auto" w:fill="auto"/>
                  <w:noWrap w:val="0"/>
                  <w:vAlign w:val="center"/>
                </w:tcPr>
                <w:p w14:paraId="0EC32E0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8</w:t>
                  </w:r>
                </w:p>
              </w:tc>
              <w:tc>
                <w:tcPr>
                  <w:tcW w:w="971" w:type="pct"/>
                  <w:noWrap w:val="0"/>
                  <w:vAlign w:val="center"/>
                </w:tcPr>
                <w:p w14:paraId="0FF813C3">
                  <w:pPr>
                    <w:pStyle w:val="39"/>
                    <w:keepNext w:val="0"/>
                    <w:keepLines w:val="0"/>
                    <w:suppressLineNumbers w:val="0"/>
                    <w:spacing w:before="0" w:beforeAutospacing="0" w:after="0" w:afterAutospacing="0" w:line="360" w:lineRule="exact"/>
                    <w:ind w:left="0" w:leftChars="0" w:right="0" w:rightChars="0"/>
                    <w:jc w:val="center"/>
                    <w:rPr>
                      <w:rFonts w:hint="eastAsia"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废润滑油桶</w:t>
                  </w:r>
                </w:p>
              </w:tc>
              <w:tc>
                <w:tcPr>
                  <w:tcW w:w="753" w:type="pct"/>
                  <w:noWrap w:val="0"/>
                  <w:vAlign w:val="center"/>
                </w:tcPr>
                <w:p w14:paraId="5F194D61">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0.002</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495" w:type="pct"/>
                  <w:noWrap w:val="0"/>
                  <w:vAlign w:val="center"/>
                </w:tcPr>
                <w:p w14:paraId="6C1690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 w:val="21"/>
                      <w:szCs w:val="21"/>
                      <w:highlight w:val="none"/>
                      <w:lang w:val="en-US" w:eastAsia="zh-CN"/>
                    </w:rPr>
                    <w:t>矿物油</w:t>
                  </w:r>
                </w:p>
              </w:tc>
              <w:tc>
                <w:tcPr>
                  <w:tcW w:w="410" w:type="pct"/>
                  <w:noWrap w:val="0"/>
                  <w:vAlign w:val="center"/>
                </w:tcPr>
                <w:p w14:paraId="0A571BA1">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HW</w:t>
                  </w:r>
                  <w:r>
                    <w:rPr>
                      <w:rFonts w:hint="eastAsia"/>
                      <w:bCs/>
                      <w:color w:val="auto"/>
                      <w:sz w:val="21"/>
                      <w:szCs w:val="21"/>
                      <w:highlight w:val="none"/>
                      <w:lang w:val="en-US" w:eastAsia="zh-CN"/>
                    </w:rPr>
                    <w:t>08</w:t>
                  </w:r>
                </w:p>
              </w:tc>
              <w:tc>
                <w:tcPr>
                  <w:tcW w:w="866" w:type="pct"/>
                  <w:gridSpan w:val="2"/>
                  <w:noWrap w:val="0"/>
                  <w:vAlign w:val="center"/>
                </w:tcPr>
                <w:p w14:paraId="3E371CBF">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900-</w:t>
                  </w:r>
                  <w:r>
                    <w:rPr>
                      <w:rFonts w:hint="eastAsia"/>
                      <w:bCs/>
                      <w:color w:val="auto"/>
                      <w:sz w:val="21"/>
                      <w:szCs w:val="21"/>
                      <w:highlight w:val="none"/>
                      <w:lang w:val="en-US" w:eastAsia="zh-CN"/>
                    </w:rPr>
                    <w:t>249</w:t>
                  </w:r>
                  <w:r>
                    <w:rPr>
                      <w:rFonts w:hint="default"/>
                      <w:bCs/>
                      <w:color w:val="auto"/>
                      <w:sz w:val="21"/>
                      <w:szCs w:val="21"/>
                      <w:highlight w:val="none"/>
                      <w:lang w:val="pt-BR"/>
                    </w:rPr>
                    <w:t>-</w:t>
                  </w:r>
                  <w:r>
                    <w:rPr>
                      <w:rFonts w:hint="eastAsia"/>
                      <w:bCs/>
                      <w:color w:val="auto"/>
                      <w:sz w:val="21"/>
                      <w:szCs w:val="21"/>
                      <w:highlight w:val="none"/>
                      <w:lang w:val="en-US" w:eastAsia="zh-CN"/>
                    </w:rPr>
                    <w:t>08</w:t>
                  </w:r>
                </w:p>
              </w:tc>
              <w:tc>
                <w:tcPr>
                  <w:tcW w:w="1099" w:type="pct"/>
                  <w:vMerge w:val="continue"/>
                  <w:noWrap w:val="0"/>
                  <w:vAlign w:val="center"/>
                </w:tcPr>
                <w:p w14:paraId="71E8DC1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sz w:val="21"/>
                      <w:szCs w:val="21"/>
                      <w:highlight w:val="none"/>
                      <w:lang w:val="en-US" w:eastAsia="zh-CN"/>
                    </w:rPr>
                  </w:pPr>
                </w:p>
              </w:tc>
            </w:tr>
            <w:tr w14:paraId="59D88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shd w:val="clear" w:color="auto" w:fill="auto"/>
                  <w:noWrap w:val="0"/>
                  <w:vAlign w:val="center"/>
                </w:tcPr>
                <w:p w14:paraId="321201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9</w:t>
                  </w:r>
                </w:p>
              </w:tc>
              <w:tc>
                <w:tcPr>
                  <w:tcW w:w="971" w:type="pct"/>
                  <w:noWrap w:val="0"/>
                  <w:vAlign w:val="center"/>
                </w:tcPr>
                <w:p w14:paraId="1ED10AD9">
                  <w:pPr>
                    <w:pStyle w:val="39"/>
                    <w:keepNext w:val="0"/>
                    <w:keepLines w:val="0"/>
                    <w:suppressLineNumbers w:val="0"/>
                    <w:spacing w:before="0" w:beforeAutospacing="0" w:after="0" w:afterAutospacing="0" w:line="360" w:lineRule="exact"/>
                    <w:ind w:left="0" w:leftChars="0" w:right="0" w:rightChars="0"/>
                    <w:jc w:val="center"/>
                    <w:rPr>
                      <w:rFonts w:hint="default"/>
                      <w:color w:val="auto"/>
                      <w:sz w:val="21"/>
                      <w:szCs w:val="22"/>
                      <w:highlight w:val="none"/>
                      <w:lang w:val="en-US" w:eastAsia="zh-CN"/>
                    </w:rPr>
                  </w:pPr>
                  <w:r>
                    <w:rPr>
                      <w:rFonts w:hint="eastAsia"/>
                      <w:color w:val="auto"/>
                      <w:sz w:val="21"/>
                      <w:szCs w:val="22"/>
                      <w:highlight w:val="none"/>
                      <w:lang w:val="en-US" w:eastAsia="zh-CN"/>
                    </w:rPr>
                    <w:t>废切削液</w:t>
                  </w:r>
                </w:p>
              </w:tc>
              <w:tc>
                <w:tcPr>
                  <w:tcW w:w="753" w:type="pct"/>
                  <w:noWrap w:val="0"/>
                  <w:vAlign w:val="center"/>
                </w:tcPr>
                <w:p w14:paraId="1E58B3B0">
                  <w:pPr>
                    <w:keepNext w:val="0"/>
                    <w:keepLines w:val="0"/>
                    <w:suppressLineNumbers w:val="0"/>
                    <w:snapToGrid w:val="0"/>
                    <w:spacing w:before="0" w:beforeAutospacing="0" w:after="0" w:afterAutospacing="0" w:line="360" w:lineRule="exact"/>
                    <w:ind w:left="-105" w:leftChars="-50" w:right="-105" w:rightChars="-50"/>
                    <w:jc w:val="center"/>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0.576</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495" w:type="pct"/>
                  <w:noWrap w:val="0"/>
                  <w:vAlign w:val="center"/>
                </w:tcPr>
                <w:p w14:paraId="62732CC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切削液</w:t>
                  </w:r>
                </w:p>
              </w:tc>
              <w:tc>
                <w:tcPr>
                  <w:tcW w:w="410" w:type="pct"/>
                  <w:noWrap w:val="0"/>
                  <w:vAlign w:val="center"/>
                </w:tcPr>
                <w:p w14:paraId="7C82CF9C">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eastAsia="宋体"/>
                      <w:bCs/>
                      <w:color w:val="auto"/>
                      <w:sz w:val="21"/>
                      <w:szCs w:val="21"/>
                      <w:highlight w:val="none"/>
                      <w:lang w:val="en-US" w:eastAsia="zh-CN"/>
                    </w:rPr>
                  </w:pPr>
                  <w:r>
                    <w:rPr>
                      <w:rFonts w:hint="eastAsia"/>
                      <w:bCs/>
                      <w:color w:val="auto"/>
                      <w:sz w:val="21"/>
                      <w:szCs w:val="21"/>
                      <w:highlight w:val="none"/>
                      <w:lang w:val="en-US" w:eastAsia="zh-CN"/>
                    </w:rPr>
                    <w:t>HW09</w:t>
                  </w:r>
                </w:p>
              </w:tc>
              <w:tc>
                <w:tcPr>
                  <w:tcW w:w="866" w:type="pct"/>
                  <w:gridSpan w:val="2"/>
                  <w:noWrap w:val="0"/>
                  <w:vAlign w:val="center"/>
                </w:tcPr>
                <w:p w14:paraId="5EE331D0">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eastAsia="宋体"/>
                      <w:bCs/>
                      <w:color w:val="auto"/>
                      <w:sz w:val="21"/>
                      <w:szCs w:val="21"/>
                      <w:highlight w:val="none"/>
                      <w:lang w:val="en-US" w:eastAsia="zh-CN"/>
                    </w:rPr>
                  </w:pPr>
                  <w:r>
                    <w:rPr>
                      <w:rFonts w:hint="eastAsia"/>
                      <w:bCs/>
                      <w:color w:val="auto"/>
                      <w:sz w:val="21"/>
                      <w:szCs w:val="21"/>
                      <w:highlight w:val="none"/>
                      <w:lang w:val="en-US" w:eastAsia="zh-CN"/>
                    </w:rPr>
                    <w:t>900-006-09</w:t>
                  </w:r>
                </w:p>
              </w:tc>
              <w:tc>
                <w:tcPr>
                  <w:tcW w:w="1099" w:type="pct"/>
                  <w:vMerge w:val="continue"/>
                  <w:noWrap w:val="0"/>
                  <w:vAlign w:val="center"/>
                </w:tcPr>
                <w:p w14:paraId="0BDDAFF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sz w:val="21"/>
                      <w:szCs w:val="21"/>
                      <w:highlight w:val="none"/>
                      <w:lang w:val="en-US" w:eastAsia="zh-CN"/>
                    </w:rPr>
                  </w:pPr>
                </w:p>
              </w:tc>
            </w:tr>
            <w:tr w14:paraId="3DD04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shd w:val="clear" w:color="auto" w:fill="auto"/>
                  <w:noWrap w:val="0"/>
                  <w:vAlign w:val="center"/>
                </w:tcPr>
                <w:p w14:paraId="74FF92F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10</w:t>
                  </w:r>
                </w:p>
              </w:tc>
              <w:tc>
                <w:tcPr>
                  <w:tcW w:w="971" w:type="pct"/>
                  <w:noWrap w:val="0"/>
                  <w:vAlign w:val="center"/>
                </w:tcPr>
                <w:p w14:paraId="70BC6DC8">
                  <w:pPr>
                    <w:pStyle w:val="39"/>
                    <w:keepNext w:val="0"/>
                    <w:keepLines w:val="0"/>
                    <w:suppressLineNumbers w:val="0"/>
                    <w:spacing w:before="0" w:beforeAutospacing="0" w:after="0" w:afterAutospacing="0" w:line="360" w:lineRule="exact"/>
                    <w:ind w:left="0" w:leftChars="0" w:right="0" w:rightChars="0"/>
                    <w:jc w:val="center"/>
                    <w:rPr>
                      <w:rFonts w:hint="default"/>
                      <w:color w:val="auto"/>
                      <w:sz w:val="21"/>
                      <w:szCs w:val="22"/>
                      <w:highlight w:val="none"/>
                      <w:lang w:val="en-US" w:eastAsia="zh-CN"/>
                    </w:rPr>
                  </w:pPr>
                  <w:r>
                    <w:rPr>
                      <w:rFonts w:hint="eastAsia"/>
                      <w:color w:val="auto"/>
                      <w:sz w:val="21"/>
                      <w:szCs w:val="22"/>
                      <w:highlight w:val="none"/>
                      <w:lang w:val="en-US" w:eastAsia="zh-CN"/>
                    </w:rPr>
                    <w:t>废切削液桶</w:t>
                  </w:r>
                </w:p>
              </w:tc>
              <w:tc>
                <w:tcPr>
                  <w:tcW w:w="753" w:type="pct"/>
                  <w:noWrap w:val="0"/>
                  <w:vAlign w:val="center"/>
                </w:tcPr>
                <w:p w14:paraId="0D4B1B72">
                  <w:pPr>
                    <w:keepNext w:val="0"/>
                    <w:keepLines w:val="0"/>
                    <w:suppressLineNumbers w:val="0"/>
                    <w:snapToGrid w:val="0"/>
                    <w:spacing w:before="0" w:beforeAutospacing="0" w:after="0" w:afterAutospacing="0" w:line="360" w:lineRule="exact"/>
                    <w:ind w:left="-105" w:leftChars="-50" w:right="-105" w:rightChars="-50"/>
                    <w:jc w:val="center"/>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0.006</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495" w:type="pct"/>
                  <w:noWrap w:val="0"/>
                  <w:vAlign w:val="center"/>
                </w:tcPr>
                <w:p w14:paraId="4D5566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切削液</w:t>
                  </w:r>
                </w:p>
              </w:tc>
              <w:tc>
                <w:tcPr>
                  <w:tcW w:w="410" w:type="pct"/>
                  <w:shd w:val="clear" w:color="auto" w:fill="auto"/>
                  <w:noWrap w:val="0"/>
                  <w:vAlign w:val="center"/>
                </w:tcPr>
                <w:p w14:paraId="27D17A50">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pt-BR" w:eastAsia="zh-CN" w:bidi="ar-SA"/>
                    </w:rPr>
                  </w:pPr>
                  <w:r>
                    <w:rPr>
                      <w:rFonts w:hint="default"/>
                      <w:bCs/>
                      <w:color w:val="auto"/>
                      <w:sz w:val="21"/>
                      <w:szCs w:val="21"/>
                      <w:highlight w:val="none"/>
                      <w:lang w:val="pt-BR"/>
                    </w:rPr>
                    <w:t>HW49</w:t>
                  </w:r>
                </w:p>
              </w:tc>
              <w:tc>
                <w:tcPr>
                  <w:tcW w:w="866" w:type="pct"/>
                  <w:gridSpan w:val="2"/>
                  <w:shd w:val="clear" w:color="auto" w:fill="auto"/>
                  <w:noWrap w:val="0"/>
                  <w:vAlign w:val="center"/>
                </w:tcPr>
                <w:p w14:paraId="50D901BB">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pt-BR" w:eastAsia="zh-CN" w:bidi="ar-SA"/>
                    </w:rPr>
                  </w:pPr>
                  <w:r>
                    <w:rPr>
                      <w:rFonts w:hint="default"/>
                      <w:bCs/>
                      <w:color w:val="auto"/>
                      <w:sz w:val="21"/>
                      <w:szCs w:val="21"/>
                      <w:highlight w:val="none"/>
                      <w:lang w:val="pt-BR"/>
                    </w:rPr>
                    <w:t>900-041-49</w:t>
                  </w:r>
                </w:p>
              </w:tc>
              <w:tc>
                <w:tcPr>
                  <w:tcW w:w="1099" w:type="pct"/>
                  <w:vMerge w:val="continue"/>
                  <w:noWrap w:val="0"/>
                  <w:vAlign w:val="center"/>
                </w:tcPr>
                <w:p w14:paraId="5BE6CB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sz w:val="21"/>
                      <w:szCs w:val="21"/>
                      <w:highlight w:val="none"/>
                      <w:lang w:val="en-US" w:eastAsia="zh-CN"/>
                    </w:rPr>
                  </w:pPr>
                </w:p>
              </w:tc>
            </w:tr>
            <w:tr w14:paraId="33AAF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shd w:val="clear" w:color="auto" w:fill="auto"/>
                  <w:noWrap w:val="0"/>
                  <w:vAlign w:val="center"/>
                </w:tcPr>
                <w:p w14:paraId="439030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11</w:t>
                  </w:r>
                </w:p>
              </w:tc>
              <w:tc>
                <w:tcPr>
                  <w:tcW w:w="971" w:type="pct"/>
                  <w:noWrap w:val="0"/>
                  <w:vAlign w:val="center"/>
                </w:tcPr>
                <w:p w14:paraId="04FA38D6">
                  <w:pPr>
                    <w:pStyle w:val="39"/>
                    <w:keepNext w:val="0"/>
                    <w:keepLines w:val="0"/>
                    <w:suppressLineNumbers w:val="0"/>
                    <w:spacing w:before="0" w:beforeAutospacing="0" w:after="0" w:afterAutospacing="0" w:line="360" w:lineRule="exact"/>
                    <w:ind w:left="0" w:leftChars="0" w:right="0" w:rightChars="0"/>
                    <w:jc w:val="center"/>
                    <w:rPr>
                      <w:rFonts w:hint="eastAsia"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含油抹布及废劳保用品</w:t>
                  </w:r>
                </w:p>
              </w:tc>
              <w:tc>
                <w:tcPr>
                  <w:tcW w:w="753" w:type="pct"/>
                  <w:noWrap w:val="0"/>
                  <w:vAlign w:val="center"/>
                </w:tcPr>
                <w:p w14:paraId="6CA3A9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0.368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495" w:type="pct"/>
                  <w:noWrap w:val="0"/>
                  <w:vAlign w:val="center"/>
                </w:tcPr>
                <w:p w14:paraId="4E78DAC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 w:val="21"/>
                      <w:szCs w:val="21"/>
                      <w:highlight w:val="none"/>
                      <w:lang w:val="en-US" w:eastAsia="zh-CN"/>
                    </w:rPr>
                    <w:t>矿物油</w:t>
                  </w:r>
                </w:p>
              </w:tc>
              <w:tc>
                <w:tcPr>
                  <w:tcW w:w="410" w:type="pct"/>
                  <w:noWrap w:val="0"/>
                  <w:vAlign w:val="center"/>
                </w:tcPr>
                <w:p w14:paraId="21F61479">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eastAsia"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HW49</w:t>
                  </w:r>
                </w:p>
              </w:tc>
              <w:tc>
                <w:tcPr>
                  <w:tcW w:w="866" w:type="pct"/>
                  <w:gridSpan w:val="2"/>
                  <w:noWrap w:val="0"/>
                  <w:vAlign w:val="center"/>
                </w:tcPr>
                <w:p w14:paraId="0AD3A1FC">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eastAsia"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900-041-49</w:t>
                  </w:r>
                </w:p>
              </w:tc>
              <w:tc>
                <w:tcPr>
                  <w:tcW w:w="1099" w:type="pct"/>
                  <w:vMerge w:val="continue"/>
                  <w:noWrap w:val="0"/>
                  <w:vAlign w:val="center"/>
                </w:tcPr>
                <w:p w14:paraId="3308C2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sz w:val="21"/>
                      <w:szCs w:val="21"/>
                      <w:highlight w:val="none"/>
                      <w:lang w:val="en-US" w:eastAsia="zh-CN"/>
                    </w:rPr>
                  </w:pPr>
                </w:p>
              </w:tc>
            </w:tr>
            <w:tr w14:paraId="15157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403" w:type="pct"/>
                  <w:shd w:val="clear" w:color="auto" w:fill="auto"/>
                  <w:noWrap w:val="0"/>
                  <w:vAlign w:val="center"/>
                </w:tcPr>
                <w:p w14:paraId="21C8E8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12</w:t>
                  </w:r>
                </w:p>
              </w:tc>
              <w:tc>
                <w:tcPr>
                  <w:tcW w:w="971" w:type="pct"/>
                  <w:noWrap w:val="0"/>
                  <w:vAlign w:val="center"/>
                </w:tcPr>
                <w:p w14:paraId="010BEFCB">
                  <w:pPr>
                    <w:pStyle w:val="39"/>
                    <w:keepNext w:val="0"/>
                    <w:keepLines w:val="0"/>
                    <w:suppressLineNumbers w:val="0"/>
                    <w:spacing w:before="0" w:beforeAutospacing="0" w:after="0" w:afterAutospacing="0" w:line="360" w:lineRule="exact"/>
                    <w:ind w:left="0" w:leftChars="0" w:right="0" w:rightChars="0"/>
                    <w:jc w:val="center"/>
                    <w:rPr>
                      <w:rFonts w:hint="default" w:cs="Times New Roman"/>
                      <w:smallCaps/>
                      <w:color w:val="auto"/>
                      <w:kern w:val="0"/>
                      <w:sz w:val="21"/>
                      <w:szCs w:val="22"/>
                      <w:highlight w:val="none"/>
                      <w:lang w:val="en-US" w:eastAsia="zh-CN" w:bidi="ar-SA"/>
                    </w:rPr>
                  </w:pPr>
                  <w:r>
                    <w:rPr>
                      <w:rFonts w:hint="eastAsia" w:cs="Times New Roman"/>
                      <w:smallCaps/>
                      <w:color w:val="auto"/>
                      <w:kern w:val="0"/>
                      <w:sz w:val="21"/>
                      <w:szCs w:val="22"/>
                      <w:highlight w:val="none"/>
                      <w:lang w:val="en-US" w:eastAsia="zh-CN" w:bidi="ar-SA"/>
                    </w:rPr>
                    <w:t>职工生活垃圾</w:t>
                  </w:r>
                </w:p>
              </w:tc>
              <w:tc>
                <w:tcPr>
                  <w:tcW w:w="753" w:type="pct"/>
                  <w:noWrap w:val="0"/>
                  <w:vAlign w:val="center"/>
                </w:tcPr>
                <w:p w14:paraId="5723BFE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1.5t/a</w:t>
                  </w:r>
                </w:p>
              </w:tc>
              <w:tc>
                <w:tcPr>
                  <w:tcW w:w="495" w:type="pct"/>
                  <w:noWrap w:val="0"/>
                  <w:vAlign w:val="center"/>
                </w:tcPr>
                <w:p w14:paraId="3163C8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瓜果皮等</w:t>
                  </w:r>
                </w:p>
              </w:tc>
              <w:tc>
                <w:tcPr>
                  <w:tcW w:w="410" w:type="pct"/>
                  <w:noWrap w:val="0"/>
                  <w:vAlign w:val="center"/>
                </w:tcPr>
                <w:p w14:paraId="0FD82E49">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eastAsia" w:eastAsia="宋体"/>
                      <w:bCs/>
                      <w:color w:val="auto"/>
                      <w:szCs w:val="21"/>
                      <w:highlight w:val="none"/>
                      <w:lang w:val="en-US" w:eastAsia="zh-CN"/>
                    </w:rPr>
                  </w:pPr>
                  <w:r>
                    <w:rPr>
                      <w:rFonts w:hint="eastAsia"/>
                      <w:bCs/>
                      <w:color w:val="auto"/>
                      <w:szCs w:val="21"/>
                      <w:highlight w:val="none"/>
                      <w:lang w:val="en-US" w:eastAsia="zh-CN"/>
                    </w:rPr>
                    <w:t>-</w:t>
                  </w:r>
                </w:p>
              </w:tc>
              <w:tc>
                <w:tcPr>
                  <w:tcW w:w="866" w:type="pct"/>
                  <w:gridSpan w:val="2"/>
                  <w:noWrap w:val="0"/>
                  <w:vAlign w:val="center"/>
                </w:tcPr>
                <w:p w14:paraId="7E6C0657">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eastAsia" w:eastAsia="宋体"/>
                      <w:bCs/>
                      <w:color w:val="auto"/>
                      <w:szCs w:val="21"/>
                      <w:highlight w:val="none"/>
                      <w:lang w:val="en-US" w:eastAsia="zh-CN"/>
                    </w:rPr>
                  </w:pPr>
                  <w:r>
                    <w:rPr>
                      <w:rFonts w:hint="eastAsia"/>
                      <w:bCs/>
                      <w:color w:val="auto"/>
                      <w:szCs w:val="21"/>
                      <w:highlight w:val="none"/>
                      <w:lang w:val="en-US" w:eastAsia="zh-CN"/>
                    </w:rPr>
                    <w:t>-</w:t>
                  </w:r>
                </w:p>
              </w:tc>
              <w:tc>
                <w:tcPr>
                  <w:tcW w:w="1099" w:type="pct"/>
                  <w:noWrap w:val="0"/>
                  <w:vAlign w:val="center"/>
                </w:tcPr>
                <w:p w14:paraId="083EF3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交由环卫部门统一处理</w:t>
                  </w:r>
                </w:p>
              </w:tc>
            </w:tr>
          </w:tbl>
          <w:p w14:paraId="3437691B">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综上所述，项目固废均得到处理或得到综合利用、无害化处理，不产生二次污染，不会对周围环境造成明显影响。</w:t>
            </w:r>
          </w:p>
          <w:p w14:paraId="6C5E2876">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（2）固废暂存场所（设施）环境影响分析</w:t>
            </w:r>
          </w:p>
          <w:p w14:paraId="42097C7E">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采用库房贮存一般工业固体废物的，贮存过程应满足相应防渗漏、防雨淋、防扬尘等环境保护要求；贮存场、填埋场应设置清晰、完整的—般工业固体废物标志牌等。</w:t>
            </w:r>
          </w:p>
          <w:p w14:paraId="0437092E">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本项目固废暂存区（位于</w:t>
            </w:r>
            <w:r>
              <w:rPr>
                <w:rFonts w:hint="eastAsia" w:cs="Times New Roman"/>
                <w:smallCaps w:val="0"/>
                <w:color w:val="auto"/>
                <w:spacing w:val="0"/>
                <w:highlight w:val="none"/>
                <w:lang w:val="en-US" w:eastAsia="zh-CN"/>
              </w:rPr>
              <w:t>生产车间西侧</w:t>
            </w:r>
            <w:r>
              <w:rPr>
                <w:rFonts w:hint="default" w:ascii="Times New Roman" w:hAnsi="Times New Roman" w:cs="Times New Roman"/>
                <w:smallCaps w:val="0"/>
                <w:color w:val="auto"/>
                <w:spacing w:val="0"/>
                <w:highlight w:val="none"/>
              </w:rPr>
              <w:t>），占地面积约为</w:t>
            </w:r>
            <w:r>
              <w:rPr>
                <w:rFonts w:hint="eastAsia" w:cs="Times New Roman"/>
                <w:smallCaps w:val="0"/>
                <w:color w:val="auto"/>
                <w:spacing w:val="0"/>
                <w:highlight w:val="none"/>
                <w:lang w:val="en-US" w:eastAsia="zh-CN"/>
              </w:rPr>
              <w:t>30</w:t>
            </w:r>
            <w:r>
              <w:rPr>
                <w:rFonts w:hint="default" w:ascii="Times New Roman" w:hAnsi="Times New Roman" w:cs="Times New Roman"/>
                <w:smallCaps w:val="0"/>
                <w:color w:val="auto"/>
                <w:spacing w:val="0"/>
                <w:highlight w:val="none"/>
              </w:rPr>
              <w:t>m</w:t>
            </w:r>
            <w:r>
              <w:rPr>
                <w:rFonts w:hint="default" w:ascii="Times New Roman" w:hAnsi="Times New Roman" w:cs="Times New Roman"/>
                <w:smallCaps w:val="0"/>
                <w:color w:val="auto"/>
                <w:spacing w:val="0"/>
                <w:highlight w:val="none"/>
                <w:vertAlign w:val="superscript"/>
              </w:rPr>
              <w:t>2</w:t>
            </w:r>
            <w:r>
              <w:rPr>
                <w:rFonts w:hint="default" w:ascii="Times New Roman" w:hAnsi="Times New Roman" w:cs="Times New Roman"/>
                <w:smallCaps w:val="0"/>
                <w:color w:val="auto"/>
                <w:spacing w:val="0"/>
                <w:highlight w:val="none"/>
              </w:rPr>
              <w:t>，储量为</w:t>
            </w:r>
            <w:r>
              <w:rPr>
                <w:rFonts w:hint="eastAsia" w:cs="Times New Roman"/>
                <w:smallCaps w:val="0"/>
                <w:color w:val="auto"/>
                <w:spacing w:val="0"/>
                <w:highlight w:val="none"/>
                <w:lang w:val="en-US" w:eastAsia="zh-CN"/>
              </w:rPr>
              <w:t>20</w:t>
            </w:r>
            <w:r>
              <w:rPr>
                <w:rFonts w:hint="default" w:ascii="Times New Roman" w:hAnsi="Times New Roman" w:cs="Times New Roman"/>
                <w:smallCaps w:val="0"/>
                <w:color w:val="auto"/>
                <w:spacing w:val="0"/>
                <w:highlight w:val="none"/>
              </w:rPr>
              <w:t>吨。</w:t>
            </w:r>
          </w:p>
          <w:p w14:paraId="00F6E0A1">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排污单位生产运营期间一般工业固体废物自行贮存/利用设施的环境管理和相关设施运行维护要求还应符合GB15562.2、GB 18599、GB 30485和HJ2035等相关标准规范要求。</w:t>
            </w:r>
          </w:p>
          <w:p w14:paraId="477A6EEC">
            <w:pPr>
              <w:keepNext w:val="0"/>
              <w:keepLines w:val="0"/>
              <w:widowControl/>
              <w:suppressLineNumbers w:val="0"/>
              <w:spacing w:before="0" w:beforeAutospacing="0" w:after="0" w:afterAutospacing="0" w:line="440" w:lineRule="exact"/>
              <w:ind w:left="0" w:right="0" w:firstLine="480" w:firstLineChars="200"/>
              <w:rPr>
                <w:rFonts w:hint="default" w:ascii="Times New Roman" w:hAnsi="Times New Roman" w:cs="Times New Roman"/>
                <w:bCs/>
                <w:color w:val="auto"/>
                <w:sz w:val="24"/>
                <w:szCs w:val="20"/>
                <w:highlight w:val="none"/>
              </w:rPr>
            </w:pPr>
            <w:r>
              <w:rPr>
                <w:rFonts w:hint="default" w:ascii="Times New Roman" w:hAnsi="Times New Roman" w:cs="Times New Roman"/>
                <w:color w:val="auto"/>
                <w:sz w:val="24"/>
                <w:szCs w:val="20"/>
                <w:highlight w:val="none"/>
              </w:rPr>
              <w:t>根据《建设项目危险废物环境影响评价指南》要求，项目工程分析中危险废物汇总表见表4-</w:t>
            </w:r>
            <w:r>
              <w:rPr>
                <w:rFonts w:hint="eastAsia" w:cs="Times New Roman"/>
                <w:color w:val="auto"/>
                <w:sz w:val="24"/>
                <w:szCs w:val="20"/>
                <w:highlight w:val="none"/>
                <w:lang w:val="en-US" w:eastAsia="zh-CN"/>
              </w:rPr>
              <w:t>11</w:t>
            </w:r>
            <w:r>
              <w:rPr>
                <w:rFonts w:hint="default" w:ascii="Times New Roman" w:hAnsi="Times New Roman" w:cs="Times New Roman"/>
                <w:color w:val="auto"/>
                <w:sz w:val="24"/>
                <w:szCs w:val="20"/>
                <w:highlight w:val="none"/>
              </w:rPr>
              <w:t>。</w:t>
            </w:r>
          </w:p>
          <w:p w14:paraId="01C7AEBE">
            <w:pPr>
              <w:keepNext w:val="0"/>
              <w:keepLines w:val="0"/>
              <w:widowControl/>
              <w:suppressLineNumbers w:val="0"/>
              <w:spacing w:before="0" w:beforeAutospacing="0" w:after="0" w:afterAutospacing="0" w:line="480" w:lineRule="exact"/>
              <w:ind w:left="0" w:right="0"/>
              <w:jc w:val="center"/>
              <w:textAlignment w:val="baseline"/>
              <w:rPr>
                <w:rFonts w:hint="default" w:ascii="Times New Roman" w:hAnsi="Times New Roman" w:cs="Times New Roman"/>
                <w:b/>
                <w:bCs/>
                <w:color w:val="auto"/>
                <w:sz w:val="24"/>
                <w:szCs w:val="20"/>
                <w:highlight w:val="none"/>
              </w:rPr>
            </w:pPr>
            <w:r>
              <w:rPr>
                <w:rFonts w:hint="default" w:ascii="Times New Roman" w:hAnsi="Times New Roman" w:cs="Times New Roman"/>
                <w:b/>
                <w:bCs/>
                <w:color w:val="auto"/>
                <w:sz w:val="24"/>
                <w:szCs w:val="20"/>
                <w:highlight w:val="none"/>
              </w:rPr>
              <w:t>表4-</w:t>
            </w:r>
            <w:r>
              <w:rPr>
                <w:rFonts w:hint="eastAsia" w:cs="Times New Roman"/>
                <w:b/>
                <w:bCs/>
                <w:color w:val="auto"/>
                <w:sz w:val="24"/>
                <w:szCs w:val="20"/>
                <w:highlight w:val="none"/>
                <w:lang w:val="en-US" w:eastAsia="zh-CN"/>
              </w:rPr>
              <w:t>11</w:t>
            </w:r>
            <w:r>
              <w:rPr>
                <w:rFonts w:hint="default" w:ascii="Times New Roman" w:hAnsi="Times New Roman" w:cs="Times New Roman"/>
                <w:b/>
                <w:bCs/>
                <w:color w:val="auto"/>
                <w:sz w:val="24"/>
                <w:szCs w:val="20"/>
                <w:highlight w:val="none"/>
              </w:rPr>
              <w:t xml:space="preserve">  项目工程分析中危险废物汇总表</w:t>
            </w:r>
          </w:p>
          <w:tbl>
            <w:tblPr>
              <w:tblStyle w:val="4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73"/>
              <w:gridCol w:w="710"/>
              <w:gridCol w:w="690"/>
              <w:gridCol w:w="1151"/>
              <w:gridCol w:w="798"/>
              <w:gridCol w:w="643"/>
              <w:gridCol w:w="488"/>
              <w:gridCol w:w="565"/>
              <w:gridCol w:w="600"/>
              <w:gridCol w:w="465"/>
              <w:gridCol w:w="615"/>
              <w:gridCol w:w="974"/>
            </w:tblGrid>
            <w:tr w14:paraId="2A28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71" w:type="pct"/>
                  <w:noWrap w:val="0"/>
                  <w:tcMar>
                    <w:top w:w="0" w:type="dxa"/>
                    <w:left w:w="6" w:type="dxa"/>
                    <w:bottom w:w="0" w:type="dxa"/>
                    <w:right w:w="6" w:type="dxa"/>
                  </w:tcMar>
                  <w:vAlign w:val="center"/>
                </w:tcPr>
                <w:p w14:paraId="4220BB7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序号</w:t>
                  </w:r>
                </w:p>
              </w:tc>
              <w:tc>
                <w:tcPr>
                  <w:tcW w:w="445" w:type="pct"/>
                  <w:noWrap w:val="0"/>
                  <w:tcMar>
                    <w:top w:w="0" w:type="dxa"/>
                    <w:left w:w="6" w:type="dxa"/>
                    <w:bottom w:w="0" w:type="dxa"/>
                    <w:right w:w="6" w:type="dxa"/>
                  </w:tcMar>
                  <w:vAlign w:val="center"/>
                </w:tcPr>
                <w:p w14:paraId="1F2217FA">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危险废物名称</w:t>
                  </w:r>
                </w:p>
              </w:tc>
              <w:tc>
                <w:tcPr>
                  <w:tcW w:w="432" w:type="pct"/>
                  <w:noWrap w:val="0"/>
                  <w:tcMar>
                    <w:top w:w="0" w:type="dxa"/>
                    <w:left w:w="6" w:type="dxa"/>
                    <w:bottom w:w="0" w:type="dxa"/>
                    <w:right w:w="6" w:type="dxa"/>
                  </w:tcMar>
                  <w:vAlign w:val="center"/>
                </w:tcPr>
                <w:p w14:paraId="53C1A1E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危险废物类别</w:t>
                  </w:r>
                </w:p>
              </w:tc>
              <w:tc>
                <w:tcPr>
                  <w:tcW w:w="721" w:type="pct"/>
                  <w:noWrap w:val="0"/>
                  <w:tcMar>
                    <w:top w:w="0" w:type="dxa"/>
                    <w:left w:w="6" w:type="dxa"/>
                    <w:bottom w:w="0" w:type="dxa"/>
                    <w:right w:w="6" w:type="dxa"/>
                  </w:tcMar>
                  <w:vAlign w:val="center"/>
                </w:tcPr>
                <w:p w14:paraId="0855DCD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危险废物代码</w:t>
                  </w:r>
                </w:p>
              </w:tc>
              <w:tc>
                <w:tcPr>
                  <w:tcW w:w="500" w:type="pct"/>
                  <w:noWrap w:val="0"/>
                  <w:tcMar>
                    <w:top w:w="0" w:type="dxa"/>
                    <w:left w:w="6" w:type="dxa"/>
                    <w:bottom w:w="0" w:type="dxa"/>
                    <w:right w:w="6" w:type="dxa"/>
                  </w:tcMar>
                  <w:vAlign w:val="center"/>
                </w:tcPr>
                <w:p w14:paraId="7B800DD9">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产生量</w:t>
                  </w:r>
                </w:p>
              </w:tc>
              <w:tc>
                <w:tcPr>
                  <w:tcW w:w="403" w:type="pct"/>
                  <w:noWrap w:val="0"/>
                  <w:tcMar>
                    <w:top w:w="0" w:type="dxa"/>
                    <w:left w:w="6" w:type="dxa"/>
                    <w:bottom w:w="0" w:type="dxa"/>
                    <w:right w:w="6" w:type="dxa"/>
                  </w:tcMar>
                  <w:vAlign w:val="center"/>
                </w:tcPr>
                <w:p w14:paraId="10F2F174">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产生工序及装置</w:t>
                  </w:r>
                </w:p>
              </w:tc>
              <w:tc>
                <w:tcPr>
                  <w:tcW w:w="306" w:type="pct"/>
                  <w:noWrap w:val="0"/>
                  <w:tcMar>
                    <w:top w:w="0" w:type="dxa"/>
                    <w:left w:w="6" w:type="dxa"/>
                    <w:bottom w:w="0" w:type="dxa"/>
                    <w:right w:w="6" w:type="dxa"/>
                  </w:tcMar>
                  <w:vAlign w:val="center"/>
                </w:tcPr>
                <w:p w14:paraId="510F211F">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形态</w:t>
                  </w:r>
                </w:p>
              </w:tc>
              <w:tc>
                <w:tcPr>
                  <w:tcW w:w="354" w:type="pct"/>
                  <w:noWrap w:val="0"/>
                  <w:tcMar>
                    <w:top w:w="0" w:type="dxa"/>
                    <w:left w:w="6" w:type="dxa"/>
                    <w:bottom w:w="0" w:type="dxa"/>
                    <w:right w:w="6" w:type="dxa"/>
                  </w:tcMar>
                  <w:vAlign w:val="center"/>
                </w:tcPr>
                <w:p w14:paraId="2CD371CA">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主要成分</w:t>
                  </w:r>
                </w:p>
              </w:tc>
              <w:tc>
                <w:tcPr>
                  <w:tcW w:w="376" w:type="pct"/>
                  <w:noWrap w:val="0"/>
                  <w:tcMar>
                    <w:top w:w="0" w:type="dxa"/>
                    <w:left w:w="6" w:type="dxa"/>
                    <w:bottom w:w="0" w:type="dxa"/>
                    <w:right w:w="6" w:type="dxa"/>
                  </w:tcMar>
                  <w:vAlign w:val="center"/>
                </w:tcPr>
                <w:p w14:paraId="414CCB2D">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有害成分</w:t>
                  </w:r>
                </w:p>
              </w:tc>
              <w:tc>
                <w:tcPr>
                  <w:tcW w:w="291" w:type="pct"/>
                  <w:noWrap w:val="0"/>
                  <w:tcMar>
                    <w:top w:w="0" w:type="dxa"/>
                    <w:left w:w="6" w:type="dxa"/>
                    <w:bottom w:w="0" w:type="dxa"/>
                    <w:right w:w="6" w:type="dxa"/>
                  </w:tcMar>
                  <w:vAlign w:val="center"/>
                </w:tcPr>
                <w:p w14:paraId="17CDA26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产废周期</w:t>
                  </w:r>
                </w:p>
              </w:tc>
              <w:tc>
                <w:tcPr>
                  <w:tcW w:w="385" w:type="pct"/>
                  <w:noWrap w:val="0"/>
                  <w:tcMar>
                    <w:top w:w="0" w:type="dxa"/>
                    <w:left w:w="6" w:type="dxa"/>
                    <w:bottom w:w="0" w:type="dxa"/>
                    <w:right w:w="6" w:type="dxa"/>
                  </w:tcMar>
                  <w:vAlign w:val="center"/>
                </w:tcPr>
                <w:p w14:paraId="2D4BBCF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危险特性</w:t>
                  </w:r>
                </w:p>
              </w:tc>
              <w:tc>
                <w:tcPr>
                  <w:tcW w:w="610" w:type="pct"/>
                  <w:noWrap w:val="0"/>
                  <w:tcMar>
                    <w:top w:w="0" w:type="dxa"/>
                    <w:left w:w="6" w:type="dxa"/>
                    <w:bottom w:w="0" w:type="dxa"/>
                    <w:right w:w="6" w:type="dxa"/>
                  </w:tcMar>
                  <w:vAlign w:val="center"/>
                </w:tcPr>
                <w:p w14:paraId="1E9B978C">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污染防治措施</w:t>
                  </w:r>
                </w:p>
              </w:tc>
            </w:tr>
            <w:tr w14:paraId="2AB78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71" w:type="pct"/>
                  <w:noWrap w:val="0"/>
                  <w:vAlign w:val="center"/>
                </w:tcPr>
                <w:p w14:paraId="5ACE57C8">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1</w:t>
                  </w:r>
                </w:p>
              </w:tc>
              <w:tc>
                <w:tcPr>
                  <w:tcW w:w="445" w:type="pct"/>
                  <w:noWrap w:val="0"/>
                  <w:vAlign w:val="center"/>
                </w:tcPr>
                <w:p w14:paraId="416DAF7D">
                  <w:pPr>
                    <w:keepNext w:val="0"/>
                    <w:keepLines w:val="0"/>
                    <w:suppressLineNumbers w:val="0"/>
                    <w:tabs>
                      <w:tab w:val="center" w:pos="4153"/>
                      <w:tab w:val="right" w:pos="8306"/>
                    </w:tabs>
                    <w:snapToGrid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废润滑油</w:t>
                  </w:r>
                </w:p>
              </w:tc>
              <w:tc>
                <w:tcPr>
                  <w:tcW w:w="432" w:type="pct"/>
                  <w:shd w:val="clear" w:color="auto" w:fill="auto"/>
                  <w:noWrap w:val="0"/>
                  <w:vAlign w:val="center"/>
                </w:tcPr>
                <w:p w14:paraId="6005B194">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HW08</w:t>
                  </w:r>
                </w:p>
              </w:tc>
              <w:tc>
                <w:tcPr>
                  <w:tcW w:w="721" w:type="pct"/>
                  <w:shd w:val="clear" w:color="auto" w:fill="auto"/>
                  <w:noWrap w:val="0"/>
                  <w:vAlign w:val="center"/>
                </w:tcPr>
                <w:p w14:paraId="397F1EDE">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900-</w:t>
                  </w:r>
                  <w:r>
                    <w:rPr>
                      <w:rFonts w:hint="eastAsia"/>
                      <w:bCs/>
                      <w:color w:val="auto"/>
                      <w:sz w:val="21"/>
                      <w:szCs w:val="21"/>
                      <w:highlight w:val="none"/>
                      <w:lang w:val="en-US" w:eastAsia="zh-CN"/>
                    </w:rPr>
                    <w:t>217-08</w:t>
                  </w:r>
                </w:p>
              </w:tc>
              <w:tc>
                <w:tcPr>
                  <w:tcW w:w="500" w:type="pct"/>
                  <w:shd w:val="clear" w:color="auto" w:fill="auto"/>
                  <w:noWrap w:val="0"/>
                  <w:vAlign w:val="center"/>
                </w:tcPr>
                <w:p w14:paraId="6C02308C">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0.048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403" w:type="pct"/>
                  <w:vMerge w:val="restart"/>
                  <w:noWrap w:val="0"/>
                  <w:vAlign w:val="center"/>
                </w:tcPr>
                <w:p w14:paraId="49E94EB7">
                  <w:pPr>
                    <w:keepNext w:val="0"/>
                    <w:keepLines w:val="0"/>
                    <w:suppressLineNumbers w:val="0"/>
                    <w:tabs>
                      <w:tab w:val="center" w:pos="4153"/>
                      <w:tab w:val="right" w:pos="8306"/>
                    </w:tabs>
                    <w:snapToGrid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设备维护</w:t>
                  </w:r>
                </w:p>
              </w:tc>
              <w:tc>
                <w:tcPr>
                  <w:tcW w:w="306" w:type="pct"/>
                  <w:noWrap w:val="0"/>
                  <w:vAlign w:val="center"/>
                </w:tcPr>
                <w:p w14:paraId="7DE00726">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液态</w:t>
                  </w:r>
                </w:p>
              </w:tc>
              <w:tc>
                <w:tcPr>
                  <w:tcW w:w="354" w:type="pct"/>
                  <w:noWrap w:val="0"/>
                  <w:vAlign w:val="center"/>
                </w:tcPr>
                <w:p w14:paraId="6E7157D5">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eastAsia="宋体" w:cs="Times New Roman"/>
                      <w:color w:val="auto"/>
                      <w:sz w:val="21"/>
                      <w:szCs w:val="21"/>
                      <w:highlight w:val="none"/>
                      <w:lang w:val="en-US" w:eastAsia="zh-CN"/>
                    </w:rPr>
                    <w:t>矿物油</w:t>
                  </w:r>
                </w:p>
              </w:tc>
              <w:tc>
                <w:tcPr>
                  <w:tcW w:w="376" w:type="pct"/>
                  <w:noWrap w:val="0"/>
                  <w:vAlign w:val="center"/>
                </w:tcPr>
                <w:p w14:paraId="51511F6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eastAsia="宋体" w:cs="Times New Roman"/>
                      <w:color w:val="auto"/>
                      <w:sz w:val="21"/>
                      <w:szCs w:val="21"/>
                      <w:highlight w:val="none"/>
                      <w:lang w:val="en-US" w:eastAsia="zh-CN"/>
                    </w:rPr>
                    <w:t>矿物油</w:t>
                  </w:r>
                </w:p>
              </w:tc>
              <w:tc>
                <w:tcPr>
                  <w:tcW w:w="291" w:type="pct"/>
                  <w:noWrap w:val="0"/>
                  <w:vAlign w:val="center"/>
                </w:tcPr>
                <w:p w14:paraId="0CCA7003">
                  <w:pPr>
                    <w:pStyle w:val="225"/>
                    <w:keepNext w:val="0"/>
                    <w:keepLines w:val="0"/>
                    <w:suppressLineNumbers w:val="0"/>
                    <w:spacing w:beforeAutospacing="0" w:afterAutospacing="0" w:line="240" w:lineRule="auto"/>
                    <w:ind w:left="0" w:right="0"/>
                    <w:jc w:val="center"/>
                    <w:rPr>
                      <w:rFonts w:hint="default" w:ascii="Times New Roman" w:hAnsi="Times New Roman" w:eastAsia="宋体" w:cs="Times New Roman"/>
                      <w:color w:val="auto"/>
                      <w:kern w:val="2"/>
                      <w:sz w:val="21"/>
                      <w:szCs w:val="21"/>
                      <w:highlight w:val="none"/>
                    </w:rPr>
                  </w:pPr>
                  <w:bookmarkStart w:id="10" w:name="_Toc14117"/>
                  <w:r>
                    <w:rPr>
                      <w:rFonts w:hint="eastAsia" w:eastAsia="宋体" w:cs="Times New Roman"/>
                      <w:color w:val="auto"/>
                      <w:kern w:val="2"/>
                      <w:sz w:val="21"/>
                      <w:szCs w:val="21"/>
                      <w:highlight w:val="none"/>
                      <w:lang w:val="en-US" w:eastAsia="zh-CN"/>
                    </w:rPr>
                    <w:t>1</w:t>
                  </w:r>
                  <w:r>
                    <w:rPr>
                      <w:rFonts w:hint="default" w:ascii="Times New Roman" w:hAnsi="Times New Roman" w:eastAsia="宋体" w:cs="Times New Roman"/>
                      <w:color w:val="auto"/>
                      <w:kern w:val="2"/>
                      <w:sz w:val="21"/>
                      <w:szCs w:val="21"/>
                      <w:highlight w:val="none"/>
                    </w:rPr>
                    <w:t>次</w:t>
                  </w:r>
                  <w:r>
                    <w:rPr>
                      <w:rFonts w:hint="eastAsia" w:ascii="Times New Roman" w:hAnsi="Times New Roman" w:eastAsia="宋体" w:cs="Times New Roman"/>
                      <w:color w:val="auto"/>
                      <w:kern w:val="2"/>
                      <w:sz w:val="21"/>
                      <w:szCs w:val="21"/>
                      <w:highlight w:val="none"/>
                      <w:lang w:val="en-US" w:eastAsia="zh-CN"/>
                    </w:rPr>
                    <w:t>/</w:t>
                  </w:r>
                  <w:r>
                    <w:rPr>
                      <w:rFonts w:hint="eastAsia" w:eastAsia="宋体" w:cs="Times New Roman"/>
                      <w:color w:val="auto"/>
                      <w:kern w:val="2"/>
                      <w:sz w:val="21"/>
                      <w:szCs w:val="21"/>
                      <w:highlight w:val="none"/>
                      <w:lang w:val="en-US" w:eastAsia="zh-CN"/>
                    </w:rPr>
                    <w:t>半</w:t>
                  </w:r>
                  <w:r>
                    <w:rPr>
                      <w:rFonts w:hint="default" w:ascii="Times New Roman" w:hAnsi="Times New Roman" w:eastAsia="宋体" w:cs="Times New Roman"/>
                      <w:color w:val="auto"/>
                      <w:kern w:val="2"/>
                      <w:sz w:val="21"/>
                      <w:szCs w:val="21"/>
                      <w:highlight w:val="none"/>
                    </w:rPr>
                    <w:t>年</w:t>
                  </w:r>
                  <w:bookmarkEnd w:id="10"/>
                </w:p>
              </w:tc>
              <w:tc>
                <w:tcPr>
                  <w:tcW w:w="385" w:type="pct"/>
                  <w:noWrap w:val="0"/>
                  <w:vAlign w:val="center"/>
                </w:tcPr>
                <w:p w14:paraId="6119F2D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T，I</w:t>
                  </w:r>
                </w:p>
              </w:tc>
              <w:tc>
                <w:tcPr>
                  <w:tcW w:w="610" w:type="pct"/>
                  <w:vMerge w:val="restart"/>
                  <w:noWrap w:val="0"/>
                  <w:vAlign w:val="center"/>
                </w:tcPr>
                <w:p w14:paraId="70373D17">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即产即清，交由有危废处置资质单位处置</w:t>
                  </w:r>
                </w:p>
              </w:tc>
            </w:tr>
            <w:tr w14:paraId="50B77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71" w:type="pct"/>
                  <w:noWrap w:val="0"/>
                  <w:vAlign w:val="center"/>
                </w:tcPr>
                <w:p w14:paraId="0F8DE7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color w:val="auto"/>
                      <w:sz w:val="21"/>
                      <w:szCs w:val="21"/>
                      <w:highlight w:val="none"/>
                      <w:lang w:val="en-US" w:eastAsia="zh-CN"/>
                    </w:rPr>
                    <w:t>2</w:t>
                  </w:r>
                </w:p>
              </w:tc>
              <w:tc>
                <w:tcPr>
                  <w:tcW w:w="445" w:type="pct"/>
                  <w:noWrap w:val="0"/>
                  <w:vAlign w:val="center"/>
                </w:tcPr>
                <w:p w14:paraId="1D85218F">
                  <w:pPr>
                    <w:keepNext w:val="0"/>
                    <w:keepLines w:val="0"/>
                    <w:suppressLineNumbers w:val="0"/>
                    <w:tabs>
                      <w:tab w:val="center" w:pos="4153"/>
                      <w:tab w:val="right" w:pos="8306"/>
                    </w:tabs>
                    <w:snapToGrid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废润滑油桶</w:t>
                  </w:r>
                </w:p>
              </w:tc>
              <w:tc>
                <w:tcPr>
                  <w:tcW w:w="432" w:type="pct"/>
                  <w:shd w:val="clear" w:color="auto" w:fill="auto"/>
                  <w:noWrap w:val="0"/>
                  <w:vAlign w:val="center"/>
                </w:tcPr>
                <w:p w14:paraId="4B7B2719">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HW</w:t>
                  </w:r>
                  <w:r>
                    <w:rPr>
                      <w:rFonts w:hint="eastAsia"/>
                      <w:bCs/>
                      <w:color w:val="auto"/>
                      <w:sz w:val="21"/>
                      <w:szCs w:val="21"/>
                      <w:highlight w:val="none"/>
                      <w:lang w:val="en-US" w:eastAsia="zh-CN"/>
                    </w:rPr>
                    <w:t>08</w:t>
                  </w:r>
                </w:p>
              </w:tc>
              <w:tc>
                <w:tcPr>
                  <w:tcW w:w="721" w:type="pct"/>
                  <w:shd w:val="clear" w:color="auto" w:fill="auto"/>
                  <w:noWrap w:val="0"/>
                  <w:vAlign w:val="center"/>
                </w:tcPr>
                <w:p w14:paraId="0424F73F">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900-</w:t>
                  </w:r>
                  <w:r>
                    <w:rPr>
                      <w:rFonts w:hint="eastAsia"/>
                      <w:bCs/>
                      <w:color w:val="auto"/>
                      <w:sz w:val="21"/>
                      <w:szCs w:val="21"/>
                      <w:highlight w:val="none"/>
                      <w:lang w:val="en-US" w:eastAsia="zh-CN"/>
                    </w:rPr>
                    <w:t>249</w:t>
                  </w:r>
                  <w:r>
                    <w:rPr>
                      <w:rFonts w:hint="default"/>
                      <w:bCs/>
                      <w:color w:val="auto"/>
                      <w:sz w:val="21"/>
                      <w:szCs w:val="21"/>
                      <w:highlight w:val="none"/>
                      <w:lang w:val="pt-BR"/>
                    </w:rPr>
                    <w:t>-</w:t>
                  </w:r>
                  <w:r>
                    <w:rPr>
                      <w:rFonts w:hint="eastAsia"/>
                      <w:bCs/>
                      <w:color w:val="auto"/>
                      <w:sz w:val="21"/>
                      <w:szCs w:val="21"/>
                      <w:highlight w:val="none"/>
                      <w:lang w:val="en-US" w:eastAsia="zh-CN"/>
                    </w:rPr>
                    <w:t>08</w:t>
                  </w:r>
                </w:p>
              </w:tc>
              <w:tc>
                <w:tcPr>
                  <w:tcW w:w="500" w:type="pct"/>
                  <w:shd w:val="clear" w:color="auto" w:fill="auto"/>
                  <w:noWrap w:val="0"/>
                  <w:vAlign w:val="center"/>
                </w:tcPr>
                <w:p w14:paraId="2A9A4ADD">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0.002</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403" w:type="pct"/>
                  <w:vMerge w:val="continue"/>
                  <w:noWrap w:val="0"/>
                  <w:vAlign w:val="center"/>
                </w:tcPr>
                <w:p w14:paraId="7628BC05">
                  <w:pPr>
                    <w:pStyle w:val="39"/>
                    <w:keepNext w:val="0"/>
                    <w:keepLines w:val="0"/>
                    <w:suppressLineNumbers w:val="0"/>
                    <w:spacing w:before="0" w:beforeAutospacing="0" w:after="0" w:afterAutospacing="0" w:line="360" w:lineRule="exact"/>
                    <w:ind w:left="0" w:leftChars="0" w:right="0"/>
                    <w:jc w:val="center"/>
                    <w:rPr>
                      <w:rFonts w:hint="default" w:ascii="Times New Roman" w:hAnsi="Times New Roman" w:cs="Times New Roman"/>
                      <w:smallCaps w:val="0"/>
                      <w:color w:val="auto"/>
                      <w:kern w:val="2"/>
                      <w:sz w:val="21"/>
                      <w:szCs w:val="21"/>
                      <w:highlight w:val="none"/>
                    </w:rPr>
                  </w:pPr>
                </w:p>
              </w:tc>
              <w:tc>
                <w:tcPr>
                  <w:tcW w:w="306" w:type="pct"/>
                  <w:noWrap w:val="0"/>
                  <w:vAlign w:val="center"/>
                </w:tcPr>
                <w:p w14:paraId="14B15594">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固态</w:t>
                  </w:r>
                </w:p>
              </w:tc>
              <w:tc>
                <w:tcPr>
                  <w:tcW w:w="354" w:type="pct"/>
                  <w:noWrap w:val="0"/>
                  <w:vAlign w:val="center"/>
                </w:tcPr>
                <w:p w14:paraId="3F7FF247">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eastAsia="宋体" w:cs="Times New Roman"/>
                      <w:color w:val="auto"/>
                      <w:sz w:val="21"/>
                      <w:szCs w:val="21"/>
                      <w:highlight w:val="none"/>
                      <w:lang w:val="en-US" w:eastAsia="zh-CN"/>
                    </w:rPr>
                    <w:t>润滑油桶</w:t>
                  </w:r>
                </w:p>
              </w:tc>
              <w:tc>
                <w:tcPr>
                  <w:tcW w:w="376" w:type="pct"/>
                  <w:noWrap w:val="0"/>
                  <w:vAlign w:val="center"/>
                </w:tcPr>
                <w:p w14:paraId="112D9986">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 w:val="21"/>
                      <w:szCs w:val="21"/>
                      <w:highlight w:val="none"/>
                    </w:rPr>
                  </w:pPr>
                  <w:r>
                    <w:rPr>
                      <w:rFonts w:hint="eastAsia" w:eastAsia="宋体" w:cs="Times New Roman"/>
                      <w:color w:val="auto"/>
                      <w:sz w:val="21"/>
                      <w:szCs w:val="21"/>
                      <w:highlight w:val="none"/>
                      <w:lang w:val="en-US" w:eastAsia="zh-CN"/>
                    </w:rPr>
                    <w:t>矿物油</w:t>
                  </w:r>
                </w:p>
              </w:tc>
              <w:tc>
                <w:tcPr>
                  <w:tcW w:w="291" w:type="pct"/>
                  <w:noWrap w:val="0"/>
                  <w:vAlign w:val="center"/>
                </w:tcPr>
                <w:p w14:paraId="7262DD6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kern w:val="2"/>
                      <w:sz w:val="21"/>
                      <w:szCs w:val="21"/>
                      <w:highlight w:val="none"/>
                    </w:rPr>
                  </w:pPr>
                  <w:r>
                    <w:rPr>
                      <w:rFonts w:hint="eastAsia" w:eastAsia="宋体" w:cs="Times New Roman"/>
                      <w:color w:val="auto"/>
                      <w:kern w:val="2"/>
                      <w:sz w:val="21"/>
                      <w:szCs w:val="21"/>
                      <w:highlight w:val="none"/>
                      <w:lang w:val="en-US" w:eastAsia="zh-CN"/>
                    </w:rPr>
                    <w:t>1</w:t>
                  </w:r>
                  <w:r>
                    <w:rPr>
                      <w:rFonts w:hint="default" w:ascii="Times New Roman" w:hAnsi="Times New Roman" w:eastAsia="宋体" w:cs="Times New Roman"/>
                      <w:color w:val="auto"/>
                      <w:kern w:val="2"/>
                      <w:sz w:val="21"/>
                      <w:szCs w:val="21"/>
                      <w:highlight w:val="none"/>
                    </w:rPr>
                    <w:t>次</w:t>
                  </w:r>
                  <w:r>
                    <w:rPr>
                      <w:rFonts w:hint="eastAsia" w:ascii="Times New Roman" w:hAnsi="Times New Roman" w:eastAsia="宋体" w:cs="Times New Roman"/>
                      <w:color w:val="auto"/>
                      <w:kern w:val="2"/>
                      <w:sz w:val="21"/>
                      <w:szCs w:val="21"/>
                      <w:highlight w:val="none"/>
                      <w:lang w:val="en-US" w:eastAsia="zh-CN"/>
                    </w:rPr>
                    <w:t>/</w:t>
                  </w:r>
                  <w:r>
                    <w:rPr>
                      <w:rFonts w:hint="eastAsia" w:eastAsia="宋体" w:cs="Times New Roman"/>
                      <w:color w:val="auto"/>
                      <w:kern w:val="2"/>
                      <w:sz w:val="21"/>
                      <w:szCs w:val="21"/>
                      <w:highlight w:val="none"/>
                      <w:lang w:val="en-US" w:eastAsia="zh-CN"/>
                    </w:rPr>
                    <w:t>半</w:t>
                  </w:r>
                  <w:r>
                    <w:rPr>
                      <w:rFonts w:hint="default" w:ascii="Times New Roman" w:hAnsi="Times New Roman" w:eastAsia="宋体" w:cs="Times New Roman"/>
                      <w:color w:val="auto"/>
                      <w:kern w:val="2"/>
                      <w:sz w:val="21"/>
                      <w:szCs w:val="21"/>
                      <w:highlight w:val="none"/>
                    </w:rPr>
                    <w:t>年</w:t>
                  </w:r>
                </w:p>
              </w:tc>
              <w:tc>
                <w:tcPr>
                  <w:tcW w:w="385" w:type="pct"/>
                  <w:noWrap w:val="0"/>
                  <w:vAlign w:val="center"/>
                </w:tcPr>
                <w:p w14:paraId="4C40C9C5">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T，I</w:t>
                  </w:r>
                </w:p>
              </w:tc>
              <w:tc>
                <w:tcPr>
                  <w:tcW w:w="610" w:type="pct"/>
                  <w:vMerge w:val="continue"/>
                  <w:noWrap w:val="0"/>
                  <w:vAlign w:val="center"/>
                </w:tcPr>
                <w:p w14:paraId="40A41724">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zh-CN"/>
                    </w:rPr>
                  </w:pPr>
                </w:p>
              </w:tc>
            </w:tr>
            <w:tr w14:paraId="7410B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71" w:type="pct"/>
                  <w:noWrap w:val="0"/>
                  <w:vAlign w:val="center"/>
                </w:tcPr>
                <w:p w14:paraId="47ED017E">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3</w:t>
                  </w:r>
                </w:p>
              </w:tc>
              <w:tc>
                <w:tcPr>
                  <w:tcW w:w="445" w:type="pct"/>
                  <w:shd w:val="clear" w:color="auto" w:fill="auto"/>
                  <w:noWrap w:val="0"/>
                  <w:vAlign w:val="center"/>
                </w:tcPr>
                <w:p w14:paraId="2F03AE27">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废切削液</w:t>
                  </w:r>
                </w:p>
              </w:tc>
              <w:tc>
                <w:tcPr>
                  <w:tcW w:w="432" w:type="pct"/>
                  <w:shd w:val="clear" w:color="auto" w:fill="auto"/>
                  <w:noWrap w:val="0"/>
                  <w:vAlign w:val="center"/>
                </w:tcPr>
                <w:p w14:paraId="4AABC325">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pt-BR" w:eastAsia="zh-CN" w:bidi="ar-SA"/>
                    </w:rPr>
                  </w:pPr>
                  <w:r>
                    <w:rPr>
                      <w:rFonts w:hint="eastAsia"/>
                      <w:bCs/>
                      <w:color w:val="auto"/>
                      <w:sz w:val="21"/>
                      <w:szCs w:val="21"/>
                      <w:highlight w:val="none"/>
                      <w:lang w:val="en-US" w:eastAsia="zh-CN"/>
                    </w:rPr>
                    <w:t>HW09</w:t>
                  </w:r>
                </w:p>
              </w:tc>
              <w:tc>
                <w:tcPr>
                  <w:tcW w:w="721" w:type="pct"/>
                  <w:shd w:val="clear" w:color="auto" w:fill="auto"/>
                  <w:noWrap w:val="0"/>
                  <w:vAlign w:val="center"/>
                </w:tcPr>
                <w:p w14:paraId="7C077873">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pt-BR" w:eastAsia="zh-CN" w:bidi="ar-SA"/>
                    </w:rPr>
                  </w:pPr>
                  <w:r>
                    <w:rPr>
                      <w:rFonts w:hint="eastAsia"/>
                      <w:bCs/>
                      <w:color w:val="auto"/>
                      <w:sz w:val="21"/>
                      <w:szCs w:val="21"/>
                      <w:highlight w:val="none"/>
                      <w:lang w:val="en-US" w:eastAsia="zh-CN"/>
                    </w:rPr>
                    <w:t>900-006-09</w:t>
                  </w:r>
                </w:p>
              </w:tc>
              <w:tc>
                <w:tcPr>
                  <w:tcW w:w="500" w:type="pct"/>
                  <w:shd w:val="clear" w:color="auto" w:fill="auto"/>
                  <w:noWrap w:val="0"/>
                  <w:vAlign w:val="center"/>
                </w:tcPr>
                <w:p w14:paraId="7487B106">
                  <w:pPr>
                    <w:keepNext w:val="0"/>
                    <w:keepLines w:val="0"/>
                    <w:suppressLineNumbers w:val="0"/>
                    <w:snapToGrid w:val="0"/>
                    <w:spacing w:before="0" w:beforeAutospacing="0" w:after="0" w:afterAutospacing="0" w:line="360" w:lineRule="exact"/>
                    <w:ind w:left="-105" w:leftChars="-50" w:right="-105" w:rightChars="-50"/>
                    <w:jc w:val="center"/>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0.576</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403" w:type="pct"/>
                  <w:vMerge w:val="continue"/>
                  <w:noWrap w:val="0"/>
                  <w:vAlign w:val="center"/>
                </w:tcPr>
                <w:p w14:paraId="1EBA2177">
                  <w:pPr>
                    <w:pStyle w:val="39"/>
                    <w:keepNext w:val="0"/>
                    <w:keepLines w:val="0"/>
                    <w:suppressLineNumbers w:val="0"/>
                    <w:spacing w:before="0" w:beforeAutospacing="0" w:after="0" w:afterAutospacing="0" w:line="360" w:lineRule="exact"/>
                    <w:ind w:left="0" w:leftChars="0" w:right="0"/>
                    <w:jc w:val="center"/>
                    <w:rPr>
                      <w:rFonts w:hint="default" w:ascii="Times New Roman" w:hAnsi="Times New Roman" w:cs="Times New Roman"/>
                      <w:smallCaps w:val="0"/>
                      <w:color w:val="auto"/>
                      <w:kern w:val="2"/>
                      <w:sz w:val="21"/>
                      <w:szCs w:val="21"/>
                      <w:highlight w:val="none"/>
                    </w:rPr>
                  </w:pPr>
                </w:p>
              </w:tc>
              <w:tc>
                <w:tcPr>
                  <w:tcW w:w="306" w:type="pct"/>
                  <w:noWrap w:val="0"/>
                  <w:vAlign w:val="center"/>
                </w:tcPr>
                <w:p w14:paraId="2DBE8602">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液态</w:t>
                  </w:r>
                </w:p>
              </w:tc>
              <w:tc>
                <w:tcPr>
                  <w:tcW w:w="354" w:type="pct"/>
                  <w:noWrap w:val="0"/>
                  <w:vAlign w:val="center"/>
                </w:tcPr>
                <w:p w14:paraId="2F0770F7">
                  <w:pPr>
                    <w:keepNext w:val="0"/>
                    <w:keepLines w:val="0"/>
                    <w:suppressLineNumbers w:val="0"/>
                    <w:spacing w:before="0" w:beforeAutospacing="0" w:after="0" w:afterAutospacing="0"/>
                    <w:ind w:left="0" w:right="0"/>
                    <w:jc w:val="center"/>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切削液</w:t>
                  </w:r>
                </w:p>
              </w:tc>
              <w:tc>
                <w:tcPr>
                  <w:tcW w:w="376" w:type="pct"/>
                  <w:noWrap w:val="0"/>
                  <w:vAlign w:val="center"/>
                </w:tcPr>
                <w:p w14:paraId="533DBF95">
                  <w:pPr>
                    <w:keepNext w:val="0"/>
                    <w:keepLines w:val="0"/>
                    <w:suppressLineNumbers w:val="0"/>
                    <w:spacing w:before="0" w:beforeAutospacing="0" w:after="0" w:afterAutospacing="0"/>
                    <w:ind w:left="0" w:right="0"/>
                    <w:jc w:val="center"/>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切削液</w:t>
                  </w:r>
                </w:p>
              </w:tc>
              <w:tc>
                <w:tcPr>
                  <w:tcW w:w="291" w:type="pct"/>
                  <w:noWrap w:val="0"/>
                  <w:vAlign w:val="center"/>
                </w:tcPr>
                <w:p w14:paraId="4F9B6B0B">
                  <w:pPr>
                    <w:keepNext w:val="0"/>
                    <w:keepLines w:val="0"/>
                    <w:suppressLineNumbers w:val="0"/>
                    <w:spacing w:before="0" w:beforeAutospacing="0" w:after="0" w:afterAutospacing="0" w:line="240" w:lineRule="auto"/>
                    <w:ind w:left="0" w:right="0"/>
                    <w:jc w:val="center"/>
                    <w:rPr>
                      <w:rFonts w:hint="eastAsia" w:eastAsia="宋体" w:cs="Times New Roman"/>
                      <w:color w:val="auto"/>
                      <w:kern w:val="2"/>
                      <w:sz w:val="21"/>
                      <w:szCs w:val="21"/>
                      <w:highlight w:val="none"/>
                      <w:lang w:val="en-US" w:eastAsia="zh-CN"/>
                    </w:rPr>
                  </w:pPr>
                  <w:r>
                    <w:rPr>
                      <w:rFonts w:hint="eastAsia" w:eastAsia="宋体" w:cs="Times New Roman"/>
                      <w:color w:val="auto"/>
                      <w:kern w:val="2"/>
                      <w:sz w:val="21"/>
                      <w:szCs w:val="21"/>
                      <w:highlight w:val="none"/>
                      <w:lang w:val="en-US" w:eastAsia="zh-CN"/>
                    </w:rPr>
                    <w:t>1</w:t>
                  </w:r>
                  <w:r>
                    <w:rPr>
                      <w:rFonts w:hint="default" w:ascii="Times New Roman" w:hAnsi="Times New Roman" w:eastAsia="宋体" w:cs="Times New Roman"/>
                      <w:color w:val="auto"/>
                      <w:kern w:val="2"/>
                      <w:sz w:val="21"/>
                      <w:szCs w:val="21"/>
                      <w:highlight w:val="none"/>
                    </w:rPr>
                    <w:t>次</w:t>
                  </w:r>
                  <w:r>
                    <w:rPr>
                      <w:rFonts w:hint="eastAsia" w:ascii="Times New Roman" w:hAnsi="Times New Roman" w:eastAsia="宋体" w:cs="Times New Roman"/>
                      <w:color w:val="auto"/>
                      <w:kern w:val="2"/>
                      <w:sz w:val="21"/>
                      <w:szCs w:val="21"/>
                      <w:highlight w:val="none"/>
                      <w:lang w:val="en-US" w:eastAsia="zh-CN"/>
                    </w:rPr>
                    <w:t>/</w:t>
                  </w:r>
                  <w:r>
                    <w:rPr>
                      <w:rFonts w:hint="eastAsia" w:eastAsia="宋体" w:cs="Times New Roman"/>
                      <w:color w:val="auto"/>
                      <w:kern w:val="2"/>
                      <w:sz w:val="21"/>
                      <w:szCs w:val="21"/>
                      <w:highlight w:val="none"/>
                      <w:lang w:val="en-US" w:eastAsia="zh-CN"/>
                    </w:rPr>
                    <w:t>半</w:t>
                  </w:r>
                  <w:r>
                    <w:rPr>
                      <w:rFonts w:hint="default" w:ascii="Times New Roman" w:hAnsi="Times New Roman" w:eastAsia="宋体" w:cs="Times New Roman"/>
                      <w:color w:val="auto"/>
                      <w:kern w:val="2"/>
                      <w:sz w:val="21"/>
                      <w:szCs w:val="21"/>
                      <w:highlight w:val="none"/>
                    </w:rPr>
                    <w:t>年</w:t>
                  </w:r>
                </w:p>
              </w:tc>
              <w:tc>
                <w:tcPr>
                  <w:tcW w:w="385" w:type="pct"/>
                  <w:noWrap w:val="0"/>
                  <w:vAlign w:val="center"/>
                </w:tcPr>
                <w:p w14:paraId="6EEBCA02">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T</w:t>
                  </w:r>
                </w:p>
              </w:tc>
              <w:tc>
                <w:tcPr>
                  <w:tcW w:w="610" w:type="pct"/>
                  <w:vMerge w:val="continue"/>
                  <w:noWrap w:val="0"/>
                  <w:vAlign w:val="center"/>
                </w:tcPr>
                <w:p w14:paraId="16A7BFF5">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zh-CN"/>
                    </w:rPr>
                  </w:pPr>
                </w:p>
              </w:tc>
            </w:tr>
            <w:tr w14:paraId="7480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71" w:type="pct"/>
                  <w:noWrap w:val="0"/>
                  <w:vAlign w:val="center"/>
                </w:tcPr>
                <w:p w14:paraId="013DBF53">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4</w:t>
                  </w:r>
                </w:p>
              </w:tc>
              <w:tc>
                <w:tcPr>
                  <w:tcW w:w="445" w:type="pct"/>
                  <w:shd w:val="clear" w:color="auto" w:fill="auto"/>
                  <w:noWrap w:val="0"/>
                  <w:vAlign w:val="center"/>
                </w:tcPr>
                <w:p w14:paraId="39E92118">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废切削液桶</w:t>
                  </w:r>
                </w:p>
              </w:tc>
              <w:tc>
                <w:tcPr>
                  <w:tcW w:w="432" w:type="pct"/>
                  <w:shd w:val="clear" w:color="auto" w:fill="auto"/>
                  <w:noWrap w:val="0"/>
                  <w:vAlign w:val="center"/>
                </w:tcPr>
                <w:p w14:paraId="062AFD28">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pt-BR" w:eastAsia="zh-CN" w:bidi="ar-SA"/>
                    </w:rPr>
                  </w:pPr>
                  <w:r>
                    <w:rPr>
                      <w:rFonts w:hint="default"/>
                      <w:bCs/>
                      <w:color w:val="auto"/>
                      <w:sz w:val="21"/>
                      <w:szCs w:val="21"/>
                      <w:highlight w:val="none"/>
                      <w:lang w:val="pt-BR"/>
                    </w:rPr>
                    <w:t>HW49</w:t>
                  </w:r>
                </w:p>
              </w:tc>
              <w:tc>
                <w:tcPr>
                  <w:tcW w:w="721" w:type="pct"/>
                  <w:shd w:val="clear" w:color="auto" w:fill="auto"/>
                  <w:noWrap w:val="0"/>
                  <w:vAlign w:val="center"/>
                </w:tcPr>
                <w:p w14:paraId="10F00159">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pt-BR" w:eastAsia="zh-CN" w:bidi="ar-SA"/>
                    </w:rPr>
                  </w:pPr>
                  <w:r>
                    <w:rPr>
                      <w:rFonts w:hint="default"/>
                      <w:bCs/>
                      <w:color w:val="auto"/>
                      <w:sz w:val="21"/>
                      <w:szCs w:val="21"/>
                      <w:highlight w:val="none"/>
                      <w:lang w:val="pt-BR"/>
                    </w:rPr>
                    <w:t>900-041-49</w:t>
                  </w:r>
                </w:p>
              </w:tc>
              <w:tc>
                <w:tcPr>
                  <w:tcW w:w="500" w:type="pct"/>
                  <w:shd w:val="clear" w:color="auto" w:fill="auto"/>
                  <w:noWrap w:val="0"/>
                  <w:vAlign w:val="center"/>
                </w:tcPr>
                <w:p w14:paraId="2576CB2F">
                  <w:pPr>
                    <w:keepNext w:val="0"/>
                    <w:keepLines w:val="0"/>
                    <w:suppressLineNumbers w:val="0"/>
                    <w:snapToGrid w:val="0"/>
                    <w:spacing w:before="0" w:beforeAutospacing="0" w:after="0" w:afterAutospacing="0" w:line="360" w:lineRule="exact"/>
                    <w:ind w:left="-105" w:leftChars="-50" w:right="-105" w:rightChars="-50"/>
                    <w:jc w:val="center"/>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0.006</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403" w:type="pct"/>
                  <w:vMerge w:val="continue"/>
                  <w:noWrap w:val="0"/>
                  <w:vAlign w:val="center"/>
                </w:tcPr>
                <w:p w14:paraId="5FB787F3">
                  <w:pPr>
                    <w:pStyle w:val="39"/>
                    <w:keepNext w:val="0"/>
                    <w:keepLines w:val="0"/>
                    <w:suppressLineNumbers w:val="0"/>
                    <w:spacing w:before="0" w:beforeAutospacing="0" w:after="0" w:afterAutospacing="0" w:line="360" w:lineRule="exact"/>
                    <w:ind w:left="0" w:leftChars="0" w:right="0"/>
                    <w:jc w:val="center"/>
                    <w:rPr>
                      <w:rFonts w:hint="default" w:ascii="Times New Roman" w:hAnsi="Times New Roman" w:cs="Times New Roman"/>
                      <w:smallCaps w:val="0"/>
                      <w:color w:val="auto"/>
                      <w:kern w:val="2"/>
                      <w:sz w:val="21"/>
                      <w:szCs w:val="21"/>
                      <w:highlight w:val="none"/>
                    </w:rPr>
                  </w:pPr>
                </w:p>
              </w:tc>
              <w:tc>
                <w:tcPr>
                  <w:tcW w:w="306" w:type="pct"/>
                  <w:noWrap w:val="0"/>
                  <w:vAlign w:val="center"/>
                </w:tcPr>
                <w:p w14:paraId="35FEFA6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固态</w:t>
                  </w:r>
                </w:p>
              </w:tc>
              <w:tc>
                <w:tcPr>
                  <w:tcW w:w="354" w:type="pct"/>
                  <w:noWrap w:val="0"/>
                  <w:vAlign w:val="center"/>
                </w:tcPr>
                <w:p w14:paraId="67D4C336">
                  <w:pPr>
                    <w:keepNext w:val="0"/>
                    <w:keepLines w:val="0"/>
                    <w:suppressLineNumbers w:val="0"/>
                    <w:spacing w:before="0" w:beforeAutospacing="0" w:after="0" w:afterAutospacing="0"/>
                    <w:ind w:left="0" w:right="0"/>
                    <w:jc w:val="center"/>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切削液桶</w:t>
                  </w:r>
                </w:p>
              </w:tc>
              <w:tc>
                <w:tcPr>
                  <w:tcW w:w="376" w:type="pct"/>
                  <w:noWrap w:val="0"/>
                  <w:vAlign w:val="center"/>
                </w:tcPr>
                <w:p w14:paraId="14CA9F1B">
                  <w:pPr>
                    <w:keepNext w:val="0"/>
                    <w:keepLines w:val="0"/>
                    <w:suppressLineNumbers w:val="0"/>
                    <w:spacing w:before="0" w:beforeAutospacing="0" w:after="0" w:afterAutospacing="0"/>
                    <w:ind w:left="0" w:right="0"/>
                    <w:jc w:val="center"/>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切削液</w:t>
                  </w:r>
                </w:p>
              </w:tc>
              <w:tc>
                <w:tcPr>
                  <w:tcW w:w="291" w:type="pct"/>
                  <w:shd w:val="clear" w:color="auto" w:fill="auto"/>
                  <w:noWrap w:val="0"/>
                  <w:vAlign w:val="center"/>
                </w:tcPr>
                <w:p w14:paraId="3D766CD1">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eastAsia="宋体" w:cs="Times New Roman"/>
                      <w:color w:val="auto"/>
                      <w:kern w:val="2"/>
                      <w:sz w:val="21"/>
                      <w:szCs w:val="21"/>
                      <w:highlight w:val="none"/>
                      <w:lang w:val="en-US" w:eastAsia="zh-CN"/>
                    </w:rPr>
                    <w:t>1</w:t>
                  </w:r>
                  <w:r>
                    <w:rPr>
                      <w:rFonts w:hint="default" w:ascii="Times New Roman" w:hAnsi="Times New Roman" w:eastAsia="宋体" w:cs="Times New Roman"/>
                      <w:color w:val="auto"/>
                      <w:kern w:val="2"/>
                      <w:sz w:val="21"/>
                      <w:szCs w:val="21"/>
                      <w:highlight w:val="none"/>
                    </w:rPr>
                    <w:t>次</w:t>
                  </w:r>
                  <w:r>
                    <w:rPr>
                      <w:rFonts w:hint="eastAsia" w:ascii="Times New Roman" w:hAnsi="Times New Roman" w:eastAsia="宋体" w:cs="Times New Roman"/>
                      <w:color w:val="auto"/>
                      <w:kern w:val="2"/>
                      <w:sz w:val="21"/>
                      <w:szCs w:val="21"/>
                      <w:highlight w:val="none"/>
                      <w:lang w:val="en-US" w:eastAsia="zh-CN"/>
                    </w:rPr>
                    <w:t>/</w:t>
                  </w:r>
                  <w:r>
                    <w:rPr>
                      <w:rFonts w:hint="eastAsia" w:eastAsia="宋体" w:cs="Times New Roman"/>
                      <w:color w:val="auto"/>
                      <w:kern w:val="2"/>
                      <w:sz w:val="21"/>
                      <w:szCs w:val="21"/>
                      <w:highlight w:val="none"/>
                      <w:lang w:val="en-US" w:eastAsia="zh-CN"/>
                    </w:rPr>
                    <w:t>半</w:t>
                  </w:r>
                  <w:r>
                    <w:rPr>
                      <w:rFonts w:hint="default" w:ascii="Times New Roman" w:hAnsi="Times New Roman" w:eastAsia="宋体" w:cs="Times New Roman"/>
                      <w:color w:val="auto"/>
                      <w:kern w:val="2"/>
                      <w:sz w:val="21"/>
                      <w:szCs w:val="21"/>
                      <w:highlight w:val="none"/>
                    </w:rPr>
                    <w:t>年</w:t>
                  </w:r>
                </w:p>
              </w:tc>
              <w:tc>
                <w:tcPr>
                  <w:tcW w:w="385" w:type="pct"/>
                  <w:shd w:val="clear" w:color="auto" w:fill="auto"/>
                  <w:noWrap w:val="0"/>
                  <w:vAlign w:val="center"/>
                </w:tcPr>
                <w:p w14:paraId="535A22BA">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 w:val="21"/>
                      <w:szCs w:val="21"/>
                      <w:highlight w:val="none"/>
                    </w:rPr>
                    <w:t>T，I</w:t>
                  </w:r>
                </w:p>
              </w:tc>
              <w:tc>
                <w:tcPr>
                  <w:tcW w:w="610" w:type="pct"/>
                  <w:vMerge w:val="continue"/>
                  <w:noWrap w:val="0"/>
                  <w:vAlign w:val="center"/>
                </w:tcPr>
                <w:p w14:paraId="6539215A">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zh-CN"/>
                    </w:rPr>
                  </w:pPr>
                </w:p>
              </w:tc>
            </w:tr>
            <w:tr w14:paraId="12DE3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71" w:type="pct"/>
                  <w:noWrap w:val="0"/>
                  <w:vAlign w:val="center"/>
                </w:tcPr>
                <w:p w14:paraId="280BAF91">
                  <w:pPr>
                    <w:keepNext w:val="0"/>
                    <w:keepLines w:val="0"/>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5</w:t>
                  </w:r>
                </w:p>
              </w:tc>
              <w:tc>
                <w:tcPr>
                  <w:tcW w:w="445" w:type="pct"/>
                  <w:noWrap w:val="0"/>
                  <w:vAlign w:val="center"/>
                </w:tcPr>
                <w:p w14:paraId="6B8F5EB1">
                  <w:pPr>
                    <w:keepNext w:val="0"/>
                    <w:keepLines w:val="0"/>
                    <w:suppressLineNumbers w:val="0"/>
                    <w:tabs>
                      <w:tab w:val="center" w:pos="4153"/>
                      <w:tab w:val="right" w:pos="8306"/>
                    </w:tabs>
                    <w:snapToGrid w:val="0"/>
                    <w:spacing w:before="0" w:beforeAutospacing="0" w:after="0" w:afterAutospacing="0"/>
                    <w:ind w:left="0" w:right="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含油抹布及废劳保用品</w:t>
                  </w:r>
                </w:p>
              </w:tc>
              <w:tc>
                <w:tcPr>
                  <w:tcW w:w="432" w:type="pct"/>
                  <w:shd w:val="clear" w:color="auto" w:fill="auto"/>
                  <w:noWrap w:val="0"/>
                  <w:vAlign w:val="center"/>
                </w:tcPr>
                <w:p w14:paraId="22A341E9">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HW49</w:t>
                  </w:r>
                </w:p>
              </w:tc>
              <w:tc>
                <w:tcPr>
                  <w:tcW w:w="721" w:type="pct"/>
                  <w:shd w:val="clear" w:color="auto" w:fill="auto"/>
                  <w:noWrap w:val="0"/>
                  <w:vAlign w:val="center"/>
                </w:tcPr>
                <w:p w14:paraId="03A0B56D">
                  <w:pPr>
                    <w:keepNext w:val="0"/>
                    <w:keepLines w:val="0"/>
                    <w:suppressLineNumbers w:val="0"/>
                    <w:topLinePunct/>
                    <w:adjustRightInd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bCs/>
                      <w:color w:val="auto"/>
                      <w:kern w:val="2"/>
                      <w:sz w:val="21"/>
                      <w:szCs w:val="21"/>
                      <w:highlight w:val="none"/>
                      <w:lang w:val="en-US" w:eastAsia="zh-CN" w:bidi="ar-SA"/>
                    </w:rPr>
                  </w:pPr>
                  <w:r>
                    <w:rPr>
                      <w:rFonts w:hint="default"/>
                      <w:bCs/>
                      <w:color w:val="auto"/>
                      <w:sz w:val="21"/>
                      <w:szCs w:val="21"/>
                      <w:highlight w:val="none"/>
                      <w:lang w:val="pt-BR"/>
                    </w:rPr>
                    <w:t>900-041-49</w:t>
                  </w:r>
                </w:p>
              </w:tc>
              <w:tc>
                <w:tcPr>
                  <w:tcW w:w="500" w:type="pct"/>
                  <w:shd w:val="clear" w:color="auto" w:fill="auto"/>
                  <w:noWrap w:val="0"/>
                  <w:vAlign w:val="center"/>
                </w:tcPr>
                <w:p w14:paraId="6C4022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0.368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403" w:type="pct"/>
                  <w:vMerge w:val="continue"/>
                  <w:noWrap w:val="0"/>
                  <w:vAlign w:val="center"/>
                </w:tcPr>
                <w:p w14:paraId="09136980">
                  <w:pPr>
                    <w:pStyle w:val="39"/>
                    <w:keepNext w:val="0"/>
                    <w:keepLines w:val="0"/>
                    <w:suppressLineNumbers w:val="0"/>
                    <w:spacing w:before="0" w:beforeAutospacing="0" w:after="0" w:afterAutospacing="0" w:line="360" w:lineRule="exact"/>
                    <w:ind w:left="0" w:leftChars="0" w:right="0"/>
                    <w:jc w:val="center"/>
                    <w:rPr>
                      <w:rFonts w:hint="default" w:ascii="Times New Roman" w:hAnsi="Times New Roman" w:cs="Times New Roman"/>
                      <w:smallCaps w:val="0"/>
                      <w:color w:val="auto"/>
                      <w:kern w:val="2"/>
                      <w:sz w:val="21"/>
                      <w:szCs w:val="21"/>
                      <w:highlight w:val="none"/>
                    </w:rPr>
                  </w:pPr>
                </w:p>
              </w:tc>
              <w:tc>
                <w:tcPr>
                  <w:tcW w:w="306" w:type="pct"/>
                  <w:shd w:val="clear" w:color="auto" w:fill="auto"/>
                  <w:noWrap w:val="0"/>
                  <w:vAlign w:val="center"/>
                </w:tcPr>
                <w:p w14:paraId="3632FAEE">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固态</w:t>
                  </w:r>
                </w:p>
              </w:tc>
              <w:tc>
                <w:tcPr>
                  <w:tcW w:w="354" w:type="pct"/>
                  <w:shd w:val="clear" w:color="auto" w:fill="auto"/>
                  <w:noWrap w:val="0"/>
                  <w:vAlign w:val="center"/>
                </w:tcPr>
                <w:p w14:paraId="57E798D2">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napToGrid w:val="0"/>
                      <w:color w:val="auto"/>
                      <w:kern w:val="28"/>
                      <w:sz w:val="21"/>
                      <w:szCs w:val="21"/>
                      <w:highlight w:val="none"/>
                      <w:lang w:val="en-US" w:eastAsia="zh-CN" w:bidi="ar-SA"/>
                    </w:rPr>
                  </w:pPr>
                  <w:r>
                    <w:rPr>
                      <w:rFonts w:hint="eastAsia" w:eastAsia="宋体" w:cs="Times New Roman"/>
                      <w:color w:val="auto"/>
                      <w:sz w:val="21"/>
                      <w:szCs w:val="21"/>
                      <w:highlight w:val="none"/>
                      <w:lang w:val="en-US" w:eastAsia="zh-CN"/>
                    </w:rPr>
                    <w:t>抹布及劳保用品</w:t>
                  </w:r>
                </w:p>
              </w:tc>
              <w:tc>
                <w:tcPr>
                  <w:tcW w:w="376" w:type="pct"/>
                  <w:shd w:val="clear" w:color="auto" w:fill="auto"/>
                  <w:noWrap w:val="0"/>
                  <w:vAlign w:val="center"/>
                </w:tcPr>
                <w:p w14:paraId="03F3171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napToGrid w:val="0"/>
                      <w:color w:val="auto"/>
                      <w:kern w:val="28"/>
                      <w:sz w:val="21"/>
                      <w:szCs w:val="21"/>
                      <w:highlight w:val="none"/>
                      <w:lang w:val="en-US" w:eastAsia="zh-CN" w:bidi="ar-SA"/>
                    </w:rPr>
                  </w:pPr>
                  <w:r>
                    <w:rPr>
                      <w:rFonts w:hint="eastAsia" w:eastAsia="宋体" w:cs="Times New Roman"/>
                      <w:color w:val="auto"/>
                      <w:sz w:val="21"/>
                      <w:szCs w:val="21"/>
                      <w:highlight w:val="none"/>
                      <w:lang w:val="en-US" w:eastAsia="zh-CN"/>
                    </w:rPr>
                    <w:t>矿物油</w:t>
                  </w:r>
                </w:p>
              </w:tc>
              <w:tc>
                <w:tcPr>
                  <w:tcW w:w="291" w:type="pct"/>
                  <w:noWrap w:val="0"/>
                  <w:vAlign w:val="center"/>
                </w:tcPr>
                <w:p w14:paraId="7FE44ED3">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rPr>
                  </w:pPr>
                  <w:r>
                    <w:rPr>
                      <w:rFonts w:hint="eastAsia" w:eastAsia="宋体" w:cs="Times New Roman"/>
                      <w:color w:val="auto"/>
                      <w:kern w:val="2"/>
                      <w:sz w:val="21"/>
                      <w:szCs w:val="21"/>
                      <w:highlight w:val="none"/>
                      <w:lang w:val="en-US" w:eastAsia="zh-CN"/>
                    </w:rPr>
                    <w:t>1</w:t>
                  </w:r>
                  <w:r>
                    <w:rPr>
                      <w:rFonts w:hint="default" w:ascii="Times New Roman" w:hAnsi="Times New Roman" w:eastAsia="宋体" w:cs="Times New Roman"/>
                      <w:color w:val="auto"/>
                      <w:kern w:val="2"/>
                      <w:sz w:val="21"/>
                      <w:szCs w:val="21"/>
                      <w:highlight w:val="none"/>
                    </w:rPr>
                    <w:t>次</w:t>
                  </w:r>
                  <w:r>
                    <w:rPr>
                      <w:rFonts w:hint="eastAsia" w:ascii="Times New Roman" w:hAnsi="Times New Roman" w:eastAsia="宋体" w:cs="Times New Roman"/>
                      <w:color w:val="auto"/>
                      <w:kern w:val="2"/>
                      <w:sz w:val="21"/>
                      <w:szCs w:val="21"/>
                      <w:highlight w:val="none"/>
                      <w:lang w:val="en-US" w:eastAsia="zh-CN"/>
                    </w:rPr>
                    <w:t>/</w:t>
                  </w:r>
                  <w:r>
                    <w:rPr>
                      <w:rFonts w:hint="eastAsia" w:eastAsia="宋体" w:cs="Times New Roman"/>
                      <w:color w:val="auto"/>
                      <w:kern w:val="2"/>
                      <w:sz w:val="21"/>
                      <w:szCs w:val="21"/>
                      <w:highlight w:val="none"/>
                      <w:lang w:val="en-US" w:eastAsia="zh-CN"/>
                    </w:rPr>
                    <w:t>半</w:t>
                  </w:r>
                  <w:r>
                    <w:rPr>
                      <w:rFonts w:hint="default" w:ascii="Times New Roman" w:hAnsi="Times New Roman" w:eastAsia="宋体" w:cs="Times New Roman"/>
                      <w:color w:val="auto"/>
                      <w:kern w:val="2"/>
                      <w:sz w:val="21"/>
                      <w:szCs w:val="21"/>
                      <w:highlight w:val="none"/>
                    </w:rPr>
                    <w:t>年</w:t>
                  </w:r>
                </w:p>
              </w:tc>
              <w:tc>
                <w:tcPr>
                  <w:tcW w:w="385" w:type="pct"/>
                  <w:noWrap w:val="0"/>
                  <w:vAlign w:val="center"/>
                </w:tcPr>
                <w:p w14:paraId="15AD2C89">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T，I</w:t>
                  </w:r>
                </w:p>
              </w:tc>
              <w:tc>
                <w:tcPr>
                  <w:tcW w:w="610" w:type="pct"/>
                  <w:vMerge w:val="continue"/>
                  <w:noWrap w:val="0"/>
                  <w:vAlign w:val="center"/>
                </w:tcPr>
                <w:p w14:paraId="778A521A">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sz w:val="21"/>
                      <w:szCs w:val="21"/>
                      <w:highlight w:val="none"/>
                      <w:lang w:val="zh-CN"/>
                    </w:rPr>
                  </w:pPr>
                </w:p>
              </w:tc>
            </w:tr>
          </w:tbl>
          <w:p w14:paraId="4312EB27">
            <w:pPr>
              <w:keepNext w:val="0"/>
              <w:keepLines w:val="0"/>
              <w:suppressLineNumbers w:val="0"/>
              <w:spacing w:before="0" w:beforeAutospacing="0" w:after="0" w:afterAutospacing="0" w:line="460" w:lineRule="exact"/>
              <w:ind w:left="0" w:right="0" w:firstLine="480" w:firstLineChars="200"/>
              <w:rPr>
                <w:rFonts w:hint="default" w:ascii="Times New Roman" w:hAnsi="Times New Roman" w:eastAsia="宋体" w:cs="Times New Roman"/>
                <w:color w:val="auto"/>
                <w:sz w:val="24"/>
                <w:szCs w:val="20"/>
                <w:highlight w:val="none"/>
              </w:rPr>
            </w:pPr>
            <w:r>
              <w:rPr>
                <w:rFonts w:hint="default" w:ascii="Times New Roman" w:hAnsi="Times New Roman" w:eastAsia="宋体" w:cs="Times New Roman"/>
                <w:color w:val="auto"/>
                <w:sz w:val="24"/>
                <w:szCs w:val="20"/>
                <w:highlight w:val="none"/>
              </w:rPr>
              <w:t>危险废物贮存场所（设施）环境影响分析</w:t>
            </w:r>
          </w:p>
          <w:p w14:paraId="5A069376">
            <w:pPr>
              <w:keepNext w:val="0"/>
              <w:keepLines w:val="0"/>
              <w:suppressLineNumbers w:val="0"/>
              <w:spacing w:before="0" w:beforeAutospacing="0" w:after="0" w:afterAutospacing="0" w:line="460" w:lineRule="exact"/>
              <w:ind w:left="0" w:right="0" w:firstLine="480" w:firstLineChars="200"/>
              <w:rPr>
                <w:rFonts w:hint="default" w:ascii="Times New Roman" w:hAnsi="Times New Roman" w:eastAsia="宋体" w:cs="Times New Roman"/>
                <w:color w:val="auto"/>
                <w:sz w:val="24"/>
                <w:szCs w:val="20"/>
                <w:highlight w:val="none"/>
                <w:lang w:val="en-US" w:eastAsia="zh-CN"/>
              </w:rPr>
            </w:pPr>
            <w:r>
              <w:rPr>
                <w:rFonts w:hint="default" w:ascii="Times New Roman" w:hAnsi="Times New Roman" w:eastAsia="宋体" w:cs="Times New Roman"/>
                <w:color w:val="auto"/>
                <w:sz w:val="24"/>
                <w:szCs w:val="20"/>
                <w:highlight w:val="none"/>
              </w:rPr>
              <w:t>项目位于河北省石家庄市</w:t>
            </w:r>
            <w:r>
              <w:rPr>
                <w:rFonts w:hint="default" w:ascii="Times New Roman" w:hAnsi="Times New Roman" w:eastAsia="宋体" w:cs="Times New Roman"/>
                <w:color w:val="auto"/>
                <w:sz w:val="24"/>
                <w:szCs w:val="20"/>
                <w:highlight w:val="none"/>
                <w:lang w:val="en-US" w:eastAsia="zh-CN"/>
              </w:rPr>
              <w:t>井陉矿区</w:t>
            </w:r>
            <w:r>
              <w:rPr>
                <w:rFonts w:hint="eastAsia" w:cs="Times New Roman"/>
                <w:color w:val="auto"/>
                <w:sz w:val="24"/>
                <w:szCs w:val="20"/>
                <w:highlight w:val="none"/>
                <w:lang w:val="en-US" w:eastAsia="zh-CN"/>
              </w:rPr>
              <w:t>河北庆晟精密机械制造有限公司</w:t>
            </w:r>
            <w:r>
              <w:rPr>
                <w:rFonts w:hint="default" w:ascii="Times New Roman" w:hAnsi="Times New Roman" w:eastAsia="宋体" w:cs="Times New Roman"/>
                <w:color w:val="auto"/>
                <w:sz w:val="24"/>
                <w:szCs w:val="20"/>
                <w:highlight w:val="none"/>
                <w:lang w:val="en-US" w:eastAsia="zh-CN"/>
              </w:rPr>
              <w:t>，距离南侧绵河</w:t>
            </w:r>
            <w:r>
              <w:rPr>
                <w:rFonts w:hint="eastAsia" w:ascii="Times New Roman" w:hAnsi="Times New Roman" w:eastAsia="宋体" w:cs="Times New Roman"/>
                <w:color w:val="auto"/>
                <w:sz w:val="24"/>
                <w:szCs w:val="20"/>
                <w:highlight w:val="none"/>
                <w:lang w:val="en-US" w:eastAsia="zh-CN"/>
              </w:rPr>
              <w:t>6245</w:t>
            </w:r>
            <w:r>
              <w:rPr>
                <w:rFonts w:hint="default" w:ascii="Times New Roman" w:hAnsi="Times New Roman" w:eastAsia="宋体" w:cs="Times New Roman"/>
                <w:color w:val="auto"/>
                <w:sz w:val="24"/>
                <w:szCs w:val="20"/>
                <w:highlight w:val="none"/>
                <w:lang w:val="en-US" w:eastAsia="zh-CN"/>
              </w:rPr>
              <w:t>m</w:t>
            </w:r>
            <w:r>
              <w:rPr>
                <w:rFonts w:hint="default" w:ascii="Times New Roman" w:hAnsi="Times New Roman" w:eastAsia="宋体" w:cs="Times New Roman"/>
                <w:color w:val="auto"/>
                <w:sz w:val="24"/>
                <w:szCs w:val="20"/>
                <w:highlight w:val="none"/>
                <w:lang w:eastAsia="zh-CN"/>
              </w:rPr>
              <w:t>，</w:t>
            </w:r>
            <w:r>
              <w:rPr>
                <w:rFonts w:hint="eastAsia" w:cs="Times New Roman"/>
                <w:color w:val="auto"/>
                <w:sz w:val="24"/>
                <w:szCs w:val="20"/>
                <w:highlight w:val="none"/>
                <w:lang w:val="en-US" w:eastAsia="zh-CN"/>
              </w:rPr>
              <w:t>项目位于集中式饮用水水源地准保护区内</w:t>
            </w:r>
            <w:r>
              <w:rPr>
                <w:rFonts w:hint="default" w:ascii="Times New Roman" w:hAnsi="Times New Roman" w:eastAsia="宋体" w:cs="Times New Roman"/>
                <w:color w:val="auto"/>
                <w:sz w:val="24"/>
                <w:szCs w:val="20"/>
                <w:highlight w:val="none"/>
                <w:lang w:val="en-US" w:eastAsia="zh-CN"/>
              </w:rPr>
              <w:t>，根据《集中式饮用水水源地规范化建设环境保护技术要求》(HJ773-2015)中的“6.3.2准保护区内无易溶性、有毒有害废弃物暂存和转运站”</w:t>
            </w:r>
            <w:r>
              <w:rPr>
                <w:rFonts w:hint="eastAsia" w:ascii="Times New Roman" w:hAnsi="Times New Roman" w:eastAsia="宋体" w:cs="Times New Roman"/>
                <w:color w:val="auto"/>
                <w:sz w:val="24"/>
                <w:szCs w:val="20"/>
                <w:highlight w:val="none"/>
                <w:lang w:val="en-US" w:eastAsia="zh-CN"/>
              </w:rPr>
              <w:t>可知</w:t>
            </w:r>
            <w:r>
              <w:rPr>
                <w:rFonts w:hint="default" w:ascii="Times New Roman" w:hAnsi="Times New Roman" w:eastAsia="宋体" w:cs="Times New Roman"/>
                <w:color w:val="auto"/>
                <w:sz w:val="24"/>
                <w:szCs w:val="20"/>
                <w:highlight w:val="none"/>
                <w:lang w:val="en-US" w:eastAsia="zh-CN"/>
              </w:rPr>
              <w:t>，准保护区内不得有易溶性、有毒有害废弃物暂存和转运站，项目不设置</w:t>
            </w:r>
            <w:r>
              <w:rPr>
                <w:rFonts w:hint="default" w:ascii="Times New Roman" w:hAnsi="Times New Roman" w:eastAsia="宋体" w:cs="Times New Roman"/>
                <w:color w:val="auto"/>
                <w:sz w:val="24"/>
                <w:szCs w:val="20"/>
                <w:highlight w:val="none"/>
              </w:rPr>
              <w:t>危险废物</w:t>
            </w:r>
            <w:r>
              <w:rPr>
                <w:rFonts w:hint="default" w:ascii="Times New Roman" w:hAnsi="Times New Roman" w:eastAsia="宋体" w:cs="Times New Roman"/>
                <w:color w:val="auto"/>
                <w:sz w:val="24"/>
                <w:szCs w:val="20"/>
                <w:highlight w:val="none"/>
                <w:lang w:val="en-US" w:eastAsia="zh-CN"/>
              </w:rPr>
              <w:t>暂存场所，不涉及</w:t>
            </w:r>
            <w:r>
              <w:rPr>
                <w:rFonts w:hint="default" w:ascii="Times New Roman" w:hAnsi="Times New Roman" w:eastAsia="宋体" w:cs="Times New Roman"/>
                <w:color w:val="auto"/>
                <w:sz w:val="24"/>
                <w:szCs w:val="20"/>
                <w:highlight w:val="none"/>
              </w:rPr>
              <w:t>危险废物贮存场所环境影响分析</w:t>
            </w:r>
            <w:r>
              <w:rPr>
                <w:rFonts w:hint="default" w:ascii="Times New Roman" w:hAnsi="Times New Roman" w:eastAsia="宋体" w:cs="Times New Roman"/>
                <w:color w:val="auto"/>
                <w:sz w:val="24"/>
                <w:szCs w:val="20"/>
                <w:highlight w:val="none"/>
                <w:lang w:eastAsia="zh-CN"/>
              </w:rPr>
              <w:t>。</w:t>
            </w:r>
          </w:p>
          <w:p w14:paraId="4259FBFE">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lang w:eastAsia="zh-CN"/>
              </w:rPr>
            </w:pPr>
            <w:r>
              <w:rPr>
                <w:rFonts w:hint="default" w:ascii="Times New Roman" w:hAnsi="Times New Roman" w:cs="Times New Roman"/>
                <w:smallCaps w:val="0"/>
                <w:color w:val="auto"/>
                <w:spacing w:val="0"/>
                <w:highlight w:val="none"/>
              </w:rPr>
              <w:t>综上</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项目固体废弃物均得到了妥善处理</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不会对周围环境造成明显影响</w:t>
            </w:r>
            <w:r>
              <w:rPr>
                <w:rFonts w:hint="default" w:ascii="Times New Roman" w:hAnsi="Times New Roman" w:cs="Times New Roman"/>
                <w:smallCaps w:val="0"/>
                <w:color w:val="auto"/>
                <w:spacing w:val="0"/>
                <w:highlight w:val="none"/>
                <w:lang w:eastAsia="zh-CN"/>
              </w:rPr>
              <w:t>。</w:t>
            </w:r>
          </w:p>
          <w:p w14:paraId="15138176">
            <w:pPr>
              <w:pStyle w:val="172"/>
              <w:keepNext w:val="0"/>
              <w:keepLines w:val="0"/>
              <w:suppressLineNumbers w:val="0"/>
              <w:spacing w:before="0" w:beforeAutospacing="0" w:after="0" w:afterAutospacing="0"/>
              <w:ind w:left="0" w:right="0" w:firstLine="482"/>
              <w:rPr>
                <w:rFonts w:hint="default" w:ascii="Times New Roman" w:hAnsi="Times New Roman" w:cs="Times New Roman"/>
                <w:b/>
                <w:bCs/>
                <w:smallCaps w:val="0"/>
                <w:color w:val="auto"/>
                <w:spacing w:val="0"/>
                <w:highlight w:val="none"/>
              </w:rPr>
            </w:pPr>
            <w:r>
              <w:rPr>
                <w:rFonts w:hint="default" w:ascii="Times New Roman" w:hAnsi="Times New Roman" w:cs="Times New Roman"/>
                <w:b/>
                <w:bCs/>
                <w:smallCaps w:val="0"/>
                <w:color w:val="auto"/>
                <w:spacing w:val="0"/>
                <w:highlight w:val="none"/>
              </w:rPr>
              <w:t>5、土壤及地下水</w:t>
            </w:r>
          </w:p>
          <w:p w14:paraId="0EB56CF1">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正常情况下，项目物料全部在生产车间内暂存，不存在地表漫流和垂直入渗的污染途径。因此正常工况下不具备地下水和土壤污染途径，污染物不会对该区域土壤和地下水产生影响。对地下水可能造成污染的途径或方式主要有</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非正常情况下，地面的防渗措施破损可能导致污染物下渗，从而污染地下水和土壤。</w:t>
            </w:r>
          </w:p>
          <w:p w14:paraId="51A016E5">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本项目将按照分区防控要求采取相应的防渗措施</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具体见下表。</w:t>
            </w:r>
          </w:p>
          <w:p w14:paraId="4982DD83">
            <w:pPr>
              <w:pStyle w:val="18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表4-</w:t>
            </w:r>
            <w:r>
              <w:rPr>
                <w:rFonts w:hint="eastAsia" w:cs="Times New Roman"/>
                <w:smallCaps w:val="0"/>
                <w:color w:val="auto"/>
                <w:spacing w:val="0"/>
                <w:highlight w:val="none"/>
                <w:lang w:val="en-US" w:eastAsia="zh-CN"/>
              </w:rPr>
              <w:t>13</w:t>
            </w:r>
            <w:r>
              <w:rPr>
                <w:rFonts w:hint="default" w:ascii="Times New Roman" w:hAnsi="Times New Roman" w:cs="Times New Roman"/>
                <w:smallCaps w:val="0"/>
                <w:color w:val="auto"/>
                <w:spacing w:val="0"/>
                <w:highlight w:val="none"/>
              </w:rPr>
              <w:t xml:space="preserve">  项目厂区分区防渗一览表</w:t>
            </w:r>
          </w:p>
          <w:tbl>
            <w:tblPr>
              <w:tblStyle w:val="47"/>
              <w:tblW w:w="7978" w:type="dxa"/>
              <w:tblInd w:w="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7"/>
              <w:gridCol w:w="2968"/>
              <w:gridCol w:w="3743"/>
            </w:tblGrid>
            <w:tr w14:paraId="00D51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67" w:type="dxa"/>
                  <w:vAlign w:val="center"/>
                </w:tcPr>
                <w:p w14:paraId="6045EB53">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防渗级别</w:t>
                  </w:r>
                </w:p>
              </w:tc>
              <w:tc>
                <w:tcPr>
                  <w:tcW w:w="2968" w:type="dxa"/>
                  <w:vAlign w:val="center"/>
                </w:tcPr>
                <w:p w14:paraId="40871BFD">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防渗区域</w:t>
                  </w:r>
                </w:p>
              </w:tc>
              <w:tc>
                <w:tcPr>
                  <w:tcW w:w="3743" w:type="dxa"/>
                  <w:vAlign w:val="center"/>
                </w:tcPr>
                <w:p w14:paraId="1C98B145">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防渗技术要求</w:t>
                  </w:r>
                </w:p>
              </w:tc>
            </w:tr>
            <w:tr w14:paraId="06D1C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67" w:type="dxa"/>
                  <w:vAlign w:val="center"/>
                </w:tcPr>
                <w:p w14:paraId="0D0C50E2">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sz w:val="21"/>
                      <w:szCs w:val="21"/>
                      <w:highlight w:val="none"/>
                    </w:rPr>
                  </w:pPr>
                  <w:r>
                    <w:rPr>
                      <w:rFonts w:hint="eastAsia" w:cs="Times New Roman"/>
                      <w:smallCaps w:val="0"/>
                      <w:color w:val="auto"/>
                      <w:spacing w:val="0"/>
                      <w:sz w:val="21"/>
                      <w:szCs w:val="21"/>
                      <w:highlight w:val="none"/>
                      <w:lang w:val="en-US" w:eastAsia="zh-CN"/>
                    </w:rPr>
                    <w:t>重点防渗区</w:t>
                  </w:r>
                </w:p>
              </w:tc>
              <w:tc>
                <w:tcPr>
                  <w:tcW w:w="2968" w:type="dxa"/>
                  <w:vAlign w:val="center"/>
                </w:tcPr>
                <w:p w14:paraId="31A89CB3">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1#生产车间</w:t>
                  </w:r>
                </w:p>
              </w:tc>
              <w:tc>
                <w:tcPr>
                  <w:tcW w:w="3743" w:type="dxa"/>
                  <w:vAlign w:val="center"/>
                </w:tcPr>
                <w:p w14:paraId="2F40D350">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eastAsia" w:cs="Times New Roman"/>
                      <w:smallCaps w:val="0"/>
                      <w:color w:val="auto"/>
                      <w:spacing w:val="0"/>
                      <w:sz w:val="21"/>
                      <w:szCs w:val="21"/>
                      <w:highlight w:val="none"/>
                      <w:lang w:val="en-US" w:eastAsia="zh-CN"/>
                    </w:rPr>
                    <w:t>等效黏土防渗层 Mb≥6.0m，K≤1.0×10</w:t>
                  </w:r>
                  <w:r>
                    <w:rPr>
                      <w:rFonts w:hint="eastAsia" w:cs="Times New Roman"/>
                      <w:smallCaps w:val="0"/>
                      <w:color w:val="auto"/>
                      <w:spacing w:val="0"/>
                      <w:sz w:val="21"/>
                      <w:szCs w:val="21"/>
                      <w:highlight w:val="none"/>
                      <w:vertAlign w:val="superscript"/>
                      <w:lang w:val="en-US" w:eastAsia="zh-CN"/>
                    </w:rPr>
                    <w:t>-7</w:t>
                  </w:r>
                  <w:r>
                    <w:rPr>
                      <w:rFonts w:hint="eastAsia" w:cs="Times New Roman"/>
                      <w:smallCaps w:val="0"/>
                      <w:color w:val="auto"/>
                      <w:spacing w:val="0"/>
                      <w:sz w:val="21"/>
                      <w:szCs w:val="21"/>
                      <w:highlight w:val="none"/>
                      <w:lang w:val="en-US" w:eastAsia="zh-CN"/>
                    </w:rPr>
                    <w:t>cm/s</w:t>
                  </w:r>
                </w:p>
              </w:tc>
            </w:tr>
            <w:tr w14:paraId="15593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67" w:type="dxa"/>
                  <w:vAlign w:val="center"/>
                </w:tcPr>
                <w:p w14:paraId="43085F0D">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sz w:val="21"/>
                      <w:szCs w:val="21"/>
                      <w:highlight w:val="none"/>
                    </w:rPr>
                  </w:pPr>
                  <w:r>
                    <w:rPr>
                      <w:rFonts w:hint="default" w:ascii="Times New Roman" w:hAnsi="Times New Roman" w:cs="Times New Roman"/>
                      <w:smallCaps w:val="0"/>
                      <w:color w:val="auto"/>
                      <w:spacing w:val="0"/>
                      <w:sz w:val="21"/>
                      <w:szCs w:val="21"/>
                      <w:highlight w:val="none"/>
                    </w:rPr>
                    <w:t>一般防渗区</w:t>
                  </w:r>
                </w:p>
              </w:tc>
              <w:tc>
                <w:tcPr>
                  <w:tcW w:w="2968" w:type="dxa"/>
                  <w:vAlign w:val="center"/>
                </w:tcPr>
                <w:p w14:paraId="35BE4BC7">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2#生产车间、3#生产车间、沉淀池</w:t>
                  </w:r>
                </w:p>
              </w:tc>
              <w:tc>
                <w:tcPr>
                  <w:tcW w:w="3743" w:type="dxa"/>
                  <w:vAlign w:val="center"/>
                </w:tcPr>
                <w:p w14:paraId="46883210">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等效黏土防渗层Mb≥1.5m，渗透系数≤10</w:t>
                  </w:r>
                  <w:r>
                    <w:rPr>
                      <w:rFonts w:hint="default" w:ascii="Times New Roman" w:hAnsi="Times New Roman" w:cs="Times New Roman"/>
                      <w:smallCaps w:val="0"/>
                      <w:color w:val="auto"/>
                      <w:spacing w:val="0"/>
                      <w:highlight w:val="none"/>
                      <w:vertAlign w:val="superscript"/>
                    </w:rPr>
                    <w:t>-7</w:t>
                  </w:r>
                  <w:r>
                    <w:rPr>
                      <w:rFonts w:hint="default" w:ascii="Times New Roman" w:hAnsi="Times New Roman" w:cs="Times New Roman"/>
                      <w:smallCaps w:val="0"/>
                      <w:color w:val="auto"/>
                      <w:spacing w:val="0"/>
                      <w:highlight w:val="none"/>
                    </w:rPr>
                    <w:t>cm/s；</w:t>
                  </w:r>
                </w:p>
              </w:tc>
            </w:tr>
            <w:tr w14:paraId="34B0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67" w:type="dxa"/>
                  <w:vAlign w:val="center"/>
                </w:tcPr>
                <w:p w14:paraId="7830DFC7">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简单防渗区</w:t>
                  </w:r>
                </w:p>
              </w:tc>
              <w:tc>
                <w:tcPr>
                  <w:tcW w:w="2968" w:type="dxa"/>
                  <w:vAlign w:val="center"/>
                </w:tcPr>
                <w:p w14:paraId="77F8866D">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办公室、办公室、厂区其他区域</w:t>
                  </w:r>
                </w:p>
              </w:tc>
              <w:tc>
                <w:tcPr>
                  <w:tcW w:w="3743" w:type="dxa"/>
                  <w:vAlign w:val="center"/>
                </w:tcPr>
                <w:p w14:paraId="40DF5303">
                  <w:pPr>
                    <w:pStyle w:val="67"/>
                    <w:keepNext w:val="0"/>
                    <w:keepLines w:val="0"/>
                    <w:suppressLineNumbers w:val="0"/>
                    <w:spacing w:before="0" w:beforeAutospacing="0" w:after="0" w:afterAutospacing="0"/>
                    <w:ind w:left="0" w:right="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水泥硬化简单防渗措施</w:t>
                  </w:r>
                </w:p>
              </w:tc>
            </w:tr>
          </w:tbl>
          <w:p w14:paraId="2933D826">
            <w:pPr>
              <w:pStyle w:val="172"/>
              <w:keepNext w:val="0"/>
              <w:keepLines w:val="0"/>
              <w:suppressLineNumbers w:val="0"/>
              <w:spacing w:before="0" w:beforeAutospacing="0" w:after="0" w:afterAutospacing="0"/>
              <w:ind w:left="0" w:right="0" w:firstLine="480"/>
              <w:rPr>
                <w:rFonts w:hint="default" w:ascii="Times New Roman" w:hAnsi="Times New Roman" w:cs="Times New Roman"/>
                <w:b/>
                <w:smallCaps w:val="0"/>
                <w:color w:val="auto"/>
                <w:spacing w:val="0"/>
                <w:highlight w:val="none"/>
              </w:rPr>
            </w:pPr>
            <w:r>
              <w:rPr>
                <w:rFonts w:hint="eastAsia" w:cs="Times New Roman"/>
                <w:smallCaps w:val="0"/>
                <w:color w:val="auto"/>
                <w:spacing w:val="0"/>
                <w:highlight w:val="none"/>
                <w:lang w:val="en-US" w:eastAsia="zh-CN"/>
              </w:rPr>
              <w:t>采取分区防渗后</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项目建设对地下水和土壤环境影响较小。</w:t>
            </w:r>
          </w:p>
          <w:p w14:paraId="32E3F647">
            <w:pPr>
              <w:pStyle w:val="172"/>
              <w:keepNext w:val="0"/>
              <w:keepLines w:val="0"/>
              <w:suppressLineNumbers w:val="0"/>
              <w:spacing w:before="0" w:beforeAutospacing="0" w:after="0" w:afterAutospacing="0"/>
              <w:ind w:left="0" w:right="0" w:firstLine="4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6、生态环境</w:t>
            </w:r>
          </w:p>
          <w:p w14:paraId="3740DE08">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本项目位于</w:t>
            </w:r>
            <w:r>
              <w:rPr>
                <w:rFonts w:hint="eastAsia" w:cs="Times New Roman"/>
                <w:smallCaps w:val="0"/>
                <w:color w:val="auto"/>
                <w:spacing w:val="0"/>
                <w:highlight w:val="none"/>
                <w:lang w:eastAsia="zh-CN"/>
              </w:rPr>
              <w:t>河北省石家庄市井陉矿区世纪大道以北，石钢路以西，</w:t>
            </w:r>
            <w:r>
              <w:rPr>
                <w:rFonts w:hint="default" w:ascii="Times New Roman" w:hAnsi="Times New Roman" w:cs="Times New Roman"/>
                <w:bCs/>
                <w:smallCaps w:val="0"/>
                <w:color w:val="auto"/>
                <w:spacing w:val="0"/>
                <w:sz w:val="24"/>
                <w:szCs w:val="24"/>
                <w:highlight w:val="none"/>
              </w:rPr>
              <w:t>河北石家庄矿区工业园区总体</w:t>
            </w:r>
            <w:r>
              <w:rPr>
                <w:rFonts w:hint="eastAsia" w:cs="Times New Roman"/>
                <w:bCs/>
                <w:smallCaps w:val="0"/>
                <w:color w:val="auto"/>
                <w:spacing w:val="0"/>
                <w:sz w:val="24"/>
                <w:szCs w:val="24"/>
                <w:highlight w:val="none"/>
                <w:lang w:val="en-US" w:eastAsia="zh-CN"/>
              </w:rPr>
              <w:t>发展</w:t>
            </w:r>
            <w:r>
              <w:rPr>
                <w:rFonts w:hint="default" w:ascii="Times New Roman" w:hAnsi="Times New Roman" w:cs="Times New Roman"/>
                <w:bCs/>
                <w:smallCaps w:val="0"/>
                <w:color w:val="auto"/>
                <w:spacing w:val="0"/>
                <w:sz w:val="24"/>
                <w:szCs w:val="24"/>
                <w:highlight w:val="none"/>
              </w:rPr>
              <w:t>规划范围内</w:t>
            </w:r>
            <w:r>
              <w:rPr>
                <w:rFonts w:hint="default" w:ascii="Times New Roman" w:hAnsi="Times New Roman" w:cs="Times New Roman"/>
                <w:smallCaps w:val="0"/>
                <w:color w:val="auto"/>
                <w:spacing w:val="0"/>
                <w:highlight w:val="none"/>
              </w:rPr>
              <w:t>，用地为</w:t>
            </w:r>
            <w:r>
              <w:rPr>
                <w:rFonts w:hint="eastAsia" w:cs="Times New Roman"/>
                <w:smallCaps w:val="0"/>
                <w:color w:val="auto"/>
                <w:spacing w:val="0"/>
                <w:highlight w:val="none"/>
                <w:lang w:val="en-US" w:eastAsia="zh-CN"/>
              </w:rPr>
              <w:t>工业</w:t>
            </w:r>
            <w:r>
              <w:rPr>
                <w:rFonts w:hint="default" w:ascii="Times New Roman" w:hAnsi="Times New Roman" w:cs="Times New Roman"/>
                <w:smallCaps w:val="0"/>
                <w:color w:val="auto"/>
                <w:spacing w:val="0"/>
                <w:highlight w:val="none"/>
              </w:rPr>
              <w:t>用地，</w:t>
            </w:r>
            <w:r>
              <w:rPr>
                <w:rFonts w:hint="eastAsia" w:cs="Times New Roman"/>
                <w:smallCaps w:val="0"/>
                <w:color w:val="auto"/>
                <w:spacing w:val="0"/>
                <w:highlight w:val="none"/>
                <w:lang w:val="en-US" w:eastAsia="zh-CN"/>
              </w:rPr>
              <w:t>不会对生态环境产生影响</w:t>
            </w:r>
            <w:r>
              <w:rPr>
                <w:rFonts w:hint="default" w:ascii="Times New Roman" w:hAnsi="Times New Roman" w:cs="Times New Roman"/>
                <w:smallCaps w:val="0"/>
                <w:color w:val="auto"/>
                <w:spacing w:val="0"/>
                <w:highlight w:val="none"/>
              </w:rPr>
              <w:t>。</w:t>
            </w:r>
          </w:p>
          <w:p w14:paraId="5110598E">
            <w:pPr>
              <w:pStyle w:val="172"/>
              <w:keepNext w:val="0"/>
              <w:keepLines w:val="0"/>
              <w:suppressLineNumbers w:val="0"/>
              <w:spacing w:before="0" w:beforeAutospacing="0" w:after="0" w:afterAutospacing="0"/>
              <w:ind w:left="0" w:right="0" w:firstLine="436" w:firstLineChars="182"/>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7、环境风险</w:t>
            </w:r>
          </w:p>
          <w:p w14:paraId="752D5E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default" w:ascii="Times New Roman" w:hAnsi="Times New Roman" w:eastAsia="宋体" w:cs="Times New Roman"/>
                <w:smallCaps w:val="0"/>
                <w:color w:val="auto"/>
                <w:spacing w:val="0"/>
                <w:sz w:val="24"/>
                <w:szCs w:val="24"/>
                <w:highlight w:val="none"/>
              </w:rPr>
            </w:pPr>
            <w:r>
              <w:rPr>
                <w:rFonts w:hint="default" w:ascii="Times New Roman" w:hAnsi="Times New Roman" w:eastAsia="宋体" w:cs="Times New Roman"/>
                <w:smallCaps w:val="0"/>
                <w:color w:val="auto"/>
                <w:spacing w:val="0"/>
                <w:sz w:val="24"/>
                <w:szCs w:val="24"/>
                <w:highlight w:val="none"/>
              </w:rPr>
              <w:t>根据原国家环保部《关于进一步加强环境影响评价管理防范环境风险的通知》（国家环保部环发[2012]77号）及生态环境部发布的《建设项目环境风险评价技术导则》（HJ169-2018）要求，对于涉及有毒有害和易燃易爆物质的生产、使用、储存（包括使用管线输运）的建设项目进行风险评价。</w:t>
            </w:r>
          </w:p>
          <w:p w14:paraId="3EBB8B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jc w:val="left"/>
              <w:textAlignment w:val="auto"/>
              <w:rPr>
                <w:rFonts w:hint="default" w:ascii="Times New Roman" w:hAnsi="Times New Roman" w:eastAsia="宋体" w:cs="Times New Roman"/>
                <w:smallCaps w:val="0"/>
                <w:color w:val="auto"/>
                <w:spacing w:val="0"/>
                <w:sz w:val="24"/>
                <w:szCs w:val="24"/>
                <w:highlight w:val="none"/>
                <w:lang w:eastAsia="zh-CN"/>
              </w:rPr>
            </w:pPr>
            <w:r>
              <w:rPr>
                <w:rFonts w:hint="default" w:ascii="Times New Roman" w:hAnsi="Times New Roman" w:eastAsia="宋体" w:cs="Times New Roman"/>
                <w:smallCaps w:val="0"/>
                <w:color w:val="auto"/>
                <w:spacing w:val="0"/>
                <w:sz w:val="24"/>
                <w:szCs w:val="24"/>
                <w:highlight w:val="none"/>
                <w:lang w:eastAsia="zh-CN"/>
              </w:rPr>
              <w:t>（1）环境风险物质识别</w:t>
            </w:r>
          </w:p>
          <w:p w14:paraId="1CC1554A">
            <w:pPr>
              <w:keepNext w:val="0"/>
              <w:keepLines w:val="0"/>
              <w:pageBreakBefore w:val="0"/>
              <w:widowControl w:val="0"/>
              <w:numPr>
                <w:ilvl w:val="0"/>
                <w:numId w:val="0"/>
              </w:numPr>
              <w:suppressLineNumbers w:val="0"/>
              <w:kinsoku/>
              <w:wordWrap/>
              <w:overflowPunct/>
              <w:topLinePunct w:val="0"/>
              <w:autoSpaceDE w:val="0"/>
              <w:autoSpaceDN w:val="0"/>
              <w:bidi w:val="0"/>
              <w:adjustRightInd/>
              <w:snapToGrid/>
              <w:spacing w:before="0" w:beforeAutospacing="0" w:after="0" w:afterAutospacing="0" w:line="440" w:lineRule="exact"/>
              <w:ind w:left="0" w:leftChars="0" w:right="0" w:firstLine="480" w:firstLineChars="200"/>
              <w:jc w:val="left"/>
              <w:textAlignment w:val="auto"/>
              <w:rPr>
                <w:rFonts w:hint="default" w:ascii="Times New Roman" w:hAnsi="Times New Roman" w:eastAsia="宋体" w:cs="Times New Roman"/>
                <w:smallCaps w:val="0"/>
                <w:color w:val="auto"/>
                <w:spacing w:val="0"/>
                <w:sz w:val="24"/>
                <w:szCs w:val="24"/>
                <w:highlight w:val="none"/>
                <w:lang w:eastAsia="zh-CN"/>
              </w:rPr>
            </w:pPr>
            <w:r>
              <w:rPr>
                <w:rFonts w:hint="default" w:ascii="Times New Roman" w:hAnsi="Times New Roman" w:eastAsia="宋体" w:cs="Times New Roman"/>
                <w:smallCaps w:val="0"/>
                <w:color w:val="auto"/>
                <w:spacing w:val="0"/>
                <w:sz w:val="24"/>
                <w:szCs w:val="24"/>
                <w:highlight w:val="none"/>
                <w:lang w:eastAsia="zh-CN"/>
              </w:rPr>
              <w:t>经对照《建设项目环境风险评价技术导则》（HJ169-2018）附录B，项目危险物质为</w:t>
            </w:r>
            <w:r>
              <w:rPr>
                <w:rFonts w:hint="eastAsia" w:cs="Times New Roman"/>
                <w:smallCaps w:val="0"/>
                <w:color w:val="auto"/>
                <w:spacing w:val="0"/>
                <w:sz w:val="24"/>
                <w:szCs w:val="24"/>
                <w:highlight w:val="none"/>
                <w:lang w:val="en-US" w:eastAsia="zh-CN"/>
              </w:rPr>
              <w:t>切削液、</w:t>
            </w:r>
            <w:r>
              <w:rPr>
                <w:rFonts w:hint="eastAsia" w:cs="Times New Roman"/>
                <w:smallCaps w:val="0"/>
                <w:color w:val="auto"/>
                <w:spacing w:val="0"/>
                <w:sz w:val="24"/>
                <w:szCs w:val="24"/>
                <w:highlight w:val="none"/>
                <w:lang w:eastAsia="zh-CN"/>
              </w:rPr>
              <w:t>润滑油</w:t>
            </w:r>
            <w:r>
              <w:rPr>
                <w:rFonts w:hint="default" w:ascii="Times New Roman" w:hAnsi="Times New Roman" w:eastAsia="宋体" w:cs="Times New Roman"/>
                <w:smallCaps w:val="0"/>
                <w:color w:val="auto"/>
                <w:spacing w:val="0"/>
                <w:sz w:val="24"/>
                <w:szCs w:val="24"/>
                <w:highlight w:val="none"/>
                <w:lang w:eastAsia="zh-CN"/>
              </w:rPr>
              <w:t>及危险废物（</w:t>
            </w:r>
            <w:r>
              <w:rPr>
                <w:rFonts w:hint="eastAsia" w:cs="Times New Roman"/>
                <w:smallCaps w:val="0"/>
                <w:color w:val="auto"/>
                <w:spacing w:val="0"/>
                <w:sz w:val="24"/>
                <w:szCs w:val="24"/>
                <w:highlight w:val="none"/>
                <w:lang w:eastAsia="zh-CN"/>
              </w:rPr>
              <w:t>废润滑油、废润滑油桶、废切削液、废切削液桶、含油抹布及废劳保用品</w:t>
            </w:r>
            <w:r>
              <w:rPr>
                <w:rFonts w:hint="default" w:ascii="Times New Roman" w:hAnsi="Times New Roman" w:eastAsia="宋体" w:cs="Times New Roman"/>
                <w:smallCaps w:val="0"/>
                <w:color w:val="auto"/>
                <w:spacing w:val="0"/>
                <w:sz w:val="24"/>
                <w:szCs w:val="24"/>
                <w:highlight w:val="none"/>
                <w:lang w:eastAsia="zh-CN"/>
              </w:rPr>
              <w:t>）。</w:t>
            </w:r>
          </w:p>
          <w:p w14:paraId="1DABEEB3">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（2）环境风险识别</w:t>
            </w:r>
          </w:p>
          <w:p w14:paraId="40BA4D5B">
            <w:pPr>
              <w:keepNext w:val="0"/>
              <w:keepLines w:val="0"/>
              <w:suppressLineNumbers w:val="0"/>
              <w:tabs>
                <w:tab w:val="left" w:pos="6240"/>
              </w:tabs>
              <w:spacing w:before="0" w:beforeAutospacing="0" w:after="0" w:afterAutospacing="0" w:line="480" w:lineRule="exact"/>
              <w:ind w:left="0" w:right="0" w:firstLine="480"/>
              <w:rPr>
                <w:rFonts w:hint="default" w:ascii="Times New Roman" w:hAnsi="Times New Roman" w:cs="Times New Roman"/>
                <w:b/>
                <w:color w:val="auto"/>
                <w:sz w:val="24"/>
                <w:szCs w:val="20"/>
                <w:highlight w:val="none"/>
              </w:rPr>
            </w:pPr>
            <w:r>
              <w:rPr>
                <w:rFonts w:hint="default" w:ascii="Times New Roman" w:hAnsi="Times New Roman" w:cs="Times New Roman"/>
                <w:color w:val="auto"/>
                <w:sz w:val="24"/>
                <w:szCs w:val="20"/>
                <w:highlight w:val="none"/>
              </w:rPr>
              <w:t>对项目主要危险物质及分布情况、环境风险类型及可能影响环境的途径进行识别，详见表4-</w:t>
            </w:r>
            <w:r>
              <w:rPr>
                <w:rFonts w:hint="eastAsia" w:cs="Times New Roman"/>
                <w:color w:val="auto"/>
                <w:sz w:val="24"/>
                <w:szCs w:val="20"/>
                <w:highlight w:val="none"/>
                <w:lang w:val="en-US" w:eastAsia="zh-CN"/>
              </w:rPr>
              <w:t>14</w:t>
            </w:r>
            <w:r>
              <w:rPr>
                <w:rFonts w:hint="default" w:ascii="Times New Roman" w:hAnsi="Times New Roman" w:cs="Times New Roman"/>
                <w:color w:val="auto"/>
                <w:sz w:val="24"/>
                <w:szCs w:val="20"/>
                <w:highlight w:val="none"/>
              </w:rPr>
              <w:t>。</w:t>
            </w:r>
          </w:p>
          <w:p w14:paraId="0A2A8562">
            <w:pPr>
              <w:keepNext w:val="0"/>
              <w:keepLines w:val="0"/>
              <w:suppressLineNumbers w:val="0"/>
              <w:tabs>
                <w:tab w:val="left" w:pos="6240"/>
              </w:tabs>
              <w:spacing w:before="0" w:beforeAutospacing="0" w:after="0" w:afterAutospacing="0" w:line="480" w:lineRule="exact"/>
              <w:ind w:left="0" w:right="0"/>
              <w:jc w:val="center"/>
              <w:rPr>
                <w:rFonts w:hint="default" w:ascii="Times New Roman" w:hAnsi="Times New Roman" w:cs="Times New Roman"/>
                <w:b/>
                <w:color w:val="auto"/>
                <w:sz w:val="24"/>
                <w:szCs w:val="20"/>
                <w:highlight w:val="none"/>
              </w:rPr>
            </w:pPr>
            <w:r>
              <w:rPr>
                <w:rFonts w:hint="default" w:ascii="Times New Roman" w:hAnsi="Times New Roman" w:cs="Times New Roman"/>
                <w:b/>
                <w:color w:val="auto"/>
                <w:sz w:val="24"/>
                <w:szCs w:val="20"/>
                <w:highlight w:val="none"/>
              </w:rPr>
              <w:t>表4-</w:t>
            </w:r>
            <w:r>
              <w:rPr>
                <w:rFonts w:hint="eastAsia" w:cs="Times New Roman"/>
                <w:b/>
                <w:color w:val="auto"/>
                <w:sz w:val="24"/>
                <w:szCs w:val="20"/>
                <w:highlight w:val="none"/>
                <w:lang w:val="en-US" w:eastAsia="zh-CN"/>
              </w:rPr>
              <w:t>14</w:t>
            </w:r>
            <w:r>
              <w:rPr>
                <w:rFonts w:hint="default" w:ascii="Times New Roman" w:hAnsi="Times New Roman" w:cs="Times New Roman"/>
                <w:b/>
                <w:color w:val="auto"/>
                <w:sz w:val="24"/>
                <w:szCs w:val="20"/>
                <w:highlight w:val="none"/>
              </w:rPr>
              <w:t xml:space="preserve">  环境风险识别表</w:t>
            </w:r>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4"/>
              <w:gridCol w:w="1627"/>
              <w:gridCol w:w="3156"/>
              <w:gridCol w:w="2688"/>
            </w:tblGrid>
            <w:tr w14:paraId="1F13C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6" w:type="pct"/>
                  <w:noWrap w:val="0"/>
                  <w:tcMar>
                    <w:left w:w="28" w:type="dxa"/>
                    <w:right w:w="28" w:type="dxa"/>
                  </w:tcMar>
                  <w:vAlign w:val="center"/>
                </w:tcPr>
                <w:p w14:paraId="1F221252">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1020" w:type="pct"/>
                  <w:noWrap w:val="0"/>
                  <w:tcMar>
                    <w:top w:w="0" w:type="dxa"/>
                    <w:left w:w="28" w:type="dxa"/>
                    <w:bottom w:w="0" w:type="dxa"/>
                    <w:right w:w="28" w:type="dxa"/>
                  </w:tcMar>
                  <w:vAlign w:val="center"/>
                </w:tcPr>
                <w:p w14:paraId="539B6646">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风险单元</w:t>
                  </w:r>
                </w:p>
              </w:tc>
              <w:tc>
                <w:tcPr>
                  <w:tcW w:w="1978" w:type="pct"/>
                  <w:noWrap w:val="0"/>
                  <w:tcMar>
                    <w:left w:w="28" w:type="dxa"/>
                    <w:right w:w="28" w:type="dxa"/>
                  </w:tcMar>
                  <w:vAlign w:val="center"/>
                </w:tcPr>
                <w:p w14:paraId="6099F8E1">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涉及风险物质</w:t>
                  </w:r>
                </w:p>
              </w:tc>
              <w:tc>
                <w:tcPr>
                  <w:tcW w:w="1685" w:type="pct"/>
                  <w:noWrap w:val="0"/>
                  <w:tcMar>
                    <w:left w:w="28" w:type="dxa"/>
                    <w:right w:w="28" w:type="dxa"/>
                  </w:tcMar>
                  <w:vAlign w:val="center"/>
                </w:tcPr>
                <w:p w14:paraId="39FAD2E7">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可能影响环境的途径</w:t>
                  </w:r>
                </w:p>
              </w:tc>
            </w:tr>
            <w:tr w14:paraId="052F9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16" w:type="pct"/>
                  <w:noWrap w:val="0"/>
                  <w:tcMar>
                    <w:left w:w="28" w:type="dxa"/>
                    <w:right w:w="28" w:type="dxa"/>
                  </w:tcMar>
                  <w:vAlign w:val="center"/>
                </w:tcPr>
                <w:p w14:paraId="31C50312">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1020" w:type="pct"/>
                  <w:noWrap w:val="0"/>
                  <w:tcMar>
                    <w:left w:w="28" w:type="dxa"/>
                    <w:right w:w="28" w:type="dxa"/>
                  </w:tcMar>
                  <w:vAlign w:val="center"/>
                </w:tcPr>
                <w:p w14:paraId="7BDDA94D">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原料区</w:t>
                  </w:r>
                </w:p>
              </w:tc>
              <w:tc>
                <w:tcPr>
                  <w:tcW w:w="1978" w:type="pct"/>
                  <w:noWrap w:val="0"/>
                  <w:tcMar>
                    <w:left w:w="28" w:type="dxa"/>
                    <w:right w:w="28" w:type="dxa"/>
                  </w:tcMar>
                  <w:vAlign w:val="center"/>
                </w:tcPr>
                <w:p w14:paraId="03A7518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润滑油、切削液</w:t>
                  </w:r>
                </w:p>
              </w:tc>
              <w:tc>
                <w:tcPr>
                  <w:tcW w:w="1685" w:type="pct"/>
                  <w:noWrap w:val="0"/>
                  <w:tcMar>
                    <w:left w:w="28" w:type="dxa"/>
                    <w:right w:w="28" w:type="dxa"/>
                  </w:tcMar>
                  <w:vAlign w:val="center"/>
                </w:tcPr>
                <w:p w14:paraId="7914AF80">
                  <w:pPr>
                    <w:keepNext w:val="0"/>
                    <w:keepLines w:val="0"/>
                    <w:widowControl/>
                    <w:suppressLineNumbers w:val="0"/>
                    <w:spacing w:before="0" w:beforeAutospacing="0" w:after="0" w:afterAutospacing="0"/>
                    <w:ind w:left="0" w:right="0"/>
                    <w:jc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szCs w:val="21"/>
                      <w:highlight w:val="none"/>
                    </w:rPr>
                    <w:t>大气、土壤、地下水环境</w:t>
                  </w:r>
                </w:p>
              </w:tc>
            </w:tr>
            <w:tr w14:paraId="4803B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316" w:type="pct"/>
                  <w:noWrap w:val="0"/>
                  <w:tcMar>
                    <w:left w:w="28" w:type="dxa"/>
                    <w:right w:w="28" w:type="dxa"/>
                  </w:tcMar>
                  <w:vAlign w:val="center"/>
                </w:tcPr>
                <w:p w14:paraId="794E62BF">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1020" w:type="pct"/>
                  <w:noWrap w:val="0"/>
                  <w:tcMar>
                    <w:left w:w="28" w:type="dxa"/>
                    <w:right w:w="28" w:type="dxa"/>
                  </w:tcMar>
                  <w:vAlign w:val="center"/>
                </w:tcPr>
                <w:p w14:paraId="0476B00F">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1#生产车间*</w:t>
                  </w:r>
                </w:p>
              </w:tc>
              <w:tc>
                <w:tcPr>
                  <w:tcW w:w="1978" w:type="pct"/>
                  <w:noWrap w:val="0"/>
                  <w:tcMar>
                    <w:left w:w="28" w:type="dxa"/>
                    <w:right w:w="28" w:type="dxa"/>
                  </w:tcMar>
                  <w:vAlign w:val="center"/>
                </w:tcPr>
                <w:p w14:paraId="7BAF617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eastAsia="zh-CN"/>
                    </w:rPr>
                    <w:t>废润滑油、废润滑油桶、废切削液、废切削液桶、含油抹布及废劳保用品</w:t>
                  </w:r>
                </w:p>
              </w:tc>
              <w:tc>
                <w:tcPr>
                  <w:tcW w:w="1685" w:type="pct"/>
                  <w:noWrap w:val="0"/>
                  <w:tcMar>
                    <w:left w:w="28" w:type="dxa"/>
                    <w:right w:w="28" w:type="dxa"/>
                  </w:tcMar>
                  <w:vAlign w:val="center"/>
                </w:tcPr>
                <w:p w14:paraId="493BE7DF">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kern w:val="0"/>
                      <w:szCs w:val="21"/>
                      <w:highlight w:val="none"/>
                      <w:lang w:bidi="ar"/>
                    </w:rPr>
                  </w:pPr>
                  <w:r>
                    <w:rPr>
                      <w:rFonts w:hint="default" w:ascii="Times New Roman" w:hAnsi="Times New Roman" w:cs="Times New Roman"/>
                      <w:color w:val="auto"/>
                      <w:szCs w:val="21"/>
                      <w:highlight w:val="none"/>
                    </w:rPr>
                    <w:t>大气、土壤、地下水环境</w:t>
                  </w:r>
                </w:p>
              </w:tc>
            </w:tr>
          </w:tbl>
          <w:p w14:paraId="1BD72D78">
            <w:pPr>
              <w:keepNext w:val="0"/>
              <w:keepLines w:val="0"/>
              <w:pageBreakBefore w:val="0"/>
              <w:widowControl w:val="0"/>
              <w:suppressLineNumbers w:val="0"/>
              <w:tabs>
                <w:tab w:val="left" w:pos="6240"/>
              </w:tabs>
              <w:kinsoku/>
              <w:wordWrap/>
              <w:overflowPunct/>
              <w:topLinePunct w:val="0"/>
              <w:autoSpaceDE/>
              <w:autoSpaceDN/>
              <w:bidi w:val="0"/>
              <w:adjustRightInd/>
              <w:snapToGrid/>
              <w:spacing w:before="0" w:beforeAutospacing="0" w:after="0" w:afterAutospacing="0" w:line="240" w:lineRule="auto"/>
              <w:ind w:left="0" w:right="0" w:firstLine="420" w:firstLineChars="200"/>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注：*因本项目不设置危废间，故本项目风险单元为1#生产车间生产设备内。</w:t>
            </w:r>
          </w:p>
          <w:p w14:paraId="56880431">
            <w:pPr>
              <w:keepNext w:val="0"/>
              <w:keepLines w:val="0"/>
              <w:suppressLineNumbers w:val="0"/>
              <w:tabs>
                <w:tab w:val="left" w:pos="6240"/>
              </w:tabs>
              <w:spacing w:before="0" w:beforeAutospacing="0" w:after="0" w:afterAutospacing="0" w:line="480" w:lineRule="exact"/>
              <w:ind w:left="0" w:right="0" w:firstLine="48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对项目危险物质数量与临界量比值，详见表4-</w:t>
            </w:r>
            <w:r>
              <w:rPr>
                <w:rFonts w:hint="eastAsia" w:cs="Times New Roman"/>
                <w:color w:val="auto"/>
                <w:sz w:val="24"/>
                <w:szCs w:val="20"/>
                <w:highlight w:val="none"/>
                <w:lang w:val="en-US" w:eastAsia="zh-CN"/>
              </w:rPr>
              <w:t>15</w:t>
            </w:r>
            <w:r>
              <w:rPr>
                <w:rFonts w:hint="default" w:ascii="Times New Roman" w:hAnsi="Times New Roman" w:cs="Times New Roman"/>
                <w:color w:val="auto"/>
                <w:sz w:val="24"/>
                <w:szCs w:val="20"/>
                <w:highlight w:val="none"/>
              </w:rPr>
              <w:t>。</w:t>
            </w:r>
          </w:p>
          <w:p w14:paraId="14068B5C">
            <w:pPr>
              <w:keepNext w:val="0"/>
              <w:keepLines w:val="0"/>
              <w:suppressLineNumbers w:val="0"/>
              <w:tabs>
                <w:tab w:val="left" w:pos="6240"/>
              </w:tabs>
              <w:spacing w:before="0" w:beforeAutospacing="0" w:after="0" w:afterAutospacing="0" w:line="480" w:lineRule="exact"/>
              <w:ind w:left="0" w:right="0"/>
              <w:jc w:val="center"/>
              <w:rPr>
                <w:rFonts w:hint="default" w:ascii="Times New Roman" w:hAnsi="Times New Roman" w:cs="Times New Roman"/>
                <w:b/>
                <w:color w:val="auto"/>
                <w:sz w:val="24"/>
                <w:szCs w:val="20"/>
                <w:highlight w:val="none"/>
              </w:rPr>
            </w:pPr>
            <w:r>
              <w:rPr>
                <w:rFonts w:hint="default" w:ascii="Times New Roman" w:hAnsi="Times New Roman" w:cs="Times New Roman"/>
                <w:b/>
                <w:color w:val="auto"/>
                <w:sz w:val="24"/>
                <w:szCs w:val="20"/>
                <w:highlight w:val="none"/>
              </w:rPr>
              <w:t>表4-</w:t>
            </w:r>
            <w:r>
              <w:rPr>
                <w:rFonts w:hint="eastAsia" w:cs="Times New Roman"/>
                <w:b/>
                <w:color w:val="auto"/>
                <w:sz w:val="24"/>
                <w:szCs w:val="20"/>
                <w:highlight w:val="none"/>
                <w:lang w:val="en-US" w:eastAsia="zh-CN"/>
              </w:rPr>
              <w:t xml:space="preserve">15 </w:t>
            </w:r>
            <w:r>
              <w:rPr>
                <w:rFonts w:hint="default" w:ascii="Times New Roman" w:hAnsi="Times New Roman" w:cs="Times New Roman"/>
                <w:b/>
                <w:color w:val="auto"/>
                <w:sz w:val="24"/>
                <w:szCs w:val="20"/>
                <w:highlight w:val="none"/>
              </w:rPr>
              <w:t xml:space="preserve"> 环境风险识别表</w:t>
            </w:r>
          </w:p>
          <w:tbl>
            <w:tblPr>
              <w:tblStyle w:val="4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8"/>
              <w:gridCol w:w="2392"/>
              <w:gridCol w:w="1399"/>
              <w:gridCol w:w="1567"/>
              <w:gridCol w:w="1569"/>
            </w:tblGrid>
            <w:tr w14:paraId="1E37B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657" w:type="pct"/>
                  <w:noWrap w:val="0"/>
                  <w:tcMar>
                    <w:left w:w="28" w:type="dxa"/>
                    <w:right w:w="28" w:type="dxa"/>
                  </w:tcMar>
                  <w:vAlign w:val="center"/>
                </w:tcPr>
                <w:p w14:paraId="581EFE08">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1499" w:type="pct"/>
                  <w:noWrap w:val="0"/>
                  <w:tcMar>
                    <w:left w:w="28" w:type="dxa"/>
                    <w:right w:w="28" w:type="dxa"/>
                  </w:tcMar>
                  <w:vAlign w:val="center"/>
                </w:tcPr>
                <w:p w14:paraId="41D684FE">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涉及风险物质</w:t>
                  </w:r>
                </w:p>
              </w:tc>
              <w:tc>
                <w:tcPr>
                  <w:tcW w:w="877" w:type="pct"/>
                  <w:noWrap w:val="0"/>
                  <w:tcMar>
                    <w:left w:w="28" w:type="dxa"/>
                    <w:right w:w="28" w:type="dxa"/>
                  </w:tcMar>
                  <w:vAlign w:val="center"/>
                </w:tcPr>
                <w:p w14:paraId="151B2C4A">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最大储存量t/a</w:t>
                  </w:r>
                </w:p>
              </w:tc>
              <w:tc>
                <w:tcPr>
                  <w:tcW w:w="982" w:type="pct"/>
                  <w:noWrap w:val="0"/>
                  <w:tcMar>
                    <w:left w:w="28" w:type="dxa"/>
                    <w:right w:w="28" w:type="dxa"/>
                  </w:tcMar>
                  <w:vAlign w:val="center"/>
                </w:tcPr>
                <w:p w14:paraId="3C49484E">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临界量t/a</w:t>
                  </w:r>
                </w:p>
              </w:tc>
              <w:tc>
                <w:tcPr>
                  <w:tcW w:w="983" w:type="pct"/>
                  <w:noWrap w:val="0"/>
                  <w:tcMar>
                    <w:left w:w="28" w:type="dxa"/>
                    <w:right w:w="28" w:type="dxa"/>
                  </w:tcMar>
                  <w:vAlign w:val="center"/>
                </w:tcPr>
                <w:p w14:paraId="542596CD">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全厂</w:t>
                  </w:r>
                  <w:r>
                    <w:rPr>
                      <w:rFonts w:hint="default" w:ascii="Times New Roman" w:hAnsi="Times New Roman" w:cs="Times New Roman"/>
                      <w:color w:val="auto"/>
                      <w:szCs w:val="21"/>
                      <w:highlight w:val="none"/>
                    </w:rPr>
                    <w:t>Q/q</w:t>
                  </w:r>
                </w:p>
              </w:tc>
            </w:tr>
            <w:tr w14:paraId="19762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657" w:type="pct"/>
                  <w:shd w:val="clear" w:color="auto" w:fill="auto"/>
                  <w:noWrap w:val="0"/>
                  <w:tcMar>
                    <w:left w:w="28" w:type="dxa"/>
                    <w:right w:w="28" w:type="dxa"/>
                  </w:tcMar>
                  <w:vAlign w:val="center"/>
                </w:tcPr>
                <w:p w14:paraId="34B3AA04">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lang w:val="en-US" w:eastAsia="zh-CN"/>
                    </w:rPr>
                    <w:t>1</w:t>
                  </w:r>
                </w:p>
              </w:tc>
              <w:tc>
                <w:tcPr>
                  <w:tcW w:w="1499" w:type="pct"/>
                  <w:shd w:val="clear" w:color="auto" w:fill="auto"/>
                  <w:noWrap w:val="0"/>
                  <w:tcMar>
                    <w:left w:w="28" w:type="dxa"/>
                    <w:right w:w="28" w:type="dxa"/>
                  </w:tcMar>
                  <w:vAlign w:val="center"/>
                </w:tcPr>
                <w:p w14:paraId="2090BC77">
                  <w:pPr>
                    <w:keepNext w:val="0"/>
                    <w:keepLines w:val="0"/>
                    <w:suppressLineNumbers w:val="0"/>
                    <w:spacing w:before="0" w:beforeAutospacing="0" w:after="0" w:afterAutospacing="0"/>
                    <w:ind w:left="0" w:leftChars="0" w:right="0" w:rightChars="0"/>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切削液</w:t>
                  </w:r>
                </w:p>
              </w:tc>
              <w:tc>
                <w:tcPr>
                  <w:tcW w:w="877" w:type="pct"/>
                  <w:shd w:val="clear" w:color="auto" w:fill="auto"/>
                  <w:noWrap w:val="0"/>
                  <w:tcMar>
                    <w:left w:w="28" w:type="dxa"/>
                    <w:right w:w="28" w:type="dxa"/>
                  </w:tcMar>
                  <w:vAlign w:val="center"/>
                </w:tcPr>
                <w:p w14:paraId="450DE008">
                  <w:pPr>
                    <w:pStyle w:val="225"/>
                    <w:keepNext w:val="0"/>
                    <w:keepLines w:val="0"/>
                    <w:suppressLineNumbers w:val="0"/>
                    <w:spacing w:beforeAutospacing="0" w:afterAutospacing="0"/>
                    <w:ind w:left="0" w:leftChars="0" w:right="0" w:rightChars="0"/>
                    <w:jc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eastAsia" w:eastAsia="宋体" w:cs="Times New Roman"/>
                      <w:bCs/>
                      <w:snapToGrid w:val="0"/>
                      <w:color w:val="auto"/>
                      <w:kern w:val="2"/>
                      <w:sz w:val="21"/>
                      <w:szCs w:val="21"/>
                      <w:highlight w:val="none"/>
                      <w:lang w:val="en-US" w:eastAsia="zh-CN" w:bidi="ar-SA"/>
                    </w:rPr>
                    <w:t>0.05</w:t>
                  </w:r>
                </w:p>
              </w:tc>
              <w:tc>
                <w:tcPr>
                  <w:tcW w:w="982" w:type="pct"/>
                  <w:shd w:val="clear" w:color="auto" w:fill="auto"/>
                  <w:noWrap w:val="0"/>
                  <w:tcMar>
                    <w:left w:w="28" w:type="dxa"/>
                    <w:right w:w="28" w:type="dxa"/>
                  </w:tcMar>
                  <w:vAlign w:val="center"/>
                </w:tcPr>
                <w:p w14:paraId="39FE2CA7">
                  <w:pPr>
                    <w:pStyle w:val="225"/>
                    <w:keepNext w:val="0"/>
                    <w:keepLines w:val="0"/>
                    <w:suppressLineNumbers w:val="0"/>
                    <w:spacing w:beforeAutospacing="0" w:afterAutospacing="0"/>
                    <w:ind w:left="0" w:leftChars="0" w:right="0" w:rightChars="0"/>
                    <w:jc w:val="center"/>
                    <w:rPr>
                      <w:rFonts w:hint="default" w:eastAsia="宋体" w:cs="Times New Roman"/>
                      <w:bCs/>
                      <w:snapToGrid w:val="0"/>
                      <w:color w:val="auto"/>
                      <w:kern w:val="2"/>
                      <w:sz w:val="21"/>
                      <w:szCs w:val="21"/>
                      <w:highlight w:val="none"/>
                      <w:lang w:val="en-US" w:eastAsia="zh-CN" w:bidi="ar-SA"/>
                    </w:rPr>
                  </w:pPr>
                  <w:r>
                    <w:rPr>
                      <w:rFonts w:hint="eastAsia" w:eastAsia="宋体" w:cs="Times New Roman"/>
                      <w:bCs/>
                      <w:snapToGrid w:val="0"/>
                      <w:color w:val="auto"/>
                      <w:kern w:val="2"/>
                      <w:sz w:val="21"/>
                      <w:szCs w:val="21"/>
                      <w:highlight w:val="none"/>
                      <w:lang w:val="en-US" w:eastAsia="zh-CN" w:bidi="ar-SA"/>
                    </w:rPr>
                    <w:t>2500</w:t>
                  </w:r>
                </w:p>
              </w:tc>
              <w:tc>
                <w:tcPr>
                  <w:tcW w:w="1569" w:type="dxa"/>
                  <w:shd w:val="clear" w:color="auto" w:fill="auto"/>
                  <w:noWrap w:val="0"/>
                  <w:tcMar>
                    <w:left w:w="28" w:type="dxa"/>
                    <w:right w:w="28" w:type="dxa"/>
                  </w:tcMar>
                  <w:vAlign w:val="center"/>
                </w:tcPr>
                <w:p w14:paraId="7E2948B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0.00002</w:t>
                  </w:r>
                </w:p>
              </w:tc>
            </w:tr>
            <w:tr w14:paraId="4BA64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657" w:type="pct"/>
                  <w:shd w:val="clear" w:color="auto" w:fill="auto"/>
                  <w:noWrap w:val="0"/>
                  <w:tcMar>
                    <w:left w:w="28" w:type="dxa"/>
                    <w:right w:w="28" w:type="dxa"/>
                  </w:tcMar>
                  <w:vAlign w:val="center"/>
                </w:tcPr>
                <w:p w14:paraId="579E546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2</w:t>
                  </w:r>
                </w:p>
              </w:tc>
              <w:tc>
                <w:tcPr>
                  <w:tcW w:w="1499" w:type="pct"/>
                  <w:shd w:val="clear" w:color="auto" w:fill="auto"/>
                  <w:noWrap w:val="0"/>
                  <w:tcMar>
                    <w:left w:w="28" w:type="dxa"/>
                    <w:right w:w="28" w:type="dxa"/>
                  </w:tcMar>
                  <w:vAlign w:val="center"/>
                </w:tcPr>
                <w:p w14:paraId="0201954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润滑油</w:t>
                  </w:r>
                </w:p>
              </w:tc>
              <w:tc>
                <w:tcPr>
                  <w:tcW w:w="877" w:type="pct"/>
                  <w:shd w:val="clear" w:color="auto" w:fill="auto"/>
                  <w:noWrap w:val="0"/>
                  <w:tcMar>
                    <w:left w:w="28" w:type="dxa"/>
                    <w:right w:w="28" w:type="dxa"/>
                  </w:tcMar>
                  <w:vAlign w:val="center"/>
                </w:tcPr>
                <w:p w14:paraId="4D79F0AD">
                  <w:pPr>
                    <w:pStyle w:val="225"/>
                    <w:keepNext w:val="0"/>
                    <w:keepLines w:val="0"/>
                    <w:suppressLineNumbers w:val="0"/>
                    <w:spacing w:beforeAutospacing="0" w:afterAutospacing="0"/>
                    <w:ind w:left="0" w:leftChars="0" w:right="0" w:rightChars="0"/>
                    <w:jc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eastAsia" w:eastAsia="宋体" w:cs="Times New Roman"/>
                      <w:bCs/>
                      <w:snapToGrid w:val="0"/>
                      <w:color w:val="auto"/>
                      <w:kern w:val="2"/>
                      <w:sz w:val="21"/>
                      <w:szCs w:val="21"/>
                      <w:highlight w:val="none"/>
                      <w:lang w:val="en-US" w:eastAsia="zh-CN" w:bidi="ar-SA"/>
                    </w:rPr>
                    <w:t>0.025</w:t>
                  </w:r>
                </w:p>
              </w:tc>
              <w:tc>
                <w:tcPr>
                  <w:tcW w:w="982" w:type="pct"/>
                  <w:shd w:val="clear" w:color="auto" w:fill="auto"/>
                  <w:noWrap w:val="0"/>
                  <w:tcMar>
                    <w:left w:w="28" w:type="dxa"/>
                    <w:right w:w="28" w:type="dxa"/>
                  </w:tcMar>
                  <w:vAlign w:val="center"/>
                </w:tcPr>
                <w:p w14:paraId="0902A9CF">
                  <w:pPr>
                    <w:pStyle w:val="225"/>
                    <w:keepNext w:val="0"/>
                    <w:keepLines w:val="0"/>
                    <w:suppressLineNumbers w:val="0"/>
                    <w:spacing w:beforeAutospacing="0" w:afterAutospacing="0"/>
                    <w:ind w:left="0" w:leftChars="0" w:right="0" w:rightChars="0"/>
                    <w:jc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eastAsia" w:eastAsia="宋体" w:cs="Times New Roman"/>
                      <w:bCs/>
                      <w:snapToGrid w:val="0"/>
                      <w:color w:val="auto"/>
                      <w:kern w:val="2"/>
                      <w:sz w:val="21"/>
                      <w:szCs w:val="21"/>
                      <w:highlight w:val="none"/>
                      <w:lang w:val="en-US" w:eastAsia="zh-CN" w:bidi="ar-SA"/>
                    </w:rPr>
                    <w:t>2500</w:t>
                  </w:r>
                </w:p>
              </w:tc>
              <w:tc>
                <w:tcPr>
                  <w:tcW w:w="1569" w:type="dxa"/>
                  <w:shd w:val="clear" w:color="auto" w:fill="auto"/>
                  <w:noWrap w:val="0"/>
                  <w:tcMar>
                    <w:left w:w="28" w:type="dxa"/>
                    <w:right w:w="28" w:type="dxa"/>
                  </w:tcMar>
                  <w:vAlign w:val="center"/>
                </w:tcPr>
                <w:p w14:paraId="5483604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0.00001</w:t>
                  </w:r>
                </w:p>
              </w:tc>
            </w:tr>
            <w:tr w14:paraId="1B97D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57" w:type="pct"/>
                  <w:shd w:val="clear" w:color="auto" w:fill="auto"/>
                  <w:noWrap w:val="0"/>
                  <w:tcMar>
                    <w:left w:w="28" w:type="dxa"/>
                    <w:right w:w="28" w:type="dxa"/>
                  </w:tcMar>
                  <w:vAlign w:val="center"/>
                </w:tcPr>
                <w:p w14:paraId="051A53E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szCs w:val="21"/>
                      <w:highlight w:val="none"/>
                      <w:lang w:val="en-US" w:eastAsia="zh-CN"/>
                    </w:rPr>
                    <w:t>3</w:t>
                  </w:r>
                </w:p>
              </w:tc>
              <w:tc>
                <w:tcPr>
                  <w:tcW w:w="1499" w:type="pct"/>
                  <w:shd w:val="clear" w:color="auto" w:fill="auto"/>
                  <w:noWrap w:val="0"/>
                  <w:tcMar>
                    <w:left w:w="28" w:type="dxa"/>
                    <w:right w:w="28" w:type="dxa"/>
                  </w:tcMar>
                  <w:vAlign w:val="center"/>
                </w:tcPr>
                <w:p w14:paraId="1F3E9F75">
                  <w:pPr>
                    <w:pStyle w:val="39"/>
                    <w:keepNext w:val="0"/>
                    <w:keepLines w:val="0"/>
                    <w:suppressLineNumbers w:val="0"/>
                    <w:spacing w:before="0" w:beforeAutospacing="0" w:after="0" w:afterAutospacing="0" w:line="360" w:lineRule="exact"/>
                    <w:ind w:left="0" w:leftChars="0" w:right="0" w:rightChars="0"/>
                    <w:jc w:val="center"/>
                    <w:rPr>
                      <w:rFonts w:hint="eastAsia"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废润滑油</w:t>
                  </w:r>
                </w:p>
              </w:tc>
              <w:tc>
                <w:tcPr>
                  <w:tcW w:w="877" w:type="pct"/>
                  <w:shd w:val="clear" w:color="auto" w:fill="auto"/>
                  <w:noWrap w:val="0"/>
                  <w:tcMar>
                    <w:left w:w="28" w:type="dxa"/>
                    <w:right w:w="28" w:type="dxa"/>
                  </w:tcMar>
                  <w:vAlign w:val="center"/>
                </w:tcPr>
                <w:p w14:paraId="1ADF82A4">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0.024</w:t>
                  </w:r>
                </w:p>
              </w:tc>
              <w:tc>
                <w:tcPr>
                  <w:tcW w:w="982" w:type="pct"/>
                  <w:shd w:val="clear" w:color="auto" w:fill="auto"/>
                  <w:noWrap w:val="0"/>
                  <w:tcMar>
                    <w:left w:w="28" w:type="dxa"/>
                    <w:right w:w="28" w:type="dxa"/>
                  </w:tcMar>
                  <w:vAlign w:val="center"/>
                </w:tcPr>
                <w:p w14:paraId="7F778BA2">
                  <w:pPr>
                    <w:pStyle w:val="225"/>
                    <w:keepNext w:val="0"/>
                    <w:keepLines w:val="0"/>
                    <w:suppressLineNumbers w:val="0"/>
                    <w:spacing w:beforeAutospacing="0" w:afterAutospacing="0"/>
                    <w:ind w:left="0" w:leftChars="0" w:right="0" w:rightChars="0"/>
                    <w:jc w:val="center"/>
                    <w:rPr>
                      <w:rFonts w:hint="eastAsia" w:ascii="Times New Roman" w:hAnsi="Times New Roman" w:eastAsia="宋体" w:cs="Times New Roman"/>
                      <w:bCs/>
                      <w:snapToGrid w:val="0"/>
                      <w:color w:val="auto"/>
                      <w:kern w:val="2"/>
                      <w:sz w:val="21"/>
                      <w:szCs w:val="21"/>
                      <w:highlight w:val="none"/>
                      <w:lang w:val="en-US" w:eastAsia="zh-CN" w:bidi="ar-SA"/>
                    </w:rPr>
                  </w:pPr>
                  <w:r>
                    <w:rPr>
                      <w:rFonts w:hint="default" w:eastAsia="宋体" w:cs="Times New Roman"/>
                      <w:bCs/>
                      <w:snapToGrid w:val="0"/>
                      <w:color w:val="auto"/>
                      <w:kern w:val="2"/>
                      <w:sz w:val="21"/>
                      <w:szCs w:val="21"/>
                      <w:highlight w:val="none"/>
                      <w:lang w:val="en-US" w:eastAsia="zh-CN" w:bidi="ar-SA"/>
                    </w:rPr>
                    <w:t>50</w:t>
                  </w:r>
                </w:p>
              </w:tc>
              <w:tc>
                <w:tcPr>
                  <w:tcW w:w="1569" w:type="dxa"/>
                  <w:shd w:val="clear" w:color="auto" w:fill="auto"/>
                  <w:noWrap w:val="0"/>
                  <w:tcMar>
                    <w:left w:w="28" w:type="dxa"/>
                    <w:right w:w="28" w:type="dxa"/>
                  </w:tcMar>
                  <w:vAlign w:val="center"/>
                </w:tcPr>
                <w:p w14:paraId="2C55C0D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0.00048</w:t>
                  </w:r>
                </w:p>
              </w:tc>
            </w:tr>
            <w:tr w14:paraId="1F0C1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57" w:type="pct"/>
                  <w:shd w:val="clear" w:color="auto" w:fill="auto"/>
                  <w:noWrap w:val="0"/>
                  <w:tcMar>
                    <w:left w:w="28" w:type="dxa"/>
                    <w:right w:w="28" w:type="dxa"/>
                  </w:tcMar>
                  <w:vAlign w:val="center"/>
                </w:tcPr>
                <w:p w14:paraId="06553AB5">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4</w:t>
                  </w:r>
                </w:p>
              </w:tc>
              <w:tc>
                <w:tcPr>
                  <w:tcW w:w="1499" w:type="pct"/>
                  <w:shd w:val="clear" w:color="auto" w:fill="auto"/>
                  <w:noWrap w:val="0"/>
                  <w:tcMar>
                    <w:left w:w="28" w:type="dxa"/>
                    <w:right w:w="28" w:type="dxa"/>
                  </w:tcMar>
                  <w:vAlign w:val="center"/>
                </w:tcPr>
                <w:p w14:paraId="0F53FA1D">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废润滑油桶</w:t>
                  </w:r>
                </w:p>
              </w:tc>
              <w:tc>
                <w:tcPr>
                  <w:tcW w:w="877" w:type="pct"/>
                  <w:shd w:val="clear" w:color="auto" w:fill="auto"/>
                  <w:noWrap w:val="0"/>
                  <w:tcMar>
                    <w:left w:w="28" w:type="dxa"/>
                    <w:right w:w="28" w:type="dxa"/>
                  </w:tcMar>
                  <w:vAlign w:val="center"/>
                </w:tcPr>
                <w:p w14:paraId="0121FA55">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0.001</w:t>
                  </w:r>
                </w:p>
              </w:tc>
              <w:tc>
                <w:tcPr>
                  <w:tcW w:w="982" w:type="pct"/>
                  <w:shd w:val="clear" w:color="auto" w:fill="auto"/>
                  <w:noWrap w:val="0"/>
                  <w:tcMar>
                    <w:left w:w="28" w:type="dxa"/>
                    <w:right w:w="28" w:type="dxa"/>
                  </w:tcMar>
                  <w:vAlign w:val="center"/>
                </w:tcPr>
                <w:p w14:paraId="70FE9176">
                  <w:pPr>
                    <w:pStyle w:val="225"/>
                    <w:keepNext w:val="0"/>
                    <w:keepLines w:val="0"/>
                    <w:suppressLineNumbers w:val="0"/>
                    <w:spacing w:beforeAutospacing="0" w:afterAutospacing="0"/>
                    <w:ind w:left="0" w:leftChars="0" w:right="0" w:rightChars="0"/>
                    <w:jc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eastAsia="宋体" w:cs="Times New Roman"/>
                      <w:bCs/>
                      <w:snapToGrid w:val="0"/>
                      <w:color w:val="auto"/>
                      <w:kern w:val="2"/>
                      <w:sz w:val="21"/>
                      <w:szCs w:val="21"/>
                      <w:highlight w:val="none"/>
                      <w:lang w:val="en-US" w:eastAsia="zh-CN" w:bidi="ar-SA"/>
                    </w:rPr>
                    <w:t>50</w:t>
                  </w:r>
                </w:p>
              </w:tc>
              <w:tc>
                <w:tcPr>
                  <w:tcW w:w="1569" w:type="dxa"/>
                  <w:shd w:val="clear" w:color="auto" w:fill="auto"/>
                  <w:noWrap w:val="0"/>
                  <w:tcMar>
                    <w:left w:w="28" w:type="dxa"/>
                    <w:right w:w="28" w:type="dxa"/>
                  </w:tcMar>
                  <w:vAlign w:val="center"/>
                </w:tcPr>
                <w:p w14:paraId="13C493C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0.00002</w:t>
                  </w:r>
                </w:p>
              </w:tc>
            </w:tr>
            <w:tr w14:paraId="629F2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57" w:type="pct"/>
                  <w:shd w:val="clear" w:color="auto" w:fill="auto"/>
                  <w:noWrap w:val="0"/>
                  <w:tcMar>
                    <w:left w:w="28" w:type="dxa"/>
                    <w:right w:w="28" w:type="dxa"/>
                  </w:tcMar>
                  <w:vAlign w:val="center"/>
                </w:tcPr>
                <w:p w14:paraId="70830383">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5</w:t>
                  </w:r>
                </w:p>
              </w:tc>
              <w:tc>
                <w:tcPr>
                  <w:tcW w:w="1499" w:type="pct"/>
                  <w:shd w:val="clear" w:color="auto" w:fill="auto"/>
                  <w:noWrap w:val="0"/>
                  <w:tcMar>
                    <w:left w:w="28" w:type="dxa"/>
                    <w:right w:w="28" w:type="dxa"/>
                  </w:tcMar>
                  <w:vAlign w:val="center"/>
                </w:tcPr>
                <w:p w14:paraId="3FDDE859">
                  <w:pPr>
                    <w:pStyle w:val="39"/>
                    <w:keepNext w:val="0"/>
                    <w:keepLines w:val="0"/>
                    <w:suppressLineNumbers w:val="0"/>
                    <w:spacing w:before="0" w:beforeAutospacing="0" w:after="0" w:afterAutospacing="0" w:line="360" w:lineRule="exact"/>
                    <w:ind w:left="0" w:leftChars="0" w:right="0" w:rightChars="0"/>
                    <w:jc w:val="center"/>
                    <w:rPr>
                      <w:rFonts w:hint="default"/>
                      <w:color w:val="auto"/>
                      <w:sz w:val="21"/>
                      <w:szCs w:val="22"/>
                      <w:highlight w:val="none"/>
                      <w:lang w:val="en-US" w:eastAsia="zh-CN"/>
                    </w:rPr>
                  </w:pPr>
                  <w:r>
                    <w:rPr>
                      <w:rFonts w:hint="eastAsia"/>
                      <w:color w:val="auto"/>
                      <w:sz w:val="21"/>
                      <w:szCs w:val="22"/>
                      <w:highlight w:val="none"/>
                      <w:lang w:val="en-US" w:eastAsia="zh-CN"/>
                    </w:rPr>
                    <w:t>废切削液</w:t>
                  </w:r>
                </w:p>
              </w:tc>
              <w:tc>
                <w:tcPr>
                  <w:tcW w:w="877" w:type="pct"/>
                  <w:shd w:val="clear" w:color="auto" w:fill="auto"/>
                  <w:noWrap w:val="0"/>
                  <w:tcMar>
                    <w:left w:w="28" w:type="dxa"/>
                    <w:right w:w="28" w:type="dxa"/>
                  </w:tcMar>
                  <w:vAlign w:val="center"/>
                </w:tcPr>
                <w:p w14:paraId="19D03F4D">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0.288</w:t>
                  </w:r>
                </w:p>
              </w:tc>
              <w:tc>
                <w:tcPr>
                  <w:tcW w:w="982" w:type="pct"/>
                  <w:shd w:val="clear" w:color="auto" w:fill="auto"/>
                  <w:noWrap w:val="0"/>
                  <w:tcMar>
                    <w:left w:w="28" w:type="dxa"/>
                    <w:right w:w="28" w:type="dxa"/>
                  </w:tcMar>
                  <w:vAlign w:val="center"/>
                </w:tcPr>
                <w:p w14:paraId="7EDB835D">
                  <w:pPr>
                    <w:keepNext w:val="0"/>
                    <w:keepLines w:val="0"/>
                    <w:suppressLineNumbers w:val="0"/>
                    <w:spacing w:before="0" w:beforeAutospacing="0" w:after="0" w:afterAutospacing="0"/>
                    <w:ind w:left="0" w:leftChars="0" w:right="0" w:rightChars="0"/>
                    <w:jc w:val="center"/>
                    <w:rPr>
                      <w:rFonts w:hint="default" w:eastAsia="宋体" w:cs="Times New Roman"/>
                      <w:bCs/>
                      <w:snapToGrid w:val="0"/>
                      <w:color w:val="auto"/>
                      <w:kern w:val="2"/>
                      <w:sz w:val="21"/>
                      <w:szCs w:val="21"/>
                      <w:highlight w:val="none"/>
                      <w:lang w:val="en-US" w:eastAsia="zh-CN" w:bidi="ar-SA"/>
                    </w:rPr>
                  </w:pPr>
                  <w:r>
                    <w:rPr>
                      <w:rFonts w:hint="eastAsia" w:eastAsia="宋体" w:cs="Times New Roman"/>
                      <w:bCs/>
                      <w:snapToGrid w:val="0"/>
                      <w:color w:val="auto"/>
                      <w:kern w:val="2"/>
                      <w:sz w:val="21"/>
                      <w:szCs w:val="21"/>
                      <w:highlight w:val="none"/>
                      <w:lang w:val="en-US" w:eastAsia="zh-CN" w:bidi="ar-SA"/>
                    </w:rPr>
                    <w:t>50</w:t>
                  </w:r>
                </w:p>
              </w:tc>
              <w:tc>
                <w:tcPr>
                  <w:tcW w:w="1569" w:type="dxa"/>
                  <w:shd w:val="clear" w:color="auto" w:fill="auto"/>
                  <w:noWrap w:val="0"/>
                  <w:tcMar>
                    <w:left w:w="28" w:type="dxa"/>
                    <w:right w:w="28" w:type="dxa"/>
                  </w:tcMar>
                  <w:vAlign w:val="center"/>
                </w:tcPr>
                <w:p w14:paraId="307BB6D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0.00576</w:t>
                  </w:r>
                </w:p>
              </w:tc>
            </w:tr>
            <w:tr w14:paraId="7C34C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57" w:type="pct"/>
                  <w:shd w:val="clear" w:color="auto" w:fill="auto"/>
                  <w:noWrap w:val="0"/>
                  <w:tcMar>
                    <w:left w:w="28" w:type="dxa"/>
                    <w:right w:w="28" w:type="dxa"/>
                  </w:tcMar>
                  <w:vAlign w:val="center"/>
                </w:tcPr>
                <w:p w14:paraId="638185B1">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6</w:t>
                  </w:r>
                </w:p>
              </w:tc>
              <w:tc>
                <w:tcPr>
                  <w:tcW w:w="1499" w:type="pct"/>
                  <w:shd w:val="clear" w:color="auto" w:fill="auto"/>
                  <w:noWrap w:val="0"/>
                  <w:tcMar>
                    <w:left w:w="28" w:type="dxa"/>
                    <w:right w:w="28" w:type="dxa"/>
                  </w:tcMar>
                  <w:vAlign w:val="center"/>
                </w:tcPr>
                <w:p w14:paraId="6B2594E0">
                  <w:pPr>
                    <w:pStyle w:val="39"/>
                    <w:keepNext w:val="0"/>
                    <w:keepLines w:val="0"/>
                    <w:suppressLineNumbers w:val="0"/>
                    <w:spacing w:before="0" w:beforeAutospacing="0" w:after="0" w:afterAutospacing="0" w:line="360" w:lineRule="exact"/>
                    <w:ind w:left="0" w:leftChars="0" w:right="0" w:rightChars="0"/>
                    <w:jc w:val="center"/>
                    <w:rPr>
                      <w:rFonts w:hint="default"/>
                      <w:color w:val="auto"/>
                      <w:sz w:val="21"/>
                      <w:szCs w:val="22"/>
                      <w:highlight w:val="none"/>
                      <w:lang w:val="en-US" w:eastAsia="zh-CN"/>
                    </w:rPr>
                  </w:pPr>
                  <w:r>
                    <w:rPr>
                      <w:rFonts w:hint="eastAsia"/>
                      <w:color w:val="auto"/>
                      <w:sz w:val="21"/>
                      <w:szCs w:val="22"/>
                      <w:highlight w:val="none"/>
                      <w:lang w:val="en-US" w:eastAsia="zh-CN"/>
                    </w:rPr>
                    <w:t>废切削液桶</w:t>
                  </w:r>
                </w:p>
              </w:tc>
              <w:tc>
                <w:tcPr>
                  <w:tcW w:w="877" w:type="pct"/>
                  <w:shd w:val="clear" w:color="auto" w:fill="auto"/>
                  <w:noWrap w:val="0"/>
                  <w:tcMar>
                    <w:left w:w="28" w:type="dxa"/>
                    <w:right w:w="28" w:type="dxa"/>
                  </w:tcMar>
                  <w:vAlign w:val="center"/>
                </w:tcPr>
                <w:p w14:paraId="0E30C95D">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0.003</w:t>
                  </w:r>
                </w:p>
              </w:tc>
              <w:tc>
                <w:tcPr>
                  <w:tcW w:w="982" w:type="pct"/>
                  <w:shd w:val="clear" w:color="auto" w:fill="auto"/>
                  <w:noWrap w:val="0"/>
                  <w:tcMar>
                    <w:left w:w="28" w:type="dxa"/>
                    <w:right w:w="28" w:type="dxa"/>
                  </w:tcMar>
                  <w:vAlign w:val="center"/>
                </w:tcPr>
                <w:p w14:paraId="00070FFC">
                  <w:pPr>
                    <w:keepNext w:val="0"/>
                    <w:keepLines w:val="0"/>
                    <w:suppressLineNumbers w:val="0"/>
                    <w:spacing w:before="0" w:beforeAutospacing="0" w:after="0" w:afterAutospacing="0"/>
                    <w:ind w:left="0" w:leftChars="0" w:right="0" w:rightChars="0"/>
                    <w:jc w:val="center"/>
                    <w:rPr>
                      <w:rFonts w:hint="default" w:eastAsia="宋体" w:cs="Times New Roman"/>
                      <w:bCs/>
                      <w:snapToGrid w:val="0"/>
                      <w:color w:val="auto"/>
                      <w:kern w:val="2"/>
                      <w:sz w:val="21"/>
                      <w:szCs w:val="21"/>
                      <w:highlight w:val="none"/>
                      <w:lang w:val="en-US" w:eastAsia="zh-CN" w:bidi="ar-SA"/>
                    </w:rPr>
                  </w:pPr>
                  <w:r>
                    <w:rPr>
                      <w:rFonts w:hint="eastAsia" w:eastAsia="宋体" w:cs="Times New Roman"/>
                      <w:bCs/>
                      <w:snapToGrid w:val="0"/>
                      <w:color w:val="auto"/>
                      <w:kern w:val="2"/>
                      <w:sz w:val="21"/>
                      <w:szCs w:val="21"/>
                      <w:highlight w:val="none"/>
                      <w:lang w:val="en-US" w:eastAsia="zh-CN" w:bidi="ar-SA"/>
                    </w:rPr>
                    <w:t>50</w:t>
                  </w:r>
                </w:p>
              </w:tc>
              <w:tc>
                <w:tcPr>
                  <w:tcW w:w="1569" w:type="dxa"/>
                  <w:shd w:val="clear" w:color="auto" w:fill="auto"/>
                  <w:noWrap w:val="0"/>
                  <w:tcMar>
                    <w:left w:w="28" w:type="dxa"/>
                    <w:right w:w="28" w:type="dxa"/>
                  </w:tcMar>
                  <w:vAlign w:val="center"/>
                </w:tcPr>
                <w:p w14:paraId="78FE222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0.00006</w:t>
                  </w:r>
                </w:p>
              </w:tc>
            </w:tr>
            <w:tr w14:paraId="1DCEB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57" w:type="pct"/>
                  <w:noWrap w:val="0"/>
                  <w:tcMar>
                    <w:left w:w="28" w:type="dxa"/>
                    <w:right w:w="28" w:type="dxa"/>
                  </w:tcMar>
                  <w:vAlign w:val="center"/>
                </w:tcPr>
                <w:p w14:paraId="6972802E">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w:t>
                  </w:r>
                </w:p>
              </w:tc>
              <w:tc>
                <w:tcPr>
                  <w:tcW w:w="1499" w:type="pct"/>
                  <w:shd w:val="clear" w:color="auto" w:fill="auto"/>
                  <w:noWrap w:val="0"/>
                  <w:tcMar>
                    <w:left w:w="28" w:type="dxa"/>
                    <w:right w:w="28" w:type="dxa"/>
                  </w:tcMar>
                  <w:vAlign w:val="center"/>
                </w:tcPr>
                <w:p w14:paraId="520757E6">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含油抹布及废劳保用品</w:t>
                  </w:r>
                </w:p>
              </w:tc>
              <w:tc>
                <w:tcPr>
                  <w:tcW w:w="877" w:type="pct"/>
                  <w:shd w:val="clear" w:color="auto" w:fill="auto"/>
                  <w:noWrap w:val="0"/>
                  <w:tcMar>
                    <w:left w:w="28" w:type="dxa"/>
                    <w:right w:w="28" w:type="dxa"/>
                  </w:tcMar>
                  <w:vAlign w:val="center"/>
                </w:tcPr>
                <w:p w14:paraId="671367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0.184</w:t>
                  </w:r>
                </w:p>
              </w:tc>
              <w:tc>
                <w:tcPr>
                  <w:tcW w:w="982" w:type="pct"/>
                  <w:shd w:val="clear" w:color="auto" w:fill="auto"/>
                  <w:noWrap w:val="0"/>
                  <w:tcMar>
                    <w:left w:w="28" w:type="dxa"/>
                    <w:right w:w="28" w:type="dxa"/>
                  </w:tcMar>
                  <w:vAlign w:val="center"/>
                </w:tcPr>
                <w:p w14:paraId="50ED2366">
                  <w:pPr>
                    <w:pStyle w:val="225"/>
                    <w:keepNext w:val="0"/>
                    <w:keepLines w:val="0"/>
                    <w:suppressLineNumbers w:val="0"/>
                    <w:spacing w:beforeAutospacing="0" w:afterAutospacing="0"/>
                    <w:ind w:left="0" w:leftChars="0" w:right="0" w:rightChars="0"/>
                    <w:jc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eastAsia" w:eastAsia="宋体" w:cs="Times New Roman"/>
                      <w:bCs/>
                      <w:snapToGrid w:val="0"/>
                      <w:color w:val="auto"/>
                      <w:kern w:val="2"/>
                      <w:sz w:val="21"/>
                      <w:szCs w:val="21"/>
                      <w:highlight w:val="none"/>
                      <w:lang w:val="en-US" w:eastAsia="zh-CN" w:bidi="ar-SA"/>
                    </w:rPr>
                    <w:t>50</w:t>
                  </w:r>
                </w:p>
              </w:tc>
              <w:tc>
                <w:tcPr>
                  <w:tcW w:w="1569" w:type="dxa"/>
                  <w:shd w:val="clear" w:color="auto" w:fill="auto"/>
                  <w:noWrap w:val="0"/>
                  <w:tcMar>
                    <w:left w:w="28" w:type="dxa"/>
                    <w:right w:w="28" w:type="dxa"/>
                  </w:tcMar>
                  <w:vAlign w:val="center"/>
                </w:tcPr>
                <w:p w14:paraId="4FD91F1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0.00368</w:t>
                  </w:r>
                </w:p>
              </w:tc>
            </w:tr>
            <w:tr w14:paraId="0CFBF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57" w:type="pct"/>
                  <w:noWrap w:val="0"/>
                  <w:tcMar>
                    <w:left w:w="28" w:type="dxa"/>
                    <w:right w:w="28" w:type="dxa"/>
                  </w:tcMar>
                  <w:vAlign w:val="center"/>
                </w:tcPr>
                <w:p w14:paraId="3634CA01">
                  <w:pPr>
                    <w:keepNext w:val="0"/>
                    <w:keepLines w:val="0"/>
                    <w:suppressLineNumbers w:val="0"/>
                    <w:spacing w:before="0" w:beforeAutospacing="0" w:after="0" w:afterAutospacing="0"/>
                    <w:ind w:left="0" w:right="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合计</w:t>
                  </w:r>
                </w:p>
              </w:tc>
              <w:tc>
                <w:tcPr>
                  <w:tcW w:w="1499" w:type="pct"/>
                  <w:noWrap w:val="0"/>
                  <w:tcMar>
                    <w:left w:w="28" w:type="dxa"/>
                    <w:right w:w="28" w:type="dxa"/>
                  </w:tcMar>
                  <w:vAlign w:val="center"/>
                </w:tcPr>
                <w:p w14:paraId="11DA47FA">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w:t>
                  </w:r>
                </w:p>
              </w:tc>
              <w:tc>
                <w:tcPr>
                  <w:tcW w:w="877" w:type="pct"/>
                  <w:noWrap w:val="0"/>
                  <w:tcMar>
                    <w:left w:w="28" w:type="dxa"/>
                    <w:right w:w="28" w:type="dxa"/>
                  </w:tcMar>
                  <w:vAlign w:val="center"/>
                </w:tcPr>
                <w:p w14:paraId="275B48A1">
                  <w:pPr>
                    <w:keepNext w:val="0"/>
                    <w:keepLines w:val="0"/>
                    <w:suppressLineNumbers w:val="0"/>
                    <w:spacing w:before="0" w:beforeAutospacing="0" w:after="0" w:afterAutospacing="0"/>
                    <w:ind w:left="0" w:right="0"/>
                    <w:jc w:val="center"/>
                    <w:outlineLvl w:val="9"/>
                    <w:rPr>
                      <w:rFonts w:hint="default" w:ascii="Times New Roman" w:hAnsi="Times New Roman" w:cs="Times New Roman"/>
                      <w:color w:val="auto"/>
                      <w:sz w:val="21"/>
                      <w:szCs w:val="21"/>
                      <w:highlight w:val="none"/>
                    </w:rPr>
                  </w:pPr>
                  <w:r>
                    <w:rPr>
                      <w:rFonts w:hint="default" w:ascii="Times New Roman" w:hAnsi="Times New Roman" w:cs="Times New Roman"/>
                      <w:color w:val="auto"/>
                      <w:szCs w:val="21"/>
                      <w:highlight w:val="none"/>
                      <w:lang w:val="en-US" w:eastAsia="zh-CN"/>
                    </w:rPr>
                    <w:t>-</w:t>
                  </w:r>
                </w:p>
              </w:tc>
              <w:tc>
                <w:tcPr>
                  <w:tcW w:w="982" w:type="pct"/>
                  <w:noWrap w:val="0"/>
                  <w:tcMar>
                    <w:left w:w="28" w:type="dxa"/>
                    <w:right w:w="28" w:type="dxa"/>
                  </w:tcMar>
                  <w:vAlign w:val="center"/>
                </w:tcPr>
                <w:p w14:paraId="50A452B0">
                  <w:pPr>
                    <w:pStyle w:val="225"/>
                    <w:keepNext w:val="0"/>
                    <w:keepLines w:val="0"/>
                    <w:suppressLineNumbers w:val="0"/>
                    <w:spacing w:beforeAutospacing="0" w:afterAutospacing="0"/>
                    <w:ind w:left="0" w:right="0"/>
                    <w:jc w:val="center"/>
                    <w:rPr>
                      <w:rFonts w:hint="default" w:eastAsia="宋体" w:cs="Times New Roman"/>
                      <w:bCs/>
                      <w:snapToGrid w:val="0"/>
                      <w:color w:val="auto"/>
                      <w:kern w:val="2"/>
                      <w:sz w:val="21"/>
                      <w:szCs w:val="21"/>
                      <w:highlight w:val="none"/>
                      <w:lang w:val="en-US" w:eastAsia="zh-CN" w:bidi="ar-SA"/>
                    </w:rPr>
                  </w:pPr>
                  <w:bookmarkStart w:id="11" w:name="_Toc22093"/>
                  <w:r>
                    <w:rPr>
                      <w:rFonts w:hint="default" w:eastAsia="宋体" w:cs="Times New Roman"/>
                      <w:bCs/>
                      <w:snapToGrid w:val="0"/>
                      <w:color w:val="auto"/>
                      <w:kern w:val="2"/>
                      <w:sz w:val="21"/>
                      <w:szCs w:val="21"/>
                      <w:highlight w:val="none"/>
                      <w:lang w:val="en-US" w:eastAsia="zh-CN" w:bidi="ar-SA"/>
                    </w:rPr>
                    <w:t>-</w:t>
                  </w:r>
                  <w:bookmarkEnd w:id="11"/>
                </w:p>
              </w:tc>
              <w:tc>
                <w:tcPr>
                  <w:tcW w:w="1569" w:type="dxa"/>
                  <w:noWrap w:val="0"/>
                  <w:tcMar>
                    <w:left w:w="28" w:type="dxa"/>
                    <w:right w:w="28" w:type="dxa"/>
                  </w:tcMar>
                  <w:vAlign w:val="center"/>
                </w:tcPr>
                <w:p w14:paraId="2E65377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Cs/>
                      <w:snapToGrid w:val="0"/>
                      <w:color w:val="auto"/>
                      <w:kern w:val="2"/>
                      <w:sz w:val="21"/>
                      <w:szCs w:val="21"/>
                      <w:highlight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0.01003</w:t>
                  </w:r>
                </w:p>
              </w:tc>
            </w:tr>
          </w:tbl>
          <w:p w14:paraId="08C45811">
            <w:pPr>
              <w:keepNext w:val="0"/>
              <w:keepLines w:val="0"/>
              <w:suppressLineNumbers w:val="0"/>
              <w:tabs>
                <w:tab w:val="left" w:pos="6240"/>
              </w:tabs>
              <w:spacing w:before="0" w:beforeAutospacing="0" w:after="0" w:afterAutospacing="0" w:line="480" w:lineRule="exact"/>
              <w:ind w:left="0" w:right="0" w:firstLine="48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本项目Q</w:t>
            </w:r>
            <w:r>
              <w:rPr>
                <w:rFonts w:hint="eastAsia" w:cs="Times New Roman"/>
                <w:color w:val="auto"/>
                <w:sz w:val="24"/>
                <w:szCs w:val="20"/>
                <w:highlight w:val="none"/>
                <w:lang w:val="en-US" w:eastAsia="zh-CN"/>
              </w:rPr>
              <w:t>=0.01003</w:t>
            </w:r>
            <w:r>
              <w:rPr>
                <w:rFonts w:hint="default" w:ascii="Times New Roman" w:hAnsi="Times New Roman" w:cs="Times New Roman"/>
                <w:color w:val="auto"/>
                <w:sz w:val="24"/>
                <w:szCs w:val="20"/>
                <w:highlight w:val="none"/>
              </w:rPr>
              <w:t>＜1，环境风险潜势为I。</w:t>
            </w:r>
          </w:p>
          <w:p w14:paraId="2755D4D6">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（3）突发环境事件类型及环境风险影响分析</w:t>
            </w:r>
          </w:p>
          <w:p w14:paraId="35019421">
            <w:pPr>
              <w:keepNext w:val="0"/>
              <w:keepLines w:val="0"/>
              <w:suppressLineNumbers w:val="0"/>
              <w:spacing w:before="0" w:beforeAutospacing="0" w:after="0" w:afterAutospacing="0" w:line="480" w:lineRule="exact"/>
              <w:ind w:left="0" w:right="0" w:firstLine="48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①风险事故情形设定</w:t>
            </w:r>
          </w:p>
          <w:p w14:paraId="2FA34D7E">
            <w:pPr>
              <w:keepNext w:val="0"/>
              <w:keepLines w:val="0"/>
              <w:suppressLineNumbers w:val="0"/>
              <w:spacing w:before="0" w:beforeAutospacing="0" w:after="0" w:afterAutospacing="0" w:line="480" w:lineRule="exact"/>
              <w:ind w:left="0" w:right="0" w:firstLine="48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根据前述环境风险识别，项目主要存在的事故类型有</w:t>
            </w:r>
            <w:r>
              <w:rPr>
                <w:rFonts w:hint="eastAsia" w:cs="Times New Roman"/>
                <w:color w:val="auto"/>
                <w:sz w:val="24"/>
                <w:szCs w:val="20"/>
                <w:highlight w:val="none"/>
                <w:lang w:eastAsia="zh-CN"/>
              </w:rPr>
              <w:t>：</w:t>
            </w:r>
            <w:r>
              <w:rPr>
                <w:rFonts w:hint="eastAsia" w:cs="Times New Roman"/>
                <w:color w:val="auto"/>
                <w:sz w:val="24"/>
                <w:szCs w:val="20"/>
                <w:highlight w:val="none"/>
                <w:lang w:val="en-US" w:eastAsia="zh-CN"/>
              </w:rPr>
              <w:t>切削液、润滑油、废润滑油、废润滑油桶、废切削液、废切削液桶、含油抹布及废劳保用品</w:t>
            </w:r>
            <w:r>
              <w:rPr>
                <w:rFonts w:hint="default" w:ascii="Times New Roman" w:hAnsi="Times New Roman" w:cs="Times New Roman"/>
                <w:color w:val="auto"/>
                <w:sz w:val="24"/>
                <w:szCs w:val="20"/>
                <w:highlight w:val="none"/>
                <w:lang w:val="en-US" w:eastAsia="zh-CN"/>
              </w:rPr>
              <w:t>在包装破损时</w:t>
            </w:r>
            <w:r>
              <w:rPr>
                <w:rFonts w:hint="default" w:ascii="Times New Roman" w:hAnsi="Times New Roman" w:cs="Times New Roman"/>
                <w:color w:val="auto"/>
                <w:sz w:val="24"/>
                <w:szCs w:val="20"/>
                <w:highlight w:val="none"/>
              </w:rPr>
              <w:t>发生泄漏和遇明火发生火灾爆炸事故等。</w:t>
            </w:r>
          </w:p>
          <w:p w14:paraId="3031869A">
            <w:pPr>
              <w:keepNext w:val="0"/>
              <w:keepLines w:val="0"/>
              <w:suppressLineNumbers w:val="0"/>
              <w:spacing w:before="0" w:beforeAutospacing="0" w:after="0" w:afterAutospacing="0" w:line="480" w:lineRule="exact"/>
              <w:ind w:left="0" w:right="0" w:firstLine="48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②项目最大可信事故</w:t>
            </w:r>
          </w:p>
          <w:p w14:paraId="717EEF18">
            <w:pPr>
              <w:keepNext w:val="0"/>
              <w:keepLines w:val="0"/>
              <w:suppressLineNumbers w:val="0"/>
              <w:spacing w:before="0" w:beforeAutospacing="0" w:after="0" w:afterAutospacing="0" w:line="480" w:lineRule="exact"/>
              <w:ind w:left="0" w:right="0" w:firstLine="48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最大可信事故是指在所有预测的概率不为零的事故中，对环境（或健康）危害最严重的重大事故。最大可信事故确定的目的是针对典型事故进行环境风险分析，并不意味着其它事故不具环境风险。在项目生产、贮存、运输等过程中，存在诸多事故风险因素，风险评价不可能面面具到，只能考虑对环境危害最大的事故风险。本次风险评价不考虑工程外部事故风险因素（如地震、雷电、战争、人为蓄意破坏等），主要考虑可能对厂区外周围环境造成污染危害的事故。</w:t>
            </w:r>
          </w:p>
          <w:p w14:paraId="16D5D220">
            <w:pPr>
              <w:keepNext w:val="0"/>
              <w:keepLines w:val="0"/>
              <w:suppressLineNumbers w:val="0"/>
              <w:spacing w:before="0" w:beforeAutospacing="0" w:after="0" w:afterAutospacing="0" w:line="480" w:lineRule="exact"/>
              <w:ind w:left="0" w:right="0" w:firstLine="48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根据项目风险识别，项目最大可信事故为</w:t>
            </w:r>
            <w:r>
              <w:rPr>
                <w:rFonts w:hint="eastAsia" w:cs="Times New Roman"/>
                <w:color w:val="auto"/>
                <w:sz w:val="24"/>
                <w:szCs w:val="20"/>
                <w:highlight w:val="none"/>
                <w:lang w:eastAsia="zh-CN"/>
              </w:rPr>
              <w:t>切削液、润滑油</w:t>
            </w:r>
            <w:r>
              <w:rPr>
                <w:rFonts w:hint="default" w:ascii="Times New Roman" w:hAnsi="Times New Roman" w:cs="Times New Roman"/>
                <w:color w:val="auto"/>
                <w:sz w:val="24"/>
                <w:szCs w:val="20"/>
                <w:highlight w:val="none"/>
              </w:rPr>
              <w:t>发生泄漏事故。</w:t>
            </w:r>
          </w:p>
          <w:p w14:paraId="00E6901C">
            <w:pPr>
              <w:keepNext w:val="0"/>
              <w:keepLines w:val="0"/>
              <w:suppressLineNumbers w:val="0"/>
              <w:spacing w:before="0" w:beforeAutospacing="0" w:after="0" w:afterAutospacing="0" w:line="480" w:lineRule="exact"/>
              <w:ind w:left="0" w:right="0" w:firstLine="48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次生/伴生影响分析</w:t>
            </w:r>
            <w:r>
              <w:rPr>
                <w:rFonts w:hint="eastAsia" w:cs="Times New Roman"/>
                <w:color w:val="auto"/>
                <w:sz w:val="24"/>
                <w:szCs w:val="20"/>
                <w:highlight w:val="none"/>
                <w:lang w:eastAsia="zh-CN"/>
              </w:rPr>
              <w:t>：</w:t>
            </w:r>
            <w:r>
              <w:rPr>
                <w:rFonts w:hint="default" w:ascii="Times New Roman" w:hAnsi="Times New Roman" w:cs="Times New Roman"/>
                <w:color w:val="auto"/>
                <w:sz w:val="24"/>
                <w:szCs w:val="20"/>
                <w:highlight w:val="none"/>
              </w:rPr>
              <w:t>当</w:t>
            </w:r>
            <w:r>
              <w:rPr>
                <w:rFonts w:hint="eastAsia" w:cs="Times New Roman"/>
                <w:color w:val="auto"/>
                <w:sz w:val="24"/>
                <w:szCs w:val="20"/>
                <w:highlight w:val="none"/>
                <w:lang w:eastAsia="zh-CN"/>
              </w:rPr>
              <w:t>切削液、润滑油</w:t>
            </w:r>
            <w:r>
              <w:rPr>
                <w:rFonts w:hint="default" w:ascii="Times New Roman" w:hAnsi="Times New Roman" w:cs="Times New Roman"/>
                <w:color w:val="auto"/>
                <w:sz w:val="24"/>
                <w:szCs w:val="20"/>
                <w:highlight w:val="none"/>
              </w:rPr>
              <w:t>发生泄漏遇明火燃烧时，均会发生爆炸会产生一氧化碳、二氧化碳等气体，如处置不当，会对周边大气环境造成危害</w:t>
            </w:r>
            <w:r>
              <w:rPr>
                <w:rFonts w:hint="eastAsia" w:cs="Times New Roman"/>
                <w:color w:val="auto"/>
                <w:sz w:val="24"/>
                <w:szCs w:val="20"/>
                <w:highlight w:val="none"/>
                <w:lang w:eastAsia="zh-CN"/>
              </w:rPr>
              <w:t>；</w:t>
            </w:r>
            <w:r>
              <w:rPr>
                <w:rFonts w:hint="eastAsia" w:cs="Times New Roman"/>
                <w:color w:val="auto"/>
                <w:sz w:val="24"/>
                <w:szCs w:val="20"/>
                <w:highlight w:val="none"/>
                <w:lang w:val="en-US" w:eastAsia="zh-CN"/>
              </w:rPr>
              <w:t>灭火时不能采用水灭火，需采用泡沫灭火器灭火，灭火后产生的消防危废交由有资质单位处置，如处置不当，会对周围土壤、地下水造成危害，本项目不涉及消防废水</w:t>
            </w:r>
            <w:r>
              <w:rPr>
                <w:rFonts w:hint="default" w:ascii="Times New Roman" w:hAnsi="Times New Roman" w:cs="Times New Roman"/>
                <w:color w:val="auto"/>
                <w:sz w:val="24"/>
                <w:szCs w:val="20"/>
                <w:highlight w:val="none"/>
              </w:rPr>
              <w:t>。</w:t>
            </w:r>
          </w:p>
          <w:p w14:paraId="23B6ACD9">
            <w:pPr>
              <w:keepNext w:val="0"/>
              <w:keepLines w:val="0"/>
              <w:suppressLineNumbers w:val="0"/>
              <w:spacing w:before="0" w:beforeAutospacing="0" w:after="0" w:afterAutospacing="0" w:line="480" w:lineRule="exact"/>
              <w:ind w:left="0" w:right="0" w:firstLine="48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③环境风险影响分析</w:t>
            </w:r>
          </w:p>
          <w:p w14:paraId="19DAC54E">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火灾主要由于</w:t>
            </w:r>
            <w:r>
              <w:rPr>
                <w:rFonts w:hint="eastAsia" w:cs="Times New Roman"/>
                <w:color w:val="auto"/>
                <w:sz w:val="24"/>
                <w:szCs w:val="20"/>
                <w:highlight w:val="none"/>
                <w:lang w:eastAsia="zh-CN"/>
              </w:rPr>
              <w:t>切削液、润滑油</w:t>
            </w:r>
            <w:r>
              <w:rPr>
                <w:rFonts w:hint="default" w:ascii="Times New Roman" w:hAnsi="Times New Roman" w:cs="Times New Roman"/>
                <w:color w:val="auto"/>
                <w:sz w:val="24"/>
                <w:szCs w:val="20"/>
                <w:highlight w:val="none"/>
              </w:rPr>
              <w:t>泄漏遇明火或高温引起的火灾事故。此类火灾发生时，在热辐射的作用下，人或设备、设施、建筑物都有可能遭受不同程度的伤害和破坏。同时，在燃烧时会形成烟尘扩散，引起大气环境的污染。</w:t>
            </w:r>
          </w:p>
          <w:p w14:paraId="1AC00BA4">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（4）环境风险防范措施及应急要求</w:t>
            </w:r>
          </w:p>
          <w:p w14:paraId="10973C7F">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1）环境风险防范措施</w:t>
            </w:r>
          </w:p>
          <w:p w14:paraId="3EB2FA89">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①总图布置和建筑安全防范措施</w:t>
            </w:r>
          </w:p>
          <w:p w14:paraId="16E11A80">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总图布置严格执行相关规范要求，所有</w:t>
            </w:r>
            <w:r>
              <w:rPr>
                <w:rFonts w:hint="eastAsia" w:cs="Times New Roman"/>
                <w:color w:val="auto"/>
                <w:sz w:val="24"/>
                <w:szCs w:val="20"/>
                <w:highlight w:val="none"/>
                <w:lang w:val="en-US" w:eastAsia="zh-CN"/>
              </w:rPr>
              <w:t>区域</w:t>
            </w:r>
            <w:r>
              <w:rPr>
                <w:rFonts w:hint="default" w:ascii="Times New Roman" w:hAnsi="Times New Roman" w:cs="Times New Roman"/>
                <w:color w:val="auto"/>
                <w:sz w:val="24"/>
                <w:szCs w:val="20"/>
                <w:highlight w:val="none"/>
              </w:rPr>
              <w:t>之间或与其它场所之间留有足够的防火间距，防止在火灾或爆炸时相互影响；严格按工艺处理物料特性，对厂房区域进行危险区划分。厂房区域实行人、货流分开；在厂房总平面布置中配套建设应急救援设施、救援通道、应急疏散避难所等防护设施。按《安全标志》规定在装置区设置有关的安全标志。</w:t>
            </w:r>
          </w:p>
          <w:p w14:paraId="5B5066B7">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根据火灾危险性等级和防火、防爆要求，建筑物的防火等级均应采用国家现行规范要求按一、二级耐火等级设计，满足建筑防火要求。凡禁火区均设置明显标志牌。各种易燃易爆物料均储存在阴凉、通风处，远离火源，避免与强氧化剂接触；安放易发生爆炸设备的房间，不允许任何人员随便入内。</w:t>
            </w:r>
          </w:p>
          <w:p w14:paraId="435D6517">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②生产过程中的风险防范措施</w:t>
            </w:r>
          </w:p>
          <w:p w14:paraId="2BC14B40">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Ⅰ、根据公司实际情况，建立安全生产岗位责任制，制定安全生产规章制度、安全操作规程。如生产过程必须有全套切实可行的安全操作规程，有专人负责检查安全操作规程的执行、安全设备及防护设备的使用情况；厂房应配备急救设备和药品；作业人员应学会自救和互救。</w:t>
            </w:r>
          </w:p>
          <w:p w14:paraId="03ED8DF7">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Ⅱ、凡容易发生事故或危及生命安全的场所、设备以及需要提醒操作人员注意的地方，应设置安全标志；在各区域设置毒物周知卡；装置设物料走向、厂区设风向标等工艺技术设计安全防范措施。</w:t>
            </w:r>
          </w:p>
          <w:p w14:paraId="51799CF3">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Ⅲ、项目所用的电源应设在防火区域以外；所有金属设备都应接地可靠，防止静电积聚和静电放电；生产线内严禁烟火，不许带火柴，打火机等火种进入生产线。</w:t>
            </w:r>
          </w:p>
          <w:p w14:paraId="4162004B">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Ⅳ、加强工艺管理，严格控制工艺指标。加强安全教育，安全生产教育包括厂级、生产线、班组三级安全教育、特殊工种安全教育、日常安全教育、装置开前安全教育和外来人员安全教育五部分内容。让所有员工了解本厂各种原辅材料、化学制品以及固体废物的物理、化学和生理特性及其毒性，所有防护措施、环境影响等。</w:t>
            </w:r>
          </w:p>
          <w:p w14:paraId="0AF896E9">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Ⅴ、加强对各生产设备、设施等定期检查，及时发现隐患，维护维修，关键设备实行定期大修制度。</w:t>
            </w:r>
          </w:p>
          <w:p w14:paraId="062E4C76">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Ⅵ、原辅材料转移、计量、调配等过程应进行重点防范，避免由于操作失误造成物料泄漏。所有存放原辅材料的容器，除正在使用中外，均需保持紧盖。</w:t>
            </w:r>
          </w:p>
          <w:p w14:paraId="21FED509">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Ⅶ、若由于包装破裂、倾倒或生产装置阀门损坏造成物料泄漏，应在第一时间按照泄漏物质相应的应急处理措施进行处理，泄漏的物料回收利用妥善处置。</w:t>
            </w:r>
          </w:p>
          <w:p w14:paraId="7864BFD3">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Ⅷ、生产车间内一般区域采用水泥硬化地面，储存区和生产区长期配备足够的应急物资，确保泄漏物料及时收集、转移。</w:t>
            </w:r>
          </w:p>
          <w:p w14:paraId="58540CA8">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③暂存过程中的风险防范措施</w:t>
            </w:r>
          </w:p>
          <w:p w14:paraId="1F73AB11">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Ⅰ、物料存放时，应保持通风、干燥、防止日光直接照射，并应隔绝火源、远离热源。设置禁火标志及防静电措施等，配备有完善的防火及灭火装备。暂存区应具有良好的排风通风措施。</w:t>
            </w:r>
          </w:p>
          <w:p w14:paraId="162A1A3A">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Ⅱ、地面硬化且采取防腐防渗处理，并设置防风、防雨、防晒、防流失等措施，防止各种液体类原辅料漫流或泄漏。</w:t>
            </w:r>
          </w:p>
          <w:p w14:paraId="07B3E4F3">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Ⅲ、车间内配备足够的应急物资，确保泄漏物料及时收集、转移。</w:t>
            </w:r>
          </w:p>
          <w:p w14:paraId="5BF9A598">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项目生产过程中涉及的主要危险化学品储存严格按照《危险化学品安全技术手册》、《危险化学品安全技术说明书》、《危险货物运输包装通用技术条件》等相关要求执行。</w:t>
            </w:r>
          </w:p>
          <w:p w14:paraId="315186BF">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④其它风险防范措施</w:t>
            </w:r>
          </w:p>
          <w:p w14:paraId="59AE3FB1">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根据相关事故案例分析，管理混乱、物料装卸不规范等也是导致风险事故的常见原因，故建设单位一定要采取相应措施防范此类事故发生。</w:t>
            </w:r>
          </w:p>
          <w:p w14:paraId="6E819AF6">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Ⅰ、加强巡检，定期对设备、阀门进行检查、维修。</w:t>
            </w:r>
          </w:p>
          <w:p w14:paraId="76748881">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Ⅱ、加强对废包装桶等危险废物的管理，废弃包装桶应收集并</w:t>
            </w:r>
            <w:r>
              <w:rPr>
                <w:rFonts w:hint="default" w:ascii="Times New Roman" w:hAnsi="Times New Roman" w:cs="Times New Roman"/>
                <w:color w:val="auto"/>
                <w:sz w:val="24"/>
                <w:szCs w:val="20"/>
                <w:highlight w:val="none"/>
                <w:lang w:val="en-US" w:eastAsia="zh-CN"/>
              </w:rPr>
              <w:t>即产即清</w:t>
            </w:r>
            <w:r>
              <w:rPr>
                <w:rFonts w:hint="default" w:ascii="Times New Roman" w:hAnsi="Times New Roman" w:cs="Times New Roman"/>
                <w:color w:val="auto"/>
                <w:sz w:val="24"/>
                <w:szCs w:val="20"/>
                <w:highlight w:val="none"/>
              </w:rPr>
              <w:t>，交有资质的单位处理。</w:t>
            </w:r>
          </w:p>
          <w:p w14:paraId="0901F470">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Ⅲ、发生泄漏后，事故处置过程中产生的含物料沙土、废棉纱等及时有效收集并送有资质单位进行处置。</w:t>
            </w:r>
          </w:p>
          <w:p w14:paraId="5500F140">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2）事故应急预案</w:t>
            </w:r>
          </w:p>
          <w:p w14:paraId="497542A7">
            <w:pPr>
              <w:keepNext w:val="0"/>
              <w:keepLines w:val="0"/>
              <w:suppressLineNumbers w:val="0"/>
              <w:spacing w:before="0" w:beforeAutospacing="0" w:after="0" w:afterAutospacing="0" w:line="480" w:lineRule="exact"/>
              <w:ind w:left="0" w:right="0" w:firstLine="480" w:firstLineChars="200"/>
              <w:rPr>
                <w:rFonts w:hint="eastAsia" w:ascii="Times New Roman" w:hAnsi="Times New Roman" w:eastAsia="宋体" w:cs="Times New Roman"/>
                <w:color w:val="auto"/>
                <w:sz w:val="24"/>
                <w:szCs w:val="20"/>
                <w:highlight w:val="none"/>
                <w:lang w:eastAsia="zh-CN"/>
              </w:rPr>
            </w:pPr>
            <w:r>
              <w:rPr>
                <w:rFonts w:hint="default" w:ascii="Times New Roman" w:hAnsi="Times New Roman" w:cs="Times New Roman"/>
                <w:color w:val="auto"/>
                <w:sz w:val="24"/>
                <w:szCs w:val="20"/>
                <w:highlight w:val="none"/>
              </w:rPr>
              <w:t>为更好的做好项目的事故防范工作，应严格执行事故应急预案，并定期组织演练，具体如下</w:t>
            </w:r>
            <w:r>
              <w:rPr>
                <w:rFonts w:hint="eastAsia" w:cs="Times New Roman"/>
                <w:color w:val="auto"/>
                <w:sz w:val="24"/>
                <w:szCs w:val="20"/>
                <w:highlight w:val="none"/>
                <w:lang w:eastAsia="zh-CN"/>
              </w:rPr>
              <w:t>：</w:t>
            </w:r>
          </w:p>
          <w:p w14:paraId="593B6AA2">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①建立内部救援队伍</w:t>
            </w:r>
          </w:p>
          <w:p w14:paraId="063AFF2C">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建立事故应急救援指挥领导小组，由企业法人、及</w:t>
            </w:r>
            <w:r>
              <w:rPr>
                <w:rFonts w:hint="eastAsia" w:cs="Times New Roman"/>
                <w:color w:val="auto"/>
                <w:sz w:val="24"/>
                <w:szCs w:val="20"/>
                <w:highlight w:val="none"/>
                <w:lang w:val="en-US" w:eastAsia="zh-CN"/>
              </w:rPr>
              <w:t>车间主任</w:t>
            </w:r>
            <w:r>
              <w:rPr>
                <w:rFonts w:hint="default" w:ascii="Times New Roman" w:hAnsi="Times New Roman" w:cs="Times New Roman"/>
                <w:color w:val="auto"/>
                <w:sz w:val="24"/>
                <w:szCs w:val="20"/>
                <w:highlight w:val="none"/>
              </w:rPr>
              <w:t>等部门负责人组成。</w:t>
            </w:r>
          </w:p>
          <w:p w14:paraId="7AD39CFC">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成立事故应急救援指挥部，负责一旦发生事故时的全厂应急救援的组织和指挥，企业法人任总指挥，若企业法人不在时，应明确有关领导全权负责应急救援工作。组织机构包括应急处置行动组、通讯联络组、疏散引导组、安全防护救护组等。</w:t>
            </w:r>
          </w:p>
          <w:p w14:paraId="1C5887DA">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指挥领导小组应负责企业事故应急预案的制定、修订；组建应急救业队伍，组织预案实施和演练；检查督促做好危险源事故的预防措施和应急救援的准备工作，一旦发生事故，按照应急救援预案实施救援。</w:t>
            </w:r>
          </w:p>
          <w:p w14:paraId="44DCFB4E">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②泄漏事故处置方案</w:t>
            </w:r>
          </w:p>
          <w:p w14:paraId="5A77823B">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Ⅰ、停止使用，关闭有关设备和系统，立即向应急救援指挥部报告；</w:t>
            </w:r>
          </w:p>
          <w:p w14:paraId="63134861">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Ⅱ、事故现场严禁明火，切断电源，迅速撤离泄漏区人员至上风向安全处。同时在事故现场设置隔离区，禁止无关人员进入；</w:t>
            </w:r>
          </w:p>
          <w:p w14:paraId="6EFDA795">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Ⅲ、应急处理人员必须配备必要的个人防护器具，严禁单独行动；</w:t>
            </w:r>
          </w:p>
          <w:p w14:paraId="63422566">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Ⅳ、用预先确定的堵漏方式尽快堵漏，切断或控制泄漏源。尽快收集泄漏物料。</w:t>
            </w:r>
          </w:p>
          <w:p w14:paraId="5C937631">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Ⅴ、迅速撤离泄漏污染区的工作人员至安全区，并进行隔离，脱去被污染的衣着，用流动清水冲洗。</w:t>
            </w:r>
          </w:p>
          <w:p w14:paraId="370948B2">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Ⅵ、在厂房内设置疏散工作指示方向标识。</w:t>
            </w:r>
          </w:p>
          <w:p w14:paraId="5286532B">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③火灾应急措施</w:t>
            </w:r>
          </w:p>
          <w:p w14:paraId="316B4FBE">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Ⅰ、发现起火，立即报警，通过消防灭火，采用抗溶性泡沫、干粉、二氧化碳等灭火器灭火。</w:t>
            </w:r>
          </w:p>
          <w:p w14:paraId="65340953">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Ⅱ、切断火势蔓延的途径，冷却和疏散受火势威胁的密闭容器和可燃物，控制燃烧范围，并积极抢救受伤和被困人员；</w:t>
            </w:r>
          </w:p>
          <w:p w14:paraId="5B1BD109">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Ⅲ、通知安全、消防、救护等相关部门人员，启动相应的应急救护程序；</w:t>
            </w:r>
          </w:p>
          <w:p w14:paraId="1FD9DA02">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Ⅳ、组织救援小组，封锁现场，疏散人员；</w:t>
            </w:r>
          </w:p>
          <w:p w14:paraId="748E77F6">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Ⅴ、灭火工作结束后，对现场进行恢复清理；</w:t>
            </w:r>
          </w:p>
          <w:p w14:paraId="2A953554">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Ⅵ、调查和鉴定事故原因，提出事故评估报告，补充或修改事故防范措施和应急方案。</w:t>
            </w:r>
          </w:p>
          <w:p w14:paraId="41FA7781">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④急救措施</w:t>
            </w:r>
          </w:p>
          <w:p w14:paraId="7E35E8D2">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皮肤接触</w:t>
            </w:r>
            <w:r>
              <w:rPr>
                <w:rFonts w:hint="eastAsia" w:cs="Times New Roman"/>
                <w:color w:val="auto"/>
                <w:sz w:val="24"/>
                <w:szCs w:val="20"/>
                <w:highlight w:val="none"/>
                <w:lang w:eastAsia="zh-CN"/>
              </w:rPr>
              <w:t>：</w:t>
            </w:r>
            <w:r>
              <w:rPr>
                <w:rFonts w:hint="default" w:ascii="Times New Roman" w:hAnsi="Times New Roman" w:cs="Times New Roman"/>
                <w:color w:val="auto"/>
                <w:sz w:val="24"/>
                <w:szCs w:val="20"/>
                <w:highlight w:val="none"/>
              </w:rPr>
              <w:t>脱去污染的衣着，用流动清水冲洗。</w:t>
            </w:r>
          </w:p>
          <w:p w14:paraId="54C41FE9">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眼睛接触</w:t>
            </w:r>
            <w:r>
              <w:rPr>
                <w:rFonts w:hint="eastAsia" w:cs="Times New Roman"/>
                <w:color w:val="auto"/>
                <w:sz w:val="24"/>
                <w:szCs w:val="20"/>
                <w:highlight w:val="none"/>
                <w:lang w:eastAsia="zh-CN"/>
              </w:rPr>
              <w:t>：</w:t>
            </w:r>
            <w:r>
              <w:rPr>
                <w:rFonts w:hint="default" w:ascii="Times New Roman" w:hAnsi="Times New Roman" w:cs="Times New Roman"/>
                <w:color w:val="auto"/>
                <w:sz w:val="24"/>
                <w:szCs w:val="20"/>
                <w:highlight w:val="none"/>
              </w:rPr>
              <w:t>提起眼睑，用流动清水或生理盐水冲洗，就医。</w:t>
            </w:r>
          </w:p>
          <w:p w14:paraId="222C8F56">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rPr>
            </w:pPr>
            <w:r>
              <w:rPr>
                <w:rFonts w:hint="default" w:ascii="Times New Roman" w:hAnsi="Times New Roman" w:cs="Times New Roman"/>
                <w:color w:val="auto"/>
                <w:sz w:val="24"/>
                <w:szCs w:val="20"/>
                <w:highlight w:val="none"/>
              </w:rPr>
              <w:t>吸入</w:t>
            </w:r>
            <w:r>
              <w:rPr>
                <w:rFonts w:hint="eastAsia" w:cs="Times New Roman"/>
                <w:color w:val="auto"/>
                <w:sz w:val="24"/>
                <w:szCs w:val="20"/>
                <w:highlight w:val="none"/>
                <w:lang w:eastAsia="zh-CN"/>
              </w:rPr>
              <w:t>：</w:t>
            </w:r>
            <w:r>
              <w:rPr>
                <w:rFonts w:hint="default" w:ascii="Times New Roman" w:hAnsi="Times New Roman" w:cs="Times New Roman"/>
                <w:color w:val="auto"/>
                <w:sz w:val="24"/>
                <w:szCs w:val="20"/>
                <w:highlight w:val="none"/>
              </w:rPr>
              <w:t>脱离现场至空气新鲜处，保持呼吸道通畅；如呼吸困难，给输氧；如呼吸停止，立即进行人工呼吸，就医。</w:t>
            </w:r>
          </w:p>
          <w:p w14:paraId="433530C8">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z w:val="24"/>
                <w:szCs w:val="20"/>
                <w:highlight w:val="none"/>
                <w:lang w:eastAsia="zh-CN"/>
              </w:rPr>
            </w:pPr>
            <w:r>
              <w:rPr>
                <w:rFonts w:hint="default" w:ascii="Times New Roman" w:hAnsi="Times New Roman" w:cs="Times New Roman"/>
                <w:color w:val="auto"/>
                <w:sz w:val="24"/>
                <w:szCs w:val="20"/>
                <w:highlight w:val="none"/>
              </w:rPr>
              <w:t>食入</w:t>
            </w:r>
            <w:r>
              <w:rPr>
                <w:rFonts w:hint="eastAsia" w:cs="Times New Roman"/>
                <w:color w:val="auto"/>
                <w:sz w:val="24"/>
                <w:szCs w:val="20"/>
                <w:highlight w:val="none"/>
                <w:lang w:eastAsia="zh-CN"/>
              </w:rPr>
              <w:t>：</w:t>
            </w:r>
            <w:r>
              <w:rPr>
                <w:rFonts w:hint="default" w:ascii="Times New Roman" w:hAnsi="Times New Roman" w:cs="Times New Roman"/>
                <w:color w:val="auto"/>
                <w:sz w:val="24"/>
                <w:szCs w:val="20"/>
                <w:highlight w:val="none"/>
              </w:rPr>
              <w:t>饮足量温水，催吐，就医</w:t>
            </w:r>
            <w:r>
              <w:rPr>
                <w:rFonts w:hint="default" w:ascii="Times New Roman" w:hAnsi="Times New Roman" w:cs="Times New Roman"/>
                <w:color w:val="auto"/>
                <w:sz w:val="24"/>
                <w:szCs w:val="20"/>
                <w:highlight w:val="none"/>
                <w:lang w:eastAsia="zh-CN"/>
              </w:rPr>
              <w:t>。</w:t>
            </w:r>
          </w:p>
          <w:p w14:paraId="6A652976">
            <w:pPr>
              <w:keepNext w:val="0"/>
              <w:keepLines w:val="0"/>
              <w:suppressLineNumbers w:val="0"/>
              <w:spacing w:before="0" w:beforeAutospacing="0" w:after="0" w:afterAutospacing="0" w:line="480" w:lineRule="exact"/>
              <w:ind w:left="0" w:right="0" w:firstLine="480" w:firstLineChars="200"/>
              <w:rPr>
                <w:rFonts w:hint="default" w:ascii="Times New Roman" w:hAnsi="Times New Roman" w:eastAsia="宋体" w:cs="Times New Roman"/>
                <w:color w:val="auto"/>
                <w:sz w:val="24"/>
                <w:szCs w:val="20"/>
                <w:highlight w:val="none"/>
                <w:lang w:val="en-US" w:eastAsia="zh-CN"/>
              </w:rPr>
            </w:pPr>
            <w:r>
              <w:rPr>
                <w:rFonts w:hint="default" w:ascii="Times New Roman" w:hAnsi="Times New Roman" w:cs="Times New Roman"/>
                <w:color w:val="auto"/>
                <w:sz w:val="24"/>
                <w:szCs w:val="20"/>
                <w:highlight w:val="none"/>
                <w:lang w:eastAsia="zh-CN"/>
              </w:rPr>
              <w:t>（</w:t>
            </w:r>
            <w:r>
              <w:rPr>
                <w:rFonts w:hint="default" w:ascii="Times New Roman" w:hAnsi="Times New Roman" w:cs="Times New Roman"/>
                <w:color w:val="auto"/>
                <w:sz w:val="24"/>
                <w:szCs w:val="20"/>
                <w:highlight w:val="none"/>
                <w:lang w:val="en-US" w:eastAsia="zh-CN"/>
              </w:rPr>
              <w:t>5</w:t>
            </w:r>
            <w:r>
              <w:rPr>
                <w:rFonts w:hint="default" w:ascii="Times New Roman" w:hAnsi="Times New Roman" w:cs="Times New Roman"/>
                <w:color w:val="auto"/>
                <w:sz w:val="24"/>
                <w:szCs w:val="20"/>
                <w:highlight w:val="none"/>
                <w:lang w:eastAsia="zh-CN"/>
              </w:rPr>
              <w:t>）</w:t>
            </w:r>
            <w:r>
              <w:rPr>
                <w:rFonts w:hint="default" w:ascii="Times New Roman" w:hAnsi="Times New Roman" w:cs="Times New Roman"/>
                <w:color w:val="auto"/>
                <w:sz w:val="24"/>
                <w:szCs w:val="20"/>
                <w:highlight w:val="none"/>
                <w:lang w:val="en-US" w:eastAsia="zh-CN"/>
              </w:rPr>
              <w:t>结论</w:t>
            </w:r>
          </w:p>
          <w:p w14:paraId="4E27F28E">
            <w:pPr>
              <w:keepNext w:val="0"/>
              <w:keepLines w:val="0"/>
              <w:suppressLineNumbers w:val="0"/>
              <w:spacing w:before="0" w:beforeAutospacing="0" w:after="0" w:afterAutospacing="0" w:line="480" w:lineRule="exact"/>
              <w:ind w:left="0" w:right="0" w:firstLine="480" w:firstLineChars="200"/>
              <w:rPr>
                <w:rFonts w:hint="default" w:ascii="Times New Roman" w:hAnsi="Times New Roman" w:cs="Times New Roman"/>
                <w:color w:val="auto"/>
                <w:spacing w:val="-4"/>
                <w:sz w:val="24"/>
                <w:szCs w:val="20"/>
                <w:highlight w:val="none"/>
              </w:rPr>
            </w:pPr>
            <w:r>
              <w:rPr>
                <w:rFonts w:hint="default" w:ascii="Times New Roman" w:hAnsi="Times New Roman" w:cs="Times New Roman"/>
                <w:color w:val="auto"/>
                <w:sz w:val="24"/>
                <w:szCs w:val="20"/>
                <w:highlight w:val="none"/>
                <w:lang w:val="en-US" w:eastAsia="zh-CN"/>
              </w:rPr>
              <w:t>综上所述，在采取以上防范措施的情况下，可保证环境风险水平降至最低，项目环境风险可控</w:t>
            </w:r>
            <w:r>
              <w:rPr>
                <w:rFonts w:hint="default" w:ascii="Times New Roman" w:hAnsi="Times New Roman" w:cs="Times New Roman"/>
                <w:color w:val="auto"/>
                <w:sz w:val="24"/>
                <w:szCs w:val="20"/>
                <w:highlight w:val="none"/>
              </w:rPr>
              <w:t>。</w:t>
            </w:r>
          </w:p>
          <w:p w14:paraId="160B343F">
            <w:pPr>
              <w:pStyle w:val="172"/>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2"/>
              <w:textAlignment w:val="auto"/>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8、电磁辐射</w:t>
            </w:r>
          </w:p>
          <w:p w14:paraId="6E426DB8">
            <w:pPr>
              <w:pStyle w:val="172"/>
              <w:keepNext w:val="0"/>
              <w:keepLines w:val="0"/>
              <w:pageBreakBefore w:val="0"/>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本项目不涉及电磁辐射。</w:t>
            </w:r>
          </w:p>
          <w:p w14:paraId="3ED43D64">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2"/>
              <w:textAlignment w:val="auto"/>
              <w:rPr>
                <w:rFonts w:hint="default" w:ascii="Times New Roman" w:hAnsi="Times New Roman" w:cs="Times New Roman"/>
                <w:b/>
                <w:smallCaps w:val="0"/>
                <w:color w:val="auto"/>
                <w:spacing w:val="0"/>
                <w:highlight w:val="none"/>
              </w:rPr>
            </w:pPr>
            <w:r>
              <w:rPr>
                <w:rFonts w:hint="default" w:ascii="Times New Roman" w:hAnsi="Times New Roman" w:cs="Times New Roman"/>
                <w:b/>
                <w:smallCaps w:val="0"/>
                <w:color w:val="auto"/>
                <w:spacing w:val="0"/>
                <w:highlight w:val="none"/>
              </w:rPr>
              <w:t>9、监测计划</w:t>
            </w:r>
          </w:p>
          <w:p w14:paraId="3D7CC154">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default" w:ascii="Times New Roman" w:hAnsi="Times New Roman" w:cs="Times New Roman"/>
                <w:smallCaps w:val="0"/>
                <w:color w:val="auto"/>
                <w:spacing w:val="0"/>
                <w:highlight w:val="none"/>
                <w:lang w:eastAsia="zh-CN"/>
              </w:rPr>
            </w:pPr>
            <w:r>
              <w:rPr>
                <w:rFonts w:hint="default" w:ascii="Times New Roman" w:hAnsi="Times New Roman" w:cs="Times New Roman"/>
                <w:smallCaps w:val="0"/>
                <w:color w:val="auto"/>
                <w:spacing w:val="0"/>
                <w:highlight w:val="none"/>
                <w:lang w:eastAsia="zh-CN"/>
              </w:rPr>
              <w:t>（1）环境监测计划</w:t>
            </w:r>
          </w:p>
          <w:p w14:paraId="6C6E3F29">
            <w:pPr>
              <w:pStyle w:val="17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textAlignment w:val="auto"/>
              <w:rPr>
                <w:rFonts w:hint="default" w:ascii="Times New Roman" w:hAnsi="Times New Roman" w:cs="Times New Roman"/>
                <w:smallCaps w:val="0"/>
                <w:color w:val="auto"/>
                <w:spacing w:val="0"/>
                <w:highlight w:val="none"/>
                <w:lang w:eastAsia="zh-CN"/>
              </w:rPr>
            </w:pPr>
            <w:r>
              <w:rPr>
                <w:rFonts w:hint="default" w:ascii="Times New Roman" w:hAnsi="Times New Roman" w:cs="Times New Roman"/>
                <w:smallCaps w:val="0"/>
                <w:color w:val="auto"/>
                <w:spacing w:val="0"/>
                <w:highlight w:val="none"/>
                <w:lang w:eastAsia="zh-CN"/>
              </w:rPr>
              <w:t>环境监测是环境管理的依据和基础，为环境统计和环境定量评价提供科学依据，并据此制定污染防治对策和规划。</w:t>
            </w:r>
            <w:r>
              <w:rPr>
                <w:rFonts w:hint="eastAsia"/>
                <w:b w:val="0"/>
                <w:bCs/>
                <w:color w:val="auto"/>
                <w:sz w:val="24"/>
                <w:szCs w:val="24"/>
                <w:highlight w:val="none"/>
              </w:rPr>
              <w:t>根据</w:t>
            </w:r>
            <w:r>
              <w:rPr>
                <w:rFonts w:hint="default"/>
                <w:b w:val="0"/>
                <w:bCs/>
                <w:color w:val="auto"/>
                <w:sz w:val="24"/>
                <w:highlight w:val="none"/>
                <w:lang w:val="zh-CN"/>
              </w:rPr>
              <w:t>《</w:t>
            </w:r>
            <w:r>
              <w:rPr>
                <w:rFonts w:hint="eastAsia"/>
                <w:b w:val="0"/>
                <w:bCs/>
                <w:color w:val="auto"/>
                <w:sz w:val="24"/>
                <w:highlight w:val="none"/>
                <w:lang w:val="zh-CN"/>
              </w:rPr>
              <w:t>排污单位自行监测技术指南 总则</w:t>
            </w:r>
            <w:r>
              <w:rPr>
                <w:rFonts w:hint="default"/>
                <w:b w:val="0"/>
                <w:bCs/>
                <w:color w:val="auto"/>
                <w:sz w:val="24"/>
                <w:highlight w:val="none"/>
                <w:lang w:val="zh-CN"/>
              </w:rPr>
              <w:t>》（</w:t>
            </w:r>
            <w:r>
              <w:rPr>
                <w:rFonts w:hint="eastAsia"/>
                <w:b w:val="0"/>
                <w:bCs/>
                <w:color w:val="auto"/>
                <w:sz w:val="24"/>
                <w:highlight w:val="none"/>
                <w:lang w:val="zh-CN"/>
              </w:rPr>
              <w:t>HJ819-2017</w:t>
            </w:r>
            <w:r>
              <w:rPr>
                <w:rFonts w:hint="default"/>
                <w:b w:val="0"/>
                <w:bCs/>
                <w:color w:val="auto"/>
                <w:sz w:val="24"/>
                <w:highlight w:val="none"/>
                <w:lang w:val="zh-CN"/>
              </w:rPr>
              <w:t>）</w:t>
            </w:r>
            <w:r>
              <w:rPr>
                <w:rFonts w:hint="default" w:ascii="Times New Roman" w:hAnsi="Times New Roman" w:cs="Times New Roman"/>
                <w:smallCaps w:val="0"/>
                <w:color w:val="auto"/>
                <w:spacing w:val="0"/>
                <w:highlight w:val="none"/>
                <w:lang w:eastAsia="zh-CN"/>
              </w:rPr>
              <w:t>的相关规定以及本项目污染物排放情况，制定本项目运行期监测计划，见下表。</w:t>
            </w:r>
          </w:p>
          <w:p w14:paraId="4A7BA04A">
            <w:pPr>
              <w:pStyle w:val="187"/>
              <w:keepNext w:val="0"/>
              <w:keepLines w:val="0"/>
              <w:pageBreakBefore w:val="0"/>
              <w:suppressLineNumbers w:val="0"/>
              <w:tabs>
                <w:tab w:val="left" w:pos="6521"/>
              </w:tabs>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default" w:ascii="Times New Roman" w:hAnsi="Times New Roman" w:eastAsia="宋体" w:cs="Times New Roman"/>
                <w:b/>
                <w:smallCaps w:val="0"/>
                <w:color w:val="auto"/>
                <w:spacing w:val="0"/>
                <w:highlight w:val="none"/>
                <w:lang w:val="en-US" w:eastAsia="zh-CN"/>
              </w:rPr>
            </w:pPr>
            <w:r>
              <w:rPr>
                <w:rFonts w:hint="default" w:ascii="Times New Roman" w:hAnsi="Times New Roman" w:eastAsia="宋体" w:cs="Times New Roman"/>
                <w:b/>
                <w:smallCaps w:val="0"/>
                <w:color w:val="auto"/>
                <w:spacing w:val="0"/>
                <w:highlight w:val="none"/>
                <w:lang w:val="en-US" w:eastAsia="zh-CN"/>
              </w:rPr>
              <w:t>表4-</w:t>
            </w:r>
            <w:r>
              <w:rPr>
                <w:rFonts w:hint="eastAsia" w:cs="Times New Roman"/>
                <w:b/>
                <w:smallCaps w:val="0"/>
                <w:color w:val="auto"/>
                <w:spacing w:val="0"/>
                <w:highlight w:val="none"/>
                <w:lang w:val="en-US" w:eastAsia="zh-CN"/>
              </w:rPr>
              <w:t>16</w:t>
            </w:r>
            <w:r>
              <w:rPr>
                <w:rFonts w:hint="default" w:ascii="Times New Roman" w:hAnsi="Times New Roman" w:eastAsia="宋体" w:cs="Times New Roman"/>
                <w:b/>
                <w:smallCaps w:val="0"/>
                <w:color w:val="auto"/>
                <w:spacing w:val="0"/>
                <w:highlight w:val="none"/>
                <w:lang w:val="en-US" w:eastAsia="zh-CN"/>
              </w:rPr>
              <w:t xml:space="preserve">    环境监测计划一览表</w:t>
            </w:r>
          </w:p>
          <w:tbl>
            <w:tblPr>
              <w:tblStyle w:val="4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265"/>
              <w:gridCol w:w="1026"/>
              <w:gridCol w:w="1299"/>
              <w:gridCol w:w="1117"/>
              <w:gridCol w:w="1151"/>
              <w:gridCol w:w="3120"/>
            </w:tblGrid>
            <w:tr w14:paraId="68EAF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49" w:hRule="atLeast"/>
                <w:jc w:val="center"/>
              </w:trPr>
              <w:tc>
                <w:tcPr>
                  <w:tcW w:w="166" w:type="pct"/>
                  <w:noWrap w:val="0"/>
                  <w:vAlign w:val="center"/>
                </w:tcPr>
                <w:p w14:paraId="34B2C1C2">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序号</w:t>
                  </w:r>
                </w:p>
              </w:tc>
              <w:tc>
                <w:tcPr>
                  <w:tcW w:w="643" w:type="pct"/>
                  <w:noWrap w:val="0"/>
                  <w:vAlign w:val="center"/>
                </w:tcPr>
                <w:p w14:paraId="1574BB4D">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污染类型</w:t>
                  </w:r>
                </w:p>
              </w:tc>
              <w:tc>
                <w:tcPr>
                  <w:tcW w:w="814" w:type="pct"/>
                  <w:noWrap w:val="0"/>
                  <w:vAlign w:val="center"/>
                </w:tcPr>
                <w:p w14:paraId="1E9792C5">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监测项目</w:t>
                  </w:r>
                </w:p>
              </w:tc>
              <w:tc>
                <w:tcPr>
                  <w:tcW w:w="700" w:type="pct"/>
                  <w:noWrap w:val="0"/>
                  <w:vAlign w:val="center"/>
                </w:tcPr>
                <w:p w14:paraId="66D027B0">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监测点位置</w:t>
                  </w:r>
                </w:p>
              </w:tc>
              <w:tc>
                <w:tcPr>
                  <w:tcW w:w="721" w:type="pct"/>
                  <w:noWrap w:val="0"/>
                  <w:vAlign w:val="center"/>
                </w:tcPr>
                <w:p w14:paraId="091E37FE">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最低监测频率</w:t>
                  </w:r>
                </w:p>
              </w:tc>
              <w:tc>
                <w:tcPr>
                  <w:tcW w:w="1955" w:type="pct"/>
                  <w:noWrap w:val="0"/>
                  <w:vAlign w:val="center"/>
                </w:tcPr>
                <w:p w14:paraId="48D438C6">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执行标准</w:t>
                  </w:r>
                </w:p>
              </w:tc>
            </w:tr>
            <w:tr w14:paraId="2AA4C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6" w:hRule="atLeast"/>
                <w:jc w:val="center"/>
              </w:trPr>
              <w:tc>
                <w:tcPr>
                  <w:tcW w:w="166" w:type="pct"/>
                  <w:shd w:val="clear" w:color="auto" w:fill="auto"/>
                  <w:noWrap w:val="0"/>
                  <w:vAlign w:val="center"/>
                </w:tcPr>
                <w:p w14:paraId="6A79CCD9">
                  <w:pPr>
                    <w:keepNext w:val="0"/>
                    <w:keepLines w:val="0"/>
                    <w:suppressLineNumbers w:val="0"/>
                    <w:spacing w:before="0" w:beforeAutospacing="0" w:after="0" w:afterAutospacing="0" w:line="360" w:lineRule="exact"/>
                    <w:ind w:left="0" w:leftChars="0" w:right="0" w:rightChars="0"/>
                    <w:jc w:val="center"/>
                    <w:rPr>
                      <w:rFonts w:hint="eastAsia" w:eastAsia="宋体"/>
                      <w:color w:val="auto"/>
                      <w:szCs w:val="21"/>
                      <w:highlight w:val="none"/>
                      <w:lang w:val="en-US" w:eastAsia="zh-CN"/>
                    </w:rPr>
                  </w:pPr>
                  <w:r>
                    <w:rPr>
                      <w:rFonts w:hint="eastAsia"/>
                      <w:color w:val="auto"/>
                      <w:szCs w:val="21"/>
                      <w:highlight w:val="none"/>
                      <w:lang w:val="en-US" w:eastAsia="zh-CN"/>
                    </w:rPr>
                    <w:t>1</w:t>
                  </w:r>
                </w:p>
              </w:tc>
              <w:tc>
                <w:tcPr>
                  <w:tcW w:w="643" w:type="pct"/>
                  <w:shd w:val="clear" w:color="auto" w:fill="auto"/>
                  <w:noWrap w:val="0"/>
                  <w:vAlign w:val="center"/>
                </w:tcPr>
                <w:p w14:paraId="6A48E2E5">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ascii="Times New Roman" w:hAnsi="Times New Roman" w:eastAsia="宋体" w:cs="Times New Roman"/>
                      <w:bCs/>
                      <w:color w:val="auto"/>
                      <w:spacing w:val="-12"/>
                      <w:kern w:val="2"/>
                      <w:sz w:val="21"/>
                      <w:szCs w:val="21"/>
                      <w:highlight w:val="none"/>
                      <w:lang w:val="en-US" w:eastAsia="zh-CN" w:bidi="ar-SA"/>
                    </w:rPr>
                  </w:pPr>
                  <w:r>
                    <w:rPr>
                      <w:rFonts w:hint="eastAsia" w:cs="Times New Roman"/>
                      <w:smallCaps w:val="0"/>
                      <w:color w:val="auto"/>
                      <w:spacing w:val="0"/>
                      <w:highlight w:val="none"/>
                      <w:lang w:val="en-US" w:eastAsia="zh-CN"/>
                    </w:rPr>
                    <w:t>1#修磨废气排放口</w:t>
                  </w:r>
                </w:p>
              </w:tc>
              <w:tc>
                <w:tcPr>
                  <w:tcW w:w="814" w:type="pct"/>
                  <w:shd w:val="clear" w:color="auto" w:fill="auto"/>
                  <w:noWrap w:val="0"/>
                  <w:vAlign w:val="center"/>
                </w:tcPr>
                <w:p w14:paraId="504647F2">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val="en-US" w:eastAsia="zh-CN"/>
                    </w:rPr>
                    <w:t>颗粒物</w:t>
                  </w:r>
                </w:p>
              </w:tc>
              <w:tc>
                <w:tcPr>
                  <w:tcW w:w="700" w:type="pct"/>
                  <w:shd w:val="clear" w:color="auto" w:fill="auto"/>
                  <w:noWrap w:val="0"/>
                  <w:vAlign w:val="center"/>
                </w:tcPr>
                <w:p w14:paraId="512E1A20">
                  <w:pPr>
                    <w:pStyle w:val="67"/>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bCs/>
                      <w:color w:val="auto"/>
                      <w:spacing w:val="0"/>
                      <w:kern w:val="0"/>
                      <w:sz w:val="21"/>
                      <w:szCs w:val="21"/>
                      <w:highlight w:val="none"/>
                      <w:lang w:val="en-US" w:eastAsia="zh-CN" w:bidi="ar-SA"/>
                    </w:rPr>
                  </w:pPr>
                  <w:r>
                    <w:rPr>
                      <w:rFonts w:hint="default"/>
                      <w:color w:val="auto"/>
                      <w:spacing w:val="0"/>
                      <w:szCs w:val="21"/>
                      <w:highlight w:val="none"/>
                    </w:rPr>
                    <w:t>排气筒出口</w:t>
                  </w:r>
                </w:p>
              </w:tc>
              <w:tc>
                <w:tcPr>
                  <w:tcW w:w="721" w:type="pct"/>
                  <w:shd w:val="clear" w:color="auto" w:fill="auto"/>
                  <w:noWrap w:val="0"/>
                  <w:vAlign w:val="center"/>
                </w:tcPr>
                <w:p w14:paraId="36BFB45C">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ascii="Times New Roman" w:hAnsi="Times New Roman" w:eastAsia="宋体" w:cs="Times New Roman"/>
                      <w:bCs/>
                      <w:color w:val="auto"/>
                      <w:spacing w:val="-12"/>
                      <w:kern w:val="0"/>
                      <w:sz w:val="21"/>
                      <w:szCs w:val="21"/>
                      <w:highlight w:val="none"/>
                      <w:lang w:val="en-US" w:eastAsia="zh-CN" w:bidi="ar-SA"/>
                    </w:rPr>
                  </w:pPr>
                  <w:r>
                    <w:rPr>
                      <w:rFonts w:hint="eastAsia" w:cs="Times New Roman"/>
                      <w:smallCaps w:val="0"/>
                      <w:color w:val="auto"/>
                      <w:spacing w:val="0"/>
                      <w:highlight w:val="none"/>
                      <w:lang w:val="en-US" w:eastAsia="zh-CN"/>
                    </w:rPr>
                    <w:t>1次/年</w:t>
                  </w:r>
                </w:p>
              </w:tc>
              <w:tc>
                <w:tcPr>
                  <w:tcW w:w="1955" w:type="pct"/>
                  <w:shd w:val="clear" w:color="auto" w:fill="auto"/>
                  <w:noWrap w:val="0"/>
                  <w:vAlign w:val="center"/>
                </w:tcPr>
                <w:p w14:paraId="7315A758">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default" w:ascii="Times New Roman" w:hAnsi="Times New Roman" w:eastAsia="宋体" w:cs="Times New Roman"/>
                      <w:smallCaps w:val="0"/>
                      <w:color w:val="auto"/>
                      <w:spacing w:val="0"/>
                      <w:kern w:val="2"/>
                      <w:sz w:val="21"/>
                      <w:szCs w:val="21"/>
                      <w:highlight w:val="none"/>
                      <w:lang w:val="en-US" w:eastAsia="zh-CN" w:bidi="ar-SA"/>
                    </w:rPr>
                    <w:t>《大气污染物综合排放标准》（GB16297-1996）表2（其他）二级标准</w:t>
                  </w:r>
                </w:p>
              </w:tc>
            </w:tr>
            <w:tr w14:paraId="00E36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6" w:hRule="atLeast"/>
                <w:jc w:val="center"/>
              </w:trPr>
              <w:tc>
                <w:tcPr>
                  <w:tcW w:w="166" w:type="pct"/>
                  <w:shd w:val="clear" w:color="auto" w:fill="auto"/>
                  <w:noWrap w:val="0"/>
                  <w:vAlign w:val="center"/>
                </w:tcPr>
                <w:p w14:paraId="0F90225B">
                  <w:pPr>
                    <w:keepNext w:val="0"/>
                    <w:keepLines w:val="0"/>
                    <w:suppressLineNumbers w:val="0"/>
                    <w:spacing w:before="0" w:beforeAutospacing="0" w:after="0" w:afterAutospacing="0" w:line="360" w:lineRule="exact"/>
                    <w:ind w:left="0" w:leftChars="0" w:right="0" w:right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2</w:t>
                  </w:r>
                </w:p>
              </w:tc>
              <w:tc>
                <w:tcPr>
                  <w:tcW w:w="643" w:type="pct"/>
                  <w:shd w:val="clear" w:color="auto" w:fill="auto"/>
                  <w:noWrap w:val="0"/>
                  <w:vAlign w:val="center"/>
                </w:tcPr>
                <w:p w14:paraId="5C940931">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ascii="Times New Roman" w:hAnsi="Times New Roman" w:eastAsia="宋体" w:cs="Times New Roman"/>
                      <w:bCs/>
                      <w:color w:val="auto"/>
                      <w:spacing w:val="-12"/>
                      <w:kern w:val="2"/>
                      <w:sz w:val="21"/>
                      <w:szCs w:val="21"/>
                      <w:highlight w:val="none"/>
                      <w:lang w:val="en-US" w:eastAsia="zh-CN" w:bidi="ar-SA"/>
                    </w:rPr>
                  </w:pPr>
                  <w:r>
                    <w:rPr>
                      <w:rFonts w:hint="eastAsia" w:cs="Times New Roman"/>
                      <w:smallCaps w:val="0"/>
                      <w:color w:val="auto"/>
                      <w:spacing w:val="0"/>
                      <w:highlight w:val="none"/>
                      <w:lang w:val="en-US" w:eastAsia="zh-CN"/>
                    </w:rPr>
                    <w:t>2#修磨废气排放口</w:t>
                  </w:r>
                </w:p>
              </w:tc>
              <w:tc>
                <w:tcPr>
                  <w:tcW w:w="814" w:type="pct"/>
                  <w:shd w:val="clear" w:color="auto" w:fill="auto"/>
                  <w:noWrap w:val="0"/>
                  <w:vAlign w:val="center"/>
                </w:tcPr>
                <w:p w14:paraId="537FDDF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val="en-US" w:eastAsia="zh-CN"/>
                    </w:rPr>
                    <w:t>颗粒物</w:t>
                  </w:r>
                </w:p>
              </w:tc>
              <w:tc>
                <w:tcPr>
                  <w:tcW w:w="700" w:type="pct"/>
                  <w:shd w:val="clear" w:color="auto" w:fill="auto"/>
                  <w:noWrap w:val="0"/>
                  <w:vAlign w:val="center"/>
                </w:tcPr>
                <w:p w14:paraId="2D2DF9A9">
                  <w:pPr>
                    <w:pStyle w:val="67"/>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bCs/>
                      <w:color w:val="auto"/>
                      <w:spacing w:val="0"/>
                      <w:kern w:val="0"/>
                      <w:sz w:val="21"/>
                      <w:szCs w:val="21"/>
                      <w:highlight w:val="none"/>
                      <w:lang w:val="en-US" w:eastAsia="zh-CN" w:bidi="ar-SA"/>
                    </w:rPr>
                  </w:pPr>
                  <w:r>
                    <w:rPr>
                      <w:rFonts w:hint="default"/>
                      <w:color w:val="auto"/>
                      <w:spacing w:val="0"/>
                      <w:szCs w:val="21"/>
                      <w:highlight w:val="none"/>
                    </w:rPr>
                    <w:t>排气筒出口</w:t>
                  </w:r>
                </w:p>
              </w:tc>
              <w:tc>
                <w:tcPr>
                  <w:tcW w:w="721" w:type="pct"/>
                  <w:shd w:val="clear" w:color="auto" w:fill="auto"/>
                  <w:noWrap w:val="0"/>
                  <w:vAlign w:val="center"/>
                </w:tcPr>
                <w:p w14:paraId="7B60D6A5">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ascii="Times New Roman" w:hAnsi="Times New Roman" w:eastAsia="宋体" w:cs="Times New Roman"/>
                      <w:bCs/>
                      <w:color w:val="auto"/>
                      <w:spacing w:val="-12"/>
                      <w:kern w:val="0"/>
                      <w:sz w:val="21"/>
                      <w:szCs w:val="21"/>
                      <w:highlight w:val="none"/>
                      <w:lang w:val="en-US" w:eastAsia="zh-CN" w:bidi="ar-SA"/>
                    </w:rPr>
                  </w:pPr>
                  <w:r>
                    <w:rPr>
                      <w:rFonts w:hint="eastAsia" w:cs="Times New Roman"/>
                      <w:smallCaps w:val="0"/>
                      <w:color w:val="auto"/>
                      <w:spacing w:val="0"/>
                      <w:highlight w:val="none"/>
                      <w:lang w:val="en-US" w:eastAsia="zh-CN"/>
                    </w:rPr>
                    <w:t>1次/年</w:t>
                  </w:r>
                </w:p>
              </w:tc>
              <w:tc>
                <w:tcPr>
                  <w:tcW w:w="1955" w:type="pct"/>
                  <w:shd w:val="clear" w:color="auto" w:fill="auto"/>
                  <w:noWrap w:val="0"/>
                  <w:vAlign w:val="center"/>
                </w:tcPr>
                <w:p w14:paraId="382CA654">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default" w:ascii="Times New Roman" w:hAnsi="Times New Roman" w:eastAsia="宋体" w:cs="Times New Roman"/>
                      <w:smallCaps w:val="0"/>
                      <w:color w:val="auto"/>
                      <w:spacing w:val="0"/>
                      <w:kern w:val="2"/>
                      <w:sz w:val="21"/>
                      <w:szCs w:val="21"/>
                      <w:highlight w:val="none"/>
                      <w:lang w:val="en-US" w:eastAsia="zh-CN" w:bidi="ar-SA"/>
                    </w:rPr>
                    <w:t>《大气污染物综合排放标准》（GB16297-1996）表2（其他）二级标准</w:t>
                  </w:r>
                </w:p>
              </w:tc>
            </w:tr>
            <w:tr w14:paraId="0BFA7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6" w:hRule="atLeast"/>
                <w:jc w:val="center"/>
              </w:trPr>
              <w:tc>
                <w:tcPr>
                  <w:tcW w:w="166" w:type="pct"/>
                  <w:shd w:val="clear" w:color="auto" w:fill="auto"/>
                  <w:noWrap w:val="0"/>
                  <w:vAlign w:val="center"/>
                </w:tcPr>
                <w:p w14:paraId="0A6DE46E">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3</w:t>
                  </w:r>
                </w:p>
              </w:tc>
              <w:tc>
                <w:tcPr>
                  <w:tcW w:w="1026" w:type="dxa"/>
                  <w:shd w:val="clear" w:color="auto" w:fill="auto"/>
                  <w:noWrap w:val="0"/>
                  <w:vAlign w:val="center"/>
                </w:tcPr>
                <w:p w14:paraId="03A41226">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3#修磨废气排放口</w:t>
                  </w:r>
                </w:p>
              </w:tc>
              <w:tc>
                <w:tcPr>
                  <w:tcW w:w="1299" w:type="dxa"/>
                  <w:shd w:val="clear" w:color="auto" w:fill="auto"/>
                  <w:noWrap w:val="0"/>
                  <w:vAlign w:val="center"/>
                </w:tcPr>
                <w:p w14:paraId="413CF1F4">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1117" w:type="dxa"/>
                  <w:shd w:val="clear" w:color="auto" w:fill="auto"/>
                  <w:noWrap w:val="0"/>
                  <w:vAlign w:val="center"/>
                </w:tcPr>
                <w:p w14:paraId="405E6643">
                  <w:pPr>
                    <w:pStyle w:val="67"/>
                    <w:keepNext w:val="0"/>
                    <w:keepLines w:val="0"/>
                    <w:suppressLineNumbers w:val="0"/>
                    <w:spacing w:before="0" w:beforeAutospacing="0" w:after="0" w:afterAutospacing="0" w:line="360" w:lineRule="exact"/>
                    <w:ind w:left="0" w:leftChars="0" w:right="0" w:rightChars="0"/>
                    <w:jc w:val="center"/>
                    <w:rPr>
                      <w:rFonts w:hint="default"/>
                      <w:color w:val="auto"/>
                      <w:spacing w:val="0"/>
                      <w:szCs w:val="21"/>
                      <w:highlight w:val="none"/>
                    </w:rPr>
                  </w:pPr>
                  <w:r>
                    <w:rPr>
                      <w:rFonts w:hint="default"/>
                      <w:color w:val="auto"/>
                      <w:spacing w:val="0"/>
                      <w:szCs w:val="21"/>
                      <w:highlight w:val="none"/>
                    </w:rPr>
                    <w:t>排气筒出口</w:t>
                  </w:r>
                </w:p>
              </w:tc>
              <w:tc>
                <w:tcPr>
                  <w:tcW w:w="1151" w:type="dxa"/>
                  <w:shd w:val="clear" w:color="auto" w:fill="auto"/>
                  <w:noWrap w:val="0"/>
                  <w:vAlign w:val="center"/>
                </w:tcPr>
                <w:p w14:paraId="6B274CA1">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1次/年</w:t>
                  </w:r>
                </w:p>
              </w:tc>
              <w:tc>
                <w:tcPr>
                  <w:tcW w:w="3120" w:type="dxa"/>
                  <w:shd w:val="clear" w:color="auto" w:fill="auto"/>
                  <w:noWrap w:val="0"/>
                  <w:vAlign w:val="center"/>
                </w:tcPr>
                <w:p w14:paraId="0D2F115A">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default" w:ascii="Times New Roman" w:hAnsi="Times New Roman" w:eastAsia="宋体" w:cs="Times New Roman"/>
                      <w:smallCaps w:val="0"/>
                      <w:color w:val="auto"/>
                      <w:spacing w:val="0"/>
                      <w:kern w:val="2"/>
                      <w:sz w:val="21"/>
                      <w:szCs w:val="21"/>
                      <w:highlight w:val="none"/>
                      <w:lang w:val="en-US" w:eastAsia="zh-CN" w:bidi="ar-SA"/>
                    </w:rPr>
                    <w:t>《大气污染物综合排放标准》（GB16297-1996）表2（其他）二级标准</w:t>
                  </w:r>
                </w:p>
              </w:tc>
            </w:tr>
            <w:tr w14:paraId="6B582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6" w:hRule="atLeast"/>
                <w:jc w:val="center"/>
              </w:trPr>
              <w:tc>
                <w:tcPr>
                  <w:tcW w:w="166" w:type="pct"/>
                  <w:shd w:val="clear" w:color="auto" w:fill="auto"/>
                  <w:noWrap w:val="0"/>
                  <w:vAlign w:val="center"/>
                </w:tcPr>
                <w:p w14:paraId="649AB671">
                  <w:pPr>
                    <w:keepNext w:val="0"/>
                    <w:keepLines w:val="0"/>
                    <w:suppressLineNumbers w:val="0"/>
                    <w:spacing w:before="0" w:beforeAutospacing="0" w:after="0" w:afterAutospacing="0" w:line="360" w:lineRule="exact"/>
                    <w:ind w:left="0" w:leftChars="0" w:right="0" w:rightChars="0"/>
                    <w:jc w:val="center"/>
                    <w:rPr>
                      <w:rFonts w:hint="default"/>
                      <w:color w:val="auto"/>
                      <w:szCs w:val="21"/>
                      <w:highlight w:val="none"/>
                      <w:lang w:val="en-US" w:eastAsia="zh-CN"/>
                    </w:rPr>
                  </w:pPr>
                  <w:r>
                    <w:rPr>
                      <w:rFonts w:hint="eastAsia"/>
                      <w:color w:val="auto"/>
                      <w:szCs w:val="21"/>
                      <w:highlight w:val="none"/>
                      <w:lang w:val="en-US" w:eastAsia="zh-CN"/>
                    </w:rPr>
                    <w:t>4</w:t>
                  </w:r>
                </w:p>
              </w:tc>
              <w:tc>
                <w:tcPr>
                  <w:tcW w:w="1026" w:type="dxa"/>
                  <w:shd w:val="clear" w:color="auto" w:fill="auto"/>
                  <w:noWrap w:val="0"/>
                  <w:vAlign w:val="center"/>
                </w:tcPr>
                <w:p w14:paraId="1407DEA6">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4#修磨废气排放口</w:t>
                  </w:r>
                </w:p>
              </w:tc>
              <w:tc>
                <w:tcPr>
                  <w:tcW w:w="1299" w:type="dxa"/>
                  <w:shd w:val="clear" w:color="auto" w:fill="auto"/>
                  <w:noWrap w:val="0"/>
                  <w:vAlign w:val="center"/>
                </w:tcPr>
                <w:p w14:paraId="65C5FC95">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1117" w:type="dxa"/>
                  <w:shd w:val="clear" w:color="auto" w:fill="auto"/>
                  <w:noWrap w:val="0"/>
                  <w:vAlign w:val="center"/>
                </w:tcPr>
                <w:p w14:paraId="72C506C4">
                  <w:pPr>
                    <w:pStyle w:val="67"/>
                    <w:keepNext w:val="0"/>
                    <w:keepLines w:val="0"/>
                    <w:suppressLineNumbers w:val="0"/>
                    <w:spacing w:before="0" w:beforeAutospacing="0" w:after="0" w:afterAutospacing="0" w:line="360" w:lineRule="exact"/>
                    <w:ind w:left="0" w:leftChars="0" w:right="0" w:rightChars="0"/>
                    <w:jc w:val="center"/>
                    <w:rPr>
                      <w:rFonts w:hint="default"/>
                      <w:color w:val="auto"/>
                      <w:spacing w:val="0"/>
                      <w:szCs w:val="21"/>
                      <w:highlight w:val="none"/>
                    </w:rPr>
                  </w:pPr>
                  <w:r>
                    <w:rPr>
                      <w:rFonts w:hint="default"/>
                      <w:color w:val="auto"/>
                      <w:spacing w:val="0"/>
                      <w:szCs w:val="21"/>
                      <w:highlight w:val="none"/>
                    </w:rPr>
                    <w:t>排气筒出口</w:t>
                  </w:r>
                </w:p>
              </w:tc>
              <w:tc>
                <w:tcPr>
                  <w:tcW w:w="1151" w:type="dxa"/>
                  <w:shd w:val="clear" w:color="auto" w:fill="auto"/>
                  <w:noWrap w:val="0"/>
                  <w:vAlign w:val="center"/>
                </w:tcPr>
                <w:p w14:paraId="189BD14F">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1次/年</w:t>
                  </w:r>
                </w:p>
              </w:tc>
              <w:tc>
                <w:tcPr>
                  <w:tcW w:w="3120" w:type="dxa"/>
                  <w:shd w:val="clear" w:color="auto" w:fill="auto"/>
                  <w:noWrap w:val="0"/>
                  <w:vAlign w:val="center"/>
                </w:tcPr>
                <w:p w14:paraId="42A3F939">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default" w:ascii="Times New Roman" w:hAnsi="Times New Roman" w:eastAsia="宋体" w:cs="Times New Roman"/>
                      <w:smallCaps w:val="0"/>
                      <w:color w:val="auto"/>
                      <w:spacing w:val="0"/>
                      <w:kern w:val="2"/>
                      <w:sz w:val="21"/>
                      <w:szCs w:val="21"/>
                      <w:highlight w:val="none"/>
                      <w:lang w:val="en-US" w:eastAsia="zh-CN" w:bidi="ar-SA"/>
                    </w:rPr>
                    <w:t>《大气污染物综合排放标准》（GB16297-1996）表2（其他）二级标准</w:t>
                  </w:r>
                </w:p>
              </w:tc>
            </w:tr>
            <w:tr w14:paraId="04A3A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6" w:hRule="atLeast"/>
                <w:jc w:val="center"/>
              </w:trPr>
              <w:tc>
                <w:tcPr>
                  <w:tcW w:w="166" w:type="pct"/>
                  <w:shd w:val="clear" w:color="auto" w:fill="auto"/>
                  <w:noWrap w:val="0"/>
                  <w:vAlign w:val="center"/>
                </w:tcPr>
                <w:p w14:paraId="7A13D588">
                  <w:pPr>
                    <w:keepNext w:val="0"/>
                    <w:keepLines w:val="0"/>
                    <w:suppressLineNumbers w:val="0"/>
                    <w:spacing w:before="0" w:beforeAutospacing="0" w:after="0" w:afterAutospacing="0" w:line="360" w:lineRule="exact"/>
                    <w:ind w:left="0" w:leftChars="0" w:right="0" w:rightChars="0"/>
                    <w:jc w:val="center"/>
                    <w:rPr>
                      <w:rFonts w:hint="default"/>
                      <w:color w:val="auto"/>
                      <w:szCs w:val="21"/>
                      <w:highlight w:val="none"/>
                      <w:lang w:val="en-US" w:eastAsia="zh-CN"/>
                    </w:rPr>
                  </w:pPr>
                  <w:r>
                    <w:rPr>
                      <w:rFonts w:hint="eastAsia"/>
                      <w:color w:val="auto"/>
                      <w:szCs w:val="21"/>
                      <w:highlight w:val="none"/>
                      <w:lang w:val="en-US" w:eastAsia="zh-CN"/>
                    </w:rPr>
                    <w:t>5</w:t>
                  </w:r>
                </w:p>
              </w:tc>
              <w:tc>
                <w:tcPr>
                  <w:tcW w:w="1026" w:type="dxa"/>
                  <w:shd w:val="clear" w:color="auto" w:fill="auto"/>
                  <w:noWrap w:val="0"/>
                  <w:vAlign w:val="center"/>
                </w:tcPr>
                <w:p w14:paraId="2F838B79">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5#修磨废气排放口</w:t>
                  </w:r>
                </w:p>
              </w:tc>
              <w:tc>
                <w:tcPr>
                  <w:tcW w:w="1299" w:type="dxa"/>
                  <w:shd w:val="clear" w:color="auto" w:fill="auto"/>
                  <w:noWrap w:val="0"/>
                  <w:vAlign w:val="center"/>
                </w:tcPr>
                <w:p w14:paraId="626CD637">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1117" w:type="dxa"/>
                  <w:shd w:val="clear" w:color="auto" w:fill="auto"/>
                  <w:noWrap w:val="0"/>
                  <w:vAlign w:val="center"/>
                </w:tcPr>
                <w:p w14:paraId="265D2E18">
                  <w:pPr>
                    <w:pStyle w:val="67"/>
                    <w:keepNext w:val="0"/>
                    <w:keepLines w:val="0"/>
                    <w:suppressLineNumbers w:val="0"/>
                    <w:spacing w:before="0" w:beforeAutospacing="0" w:after="0" w:afterAutospacing="0" w:line="360" w:lineRule="exact"/>
                    <w:ind w:left="0" w:leftChars="0" w:right="0" w:rightChars="0"/>
                    <w:jc w:val="center"/>
                    <w:rPr>
                      <w:rFonts w:hint="default"/>
                      <w:color w:val="auto"/>
                      <w:spacing w:val="0"/>
                      <w:szCs w:val="21"/>
                      <w:highlight w:val="none"/>
                    </w:rPr>
                  </w:pPr>
                  <w:r>
                    <w:rPr>
                      <w:rFonts w:hint="default"/>
                      <w:color w:val="auto"/>
                      <w:spacing w:val="0"/>
                      <w:szCs w:val="21"/>
                      <w:highlight w:val="none"/>
                    </w:rPr>
                    <w:t>排气筒出口</w:t>
                  </w:r>
                </w:p>
              </w:tc>
              <w:tc>
                <w:tcPr>
                  <w:tcW w:w="1151" w:type="dxa"/>
                  <w:shd w:val="clear" w:color="auto" w:fill="auto"/>
                  <w:noWrap w:val="0"/>
                  <w:vAlign w:val="center"/>
                </w:tcPr>
                <w:p w14:paraId="4580614C">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1次/年</w:t>
                  </w:r>
                </w:p>
              </w:tc>
              <w:tc>
                <w:tcPr>
                  <w:tcW w:w="3120" w:type="dxa"/>
                  <w:shd w:val="clear" w:color="auto" w:fill="auto"/>
                  <w:noWrap w:val="0"/>
                  <w:vAlign w:val="center"/>
                </w:tcPr>
                <w:p w14:paraId="4EBF0002">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default" w:ascii="Times New Roman" w:hAnsi="Times New Roman" w:eastAsia="宋体" w:cs="Times New Roman"/>
                      <w:smallCaps w:val="0"/>
                      <w:color w:val="auto"/>
                      <w:spacing w:val="0"/>
                      <w:kern w:val="2"/>
                      <w:sz w:val="21"/>
                      <w:szCs w:val="21"/>
                      <w:highlight w:val="none"/>
                      <w:lang w:val="en-US" w:eastAsia="zh-CN" w:bidi="ar-SA"/>
                    </w:rPr>
                    <w:t>《大气污染物综合排放标准》（GB16297-1996）表2（其他）二级标准</w:t>
                  </w:r>
                </w:p>
              </w:tc>
            </w:tr>
            <w:tr w14:paraId="013D8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36" w:hRule="atLeast"/>
                <w:jc w:val="center"/>
              </w:trPr>
              <w:tc>
                <w:tcPr>
                  <w:tcW w:w="166" w:type="pct"/>
                  <w:shd w:val="clear" w:color="auto" w:fill="auto"/>
                  <w:noWrap w:val="0"/>
                  <w:vAlign w:val="center"/>
                </w:tcPr>
                <w:p w14:paraId="46550328">
                  <w:pPr>
                    <w:keepNext w:val="0"/>
                    <w:keepLines w:val="0"/>
                    <w:suppressLineNumbers w:val="0"/>
                    <w:spacing w:before="0" w:beforeAutospacing="0" w:after="0" w:afterAutospacing="0" w:line="360" w:lineRule="exact"/>
                    <w:ind w:left="0" w:leftChars="0" w:right="0" w:rightChars="0"/>
                    <w:jc w:val="center"/>
                    <w:rPr>
                      <w:rFonts w:hint="default" w:eastAsia="宋体"/>
                      <w:color w:val="auto"/>
                      <w:szCs w:val="21"/>
                      <w:highlight w:val="none"/>
                      <w:lang w:val="en-US" w:eastAsia="zh-CN"/>
                    </w:rPr>
                  </w:pPr>
                  <w:r>
                    <w:rPr>
                      <w:rFonts w:hint="eastAsia"/>
                      <w:color w:val="auto"/>
                      <w:szCs w:val="21"/>
                      <w:highlight w:val="none"/>
                      <w:lang w:val="en-US" w:eastAsia="zh-CN"/>
                    </w:rPr>
                    <w:t>6</w:t>
                  </w:r>
                </w:p>
              </w:tc>
              <w:tc>
                <w:tcPr>
                  <w:tcW w:w="643" w:type="pct"/>
                  <w:shd w:val="clear" w:color="auto" w:fill="auto"/>
                  <w:noWrap w:val="0"/>
                  <w:vAlign w:val="center"/>
                </w:tcPr>
                <w:p w14:paraId="5771210C">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无组织</w:t>
                  </w:r>
                </w:p>
              </w:tc>
              <w:tc>
                <w:tcPr>
                  <w:tcW w:w="814" w:type="pct"/>
                  <w:shd w:val="clear" w:color="auto" w:fill="auto"/>
                  <w:noWrap w:val="0"/>
                  <w:vAlign w:val="center"/>
                </w:tcPr>
                <w:p w14:paraId="0B4046FD">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val="en-US" w:eastAsia="zh-CN"/>
                    </w:rPr>
                    <w:t>颗粒物</w:t>
                  </w:r>
                </w:p>
              </w:tc>
              <w:tc>
                <w:tcPr>
                  <w:tcW w:w="700" w:type="pct"/>
                  <w:shd w:val="clear" w:color="auto" w:fill="auto"/>
                  <w:noWrap w:val="0"/>
                  <w:vAlign w:val="center"/>
                </w:tcPr>
                <w:p w14:paraId="53A531FE">
                  <w:pPr>
                    <w:pStyle w:val="67"/>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bCs/>
                      <w:color w:val="auto"/>
                      <w:spacing w:val="0"/>
                      <w:kern w:val="0"/>
                      <w:sz w:val="21"/>
                      <w:szCs w:val="21"/>
                      <w:highlight w:val="none"/>
                      <w:lang w:val="en-US" w:eastAsia="zh-CN" w:bidi="ar-SA"/>
                    </w:rPr>
                  </w:pPr>
                  <w:r>
                    <w:rPr>
                      <w:rFonts w:hint="eastAsia"/>
                      <w:color w:val="auto"/>
                      <w:spacing w:val="0"/>
                      <w:szCs w:val="21"/>
                      <w:highlight w:val="none"/>
                      <w:lang w:val="en-US" w:eastAsia="zh-CN"/>
                    </w:rPr>
                    <w:t>厂界</w:t>
                  </w:r>
                </w:p>
              </w:tc>
              <w:tc>
                <w:tcPr>
                  <w:tcW w:w="721" w:type="pct"/>
                  <w:shd w:val="clear" w:color="auto" w:fill="auto"/>
                  <w:noWrap w:val="0"/>
                  <w:vAlign w:val="center"/>
                </w:tcPr>
                <w:p w14:paraId="344A3A68">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ascii="Times New Roman" w:hAnsi="Times New Roman" w:eastAsia="宋体" w:cs="Times New Roman"/>
                      <w:bCs/>
                      <w:color w:val="auto"/>
                      <w:spacing w:val="-12"/>
                      <w:kern w:val="0"/>
                      <w:sz w:val="21"/>
                      <w:szCs w:val="21"/>
                      <w:highlight w:val="none"/>
                      <w:lang w:val="en-US" w:eastAsia="zh-CN" w:bidi="ar-SA"/>
                    </w:rPr>
                  </w:pPr>
                  <w:r>
                    <w:rPr>
                      <w:rFonts w:hint="eastAsia" w:cs="Times New Roman"/>
                      <w:smallCaps w:val="0"/>
                      <w:color w:val="auto"/>
                      <w:spacing w:val="0"/>
                      <w:highlight w:val="none"/>
                      <w:lang w:val="en-US" w:eastAsia="zh-CN"/>
                    </w:rPr>
                    <w:t>1次/年</w:t>
                  </w:r>
                </w:p>
              </w:tc>
              <w:tc>
                <w:tcPr>
                  <w:tcW w:w="1955" w:type="pct"/>
                  <w:shd w:val="clear" w:color="auto" w:fill="auto"/>
                  <w:noWrap w:val="0"/>
                  <w:vAlign w:val="center"/>
                </w:tcPr>
                <w:p w14:paraId="1DFEE610">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eastAsia="zh-CN"/>
                    </w:rPr>
                    <w:t>《大气污染物综合排放标准》（GB16297-1996）表2无组织排放监控浓度限值</w:t>
                  </w:r>
                </w:p>
              </w:tc>
            </w:tr>
            <w:tr w14:paraId="05742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62" w:hRule="atLeast"/>
                <w:jc w:val="center"/>
              </w:trPr>
              <w:tc>
                <w:tcPr>
                  <w:tcW w:w="166" w:type="pct"/>
                  <w:noWrap w:val="0"/>
                  <w:vAlign w:val="center"/>
                </w:tcPr>
                <w:p w14:paraId="070A9558">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eastAsia="宋体"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7</w:t>
                  </w:r>
                </w:p>
              </w:tc>
              <w:tc>
                <w:tcPr>
                  <w:tcW w:w="643" w:type="pct"/>
                  <w:noWrap w:val="0"/>
                  <w:vAlign w:val="center"/>
                </w:tcPr>
                <w:p w14:paraId="2AB2F81C">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噪声</w:t>
                  </w:r>
                </w:p>
              </w:tc>
              <w:tc>
                <w:tcPr>
                  <w:tcW w:w="814" w:type="pct"/>
                  <w:noWrap w:val="0"/>
                  <w:vAlign w:val="center"/>
                </w:tcPr>
                <w:p w14:paraId="631AC4EA">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eastAsia="宋体" w:cs="Times New Roman"/>
                      <w:smallCaps w:val="0"/>
                      <w:color w:val="auto"/>
                      <w:spacing w:val="0"/>
                      <w:highlight w:val="none"/>
                      <w:lang w:val="en-US" w:eastAsia="zh-CN"/>
                    </w:rPr>
                  </w:pPr>
                  <w:r>
                    <w:rPr>
                      <w:rFonts w:hint="default" w:ascii="Times New Roman" w:hAnsi="Times New Roman" w:cs="Times New Roman"/>
                      <w:smallCaps w:val="0"/>
                      <w:color w:val="auto"/>
                      <w:spacing w:val="0"/>
                      <w:highlight w:val="none"/>
                    </w:rPr>
                    <w:t>等效声级</w:t>
                  </w:r>
                </w:p>
              </w:tc>
              <w:tc>
                <w:tcPr>
                  <w:tcW w:w="700" w:type="pct"/>
                  <w:noWrap w:val="0"/>
                  <w:vAlign w:val="center"/>
                </w:tcPr>
                <w:p w14:paraId="345CE2BC">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cs="Times New Roman"/>
                      <w:smallCaps w:val="0"/>
                      <w:color w:val="auto"/>
                      <w:spacing w:val="0"/>
                      <w:highlight w:val="none"/>
                      <w:lang w:val="en-US"/>
                    </w:rPr>
                  </w:pPr>
                  <w:r>
                    <w:rPr>
                      <w:rFonts w:hint="default" w:ascii="Times New Roman" w:hAnsi="Times New Roman" w:cs="Times New Roman"/>
                      <w:smallCaps w:val="0"/>
                      <w:color w:val="auto"/>
                      <w:spacing w:val="0"/>
                      <w:highlight w:val="none"/>
                      <w:lang w:val="en-US" w:eastAsia="zh-CN"/>
                    </w:rPr>
                    <w:t>厂界</w:t>
                  </w:r>
                </w:p>
              </w:tc>
              <w:tc>
                <w:tcPr>
                  <w:tcW w:w="721" w:type="pct"/>
                  <w:noWrap w:val="0"/>
                  <w:vAlign w:val="center"/>
                </w:tcPr>
                <w:p w14:paraId="7E406694">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1次/季度</w:t>
                  </w:r>
                </w:p>
              </w:tc>
              <w:tc>
                <w:tcPr>
                  <w:tcW w:w="1955" w:type="pct"/>
                  <w:noWrap w:val="0"/>
                  <w:vAlign w:val="center"/>
                </w:tcPr>
                <w:p w14:paraId="72541EF2">
                  <w:pPr>
                    <w:pStyle w:val="67"/>
                    <w:keepNext w:val="0"/>
                    <w:keepLines w:val="0"/>
                    <w:pageBreakBefore w:val="0"/>
                    <w:suppressLineNumbers w:val="0"/>
                    <w:wordWrap/>
                    <w:bidi w:val="0"/>
                    <w:spacing w:before="0" w:beforeAutospacing="0" w:after="0" w:afterAutospacing="0" w:line="360" w:lineRule="exact"/>
                    <w:ind w:left="0" w:right="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ascii="Times New Roman" w:hAnsi="Times New Roman" w:cs="Times New Roman"/>
                      <w:smallCaps w:val="0"/>
                      <w:color w:val="auto"/>
                      <w:spacing w:val="0"/>
                      <w:highlight w:val="none"/>
                    </w:rPr>
                    <w:t>《工业企业厂界环境噪声排放标准》（GB12348－2008）</w:t>
                  </w:r>
                  <w:r>
                    <w:rPr>
                      <w:rFonts w:hint="eastAsia" w:cs="Times New Roman"/>
                      <w:smallCaps w:val="0"/>
                      <w:color w:val="auto"/>
                      <w:spacing w:val="0"/>
                      <w:highlight w:val="none"/>
                      <w:lang w:val="en-US" w:eastAsia="zh-CN"/>
                    </w:rPr>
                    <w:t>1类</w:t>
                  </w:r>
                  <w:r>
                    <w:rPr>
                      <w:rFonts w:hint="default" w:ascii="Times New Roman" w:hAnsi="Times New Roman" w:cs="Times New Roman"/>
                      <w:smallCaps w:val="0"/>
                      <w:color w:val="auto"/>
                      <w:spacing w:val="0"/>
                      <w:highlight w:val="none"/>
                    </w:rPr>
                    <w:t>标准</w:t>
                  </w:r>
                </w:p>
              </w:tc>
            </w:tr>
          </w:tbl>
          <w:p w14:paraId="1C453A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jc w:val="both"/>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2</w:t>
            </w:r>
            <w:r>
              <w:rPr>
                <w:rFonts w:hint="default" w:ascii="Times New Roman" w:hAnsi="Times New Roman" w:eastAsia="宋体" w:cs="Times New Roman"/>
                <w:color w:val="auto"/>
                <w:kern w:val="2"/>
                <w:sz w:val="24"/>
                <w:szCs w:val="24"/>
                <w:highlight w:val="none"/>
                <w:lang w:val="en-US" w:eastAsia="zh-CN" w:bidi="ar-SA"/>
              </w:rPr>
              <w:t>）排污口规范化管理</w:t>
            </w:r>
          </w:p>
          <w:p w14:paraId="65E971A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排污口是项目投产后污染物进入环境、对环境产生影响的通道，强化排污口的管理是实施污染物总量控制的基础工作之一，也是区域环境管理逐步实现污染物排放科学化、定量化的重要手段。</w:t>
            </w:r>
          </w:p>
          <w:p w14:paraId="106578E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1）排污口标识</w:t>
            </w:r>
          </w:p>
          <w:p w14:paraId="70F4B139">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污染物排放口应严格按照《环境保护图形标志—排放口（源）》 （GB1556.1- 1995）、《环境保护图形标志-固体废物贮存（处置）场》（GB15562.2- 1995）</w:t>
            </w:r>
            <w:r>
              <w:rPr>
                <w:rFonts w:hint="eastAsia" w:cs="Times New Roman"/>
                <w:color w:val="auto"/>
                <w:kern w:val="2"/>
                <w:sz w:val="24"/>
                <w:szCs w:val="24"/>
                <w:highlight w:val="none"/>
                <w:lang w:val="en-US" w:eastAsia="zh-CN" w:bidi="ar-SA"/>
              </w:rPr>
              <w:t>及修改单、《排污单位污染物排放口监测点位设施技术规范》（HJ1405-2024）、《危险废物识别标志设置技术规范》（HJ1276-2022）</w:t>
            </w:r>
            <w:r>
              <w:rPr>
                <w:rFonts w:hint="default" w:ascii="Times New Roman" w:hAnsi="Times New Roman" w:eastAsia="宋体" w:cs="Times New Roman"/>
                <w:color w:val="auto"/>
                <w:kern w:val="2"/>
                <w:sz w:val="24"/>
                <w:szCs w:val="24"/>
                <w:highlight w:val="none"/>
                <w:lang w:val="en-US" w:eastAsia="zh-CN" w:bidi="ar-SA"/>
              </w:rPr>
              <w:t>中有关规定执行，在废气排放口、噪声排放源、固废堆场设置环境保护图形标志，便于加强对污染物排放口（源）的监督管理以及常规监测工作的进行。一般性污染物排放口或固体废气贮存、处置场设置提示性环境保护 图形标志牌，排放对人体有严重危害的排污口和危废暂存库，设置警告性环境保护图形标志牌。标志牌应设在与之功能相应的醒目处，并保持清晰、完整。图形符号及说明见</w:t>
            </w:r>
            <w:r>
              <w:rPr>
                <w:rFonts w:hint="eastAsia" w:cs="Times New Roman"/>
                <w:color w:val="auto"/>
                <w:kern w:val="2"/>
                <w:sz w:val="24"/>
                <w:szCs w:val="24"/>
                <w:highlight w:val="none"/>
                <w:lang w:val="en-US" w:eastAsia="zh-CN" w:bidi="ar-SA"/>
              </w:rPr>
              <w:t>表</w:t>
            </w:r>
            <w:r>
              <w:rPr>
                <w:rFonts w:hint="default" w:ascii="Times New Roman" w:hAnsi="Times New Roman" w:eastAsia="宋体" w:cs="Times New Roman"/>
                <w:color w:val="auto"/>
                <w:kern w:val="2"/>
                <w:sz w:val="24"/>
                <w:szCs w:val="24"/>
                <w:highlight w:val="none"/>
                <w:lang w:val="en-US" w:eastAsia="zh-CN" w:bidi="ar-SA"/>
              </w:rPr>
              <w:t>4-</w:t>
            </w:r>
            <w:r>
              <w:rPr>
                <w:rFonts w:hint="eastAsia" w:cs="Times New Roman"/>
                <w:color w:val="auto"/>
                <w:kern w:val="2"/>
                <w:sz w:val="24"/>
                <w:szCs w:val="24"/>
                <w:highlight w:val="none"/>
                <w:lang w:val="en-US" w:eastAsia="zh-CN" w:bidi="ar-SA"/>
              </w:rPr>
              <w:t>17</w:t>
            </w:r>
            <w:r>
              <w:rPr>
                <w:rFonts w:hint="default" w:ascii="Times New Roman" w:hAnsi="Times New Roman" w:eastAsia="宋体" w:cs="Times New Roman"/>
                <w:color w:val="auto"/>
                <w:kern w:val="2"/>
                <w:sz w:val="24"/>
                <w:szCs w:val="24"/>
                <w:highlight w:val="none"/>
                <w:lang w:val="en-US" w:eastAsia="zh-CN" w:bidi="ar-SA"/>
              </w:rPr>
              <w:t>。</w:t>
            </w:r>
          </w:p>
          <w:p w14:paraId="56338A86">
            <w:pPr>
              <w:pStyle w:val="187"/>
              <w:keepNext w:val="0"/>
              <w:keepLines w:val="0"/>
              <w:pageBreakBefore w:val="0"/>
              <w:suppressLineNumbers w:val="0"/>
              <w:tabs>
                <w:tab w:val="left" w:pos="6521"/>
              </w:tabs>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default" w:ascii="Times New Roman" w:hAnsi="Times New Roman" w:eastAsia="宋体" w:cs="Times New Roman"/>
                <w:b/>
                <w:smallCaps w:val="0"/>
                <w:color w:val="auto"/>
                <w:spacing w:val="0"/>
                <w:highlight w:val="none"/>
                <w:lang w:val="en-US" w:eastAsia="zh-CN"/>
              </w:rPr>
            </w:pPr>
            <w:r>
              <w:rPr>
                <w:rFonts w:hint="eastAsia" w:cs="Times New Roman"/>
                <w:b/>
                <w:smallCaps w:val="0"/>
                <w:color w:val="auto"/>
                <w:spacing w:val="0"/>
                <w:highlight w:val="none"/>
                <w:lang w:val="en-US" w:eastAsia="zh-CN"/>
              </w:rPr>
              <w:t>表</w:t>
            </w:r>
            <w:r>
              <w:rPr>
                <w:rFonts w:hint="default" w:ascii="Times New Roman" w:hAnsi="Times New Roman" w:eastAsia="宋体" w:cs="Times New Roman"/>
                <w:b/>
                <w:smallCaps w:val="0"/>
                <w:color w:val="auto"/>
                <w:spacing w:val="0"/>
                <w:highlight w:val="none"/>
                <w:lang w:val="en-US" w:eastAsia="zh-CN"/>
              </w:rPr>
              <w:t>4-</w:t>
            </w:r>
            <w:r>
              <w:rPr>
                <w:rFonts w:hint="eastAsia" w:cs="Times New Roman"/>
                <w:b/>
                <w:smallCaps w:val="0"/>
                <w:color w:val="auto"/>
                <w:spacing w:val="0"/>
                <w:highlight w:val="none"/>
                <w:lang w:val="en-US" w:eastAsia="zh-CN"/>
              </w:rPr>
              <w:t>17</w:t>
            </w:r>
            <w:r>
              <w:rPr>
                <w:rFonts w:hint="default" w:ascii="Times New Roman" w:hAnsi="Times New Roman" w:eastAsia="宋体" w:cs="Times New Roman"/>
                <w:b/>
                <w:smallCaps w:val="0"/>
                <w:color w:val="auto"/>
                <w:spacing w:val="0"/>
                <w:highlight w:val="none"/>
                <w:lang w:val="en-US" w:eastAsia="zh-CN"/>
              </w:rPr>
              <w:t xml:space="preserve">  环境保护图形标志-排放口（源）</w:t>
            </w:r>
          </w:p>
          <w:tbl>
            <w:tblPr>
              <w:tblStyle w:val="215"/>
              <w:tblW w:w="4991"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66"/>
              <w:gridCol w:w="2233"/>
              <w:gridCol w:w="2233"/>
              <w:gridCol w:w="2235"/>
            </w:tblGrid>
            <w:tr w14:paraId="244C2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794" w:type="pct"/>
                  <w:noWrap w:val="0"/>
                  <w:vAlign w:val="center"/>
                </w:tcPr>
                <w:p w14:paraId="5BDF483D">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t>排放口</w:t>
                  </w:r>
                </w:p>
              </w:tc>
              <w:tc>
                <w:tcPr>
                  <w:tcW w:w="1401" w:type="pct"/>
                  <w:noWrap w:val="0"/>
                  <w:vAlign w:val="center"/>
                </w:tcPr>
                <w:p w14:paraId="57D3C392">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t>废气排放口</w:t>
                  </w:r>
                </w:p>
              </w:tc>
              <w:tc>
                <w:tcPr>
                  <w:tcW w:w="1401" w:type="pct"/>
                  <w:shd w:val="clear" w:color="auto" w:fill="auto"/>
                  <w:noWrap w:val="0"/>
                  <w:vAlign w:val="center"/>
                </w:tcPr>
                <w:p w14:paraId="208DF15B">
                  <w:pPr>
                    <w:pStyle w:val="227"/>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t>噪声排放源</w:t>
                  </w:r>
                </w:p>
              </w:tc>
              <w:tc>
                <w:tcPr>
                  <w:tcW w:w="1402" w:type="pct"/>
                  <w:shd w:val="clear" w:color="auto" w:fill="auto"/>
                  <w:noWrap w:val="0"/>
                  <w:vAlign w:val="center"/>
                </w:tcPr>
                <w:p w14:paraId="7A4C42F3">
                  <w:pPr>
                    <w:pStyle w:val="227"/>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t>一般固体废物</w:t>
                  </w:r>
                </w:p>
              </w:tc>
            </w:tr>
            <w:tr w14:paraId="51E471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794" w:type="pct"/>
                  <w:noWrap w:val="0"/>
                  <w:vAlign w:val="center"/>
                </w:tcPr>
                <w:p w14:paraId="730710C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p>
                <w:p w14:paraId="6600F62E">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t>提示标志图形</w:t>
                  </w:r>
                </w:p>
              </w:tc>
              <w:tc>
                <w:tcPr>
                  <w:tcW w:w="1401" w:type="pct"/>
                  <w:noWrap w:val="0"/>
                  <w:vAlign w:val="center"/>
                </w:tcPr>
                <w:p w14:paraId="6B538580">
                  <w:pPr>
                    <w:keepNext w:val="0"/>
                    <w:keepLines w:val="0"/>
                    <w:pageBreakBefore w:val="0"/>
                    <w:widowControl w:val="0"/>
                    <w:kinsoku/>
                    <w:wordWrap/>
                    <w:overflowPunct/>
                    <w:topLinePunct w:val="0"/>
                    <w:autoSpaceDE/>
                    <w:autoSpaceDN/>
                    <w:bidi w:val="0"/>
                    <w:adjustRightInd/>
                    <w:snapToGrid/>
                    <w:spacing w:line="240" w:lineRule="auto"/>
                    <w:ind w:left="0" w:firstLine="128"/>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drawing>
                      <wp:inline distT="0" distB="0" distL="114300" distR="114300">
                        <wp:extent cx="1010285" cy="819785"/>
                        <wp:effectExtent l="0" t="0" r="18415" b="18415"/>
                        <wp:docPr id="1" name="图片 10"/>
                        <wp:cNvGraphicFramePr/>
                        <a:graphic xmlns:a="http://schemas.openxmlformats.org/drawingml/2006/main">
                          <a:graphicData uri="http://schemas.openxmlformats.org/drawingml/2006/picture">
                            <pic:pic xmlns:pic="http://schemas.openxmlformats.org/drawingml/2006/picture">
                              <pic:nvPicPr>
                                <pic:cNvPr id="1" name="图片 10"/>
                                <pic:cNvPicPr/>
                              </pic:nvPicPr>
                              <pic:blipFill>
                                <a:blip r:embed="rId40"/>
                                <a:stretch>
                                  <a:fillRect/>
                                </a:stretch>
                              </pic:blipFill>
                              <pic:spPr>
                                <a:xfrm>
                                  <a:off x="0" y="0"/>
                                  <a:ext cx="1010285" cy="819785"/>
                                </a:xfrm>
                                <a:prstGeom prst="rect">
                                  <a:avLst/>
                                </a:prstGeom>
                                <a:noFill/>
                                <a:ln>
                                  <a:noFill/>
                                </a:ln>
                              </pic:spPr>
                            </pic:pic>
                          </a:graphicData>
                        </a:graphic>
                      </wp:inline>
                    </w:drawing>
                  </w:r>
                </w:p>
              </w:tc>
              <w:tc>
                <w:tcPr>
                  <w:tcW w:w="1401" w:type="pct"/>
                  <w:shd w:val="clear" w:color="auto" w:fill="auto"/>
                  <w:noWrap w:val="0"/>
                  <w:vAlign w:val="center"/>
                </w:tcPr>
                <w:p w14:paraId="5BEFEE43">
                  <w:pPr>
                    <w:keepNext w:val="0"/>
                    <w:keepLines w:val="0"/>
                    <w:pageBreakBefore w:val="0"/>
                    <w:widowControl w:val="0"/>
                    <w:kinsoku/>
                    <w:wordWrap/>
                    <w:overflowPunct/>
                    <w:topLinePunct w:val="0"/>
                    <w:autoSpaceDE/>
                    <w:autoSpaceDN/>
                    <w:bidi w:val="0"/>
                    <w:adjustRightInd/>
                    <w:snapToGrid/>
                    <w:spacing w:line="240" w:lineRule="auto"/>
                    <w:ind w:left="0" w:leftChars="0" w:firstLine="113" w:firstLineChars="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drawing>
                      <wp:inline distT="0" distB="0" distL="114300" distR="114300">
                        <wp:extent cx="1028700" cy="838200"/>
                        <wp:effectExtent l="0" t="0" r="0" b="0"/>
                        <wp:docPr id="96" name="图片 11"/>
                        <wp:cNvGraphicFramePr/>
                        <a:graphic xmlns:a="http://schemas.openxmlformats.org/drawingml/2006/main">
                          <a:graphicData uri="http://schemas.openxmlformats.org/drawingml/2006/picture">
                            <pic:pic xmlns:pic="http://schemas.openxmlformats.org/drawingml/2006/picture">
                              <pic:nvPicPr>
                                <pic:cNvPr id="96" name="图片 11"/>
                                <pic:cNvPicPr/>
                              </pic:nvPicPr>
                              <pic:blipFill>
                                <a:blip r:embed="rId41"/>
                                <a:stretch>
                                  <a:fillRect/>
                                </a:stretch>
                              </pic:blipFill>
                              <pic:spPr>
                                <a:xfrm>
                                  <a:off x="0" y="0"/>
                                  <a:ext cx="1028700" cy="838200"/>
                                </a:xfrm>
                                <a:prstGeom prst="rect">
                                  <a:avLst/>
                                </a:prstGeom>
                                <a:noFill/>
                                <a:ln>
                                  <a:noFill/>
                                </a:ln>
                              </pic:spPr>
                            </pic:pic>
                          </a:graphicData>
                        </a:graphic>
                      </wp:inline>
                    </w:drawing>
                  </w:r>
                </w:p>
              </w:tc>
              <w:tc>
                <w:tcPr>
                  <w:tcW w:w="1402" w:type="pct"/>
                  <w:shd w:val="clear" w:color="auto" w:fill="auto"/>
                  <w:noWrap w:val="0"/>
                  <w:vAlign w:val="center"/>
                </w:tcPr>
                <w:p w14:paraId="3FD295AA">
                  <w:pPr>
                    <w:keepNext w:val="0"/>
                    <w:keepLines w:val="0"/>
                    <w:pageBreakBefore w:val="0"/>
                    <w:widowControl w:val="0"/>
                    <w:kinsoku/>
                    <w:wordWrap/>
                    <w:overflowPunct/>
                    <w:topLinePunct w:val="0"/>
                    <w:autoSpaceDE/>
                    <w:autoSpaceDN/>
                    <w:bidi w:val="0"/>
                    <w:adjustRightInd/>
                    <w:snapToGrid/>
                    <w:spacing w:line="240" w:lineRule="auto"/>
                    <w:ind w:left="0" w:leftChars="0" w:firstLine="149" w:firstLineChars="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drawing>
                      <wp:inline distT="0" distB="0" distL="114300" distR="114300">
                        <wp:extent cx="1010285" cy="819785"/>
                        <wp:effectExtent l="0" t="0" r="18415" b="18415"/>
                        <wp:docPr id="97" name="图片 12"/>
                        <wp:cNvGraphicFramePr/>
                        <a:graphic xmlns:a="http://schemas.openxmlformats.org/drawingml/2006/main">
                          <a:graphicData uri="http://schemas.openxmlformats.org/drawingml/2006/picture">
                            <pic:pic xmlns:pic="http://schemas.openxmlformats.org/drawingml/2006/picture">
                              <pic:nvPicPr>
                                <pic:cNvPr id="97" name="图片 12"/>
                                <pic:cNvPicPr/>
                              </pic:nvPicPr>
                              <pic:blipFill>
                                <a:blip r:embed="rId42"/>
                                <a:stretch>
                                  <a:fillRect/>
                                </a:stretch>
                              </pic:blipFill>
                              <pic:spPr>
                                <a:xfrm>
                                  <a:off x="0" y="0"/>
                                  <a:ext cx="1010285" cy="819785"/>
                                </a:xfrm>
                                <a:prstGeom prst="rect">
                                  <a:avLst/>
                                </a:prstGeom>
                                <a:noFill/>
                                <a:ln>
                                  <a:noFill/>
                                </a:ln>
                              </pic:spPr>
                            </pic:pic>
                          </a:graphicData>
                        </a:graphic>
                      </wp:inline>
                    </w:drawing>
                  </w:r>
                </w:p>
              </w:tc>
            </w:tr>
            <w:tr w14:paraId="47123A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794" w:type="pct"/>
                  <w:noWrap w:val="0"/>
                  <w:vAlign w:val="center"/>
                </w:tcPr>
                <w:p w14:paraId="522D5683">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p>
                <w:p w14:paraId="16C49FF5">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t>警告标志图形</w:t>
                  </w:r>
                </w:p>
              </w:tc>
              <w:tc>
                <w:tcPr>
                  <w:tcW w:w="1401" w:type="pct"/>
                  <w:noWrap w:val="0"/>
                  <w:vAlign w:val="center"/>
                </w:tcPr>
                <w:p w14:paraId="72BE34E8">
                  <w:pPr>
                    <w:keepNext w:val="0"/>
                    <w:keepLines w:val="0"/>
                    <w:pageBreakBefore w:val="0"/>
                    <w:widowControl w:val="0"/>
                    <w:kinsoku/>
                    <w:wordWrap/>
                    <w:overflowPunct/>
                    <w:topLinePunct w:val="0"/>
                    <w:autoSpaceDE/>
                    <w:autoSpaceDN/>
                    <w:bidi w:val="0"/>
                    <w:adjustRightInd/>
                    <w:snapToGrid/>
                    <w:spacing w:line="240" w:lineRule="auto"/>
                    <w:ind w:left="0" w:firstLine="68"/>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drawing>
                      <wp:inline distT="0" distB="0" distL="114300" distR="114300">
                        <wp:extent cx="1077595" cy="876300"/>
                        <wp:effectExtent l="0" t="0" r="8255" b="0"/>
                        <wp:docPr id="2" name="图片 14"/>
                        <wp:cNvGraphicFramePr/>
                        <a:graphic xmlns:a="http://schemas.openxmlformats.org/drawingml/2006/main">
                          <a:graphicData uri="http://schemas.openxmlformats.org/drawingml/2006/picture">
                            <pic:pic xmlns:pic="http://schemas.openxmlformats.org/drawingml/2006/picture">
                              <pic:nvPicPr>
                                <pic:cNvPr id="2" name="图片 14"/>
                                <pic:cNvPicPr/>
                              </pic:nvPicPr>
                              <pic:blipFill>
                                <a:blip r:embed="rId43"/>
                                <a:stretch>
                                  <a:fillRect/>
                                </a:stretch>
                              </pic:blipFill>
                              <pic:spPr>
                                <a:xfrm>
                                  <a:off x="0" y="0"/>
                                  <a:ext cx="1077595" cy="876300"/>
                                </a:xfrm>
                                <a:prstGeom prst="rect">
                                  <a:avLst/>
                                </a:prstGeom>
                                <a:noFill/>
                                <a:ln>
                                  <a:noFill/>
                                </a:ln>
                              </pic:spPr>
                            </pic:pic>
                          </a:graphicData>
                        </a:graphic>
                      </wp:inline>
                    </w:drawing>
                  </w:r>
                </w:p>
              </w:tc>
              <w:tc>
                <w:tcPr>
                  <w:tcW w:w="1401" w:type="pct"/>
                  <w:shd w:val="clear" w:color="auto" w:fill="auto"/>
                  <w:noWrap w:val="0"/>
                  <w:vAlign w:val="center"/>
                </w:tcPr>
                <w:p w14:paraId="44F6803A">
                  <w:pPr>
                    <w:keepNext w:val="0"/>
                    <w:keepLines w:val="0"/>
                    <w:pageBreakBefore w:val="0"/>
                    <w:widowControl w:val="0"/>
                    <w:kinsoku/>
                    <w:wordWrap/>
                    <w:overflowPunct/>
                    <w:topLinePunct w:val="0"/>
                    <w:autoSpaceDE/>
                    <w:autoSpaceDN/>
                    <w:bidi w:val="0"/>
                    <w:adjustRightInd/>
                    <w:snapToGrid/>
                    <w:spacing w:line="240" w:lineRule="auto"/>
                    <w:ind w:left="0" w:leftChars="0" w:firstLine="67" w:firstLineChars="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drawing>
                      <wp:inline distT="0" distB="0" distL="114300" distR="114300">
                        <wp:extent cx="1049020" cy="894715"/>
                        <wp:effectExtent l="0" t="0" r="17780" b="635"/>
                        <wp:docPr id="98" name="图片 15"/>
                        <wp:cNvGraphicFramePr/>
                        <a:graphic xmlns:a="http://schemas.openxmlformats.org/drawingml/2006/main">
                          <a:graphicData uri="http://schemas.openxmlformats.org/drawingml/2006/picture">
                            <pic:pic xmlns:pic="http://schemas.openxmlformats.org/drawingml/2006/picture">
                              <pic:nvPicPr>
                                <pic:cNvPr id="98" name="图片 15"/>
                                <pic:cNvPicPr/>
                              </pic:nvPicPr>
                              <pic:blipFill>
                                <a:blip r:embed="rId44"/>
                                <a:stretch>
                                  <a:fillRect/>
                                </a:stretch>
                              </pic:blipFill>
                              <pic:spPr>
                                <a:xfrm>
                                  <a:off x="0" y="0"/>
                                  <a:ext cx="1049020" cy="894715"/>
                                </a:xfrm>
                                <a:prstGeom prst="rect">
                                  <a:avLst/>
                                </a:prstGeom>
                                <a:noFill/>
                                <a:ln>
                                  <a:noFill/>
                                </a:ln>
                              </pic:spPr>
                            </pic:pic>
                          </a:graphicData>
                        </a:graphic>
                      </wp:inline>
                    </w:drawing>
                  </w:r>
                </w:p>
              </w:tc>
              <w:tc>
                <w:tcPr>
                  <w:tcW w:w="1402" w:type="pct"/>
                  <w:shd w:val="clear" w:color="auto" w:fill="auto"/>
                  <w:noWrap w:val="0"/>
                  <w:vAlign w:val="center"/>
                </w:tcPr>
                <w:p w14:paraId="45664231">
                  <w:pPr>
                    <w:keepNext w:val="0"/>
                    <w:keepLines w:val="0"/>
                    <w:pageBreakBefore w:val="0"/>
                    <w:widowControl w:val="0"/>
                    <w:kinsoku/>
                    <w:wordWrap/>
                    <w:overflowPunct/>
                    <w:topLinePunct w:val="0"/>
                    <w:autoSpaceDE/>
                    <w:autoSpaceDN/>
                    <w:bidi w:val="0"/>
                    <w:adjustRightInd/>
                    <w:snapToGrid/>
                    <w:spacing w:line="240" w:lineRule="auto"/>
                    <w:ind w:left="0" w:leftChars="0" w:firstLine="89" w:firstLineChars="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eastAsia="宋体" w:cs="Times New Roman"/>
                      <w:color w:val="auto"/>
                      <w:w w:val="100"/>
                      <w:kern w:val="2"/>
                      <w:sz w:val="21"/>
                      <w:szCs w:val="21"/>
                      <w:highlight w:val="none"/>
                      <w:lang w:val="en-US" w:eastAsia="zh-CN" w:bidi="ar-SA"/>
                    </w:rPr>
                    <w:drawing>
                      <wp:inline distT="0" distB="0" distL="114300" distR="114300">
                        <wp:extent cx="991235" cy="943610"/>
                        <wp:effectExtent l="0" t="0" r="18415" b="8890"/>
                        <wp:docPr id="101" name="图片 16"/>
                        <wp:cNvGraphicFramePr/>
                        <a:graphic xmlns:a="http://schemas.openxmlformats.org/drawingml/2006/main">
                          <a:graphicData uri="http://schemas.openxmlformats.org/drawingml/2006/picture">
                            <pic:pic xmlns:pic="http://schemas.openxmlformats.org/drawingml/2006/picture">
                              <pic:nvPicPr>
                                <pic:cNvPr id="101" name="图片 16"/>
                                <pic:cNvPicPr/>
                              </pic:nvPicPr>
                              <pic:blipFill>
                                <a:blip r:embed="rId45"/>
                                <a:stretch>
                                  <a:fillRect/>
                                </a:stretch>
                              </pic:blipFill>
                              <pic:spPr>
                                <a:xfrm>
                                  <a:off x="0" y="0"/>
                                  <a:ext cx="991235" cy="943610"/>
                                </a:xfrm>
                                <a:prstGeom prst="rect">
                                  <a:avLst/>
                                </a:prstGeom>
                                <a:noFill/>
                                <a:ln>
                                  <a:noFill/>
                                </a:ln>
                              </pic:spPr>
                            </pic:pic>
                          </a:graphicData>
                        </a:graphic>
                      </wp:inline>
                    </w:drawing>
                  </w:r>
                </w:p>
              </w:tc>
            </w:tr>
          </w:tbl>
          <w:p w14:paraId="01777C68">
            <w:pPr>
              <w:pStyle w:val="22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2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pacing w:val="-1"/>
                <w:szCs w:val="20"/>
                <w:highlight w:val="none"/>
              </w:rPr>
              <w:t>环境保护图形标志</w:t>
            </w:r>
            <w:r>
              <w:rPr>
                <w:rFonts w:hint="default" w:ascii="Times New Roman" w:hAnsi="Times New Roman" w:eastAsia="Times New Roman" w:cs="Times New Roman"/>
                <w:color w:val="auto"/>
                <w:spacing w:val="-1"/>
                <w:szCs w:val="20"/>
                <w:highlight w:val="none"/>
              </w:rPr>
              <w:t>--</w:t>
            </w:r>
            <w:r>
              <w:rPr>
                <w:rFonts w:hint="default" w:ascii="Times New Roman" w:hAnsi="Times New Roman" w:cs="Times New Roman"/>
                <w:color w:val="auto"/>
                <w:spacing w:val="-1"/>
                <w:szCs w:val="20"/>
                <w:highlight w:val="none"/>
              </w:rPr>
              <w:t>排放口（源）的形状及颜色见下表</w:t>
            </w:r>
            <w:r>
              <w:rPr>
                <w:rFonts w:hint="eastAsia" w:cs="Times New Roman"/>
                <w:color w:val="auto"/>
                <w:spacing w:val="-1"/>
                <w:szCs w:val="20"/>
                <w:highlight w:val="none"/>
                <w:lang w:eastAsia="zh-CN"/>
              </w:rPr>
              <w:t>：</w:t>
            </w:r>
          </w:p>
          <w:p w14:paraId="169E543E">
            <w:pPr>
              <w:pStyle w:val="187"/>
              <w:keepNext w:val="0"/>
              <w:keepLines w:val="0"/>
              <w:pageBreakBefore w:val="0"/>
              <w:suppressLineNumbers w:val="0"/>
              <w:tabs>
                <w:tab w:val="left" w:pos="6521"/>
              </w:tabs>
              <w:kinsoku/>
              <w:wordWrap/>
              <w:overflowPunct/>
              <w:topLinePunct w:val="0"/>
              <w:autoSpaceDE/>
              <w:autoSpaceDN/>
              <w:bidi w:val="0"/>
              <w:adjustRightInd/>
              <w:snapToGrid/>
              <w:spacing w:before="0" w:beforeAutospacing="0" w:after="0" w:afterAutospacing="0" w:line="480" w:lineRule="exact"/>
              <w:ind w:left="0" w:right="0"/>
              <w:jc w:val="center"/>
              <w:textAlignment w:val="auto"/>
              <w:rPr>
                <w:rFonts w:hint="default" w:ascii="Times New Roman" w:hAnsi="Times New Roman" w:eastAsia="宋体" w:cs="Times New Roman"/>
                <w:b/>
                <w:smallCaps w:val="0"/>
                <w:color w:val="auto"/>
                <w:spacing w:val="0"/>
                <w:highlight w:val="none"/>
                <w:lang w:val="en-US" w:eastAsia="zh-CN"/>
              </w:rPr>
            </w:pPr>
            <w:r>
              <w:rPr>
                <w:rFonts w:hint="eastAsia" w:cs="Times New Roman"/>
                <w:b/>
                <w:smallCaps w:val="0"/>
                <w:color w:val="auto"/>
                <w:spacing w:val="0"/>
                <w:highlight w:val="none"/>
                <w:lang w:val="en-US" w:eastAsia="zh-CN"/>
              </w:rPr>
              <w:t>表</w:t>
            </w:r>
            <w:r>
              <w:rPr>
                <w:rFonts w:hint="default" w:ascii="Times New Roman" w:hAnsi="Times New Roman" w:eastAsia="宋体" w:cs="Times New Roman"/>
                <w:b/>
                <w:smallCaps w:val="0"/>
                <w:color w:val="auto"/>
                <w:spacing w:val="0"/>
                <w:highlight w:val="none"/>
                <w:lang w:val="en-US" w:eastAsia="zh-CN"/>
              </w:rPr>
              <w:t>4-</w:t>
            </w:r>
            <w:r>
              <w:rPr>
                <w:rFonts w:hint="eastAsia" w:cs="Times New Roman"/>
                <w:b/>
                <w:smallCaps w:val="0"/>
                <w:color w:val="auto"/>
                <w:spacing w:val="0"/>
                <w:highlight w:val="none"/>
                <w:lang w:val="en-US" w:eastAsia="zh-CN"/>
              </w:rPr>
              <w:t>18</w:t>
            </w:r>
            <w:r>
              <w:rPr>
                <w:rFonts w:hint="default" w:ascii="Times New Roman" w:hAnsi="Times New Roman" w:eastAsia="宋体" w:cs="Times New Roman"/>
                <w:b/>
                <w:smallCaps w:val="0"/>
                <w:color w:val="auto"/>
                <w:spacing w:val="0"/>
                <w:highlight w:val="none"/>
                <w:lang w:val="en-US" w:eastAsia="zh-CN"/>
              </w:rPr>
              <w:t xml:space="preserve"> 环境保护图形标志-排放口（源）</w:t>
            </w:r>
          </w:p>
          <w:tbl>
            <w:tblPr>
              <w:tblStyle w:val="215"/>
              <w:tblW w:w="4996"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22"/>
              <w:gridCol w:w="1957"/>
              <w:gridCol w:w="2300"/>
              <w:gridCol w:w="2298"/>
            </w:tblGrid>
            <w:tr w14:paraId="77FD00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891" w:type="pct"/>
                  <w:noWrap w:val="0"/>
                  <w:vAlign w:val="center"/>
                </w:tcPr>
                <w:p w14:paraId="00A8A54A">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eastAsia" w:ascii="Times New Roman" w:hAnsi="Times New Roman" w:cs="Times New Roman"/>
                      <w:color w:val="auto"/>
                      <w:w w:val="100"/>
                      <w:kern w:val="2"/>
                      <w:sz w:val="21"/>
                      <w:szCs w:val="21"/>
                      <w:highlight w:val="none"/>
                      <w:lang w:val="en-US" w:eastAsia="zh-CN" w:bidi="ar-SA"/>
                    </w:rPr>
                    <w:t>废气、噪声、一般固废标识牌</w:t>
                  </w:r>
                </w:p>
              </w:tc>
              <w:tc>
                <w:tcPr>
                  <w:tcW w:w="1226" w:type="pct"/>
                  <w:noWrap w:val="0"/>
                  <w:vAlign w:val="center"/>
                </w:tcPr>
                <w:p w14:paraId="5D6EE99D">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形状</w:t>
                  </w:r>
                </w:p>
              </w:tc>
              <w:tc>
                <w:tcPr>
                  <w:tcW w:w="1441" w:type="pct"/>
                  <w:noWrap w:val="0"/>
                  <w:vAlign w:val="center"/>
                </w:tcPr>
                <w:p w14:paraId="6C699933">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背景颜色</w:t>
                  </w:r>
                </w:p>
              </w:tc>
              <w:tc>
                <w:tcPr>
                  <w:tcW w:w="1440" w:type="pct"/>
                  <w:noWrap w:val="0"/>
                  <w:vAlign w:val="center"/>
                </w:tcPr>
                <w:p w14:paraId="4B688E6E">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图形颜色</w:t>
                  </w:r>
                </w:p>
              </w:tc>
            </w:tr>
            <w:tr w14:paraId="137E60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891" w:type="pct"/>
                  <w:noWrap w:val="0"/>
                  <w:vAlign w:val="center"/>
                </w:tcPr>
                <w:p w14:paraId="43E1E60F">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警告标志</w:t>
                  </w:r>
                </w:p>
              </w:tc>
              <w:tc>
                <w:tcPr>
                  <w:tcW w:w="1226" w:type="pct"/>
                  <w:noWrap w:val="0"/>
                  <w:vAlign w:val="center"/>
                </w:tcPr>
                <w:p w14:paraId="69A83A00">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三角形边框</w:t>
                  </w:r>
                </w:p>
              </w:tc>
              <w:tc>
                <w:tcPr>
                  <w:tcW w:w="1441" w:type="pct"/>
                  <w:noWrap w:val="0"/>
                  <w:vAlign w:val="center"/>
                </w:tcPr>
                <w:p w14:paraId="4B5911E8">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黄色</w:t>
                  </w:r>
                </w:p>
              </w:tc>
              <w:tc>
                <w:tcPr>
                  <w:tcW w:w="1440" w:type="pct"/>
                  <w:noWrap w:val="0"/>
                  <w:vAlign w:val="center"/>
                </w:tcPr>
                <w:p w14:paraId="5A1944DA">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黑色</w:t>
                  </w:r>
                </w:p>
              </w:tc>
            </w:tr>
            <w:tr w14:paraId="2A5CCB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jc w:val="center"/>
              </w:trPr>
              <w:tc>
                <w:tcPr>
                  <w:tcW w:w="891" w:type="pct"/>
                  <w:noWrap w:val="0"/>
                  <w:vAlign w:val="center"/>
                </w:tcPr>
                <w:p w14:paraId="7C85F99C">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提示标志</w:t>
                  </w:r>
                </w:p>
              </w:tc>
              <w:tc>
                <w:tcPr>
                  <w:tcW w:w="1226" w:type="pct"/>
                  <w:noWrap w:val="0"/>
                  <w:vAlign w:val="center"/>
                </w:tcPr>
                <w:p w14:paraId="54F707A2">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正方形边框</w:t>
                  </w:r>
                </w:p>
              </w:tc>
              <w:tc>
                <w:tcPr>
                  <w:tcW w:w="1441" w:type="pct"/>
                  <w:noWrap w:val="0"/>
                  <w:vAlign w:val="center"/>
                </w:tcPr>
                <w:p w14:paraId="09F1B66F">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绿色</w:t>
                  </w:r>
                </w:p>
              </w:tc>
              <w:tc>
                <w:tcPr>
                  <w:tcW w:w="1440" w:type="pct"/>
                  <w:noWrap w:val="0"/>
                  <w:vAlign w:val="center"/>
                </w:tcPr>
                <w:p w14:paraId="594D70A3">
                  <w:pPr>
                    <w:pStyle w:val="227"/>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w w:val="100"/>
                      <w:kern w:val="2"/>
                      <w:sz w:val="21"/>
                      <w:szCs w:val="21"/>
                      <w:highlight w:val="none"/>
                      <w:lang w:val="en-US" w:eastAsia="zh-CN" w:bidi="ar-SA"/>
                    </w:rPr>
                  </w:pPr>
                  <w:r>
                    <w:rPr>
                      <w:rFonts w:hint="default" w:ascii="Times New Roman" w:hAnsi="Times New Roman" w:cs="Times New Roman"/>
                      <w:color w:val="auto"/>
                      <w:w w:val="100"/>
                      <w:kern w:val="2"/>
                      <w:sz w:val="21"/>
                      <w:szCs w:val="21"/>
                      <w:highlight w:val="none"/>
                      <w:lang w:val="en-US" w:eastAsia="zh-CN" w:bidi="ar-SA"/>
                    </w:rPr>
                    <w:t>白色</w:t>
                  </w:r>
                </w:p>
              </w:tc>
            </w:tr>
          </w:tbl>
          <w:p w14:paraId="4BED2118">
            <w:pPr>
              <w:pStyle w:val="19"/>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480" w:lineRule="exact"/>
              <w:ind w:left="0" w:right="0" w:firstLine="476" w:firstLineChars="200"/>
              <w:textAlignment w:val="auto"/>
              <w:rPr>
                <w:rFonts w:hint="default" w:ascii="Times New Roman" w:hAnsi="Times New Roman" w:eastAsia="宋体" w:cs="Times New Roman"/>
                <w:color w:val="auto"/>
                <w:spacing w:val="-1"/>
                <w:kern w:val="2"/>
                <w:sz w:val="24"/>
                <w:szCs w:val="24"/>
                <w:highlight w:val="none"/>
                <w:lang w:val="en-US" w:eastAsia="zh-CN" w:bidi="ar-SA"/>
              </w:rPr>
            </w:pPr>
            <w:r>
              <w:rPr>
                <w:rFonts w:hint="default" w:ascii="Times New Roman" w:hAnsi="Times New Roman" w:eastAsia="宋体" w:cs="Times New Roman"/>
                <w:color w:val="auto"/>
                <w:spacing w:val="-1"/>
                <w:kern w:val="2"/>
                <w:sz w:val="24"/>
                <w:szCs w:val="24"/>
                <w:highlight w:val="none"/>
                <w:lang w:val="en-US" w:eastAsia="zh-CN" w:bidi="ar-SA"/>
              </w:rPr>
              <w:t>2）污染物排放口的环境保护图形标志牌应设置在靠近采样点的醒目处，标志牌设置高度为其上缘距地面约2m。</w:t>
            </w:r>
          </w:p>
          <w:p w14:paraId="7F0202E0">
            <w:pPr>
              <w:pStyle w:val="172"/>
              <w:keepNext w:val="0"/>
              <w:keepLines w:val="0"/>
              <w:suppressLineNumbers w:val="0"/>
              <w:spacing w:before="0" w:beforeAutospacing="0" w:after="0" w:afterAutospacing="0"/>
              <w:ind w:left="0" w:right="0" w:firstLine="480"/>
              <w:rPr>
                <w:rFonts w:hint="eastAsia" w:cs="Times New Roman"/>
                <w:color w:val="auto"/>
                <w:spacing w:val="-1"/>
                <w:kern w:val="2"/>
                <w:sz w:val="24"/>
                <w:szCs w:val="24"/>
                <w:highlight w:val="none"/>
                <w:lang w:val="en-US" w:eastAsia="zh-CN" w:bidi="ar-SA"/>
              </w:rPr>
            </w:pPr>
            <w:r>
              <w:rPr>
                <w:rFonts w:hint="default" w:ascii="Times New Roman" w:hAnsi="Times New Roman" w:eastAsia="宋体" w:cs="Times New Roman"/>
                <w:color w:val="auto"/>
                <w:spacing w:val="-1"/>
                <w:kern w:val="2"/>
                <w:sz w:val="24"/>
                <w:szCs w:val="24"/>
                <w:highlight w:val="none"/>
                <w:lang w:val="en-US" w:eastAsia="zh-CN" w:bidi="ar-SA"/>
              </w:rPr>
              <w:t>3）排污口及采样点设置在厂界附近，采样点设置应符合HJ/T91的规定，确保公众及环保执法人员可在排污口清楚地看到污染源的排污情况并且不受限制地进行水质采样</w:t>
            </w:r>
            <w:r>
              <w:rPr>
                <w:rFonts w:hint="eastAsia" w:cs="Times New Roman"/>
                <w:color w:val="auto"/>
                <w:spacing w:val="-1"/>
                <w:kern w:val="2"/>
                <w:sz w:val="24"/>
                <w:szCs w:val="24"/>
                <w:highlight w:val="none"/>
                <w:lang w:val="en-US" w:eastAsia="zh-CN" w:bidi="ar-SA"/>
              </w:rPr>
              <w:t>。有组织废气采样口应按照前4后2原则，监孔≥80mm，监测断面距离坠落高度基准面2 m以上时，应配套工作平台，工作平台宜设置在监测孔的正下方1.2 m~1.3 m处；超过0.5 m且不足2 m 时，应按要求设置固定式钢梯；超过2 m时，应安装钢斜梯、转梯。梯高大于6 m 时，应设置梯间平台。斜梯、转梯的材料、载荷、制造安装等按要求执行</w:t>
            </w:r>
            <w:r>
              <w:rPr>
                <w:rFonts w:hint="default" w:ascii="Times New Roman" w:hAnsi="Times New Roman" w:eastAsia="宋体" w:cs="Times New Roman"/>
                <w:color w:val="auto"/>
                <w:spacing w:val="-1"/>
                <w:kern w:val="2"/>
                <w:sz w:val="24"/>
                <w:szCs w:val="24"/>
                <w:highlight w:val="none"/>
                <w:lang w:val="en-US" w:eastAsia="zh-CN" w:bidi="ar-SA"/>
              </w:rPr>
              <w:t>。排污口和采样点处水深一般情况下应&lt;1.2m，周围应设置既能方便采样，又能保障人员安全的护栏等设施</w:t>
            </w:r>
            <w:r>
              <w:rPr>
                <w:rFonts w:hint="eastAsia" w:cs="Times New Roman"/>
                <w:color w:val="auto"/>
                <w:spacing w:val="-1"/>
                <w:kern w:val="2"/>
                <w:sz w:val="24"/>
                <w:szCs w:val="24"/>
                <w:highlight w:val="none"/>
                <w:lang w:val="en-US" w:eastAsia="zh-CN" w:bidi="ar-SA"/>
              </w:rPr>
              <w:t>。</w:t>
            </w:r>
          </w:p>
          <w:p w14:paraId="68AC7B29">
            <w:pPr>
              <w:pStyle w:val="172"/>
              <w:keepNext w:val="0"/>
              <w:keepLines w:val="0"/>
              <w:suppressLineNumbers w:val="0"/>
              <w:spacing w:before="0" w:beforeAutospacing="0" w:after="0" w:afterAutospacing="0"/>
              <w:ind w:left="0" w:leftChars="0" w:right="0" w:firstLine="0" w:firstLineChars="0"/>
              <w:rPr>
                <w:rFonts w:hint="default" w:ascii="Times New Roman" w:hAnsi="Times New Roman" w:eastAsia="宋体" w:cs="Times New Roman"/>
                <w:smallCaps w:val="0"/>
                <w:color w:val="auto"/>
                <w:spacing w:val="0"/>
                <w:highlight w:val="none"/>
                <w:lang w:val="en-US" w:eastAsia="zh-CN"/>
              </w:rPr>
            </w:pPr>
          </w:p>
        </w:tc>
      </w:tr>
    </w:tbl>
    <w:p w14:paraId="05588A5D">
      <w:pPr>
        <w:pStyle w:val="5"/>
        <w:rPr>
          <w:rFonts w:hint="default" w:ascii="Times New Roman" w:hAnsi="Times New Roman" w:cs="Times New Roman"/>
          <w:color w:val="auto"/>
          <w:highlight w:val="none"/>
        </w:rPr>
      </w:pPr>
      <w:r>
        <w:rPr>
          <w:rFonts w:hint="default" w:ascii="Times New Roman" w:hAnsi="Times New Roman" w:cs="Times New Roman"/>
          <w:color w:val="auto"/>
          <w:highlight w:val="none"/>
        </w:rPr>
        <w:br w:type="page"/>
      </w:r>
    </w:p>
    <w:p w14:paraId="5E4E1D55">
      <w:pPr>
        <w:pStyle w:val="41"/>
        <w:pageBreakBefore/>
        <w:jc w:val="center"/>
        <w:outlineLvl w:val="0"/>
        <w:rPr>
          <w:rFonts w:hint="default" w:ascii="Times New Roman" w:hAnsi="Times New Roman" w:eastAsia="黑体" w:cs="Times New Roman"/>
          <w:smallCaps w:val="0"/>
          <w:snapToGrid w:val="0"/>
          <w:color w:val="auto"/>
          <w:spacing w:val="0"/>
          <w:sz w:val="30"/>
          <w:szCs w:val="30"/>
          <w:highlight w:val="none"/>
        </w:rPr>
      </w:pPr>
      <w:bookmarkStart w:id="12" w:name="_Toc18955"/>
      <w:r>
        <w:rPr>
          <w:rFonts w:hint="default" w:ascii="Times New Roman" w:hAnsi="Times New Roman" w:eastAsia="黑体" w:cs="Times New Roman"/>
          <w:smallCaps w:val="0"/>
          <w:snapToGrid w:val="0"/>
          <w:color w:val="auto"/>
          <w:spacing w:val="0"/>
          <w:sz w:val="30"/>
          <w:szCs w:val="30"/>
          <w:highlight w:val="none"/>
        </w:rPr>
        <w:t>五、</w:t>
      </w:r>
      <w:bookmarkStart w:id="13" w:name="_Hlk54167917"/>
      <w:r>
        <w:rPr>
          <w:rFonts w:hint="default" w:ascii="Times New Roman" w:hAnsi="Times New Roman" w:eastAsia="黑体" w:cs="Times New Roman"/>
          <w:smallCaps w:val="0"/>
          <w:snapToGrid w:val="0"/>
          <w:color w:val="auto"/>
          <w:spacing w:val="0"/>
          <w:sz w:val="30"/>
          <w:szCs w:val="30"/>
          <w:highlight w:val="none"/>
        </w:rPr>
        <w:t>环境保护措施监督检查清单</w:t>
      </w:r>
      <w:bookmarkEnd w:id="12"/>
      <w:bookmarkEnd w:id="13"/>
    </w:p>
    <w:tbl>
      <w:tblPr>
        <w:tblStyle w:val="47"/>
        <w:tblW w:w="905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205"/>
        <w:gridCol w:w="1436"/>
        <w:gridCol w:w="1418"/>
        <w:gridCol w:w="1843"/>
        <w:gridCol w:w="1842"/>
        <w:gridCol w:w="1309"/>
      </w:tblGrid>
      <w:tr w14:paraId="1D2625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tcBorders>
              <w:tl2br w:val="single" w:color="auto" w:sz="4" w:space="0"/>
            </w:tcBorders>
            <w:vAlign w:val="center"/>
          </w:tcPr>
          <w:p w14:paraId="442588A8">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 xml:space="preserve">      </w:t>
            </w:r>
          </w:p>
          <w:p w14:paraId="2EBCF1D4">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 xml:space="preserve"> 内容</w:t>
            </w:r>
          </w:p>
          <w:p w14:paraId="4594F8AE">
            <w:pPr>
              <w:pStyle w:val="68"/>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p w14:paraId="41063FC0">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要素</w:t>
            </w:r>
          </w:p>
        </w:tc>
        <w:tc>
          <w:tcPr>
            <w:tcW w:w="1436" w:type="dxa"/>
            <w:vAlign w:val="center"/>
          </w:tcPr>
          <w:p w14:paraId="3ED2437C">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排放口</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编号、名称</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/污染源</w:t>
            </w:r>
          </w:p>
        </w:tc>
        <w:tc>
          <w:tcPr>
            <w:tcW w:w="1418" w:type="dxa"/>
            <w:vAlign w:val="center"/>
          </w:tcPr>
          <w:p w14:paraId="6167FEB9">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污染物项目</w:t>
            </w:r>
          </w:p>
        </w:tc>
        <w:tc>
          <w:tcPr>
            <w:tcW w:w="1843" w:type="dxa"/>
            <w:vAlign w:val="center"/>
          </w:tcPr>
          <w:p w14:paraId="6F56B204">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环境保护措施</w:t>
            </w:r>
          </w:p>
        </w:tc>
        <w:tc>
          <w:tcPr>
            <w:tcW w:w="3151" w:type="dxa"/>
            <w:gridSpan w:val="2"/>
            <w:vAlign w:val="center"/>
          </w:tcPr>
          <w:p w14:paraId="5496FF04">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执行标准</w:t>
            </w:r>
          </w:p>
        </w:tc>
      </w:tr>
      <w:tr w14:paraId="0F0E75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restart"/>
            <w:vAlign w:val="center"/>
          </w:tcPr>
          <w:p w14:paraId="5F674D76">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大气环境</w:t>
            </w:r>
          </w:p>
        </w:tc>
        <w:tc>
          <w:tcPr>
            <w:tcW w:w="1436" w:type="dxa"/>
            <w:shd w:val="clear" w:color="auto" w:fill="auto"/>
            <w:vAlign w:val="center"/>
          </w:tcPr>
          <w:p w14:paraId="65ECC535">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1#修磨废气排放口</w:t>
            </w:r>
          </w:p>
        </w:tc>
        <w:tc>
          <w:tcPr>
            <w:tcW w:w="1418" w:type="dxa"/>
            <w:shd w:val="clear" w:color="auto" w:fill="auto"/>
            <w:vAlign w:val="center"/>
          </w:tcPr>
          <w:p w14:paraId="552C536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val="en-US" w:eastAsia="zh-CN"/>
              </w:rPr>
              <w:t>颗粒物</w:t>
            </w:r>
          </w:p>
        </w:tc>
        <w:tc>
          <w:tcPr>
            <w:tcW w:w="1843" w:type="dxa"/>
            <w:vAlign w:val="center"/>
          </w:tcPr>
          <w:p w14:paraId="1041F5A6">
            <w:pPr>
              <w:keepNext w:val="0"/>
              <w:keepLines w:val="0"/>
              <w:pageBreakBefore w:val="0"/>
              <w:widowControl w:val="0"/>
              <w:suppressLineNumbers w:val="0"/>
              <w:kinsoku/>
              <w:wordWrap/>
              <w:overflowPunct/>
              <w:bidi w:val="0"/>
              <w:spacing w:before="0" w:beforeAutospacing="0" w:after="0" w:afterAutospacing="0" w:line="320" w:lineRule="exact"/>
              <w:ind w:left="0" w:right="0"/>
              <w:jc w:val="center"/>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集气罩+脉冲布袋除尘器+15m高排气筒</w:t>
            </w:r>
          </w:p>
        </w:tc>
        <w:tc>
          <w:tcPr>
            <w:tcW w:w="3151" w:type="dxa"/>
            <w:gridSpan w:val="2"/>
            <w:shd w:val="clear" w:color="auto" w:fill="auto"/>
            <w:vAlign w:val="center"/>
          </w:tcPr>
          <w:p w14:paraId="53C1D57A">
            <w:pPr>
              <w:keepNext w:val="0"/>
              <w:keepLines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default" w:cs="Times New Roman"/>
                <w:smallCaps w:val="0"/>
                <w:color w:val="auto"/>
                <w:spacing w:val="0"/>
                <w:szCs w:val="21"/>
                <w:highlight w:val="none"/>
                <w:lang w:val="en-US" w:eastAsia="zh-CN"/>
              </w:rPr>
              <w:t>《大气污染物综合排放标准》（GB16297-1996）表2（其他）二级标准</w:t>
            </w:r>
            <w:r>
              <w:rPr>
                <w:rFonts w:hint="eastAsia" w:cs="Times New Roman"/>
                <w:smallCaps w:val="0"/>
                <w:color w:val="auto"/>
                <w:spacing w:val="0"/>
                <w:szCs w:val="21"/>
                <w:highlight w:val="none"/>
                <w:lang w:val="en-US" w:eastAsia="zh-CN"/>
              </w:rPr>
              <w:t>（颗粒物排放浓度≤120mg/m</w:t>
            </w:r>
            <w:r>
              <w:rPr>
                <w:rFonts w:hint="eastAsia" w:cs="Times New Roman"/>
                <w:smallCaps w:val="0"/>
                <w:color w:val="auto"/>
                <w:spacing w:val="0"/>
                <w:szCs w:val="21"/>
                <w:highlight w:val="none"/>
                <w:vertAlign w:val="superscript"/>
                <w:lang w:val="en-US" w:eastAsia="zh-CN"/>
              </w:rPr>
              <w:t>3</w:t>
            </w:r>
            <w:r>
              <w:rPr>
                <w:rFonts w:hint="eastAsia" w:cs="Times New Roman"/>
                <w:smallCaps w:val="0"/>
                <w:color w:val="auto"/>
                <w:spacing w:val="0"/>
                <w:szCs w:val="21"/>
                <w:highlight w:val="none"/>
                <w:lang w:val="en-US" w:eastAsia="zh-CN"/>
              </w:rPr>
              <w:t>，排放速率≤3.5kg/h）</w:t>
            </w:r>
          </w:p>
        </w:tc>
      </w:tr>
      <w:tr w14:paraId="142163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40B46CA0">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shd w:val="clear" w:color="auto" w:fill="auto"/>
            <w:vAlign w:val="center"/>
          </w:tcPr>
          <w:p w14:paraId="3485A2BD">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2#修磨废气排放口</w:t>
            </w:r>
          </w:p>
        </w:tc>
        <w:tc>
          <w:tcPr>
            <w:tcW w:w="1418" w:type="dxa"/>
            <w:shd w:val="clear" w:color="auto" w:fill="auto"/>
            <w:vAlign w:val="center"/>
          </w:tcPr>
          <w:p w14:paraId="0AE94D2A">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1843" w:type="dxa"/>
            <w:vAlign w:val="center"/>
          </w:tcPr>
          <w:p w14:paraId="218251F3">
            <w:pPr>
              <w:keepNext w:val="0"/>
              <w:keepLines w:val="0"/>
              <w:pageBreakBefore w:val="0"/>
              <w:widowControl w:val="0"/>
              <w:suppressLineNumbers w:val="0"/>
              <w:kinsoku/>
              <w:wordWrap/>
              <w:overflowPunct/>
              <w:bidi w:val="0"/>
              <w:spacing w:before="0" w:beforeAutospacing="0" w:after="0" w:afterAutospacing="0" w:line="320" w:lineRule="exact"/>
              <w:ind w:left="0" w:leftChars="0" w:right="0" w:rightChars="0"/>
              <w:jc w:val="center"/>
              <w:rPr>
                <w:rFonts w:hint="eastAsia"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集气罩+脉冲布袋除尘器+15m高排气筒</w:t>
            </w:r>
          </w:p>
        </w:tc>
        <w:tc>
          <w:tcPr>
            <w:tcW w:w="3151" w:type="dxa"/>
            <w:gridSpan w:val="2"/>
            <w:shd w:val="clear" w:color="auto" w:fill="auto"/>
            <w:vAlign w:val="center"/>
          </w:tcPr>
          <w:p w14:paraId="343B6234">
            <w:pPr>
              <w:keepNext w:val="0"/>
              <w:keepLines w:val="0"/>
              <w:suppressLineNumbers w:val="0"/>
              <w:adjustRightInd w:val="0"/>
              <w:snapToGrid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default" w:cs="Times New Roman"/>
                <w:smallCaps w:val="0"/>
                <w:color w:val="auto"/>
                <w:spacing w:val="0"/>
                <w:szCs w:val="21"/>
                <w:highlight w:val="none"/>
                <w:lang w:val="en-US" w:eastAsia="zh-CN"/>
              </w:rPr>
              <w:t>《大气污染物综合排放标准》（GB16297-1996）表2（其他）二级标准</w:t>
            </w:r>
            <w:r>
              <w:rPr>
                <w:rFonts w:hint="eastAsia" w:cs="Times New Roman"/>
                <w:smallCaps w:val="0"/>
                <w:color w:val="auto"/>
                <w:spacing w:val="0"/>
                <w:szCs w:val="21"/>
                <w:highlight w:val="none"/>
                <w:lang w:val="en-US" w:eastAsia="zh-CN"/>
              </w:rPr>
              <w:t>（颗粒物排放浓度≤120mg/m</w:t>
            </w:r>
            <w:r>
              <w:rPr>
                <w:rFonts w:hint="eastAsia" w:cs="Times New Roman"/>
                <w:smallCaps w:val="0"/>
                <w:color w:val="auto"/>
                <w:spacing w:val="0"/>
                <w:szCs w:val="21"/>
                <w:highlight w:val="none"/>
                <w:vertAlign w:val="superscript"/>
                <w:lang w:val="en-US" w:eastAsia="zh-CN"/>
              </w:rPr>
              <w:t>3</w:t>
            </w:r>
            <w:r>
              <w:rPr>
                <w:rFonts w:hint="eastAsia" w:cs="Times New Roman"/>
                <w:smallCaps w:val="0"/>
                <w:color w:val="auto"/>
                <w:spacing w:val="0"/>
                <w:szCs w:val="21"/>
                <w:highlight w:val="none"/>
                <w:lang w:val="en-US" w:eastAsia="zh-CN"/>
              </w:rPr>
              <w:t>，排放速率≤3.5kg/h）</w:t>
            </w:r>
          </w:p>
        </w:tc>
      </w:tr>
      <w:tr w14:paraId="6FE89C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368D87EC">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shd w:val="clear" w:color="auto" w:fill="auto"/>
            <w:vAlign w:val="center"/>
          </w:tcPr>
          <w:p w14:paraId="1B6EA885">
            <w:pPr>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3#修磨废气排放口</w:t>
            </w:r>
          </w:p>
        </w:tc>
        <w:tc>
          <w:tcPr>
            <w:tcW w:w="1418" w:type="dxa"/>
            <w:shd w:val="clear" w:color="auto" w:fill="auto"/>
            <w:vAlign w:val="center"/>
          </w:tcPr>
          <w:p w14:paraId="3725FC2F">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1843" w:type="dxa"/>
            <w:vAlign w:val="center"/>
          </w:tcPr>
          <w:p w14:paraId="5762C329">
            <w:pPr>
              <w:keepNext w:val="0"/>
              <w:keepLines w:val="0"/>
              <w:pageBreakBefore w:val="0"/>
              <w:widowControl w:val="0"/>
              <w:suppressLineNumbers w:val="0"/>
              <w:kinsoku/>
              <w:wordWrap/>
              <w:overflowPunct/>
              <w:bidi w:val="0"/>
              <w:spacing w:before="0" w:beforeAutospacing="0" w:after="0" w:afterAutospacing="0" w:line="320" w:lineRule="exact"/>
              <w:ind w:left="0" w:leftChars="0" w:right="0" w:rightChars="0"/>
              <w:jc w:val="center"/>
              <w:rPr>
                <w:rFonts w:hint="eastAsia"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集气罩+脉冲布袋除尘器+15m高排气筒</w:t>
            </w:r>
          </w:p>
        </w:tc>
        <w:tc>
          <w:tcPr>
            <w:tcW w:w="3151" w:type="dxa"/>
            <w:gridSpan w:val="2"/>
            <w:shd w:val="clear" w:color="auto" w:fill="auto"/>
            <w:vAlign w:val="center"/>
          </w:tcPr>
          <w:p w14:paraId="5273645D">
            <w:pPr>
              <w:keepNext w:val="0"/>
              <w:keepLines w:val="0"/>
              <w:suppressLineNumbers w:val="0"/>
              <w:adjustRightInd w:val="0"/>
              <w:snapToGrid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default" w:cs="Times New Roman"/>
                <w:smallCaps w:val="0"/>
                <w:color w:val="auto"/>
                <w:spacing w:val="0"/>
                <w:szCs w:val="21"/>
                <w:highlight w:val="none"/>
                <w:lang w:val="en-US" w:eastAsia="zh-CN"/>
              </w:rPr>
              <w:t>《大气污染物综合排放标准》（GB16297-1996）表2（其他）二级标准</w:t>
            </w:r>
            <w:r>
              <w:rPr>
                <w:rFonts w:hint="eastAsia" w:cs="Times New Roman"/>
                <w:smallCaps w:val="0"/>
                <w:color w:val="auto"/>
                <w:spacing w:val="0"/>
                <w:szCs w:val="21"/>
                <w:highlight w:val="none"/>
                <w:lang w:val="en-US" w:eastAsia="zh-CN"/>
              </w:rPr>
              <w:t>（颗粒物排放浓度≤120mg/m</w:t>
            </w:r>
            <w:r>
              <w:rPr>
                <w:rFonts w:hint="eastAsia" w:cs="Times New Roman"/>
                <w:smallCaps w:val="0"/>
                <w:color w:val="auto"/>
                <w:spacing w:val="0"/>
                <w:szCs w:val="21"/>
                <w:highlight w:val="none"/>
                <w:vertAlign w:val="superscript"/>
                <w:lang w:val="en-US" w:eastAsia="zh-CN"/>
              </w:rPr>
              <w:t>3</w:t>
            </w:r>
            <w:r>
              <w:rPr>
                <w:rFonts w:hint="eastAsia" w:cs="Times New Roman"/>
                <w:smallCaps w:val="0"/>
                <w:color w:val="auto"/>
                <w:spacing w:val="0"/>
                <w:szCs w:val="21"/>
                <w:highlight w:val="none"/>
                <w:lang w:val="en-US" w:eastAsia="zh-CN"/>
              </w:rPr>
              <w:t>，排放速率≤3.5kg/h）</w:t>
            </w:r>
          </w:p>
        </w:tc>
      </w:tr>
      <w:tr w14:paraId="0614D0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5BE84DF4">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shd w:val="clear" w:color="auto" w:fill="auto"/>
            <w:vAlign w:val="center"/>
          </w:tcPr>
          <w:p w14:paraId="12A75811">
            <w:pPr>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4#修磨废气排放口</w:t>
            </w:r>
          </w:p>
        </w:tc>
        <w:tc>
          <w:tcPr>
            <w:tcW w:w="1418" w:type="dxa"/>
            <w:shd w:val="clear" w:color="auto" w:fill="auto"/>
            <w:vAlign w:val="center"/>
          </w:tcPr>
          <w:p w14:paraId="7E86B0CF">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1843" w:type="dxa"/>
            <w:vAlign w:val="center"/>
          </w:tcPr>
          <w:p w14:paraId="76DFC668">
            <w:pPr>
              <w:keepNext w:val="0"/>
              <w:keepLines w:val="0"/>
              <w:pageBreakBefore w:val="0"/>
              <w:widowControl w:val="0"/>
              <w:suppressLineNumbers w:val="0"/>
              <w:kinsoku/>
              <w:wordWrap/>
              <w:overflowPunct/>
              <w:bidi w:val="0"/>
              <w:spacing w:before="0" w:beforeAutospacing="0" w:after="0" w:afterAutospacing="0" w:line="320" w:lineRule="exact"/>
              <w:ind w:left="0" w:leftChars="0" w:right="0" w:rightChars="0"/>
              <w:jc w:val="center"/>
              <w:rPr>
                <w:rFonts w:hint="eastAsia"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集气罩+脉冲布袋除尘器+15m高排气筒</w:t>
            </w:r>
          </w:p>
        </w:tc>
        <w:tc>
          <w:tcPr>
            <w:tcW w:w="3151" w:type="dxa"/>
            <w:gridSpan w:val="2"/>
            <w:shd w:val="clear" w:color="auto" w:fill="auto"/>
            <w:vAlign w:val="center"/>
          </w:tcPr>
          <w:p w14:paraId="5478B79A">
            <w:pPr>
              <w:keepNext w:val="0"/>
              <w:keepLines w:val="0"/>
              <w:suppressLineNumbers w:val="0"/>
              <w:adjustRightInd w:val="0"/>
              <w:snapToGrid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default" w:cs="Times New Roman"/>
                <w:smallCaps w:val="0"/>
                <w:color w:val="auto"/>
                <w:spacing w:val="0"/>
                <w:szCs w:val="21"/>
                <w:highlight w:val="none"/>
                <w:lang w:val="en-US" w:eastAsia="zh-CN"/>
              </w:rPr>
              <w:t>《大气污染物综合排放标准》（GB16297-1996）表2（其他）二级标准</w:t>
            </w:r>
            <w:r>
              <w:rPr>
                <w:rFonts w:hint="eastAsia" w:cs="Times New Roman"/>
                <w:smallCaps w:val="0"/>
                <w:color w:val="auto"/>
                <w:spacing w:val="0"/>
                <w:szCs w:val="21"/>
                <w:highlight w:val="none"/>
                <w:lang w:val="en-US" w:eastAsia="zh-CN"/>
              </w:rPr>
              <w:t>（颗粒物排放浓度≤120mg/m</w:t>
            </w:r>
            <w:r>
              <w:rPr>
                <w:rFonts w:hint="eastAsia" w:cs="Times New Roman"/>
                <w:smallCaps w:val="0"/>
                <w:color w:val="auto"/>
                <w:spacing w:val="0"/>
                <w:szCs w:val="21"/>
                <w:highlight w:val="none"/>
                <w:vertAlign w:val="superscript"/>
                <w:lang w:val="en-US" w:eastAsia="zh-CN"/>
              </w:rPr>
              <w:t>3</w:t>
            </w:r>
            <w:r>
              <w:rPr>
                <w:rFonts w:hint="eastAsia" w:cs="Times New Roman"/>
                <w:smallCaps w:val="0"/>
                <w:color w:val="auto"/>
                <w:spacing w:val="0"/>
                <w:szCs w:val="21"/>
                <w:highlight w:val="none"/>
                <w:lang w:val="en-US" w:eastAsia="zh-CN"/>
              </w:rPr>
              <w:t>，排放速率≤3.5kg/h）</w:t>
            </w:r>
          </w:p>
        </w:tc>
      </w:tr>
      <w:tr w14:paraId="0A2FE0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6FFF6341">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shd w:val="clear" w:color="auto" w:fill="auto"/>
            <w:vAlign w:val="center"/>
          </w:tcPr>
          <w:p w14:paraId="699907D3">
            <w:pPr>
              <w:keepNext w:val="0"/>
              <w:keepLines w:val="0"/>
              <w:pageBreakBefore w:val="0"/>
              <w:suppressLineNumbers w:val="0"/>
              <w:wordWrap/>
              <w:bidi w:val="0"/>
              <w:spacing w:before="0" w:beforeAutospacing="0" w:after="0" w:afterAutospacing="0" w:line="360" w:lineRule="exact"/>
              <w:ind w:left="0" w:leftChars="0" w:right="0" w:rightChars="0"/>
              <w:jc w:val="center"/>
              <w:rPr>
                <w:rFonts w:hint="eastAsia" w:cs="Times New Roman"/>
                <w:smallCaps w:val="0"/>
                <w:color w:val="auto"/>
                <w:spacing w:val="0"/>
                <w:szCs w:val="20"/>
                <w:highlight w:val="none"/>
                <w:lang w:val="en-US" w:eastAsia="zh-CN"/>
              </w:rPr>
            </w:pPr>
            <w:r>
              <w:rPr>
                <w:rFonts w:hint="eastAsia" w:cs="Times New Roman"/>
                <w:smallCaps w:val="0"/>
                <w:color w:val="auto"/>
                <w:spacing w:val="0"/>
                <w:szCs w:val="20"/>
                <w:highlight w:val="none"/>
                <w:lang w:val="en-US" w:eastAsia="zh-CN"/>
              </w:rPr>
              <w:t>5#修磨废气排放口</w:t>
            </w:r>
          </w:p>
        </w:tc>
        <w:tc>
          <w:tcPr>
            <w:tcW w:w="1418" w:type="dxa"/>
            <w:shd w:val="clear" w:color="auto" w:fill="auto"/>
            <w:vAlign w:val="center"/>
          </w:tcPr>
          <w:p w14:paraId="11BAEFA7">
            <w:pPr>
              <w:keepNext w:val="0"/>
              <w:keepLines w:val="0"/>
              <w:suppressLineNumbers w:val="0"/>
              <w:spacing w:before="0" w:beforeAutospacing="0" w:after="0" w:afterAutospacing="0"/>
              <w:ind w:left="0" w:leftChars="0" w:right="0" w:rightChars="0"/>
              <w:jc w:val="center"/>
              <w:rPr>
                <w:rFonts w:hint="eastAsia" w:cs="Times New Roman"/>
                <w:smallCaps w:val="0"/>
                <w:color w:val="auto"/>
                <w:spacing w:val="0"/>
                <w:szCs w:val="21"/>
                <w:highlight w:val="none"/>
                <w:lang w:val="en-US" w:eastAsia="zh-CN"/>
              </w:rPr>
            </w:pPr>
            <w:r>
              <w:rPr>
                <w:rFonts w:hint="eastAsia" w:cs="Times New Roman"/>
                <w:smallCaps w:val="0"/>
                <w:color w:val="auto"/>
                <w:spacing w:val="0"/>
                <w:szCs w:val="21"/>
                <w:highlight w:val="none"/>
                <w:lang w:val="en-US" w:eastAsia="zh-CN"/>
              </w:rPr>
              <w:t>颗粒物</w:t>
            </w:r>
          </w:p>
        </w:tc>
        <w:tc>
          <w:tcPr>
            <w:tcW w:w="1843" w:type="dxa"/>
            <w:vAlign w:val="center"/>
          </w:tcPr>
          <w:p w14:paraId="2B21E0C6">
            <w:pPr>
              <w:keepNext w:val="0"/>
              <w:keepLines w:val="0"/>
              <w:pageBreakBefore w:val="0"/>
              <w:widowControl w:val="0"/>
              <w:suppressLineNumbers w:val="0"/>
              <w:kinsoku/>
              <w:wordWrap/>
              <w:overflowPunct/>
              <w:bidi w:val="0"/>
              <w:spacing w:before="0" w:beforeAutospacing="0" w:after="0" w:afterAutospacing="0" w:line="320" w:lineRule="exact"/>
              <w:ind w:left="0" w:leftChars="0" w:right="0" w:rightChars="0"/>
              <w:jc w:val="center"/>
              <w:rPr>
                <w:rFonts w:hint="eastAsia"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集气罩+脉冲布袋除尘器+15m高排气筒</w:t>
            </w:r>
          </w:p>
        </w:tc>
        <w:tc>
          <w:tcPr>
            <w:tcW w:w="3151" w:type="dxa"/>
            <w:gridSpan w:val="2"/>
            <w:shd w:val="clear" w:color="auto" w:fill="auto"/>
            <w:vAlign w:val="center"/>
          </w:tcPr>
          <w:p w14:paraId="6BE7C27A">
            <w:pPr>
              <w:keepNext w:val="0"/>
              <w:keepLines w:val="0"/>
              <w:suppressLineNumbers w:val="0"/>
              <w:adjustRightInd w:val="0"/>
              <w:snapToGrid w:val="0"/>
              <w:spacing w:before="0" w:beforeAutospacing="0" w:after="0" w:afterAutospacing="0"/>
              <w:ind w:left="0" w:leftChars="0" w:right="0" w:rightChars="0"/>
              <w:jc w:val="center"/>
              <w:rPr>
                <w:rFonts w:hint="default" w:cs="Times New Roman"/>
                <w:smallCaps w:val="0"/>
                <w:color w:val="auto"/>
                <w:spacing w:val="0"/>
                <w:szCs w:val="21"/>
                <w:highlight w:val="none"/>
                <w:lang w:val="en-US" w:eastAsia="zh-CN"/>
              </w:rPr>
            </w:pPr>
            <w:r>
              <w:rPr>
                <w:rFonts w:hint="default" w:cs="Times New Roman"/>
                <w:smallCaps w:val="0"/>
                <w:color w:val="auto"/>
                <w:spacing w:val="0"/>
                <w:szCs w:val="21"/>
                <w:highlight w:val="none"/>
                <w:lang w:val="en-US" w:eastAsia="zh-CN"/>
              </w:rPr>
              <w:t>《大气污染物综合排放标准》（GB16297-1996）表2（其他）二级标准</w:t>
            </w:r>
            <w:r>
              <w:rPr>
                <w:rFonts w:hint="eastAsia" w:cs="Times New Roman"/>
                <w:smallCaps w:val="0"/>
                <w:color w:val="auto"/>
                <w:spacing w:val="0"/>
                <w:szCs w:val="21"/>
                <w:highlight w:val="none"/>
                <w:lang w:val="en-US" w:eastAsia="zh-CN"/>
              </w:rPr>
              <w:t>（颗粒物排放浓度≤120mg/m</w:t>
            </w:r>
            <w:r>
              <w:rPr>
                <w:rFonts w:hint="eastAsia" w:cs="Times New Roman"/>
                <w:smallCaps w:val="0"/>
                <w:color w:val="auto"/>
                <w:spacing w:val="0"/>
                <w:szCs w:val="21"/>
                <w:highlight w:val="none"/>
                <w:vertAlign w:val="superscript"/>
                <w:lang w:val="en-US" w:eastAsia="zh-CN"/>
              </w:rPr>
              <w:t>3</w:t>
            </w:r>
            <w:r>
              <w:rPr>
                <w:rFonts w:hint="eastAsia" w:cs="Times New Roman"/>
                <w:smallCaps w:val="0"/>
                <w:color w:val="auto"/>
                <w:spacing w:val="0"/>
                <w:szCs w:val="21"/>
                <w:highlight w:val="none"/>
                <w:lang w:val="en-US" w:eastAsia="zh-CN"/>
              </w:rPr>
              <w:t>，排放速率≤3.5kg/h）</w:t>
            </w:r>
          </w:p>
        </w:tc>
      </w:tr>
      <w:tr w14:paraId="7BD783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1205" w:type="dxa"/>
            <w:vMerge w:val="continue"/>
            <w:vAlign w:val="center"/>
          </w:tcPr>
          <w:p w14:paraId="5CF7BD2E">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shd w:val="clear" w:color="auto" w:fill="auto"/>
            <w:vAlign w:val="center"/>
          </w:tcPr>
          <w:p w14:paraId="6664B973">
            <w:pPr>
              <w:pStyle w:val="67"/>
              <w:keepNext w:val="0"/>
              <w:keepLines w:val="0"/>
              <w:pageBreakBefore w:val="0"/>
              <w:suppressLineNumbers w:val="0"/>
              <w:wordWrap/>
              <w:bidi w:val="0"/>
              <w:spacing w:before="0" w:beforeAutospacing="0" w:after="0" w:afterAutospacing="0" w:line="360" w:lineRule="exact"/>
              <w:ind w:left="0" w:leftChars="0" w:right="0" w:rightChars="0"/>
              <w:jc w:val="center"/>
              <w:rPr>
                <w:rFonts w:hint="default" w:cs="Times New Roman"/>
                <w:smallCaps w:val="0"/>
                <w:color w:val="auto"/>
                <w:spacing w:val="0"/>
                <w:highlight w:val="none"/>
                <w:lang w:val="en-US" w:eastAsia="zh-CN"/>
              </w:rPr>
            </w:pPr>
            <w:r>
              <w:rPr>
                <w:rFonts w:hint="eastAsia" w:cs="Times New Roman"/>
                <w:smallCaps w:val="0"/>
                <w:color w:val="auto"/>
                <w:spacing w:val="0"/>
                <w:highlight w:val="none"/>
                <w:lang w:val="en-US" w:eastAsia="zh-CN"/>
              </w:rPr>
              <w:t>无组织</w:t>
            </w:r>
          </w:p>
        </w:tc>
        <w:tc>
          <w:tcPr>
            <w:tcW w:w="1418" w:type="dxa"/>
            <w:shd w:val="clear" w:color="auto" w:fill="auto"/>
            <w:vAlign w:val="center"/>
          </w:tcPr>
          <w:p w14:paraId="0282C257">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val="en-US" w:eastAsia="zh-CN"/>
              </w:rPr>
              <w:t>颗粒物</w:t>
            </w:r>
          </w:p>
        </w:tc>
        <w:tc>
          <w:tcPr>
            <w:tcW w:w="1843" w:type="dxa"/>
            <w:vAlign w:val="center"/>
          </w:tcPr>
          <w:p w14:paraId="247382DA">
            <w:pPr>
              <w:keepNext w:val="0"/>
              <w:keepLines w:val="0"/>
              <w:pageBreakBefore w:val="0"/>
              <w:widowControl w:val="0"/>
              <w:suppressLineNumbers w:val="0"/>
              <w:kinsoku/>
              <w:wordWrap/>
              <w:overflowPunct/>
              <w:bidi w:val="0"/>
              <w:spacing w:before="0" w:beforeAutospacing="0" w:after="0" w:afterAutospacing="0" w:line="320" w:lineRule="exact"/>
              <w:ind w:left="0" w:right="0"/>
              <w:jc w:val="center"/>
              <w:rPr>
                <w:rFonts w:hint="eastAsia"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车间密闭</w:t>
            </w:r>
          </w:p>
        </w:tc>
        <w:tc>
          <w:tcPr>
            <w:tcW w:w="3151" w:type="dxa"/>
            <w:gridSpan w:val="2"/>
            <w:shd w:val="clear" w:color="auto" w:fill="auto"/>
            <w:vAlign w:val="center"/>
          </w:tcPr>
          <w:p w14:paraId="4863B4EB">
            <w:pPr>
              <w:keepNext w:val="0"/>
              <w:keepLines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1"/>
                <w:highlight w:val="none"/>
                <w:lang w:eastAsia="zh-CN"/>
              </w:rPr>
              <w:t>《大气污染物综合排放标准》（GB16297-1996）表2无组织排放监控浓度限值（</w:t>
            </w:r>
            <w:r>
              <w:rPr>
                <w:rFonts w:hint="eastAsia" w:cs="Times New Roman"/>
                <w:smallCaps w:val="0"/>
                <w:color w:val="auto"/>
                <w:spacing w:val="0"/>
                <w:szCs w:val="21"/>
                <w:highlight w:val="none"/>
                <w:lang w:val="en-US" w:eastAsia="zh-CN"/>
              </w:rPr>
              <w:t>颗粒物排放浓度≤1.0mg/m</w:t>
            </w:r>
            <w:r>
              <w:rPr>
                <w:rFonts w:hint="eastAsia" w:cs="Times New Roman"/>
                <w:smallCaps w:val="0"/>
                <w:color w:val="auto"/>
                <w:spacing w:val="0"/>
                <w:szCs w:val="21"/>
                <w:highlight w:val="none"/>
                <w:vertAlign w:val="superscript"/>
                <w:lang w:val="en-US" w:eastAsia="zh-CN"/>
              </w:rPr>
              <w:t>3</w:t>
            </w:r>
            <w:r>
              <w:rPr>
                <w:rFonts w:hint="eastAsia" w:cs="Times New Roman"/>
                <w:smallCaps w:val="0"/>
                <w:color w:val="auto"/>
                <w:spacing w:val="0"/>
                <w:szCs w:val="21"/>
                <w:highlight w:val="none"/>
                <w:lang w:eastAsia="zh-CN"/>
              </w:rPr>
              <w:t>）</w:t>
            </w:r>
          </w:p>
        </w:tc>
      </w:tr>
      <w:tr w14:paraId="25E8F7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7" w:hRule="atLeast"/>
          <w:jc w:val="center"/>
        </w:trPr>
        <w:tc>
          <w:tcPr>
            <w:tcW w:w="1205" w:type="dxa"/>
            <w:vMerge w:val="restart"/>
            <w:vAlign w:val="center"/>
          </w:tcPr>
          <w:p w14:paraId="542C2018">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地表水环境</w:t>
            </w:r>
          </w:p>
        </w:tc>
        <w:tc>
          <w:tcPr>
            <w:tcW w:w="1436" w:type="dxa"/>
            <w:shd w:val="clear" w:color="auto" w:fill="auto"/>
            <w:vAlign w:val="center"/>
          </w:tcPr>
          <w:p w14:paraId="49E14393">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default" w:cs="Times New Roman"/>
                <w:smallCaps w:val="0"/>
                <w:color w:val="auto"/>
                <w:spacing w:val="0"/>
                <w:highlight w:val="none"/>
                <w:lang w:val="en-US" w:eastAsia="zh-CN"/>
              </w:rPr>
              <w:t>淬火、回火循环水</w:t>
            </w:r>
          </w:p>
        </w:tc>
        <w:tc>
          <w:tcPr>
            <w:tcW w:w="1418" w:type="dxa"/>
            <w:shd w:val="clear" w:color="auto" w:fill="auto"/>
            <w:vAlign w:val="center"/>
          </w:tcPr>
          <w:p w14:paraId="11BA22AB">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color w:val="auto"/>
                <w:spacing w:val="-12"/>
                <w:kern w:val="0"/>
                <w:sz w:val="21"/>
                <w:szCs w:val="21"/>
                <w:highlight w:val="none"/>
                <w:lang w:val="en-US" w:eastAsia="zh-CN" w:bidi="ar-SA"/>
              </w:rPr>
            </w:pPr>
            <w:r>
              <w:rPr>
                <w:rFonts w:hint="default" w:ascii="Times New Roman" w:hAnsi="Times New Roman" w:cs="Times New Roman"/>
                <w:smallCaps w:val="0"/>
                <w:color w:val="auto"/>
                <w:spacing w:val="0"/>
                <w:szCs w:val="22"/>
                <w:highlight w:val="none"/>
                <w:lang w:val="en-US" w:eastAsia="zh-CN"/>
              </w:rPr>
              <w:t>SS</w:t>
            </w:r>
          </w:p>
        </w:tc>
        <w:tc>
          <w:tcPr>
            <w:tcW w:w="4994" w:type="dxa"/>
            <w:gridSpan w:val="3"/>
            <w:shd w:val="clear" w:color="auto" w:fill="auto"/>
            <w:vAlign w:val="center"/>
          </w:tcPr>
          <w:p w14:paraId="27B0439B">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循环使用不外排</w:t>
            </w:r>
          </w:p>
        </w:tc>
      </w:tr>
      <w:tr w14:paraId="5C9C99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205" w:type="dxa"/>
            <w:vMerge w:val="continue"/>
            <w:vAlign w:val="center"/>
          </w:tcPr>
          <w:p w14:paraId="074DA463">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shd w:val="clear" w:color="auto" w:fill="auto"/>
            <w:vAlign w:val="center"/>
          </w:tcPr>
          <w:p w14:paraId="32D24080">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职工生活污水</w:t>
            </w:r>
          </w:p>
        </w:tc>
        <w:tc>
          <w:tcPr>
            <w:tcW w:w="1418" w:type="dxa"/>
            <w:shd w:val="clear" w:color="auto" w:fill="auto"/>
            <w:vAlign w:val="center"/>
          </w:tcPr>
          <w:p w14:paraId="6241C35F">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2"/>
                <w:highlight w:val="none"/>
                <w:lang w:val="en-US" w:eastAsia="zh-CN" w:bidi="ar-SA"/>
              </w:rPr>
            </w:pPr>
            <w:r>
              <w:rPr>
                <w:rFonts w:hint="default" w:ascii="Times New Roman" w:hAnsi="Times New Roman" w:eastAsia="宋体" w:cs="Times New Roman"/>
                <w:color w:val="auto"/>
                <w:sz w:val="21"/>
                <w:szCs w:val="24"/>
                <w:highlight w:val="none"/>
              </w:rPr>
              <w:t>pH值、悬浮物、化学需氧量、五日生化需氧量、</w:t>
            </w:r>
            <w:r>
              <w:rPr>
                <w:rFonts w:hint="eastAsia" w:cs="Times New Roman"/>
                <w:color w:val="auto"/>
                <w:sz w:val="21"/>
                <w:szCs w:val="24"/>
                <w:highlight w:val="none"/>
                <w:lang w:eastAsia="zh-CN"/>
              </w:rPr>
              <w:t>氨氮、总氮、总磷</w:t>
            </w:r>
          </w:p>
        </w:tc>
        <w:tc>
          <w:tcPr>
            <w:tcW w:w="4994" w:type="dxa"/>
            <w:gridSpan w:val="3"/>
            <w:shd w:val="clear" w:color="auto" w:fill="auto"/>
            <w:vAlign w:val="center"/>
          </w:tcPr>
          <w:p w14:paraId="18176C7E">
            <w:pPr>
              <w:keepNext w:val="0"/>
              <w:keepLines w:val="0"/>
              <w:pageBreakBefore w:val="0"/>
              <w:widowControl w:val="0"/>
              <w:suppressLineNumbers w:val="0"/>
              <w:kinsoku/>
              <w:wordWrap/>
              <w:overflowPunct/>
              <w:bidi w:val="0"/>
              <w:spacing w:before="0" w:beforeAutospacing="0" w:after="0" w:afterAutospacing="0" w:line="320" w:lineRule="exact"/>
              <w:ind w:left="0" w:leftChars="0" w:right="0" w:rightChars="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olor w:val="auto"/>
                <w:szCs w:val="20"/>
                <w:highlight w:val="none"/>
                <w:lang w:val="en-US" w:eastAsia="zh-CN"/>
              </w:rPr>
              <w:t>生活污水经化粪池处理后定期由吸粪车抽走</w:t>
            </w:r>
          </w:p>
        </w:tc>
      </w:tr>
      <w:tr w14:paraId="7773CE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Align w:val="center"/>
          </w:tcPr>
          <w:p w14:paraId="57E63889">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声环境</w:t>
            </w:r>
          </w:p>
        </w:tc>
        <w:tc>
          <w:tcPr>
            <w:tcW w:w="1436" w:type="dxa"/>
            <w:vAlign w:val="center"/>
          </w:tcPr>
          <w:p w14:paraId="399BB587">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生产设备</w:t>
            </w:r>
          </w:p>
        </w:tc>
        <w:tc>
          <w:tcPr>
            <w:tcW w:w="1418" w:type="dxa"/>
            <w:vAlign w:val="center"/>
          </w:tcPr>
          <w:p w14:paraId="15896F67">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等效A声级</w:t>
            </w:r>
          </w:p>
        </w:tc>
        <w:tc>
          <w:tcPr>
            <w:tcW w:w="1843" w:type="dxa"/>
            <w:vAlign w:val="center"/>
          </w:tcPr>
          <w:p w14:paraId="773B54A6">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lang w:eastAsia="zh-CN"/>
              </w:rPr>
            </w:pPr>
            <w:r>
              <w:rPr>
                <w:rFonts w:hint="eastAsia" w:cs="Times New Roman"/>
                <w:smallCaps w:val="0"/>
                <w:color w:val="auto"/>
                <w:spacing w:val="0"/>
                <w:sz w:val="21"/>
                <w:szCs w:val="21"/>
                <w:highlight w:val="none"/>
                <w:lang w:eastAsia="zh-CN"/>
              </w:rPr>
              <w:t>选用低噪声设备、基础减振、厂房隔声，合理布局、风机加装隔声罩</w:t>
            </w:r>
            <w:r>
              <w:rPr>
                <w:rFonts w:hint="eastAsia" w:cs="Times New Roman"/>
                <w:smallCaps w:val="0"/>
                <w:color w:val="auto"/>
                <w:spacing w:val="0"/>
                <w:highlight w:val="none"/>
                <w:lang w:val="en-US" w:eastAsia="zh-CN"/>
              </w:rPr>
              <w:t>等措施</w:t>
            </w:r>
          </w:p>
        </w:tc>
        <w:tc>
          <w:tcPr>
            <w:tcW w:w="3151" w:type="dxa"/>
            <w:gridSpan w:val="2"/>
            <w:vAlign w:val="center"/>
          </w:tcPr>
          <w:p w14:paraId="4825F890">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rPr>
              <w:t>厂界执行《工业企业厂界环境噪声排放标准》</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GB12348-2008）</w:t>
            </w:r>
            <w:r>
              <w:rPr>
                <w:rFonts w:hint="eastAsia" w:cs="Times New Roman"/>
                <w:smallCaps w:val="0"/>
                <w:color w:val="auto"/>
                <w:spacing w:val="0"/>
                <w:sz w:val="21"/>
                <w:szCs w:val="21"/>
                <w:highlight w:val="none"/>
                <w:lang w:val="en-US" w:eastAsia="zh-CN"/>
              </w:rPr>
              <w:t>3类</w:t>
            </w:r>
            <w:r>
              <w:rPr>
                <w:rFonts w:hint="default" w:ascii="Times New Roman" w:hAnsi="Times New Roman" w:eastAsia="宋体" w:cs="Times New Roman"/>
                <w:smallCaps w:val="0"/>
                <w:color w:val="auto"/>
                <w:spacing w:val="0"/>
                <w:sz w:val="21"/>
                <w:szCs w:val="21"/>
                <w:highlight w:val="none"/>
              </w:rPr>
              <w:t>标准（昼间≤</w:t>
            </w:r>
            <w:r>
              <w:rPr>
                <w:rFonts w:hint="eastAsia" w:cs="Times New Roman"/>
                <w:smallCaps w:val="0"/>
                <w:color w:val="auto"/>
                <w:spacing w:val="0"/>
                <w:sz w:val="21"/>
                <w:szCs w:val="21"/>
                <w:highlight w:val="none"/>
                <w:lang w:val="en-US" w:eastAsia="zh-CN"/>
              </w:rPr>
              <w:t>65</w:t>
            </w:r>
            <w:r>
              <w:rPr>
                <w:rFonts w:hint="default" w:ascii="Times New Roman" w:hAnsi="Times New Roman" w:eastAsia="宋体" w:cs="Times New Roman"/>
                <w:smallCaps w:val="0"/>
                <w:color w:val="auto"/>
                <w:spacing w:val="0"/>
                <w:sz w:val="21"/>
                <w:szCs w:val="21"/>
                <w:highlight w:val="none"/>
              </w:rPr>
              <w:t>dB（A）</w:t>
            </w:r>
            <w:r>
              <w:rPr>
                <w:rFonts w:hint="eastAsia" w:cs="Times New Roman"/>
                <w:smallCaps w:val="0"/>
                <w:color w:val="auto"/>
                <w:spacing w:val="0"/>
                <w:sz w:val="21"/>
                <w:szCs w:val="21"/>
                <w:highlight w:val="none"/>
                <w:lang w:eastAsia="zh-CN"/>
              </w:rPr>
              <w:t>；</w:t>
            </w:r>
            <w:r>
              <w:rPr>
                <w:rFonts w:hint="eastAsia" w:ascii="Times New Roman" w:hAnsi="Times New Roman" w:eastAsia="宋体" w:cs="Times New Roman"/>
                <w:smallCaps w:val="0"/>
                <w:color w:val="auto"/>
                <w:spacing w:val="0"/>
                <w:sz w:val="21"/>
                <w:szCs w:val="21"/>
                <w:highlight w:val="none"/>
                <w:lang w:val="en-US" w:eastAsia="zh-CN"/>
              </w:rPr>
              <w:t>夜间</w:t>
            </w:r>
            <w:r>
              <w:rPr>
                <w:rFonts w:hint="default" w:ascii="Times New Roman" w:hAnsi="Times New Roman" w:eastAsia="宋体" w:cs="Times New Roman"/>
                <w:smallCaps w:val="0"/>
                <w:color w:val="auto"/>
                <w:spacing w:val="0"/>
                <w:sz w:val="21"/>
                <w:szCs w:val="21"/>
                <w:highlight w:val="none"/>
              </w:rPr>
              <w:t>≤</w:t>
            </w:r>
            <w:r>
              <w:rPr>
                <w:rFonts w:hint="eastAsia" w:cs="Times New Roman"/>
                <w:smallCaps w:val="0"/>
                <w:color w:val="auto"/>
                <w:spacing w:val="0"/>
                <w:sz w:val="21"/>
                <w:szCs w:val="21"/>
                <w:highlight w:val="none"/>
                <w:lang w:val="en-US" w:eastAsia="zh-CN"/>
              </w:rPr>
              <w:t>55</w:t>
            </w:r>
            <w:r>
              <w:rPr>
                <w:rFonts w:hint="default" w:ascii="Times New Roman" w:hAnsi="Times New Roman" w:eastAsia="宋体" w:cs="Times New Roman"/>
                <w:smallCaps w:val="0"/>
                <w:color w:val="auto"/>
                <w:spacing w:val="0"/>
                <w:sz w:val="21"/>
                <w:szCs w:val="21"/>
                <w:highlight w:val="none"/>
              </w:rPr>
              <w:t>dB（A））</w:t>
            </w:r>
          </w:p>
        </w:tc>
      </w:tr>
      <w:tr w14:paraId="6AEB0E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Align w:val="center"/>
          </w:tcPr>
          <w:p w14:paraId="6F113BA6">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电磁辐射</w:t>
            </w:r>
          </w:p>
        </w:tc>
        <w:tc>
          <w:tcPr>
            <w:tcW w:w="7848" w:type="dxa"/>
            <w:gridSpan w:val="5"/>
            <w:vAlign w:val="center"/>
          </w:tcPr>
          <w:p w14:paraId="114AEB76">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w:t>
            </w:r>
          </w:p>
        </w:tc>
      </w:tr>
      <w:tr w14:paraId="5E8ECA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restart"/>
            <w:vAlign w:val="center"/>
          </w:tcPr>
          <w:p w14:paraId="3E201493">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lang w:eastAsia="zh-CN"/>
              </w:rPr>
            </w:pPr>
            <w:r>
              <w:rPr>
                <w:rFonts w:hint="default" w:ascii="Times New Roman" w:hAnsi="Times New Roman" w:cs="Times New Roman"/>
                <w:smallCaps w:val="0"/>
                <w:color w:val="auto"/>
                <w:spacing w:val="0"/>
                <w:sz w:val="21"/>
                <w:szCs w:val="21"/>
                <w:highlight w:val="none"/>
                <w:lang w:val="en-US" w:eastAsia="zh-CN"/>
              </w:rPr>
              <w:t>固体废物</w:t>
            </w:r>
          </w:p>
        </w:tc>
        <w:tc>
          <w:tcPr>
            <w:tcW w:w="1436" w:type="dxa"/>
            <w:shd w:val="clear" w:color="auto" w:fill="auto"/>
            <w:vAlign w:val="center"/>
          </w:tcPr>
          <w:p w14:paraId="1E2BB95B">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原辅料拆包</w:t>
            </w:r>
          </w:p>
        </w:tc>
        <w:tc>
          <w:tcPr>
            <w:tcW w:w="1418" w:type="dxa"/>
            <w:shd w:val="clear" w:color="auto" w:fill="auto"/>
            <w:vAlign w:val="center"/>
          </w:tcPr>
          <w:p w14:paraId="1E1543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废包装材料</w:t>
            </w:r>
          </w:p>
        </w:tc>
        <w:tc>
          <w:tcPr>
            <w:tcW w:w="3685" w:type="dxa"/>
            <w:gridSpan w:val="2"/>
            <w:vAlign w:val="center"/>
          </w:tcPr>
          <w:p w14:paraId="18B3EBA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收集后外售</w:t>
            </w:r>
          </w:p>
        </w:tc>
        <w:tc>
          <w:tcPr>
            <w:tcW w:w="1309" w:type="dxa"/>
            <w:vMerge w:val="restart"/>
            <w:vAlign w:val="center"/>
          </w:tcPr>
          <w:p w14:paraId="16EA0DB9">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合理处置</w:t>
            </w:r>
          </w:p>
        </w:tc>
      </w:tr>
      <w:tr w14:paraId="62642E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4B610E91">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cs="Times New Roman"/>
                <w:smallCaps w:val="0"/>
                <w:color w:val="auto"/>
                <w:spacing w:val="0"/>
                <w:sz w:val="21"/>
                <w:szCs w:val="21"/>
                <w:highlight w:val="none"/>
                <w:lang w:val="en-US" w:eastAsia="zh-CN"/>
              </w:rPr>
            </w:pPr>
          </w:p>
        </w:tc>
        <w:tc>
          <w:tcPr>
            <w:tcW w:w="1436" w:type="dxa"/>
            <w:shd w:val="clear" w:color="auto" w:fill="auto"/>
            <w:vAlign w:val="center"/>
          </w:tcPr>
          <w:p w14:paraId="4E9BD753">
            <w:pPr>
              <w:pStyle w:val="67"/>
              <w:keepNext w:val="0"/>
              <w:keepLines w:val="0"/>
              <w:pageBreakBefore w:val="0"/>
              <w:widowControl w:val="0"/>
              <w:suppressLineNumbers w:val="0"/>
              <w:kinsoku/>
              <w:wordWrap/>
              <w:overflowPunct/>
              <w:bidi w:val="0"/>
              <w:spacing w:before="0" w:beforeAutospacing="0" w:after="0" w:afterAutospacing="0" w:line="320" w:lineRule="exact"/>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除尘器</w:t>
            </w:r>
          </w:p>
        </w:tc>
        <w:tc>
          <w:tcPr>
            <w:tcW w:w="1418" w:type="dxa"/>
            <w:shd w:val="clear" w:color="auto" w:fill="auto"/>
            <w:vAlign w:val="center"/>
          </w:tcPr>
          <w:p w14:paraId="72454E48">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废布袋</w:t>
            </w:r>
          </w:p>
        </w:tc>
        <w:tc>
          <w:tcPr>
            <w:tcW w:w="3685" w:type="dxa"/>
            <w:gridSpan w:val="2"/>
            <w:vAlign w:val="center"/>
          </w:tcPr>
          <w:p w14:paraId="328176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收集后外售</w:t>
            </w:r>
          </w:p>
        </w:tc>
        <w:tc>
          <w:tcPr>
            <w:tcW w:w="1309" w:type="dxa"/>
            <w:vMerge w:val="continue"/>
            <w:vAlign w:val="center"/>
          </w:tcPr>
          <w:p w14:paraId="664422ED">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1E0FAE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624AD97C">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cs="Times New Roman"/>
                <w:smallCaps w:val="0"/>
                <w:color w:val="auto"/>
                <w:spacing w:val="0"/>
                <w:sz w:val="21"/>
                <w:szCs w:val="21"/>
                <w:highlight w:val="none"/>
                <w:lang w:val="en-US" w:eastAsia="zh-CN"/>
              </w:rPr>
            </w:pPr>
          </w:p>
        </w:tc>
        <w:tc>
          <w:tcPr>
            <w:tcW w:w="1436" w:type="dxa"/>
            <w:shd w:val="clear" w:color="auto" w:fill="auto"/>
            <w:vAlign w:val="center"/>
          </w:tcPr>
          <w:p w14:paraId="057D4847">
            <w:pPr>
              <w:pStyle w:val="67"/>
              <w:keepNext w:val="0"/>
              <w:keepLines w:val="0"/>
              <w:pageBreakBefore w:val="0"/>
              <w:widowControl w:val="0"/>
              <w:suppressLineNumbers w:val="0"/>
              <w:kinsoku/>
              <w:wordWrap/>
              <w:overflowPunct/>
              <w:bidi w:val="0"/>
              <w:spacing w:before="0" w:beforeAutospacing="0" w:after="0" w:afterAutospacing="0" w:line="320" w:lineRule="exact"/>
              <w:ind w:left="0" w:leftChars="0" w:right="0" w:rightChars="0"/>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除尘器</w:t>
            </w:r>
          </w:p>
        </w:tc>
        <w:tc>
          <w:tcPr>
            <w:tcW w:w="1418" w:type="dxa"/>
            <w:shd w:val="clear" w:color="auto" w:fill="auto"/>
            <w:vAlign w:val="center"/>
          </w:tcPr>
          <w:p w14:paraId="014F6E4D">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除尘灰</w:t>
            </w:r>
          </w:p>
        </w:tc>
        <w:tc>
          <w:tcPr>
            <w:tcW w:w="3685" w:type="dxa"/>
            <w:gridSpan w:val="2"/>
            <w:vAlign w:val="center"/>
          </w:tcPr>
          <w:p w14:paraId="7E69DB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收集后外售</w:t>
            </w:r>
          </w:p>
        </w:tc>
        <w:tc>
          <w:tcPr>
            <w:tcW w:w="1309" w:type="dxa"/>
            <w:vMerge w:val="continue"/>
            <w:vAlign w:val="center"/>
          </w:tcPr>
          <w:p w14:paraId="2D2EF9E2">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6DF26D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2296593D">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cs="Times New Roman"/>
                <w:smallCaps w:val="0"/>
                <w:color w:val="auto"/>
                <w:spacing w:val="0"/>
                <w:sz w:val="21"/>
                <w:szCs w:val="21"/>
                <w:highlight w:val="none"/>
                <w:lang w:val="en-US" w:eastAsia="zh-CN"/>
              </w:rPr>
            </w:pPr>
          </w:p>
        </w:tc>
        <w:tc>
          <w:tcPr>
            <w:tcW w:w="1436" w:type="dxa"/>
            <w:shd w:val="clear" w:color="auto" w:fill="auto"/>
            <w:vAlign w:val="center"/>
          </w:tcPr>
          <w:p w14:paraId="637FD8C8">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剥皮、切削</w:t>
            </w:r>
          </w:p>
        </w:tc>
        <w:tc>
          <w:tcPr>
            <w:tcW w:w="1418" w:type="dxa"/>
            <w:shd w:val="clear" w:color="auto" w:fill="auto"/>
            <w:vAlign w:val="center"/>
          </w:tcPr>
          <w:p w14:paraId="4AD58956">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2"/>
                <w:highlight w:val="none"/>
                <w:lang w:val="en-US" w:eastAsia="zh-CN" w:bidi="ar-SA"/>
              </w:rPr>
            </w:pPr>
            <w:r>
              <w:rPr>
                <w:rFonts w:hint="eastAsia" w:cs="Times New Roman"/>
                <w:smallCaps w:val="0"/>
                <w:color w:val="auto"/>
                <w:spacing w:val="0"/>
                <w:szCs w:val="22"/>
                <w:highlight w:val="none"/>
                <w:lang w:val="en-US" w:eastAsia="zh-CN"/>
              </w:rPr>
              <w:t>废铁屑</w:t>
            </w:r>
          </w:p>
        </w:tc>
        <w:tc>
          <w:tcPr>
            <w:tcW w:w="3685" w:type="dxa"/>
            <w:gridSpan w:val="2"/>
            <w:shd w:val="clear" w:color="auto" w:fill="auto"/>
            <w:vAlign w:val="center"/>
          </w:tcPr>
          <w:p w14:paraId="759E83C6">
            <w:pPr>
              <w:pStyle w:val="67"/>
              <w:keepNext w:val="0"/>
              <w:keepLines w:val="0"/>
              <w:suppressLineNumbers w:val="0"/>
              <w:spacing w:before="0" w:beforeAutospacing="0" w:after="0" w:afterAutospacing="0"/>
              <w:ind w:left="0" w:leftChars="0" w:right="0" w:rightChars="0"/>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szCs w:val="20"/>
                <w:highlight w:val="none"/>
                <w:lang w:val="en-US" w:eastAsia="zh-CN"/>
              </w:rPr>
              <w:t>收集后外售</w:t>
            </w:r>
          </w:p>
        </w:tc>
        <w:tc>
          <w:tcPr>
            <w:tcW w:w="1309" w:type="dxa"/>
            <w:vMerge w:val="continue"/>
            <w:vAlign w:val="center"/>
          </w:tcPr>
          <w:p w14:paraId="45A698DF">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1AAF87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3B9ABCC2">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cs="Times New Roman"/>
                <w:smallCaps w:val="0"/>
                <w:color w:val="auto"/>
                <w:spacing w:val="0"/>
                <w:sz w:val="21"/>
                <w:szCs w:val="21"/>
                <w:highlight w:val="none"/>
                <w:lang w:val="en-US" w:eastAsia="zh-CN"/>
              </w:rPr>
            </w:pPr>
          </w:p>
        </w:tc>
        <w:tc>
          <w:tcPr>
            <w:tcW w:w="1436" w:type="dxa"/>
            <w:shd w:val="clear" w:color="auto" w:fill="auto"/>
            <w:vAlign w:val="center"/>
          </w:tcPr>
          <w:p w14:paraId="0431CA6B">
            <w:pPr>
              <w:pStyle w:val="67"/>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调质</w:t>
            </w:r>
          </w:p>
        </w:tc>
        <w:tc>
          <w:tcPr>
            <w:tcW w:w="1418" w:type="dxa"/>
            <w:shd w:val="clear" w:color="auto" w:fill="auto"/>
            <w:vAlign w:val="center"/>
          </w:tcPr>
          <w:p w14:paraId="597A0FE4">
            <w:pPr>
              <w:pStyle w:val="67"/>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smallCaps w:val="0"/>
                <w:color w:val="auto"/>
                <w:spacing w:val="0"/>
                <w:kern w:val="0"/>
                <w:sz w:val="21"/>
                <w:szCs w:val="22"/>
                <w:highlight w:val="none"/>
                <w:lang w:val="en-US" w:eastAsia="zh-CN" w:bidi="ar-SA"/>
              </w:rPr>
            </w:pPr>
            <w:r>
              <w:rPr>
                <w:rFonts w:hint="eastAsia" w:cs="Times New Roman"/>
                <w:smallCaps w:val="0"/>
                <w:color w:val="auto"/>
                <w:spacing w:val="0"/>
                <w:szCs w:val="22"/>
                <w:highlight w:val="none"/>
                <w:lang w:val="en-US" w:eastAsia="zh-CN"/>
              </w:rPr>
              <w:t>沉淀池底泥（氧化铁渣）</w:t>
            </w:r>
          </w:p>
        </w:tc>
        <w:tc>
          <w:tcPr>
            <w:tcW w:w="3685" w:type="dxa"/>
            <w:gridSpan w:val="2"/>
            <w:vAlign w:val="center"/>
          </w:tcPr>
          <w:p w14:paraId="7EEB6B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0"/>
                <w:highlight w:val="none"/>
                <w:lang w:val="en-US" w:eastAsia="zh-CN"/>
              </w:rPr>
              <w:t>收集后外售</w:t>
            </w:r>
          </w:p>
        </w:tc>
        <w:tc>
          <w:tcPr>
            <w:tcW w:w="1309" w:type="dxa"/>
            <w:vMerge w:val="continue"/>
            <w:vAlign w:val="center"/>
          </w:tcPr>
          <w:p w14:paraId="6825646E">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7BD441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6417E450">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cs="Times New Roman"/>
                <w:smallCaps w:val="0"/>
                <w:color w:val="auto"/>
                <w:spacing w:val="0"/>
                <w:sz w:val="21"/>
                <w:szCs w:val="21"/>
                <w:highlight w:val="none"/>
                <w:lang w:val="en-US" w:eastAsia="zh-CN"/>
              </w:rPr>
            </w:pPr>
          </w:p>
        </w:tc>
        <w:tc>
          <w:tcPr>
            <w:tcW w:w="1436" w:type="dxa"/>
            <w:shd w:val="clear" w:color="auto" w:fill="auto"/>
            <w:vAlign w:val="center"/>
          </w:tcPr>
          <w:p w14:paraId="33257C52">
            <w:pPr>
              <w:pStyle w:val="67"/>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highlight w:val="none"/>
                <w:lang w:val="en-US" w:eastAsia="zh-CN"/>
              </w:rPr>
              <w:t>检测</w:t>
            </w:r>
          </w:p>
        </w:tc>
        <w:tc>
          <w:tcPr>
            <w:tcW w:w="1418" w:type="dxa"/>
            <w:shd w:val="clear" w:color="auto" w:fill="auto"/>
            <w:vAlign w:val="center"/>
          </w:tcPr>
          <w:p w14:paraId="6AD65E23">
            <w:pPr>
              <w:pStyle w:val="67"/>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smallCaps w:val="0"/>
                <w:color w:val="auto"/>
                <w:spacing w:val="0"/>
                <w:kern w:val="0"/>
                <w:sz w:val="21"/>
                <w:szCs w:val="22"/>
                <w:highlight w:val="none"/>
                <w:lang w:val="en-US" w:eastAsia="zh-CN" w:bidi="ar-SA"/>
              </w:rPr>
            </w:pPr>
            <w:r>
              <w:rPr>
                <w:rFonts w:hint="eastAsia" w:cs="Times New Roman"/>
                <w:smallCaps w:val="0"/>
                <w:color w:val="auto"/>
                <w:spacing w:val="0"/>
                <w:szCs w:val="22"/>
                <w:highlight w:val="none"/>
                <w:lang w:val="en-US" w:eastAsia="zh-CN"/>
              </w:rPr>
              <w:t>不合格品</w:t>
            </w:r>
          </w:p>
        </w:tc>
        <w:tc>
          <w:tcPr>
            <w:tcW w:w="3685" w:type="dxa"/>
            <w:gridSpan w:val="2"/>
            <w:vAlign w:val="center"/>
          </w:tcPr>
          <w:p w14:paraId="6FD54E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szCs w:val="20"/>
                <w:highlight w:val="none"/>
                <w:lang w:val="en-US" w:eastAsia="zh-CN"/>
              </w:rPr>
              <w:t>收集后外售</w:t>
            </w:r>
          </w:p>
        </w:tc>
        <w:tc>
          <w:tcPr>
            <w:tcW w:w="1309" w:type="dxa"/>
            <w:vMerge w:val="continue"/>
            <w:vAlign w:val="center"/>
          </w:tcPr>
          <w:p w14:paraId="3C2B1367">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02B196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60FB023F">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vAlign w:val="center"/>
          </w:tcPr>
          <w:p w14:paraId="476D9805">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cs="Times New Roman"/>
                <w:smallCaps w:val="0"/>
                <w:color w:val="auto"/>
                <w:spacing w:val="0"/>
                <w:highlight w:val="none"/>
                <w:lang w:val="en-US" w:eastAsia="zh-CN"/>
              </w:rPr>
              <w:t>设备维护</w:t>
            </w:r>
          </w:p>
        </w:tc>
        <w:tc>
          <w:tcPr>
            <w:tcW w:w="1418" w:type="dxa"/>
            <w:shd w:val="clear" w:color="auto" w:fill="auto"/>
            <w:vAlign w:val="center"/>
          </w:tcPr>
          <w:p w14:paraId="747599E5">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废润滑油</w:t>
            </w:r>
          </w:p>
        </w:tc>
        <w:tc>
          <w:tcPr>
            <w:tcW w:w="3685" w:type="dxa"/>
            <w:gridSpan w:val="2"/>
            <w:vMerge w:val="restart"/>
            <w:vAlign w:val="center"/>
          </w:tcPr>
          <w:p w14:paraId="0EDC4A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cs="Times New Roman"/>
                <w:smallCaps w:val="0"/>
                <w:color w:val="auto"/>
                <w:spacing w:val="0"/>
                <w:sz w:val="21"/>
                <w:szCs w:val="21"/>
                <w:highlight w:val="none"/>
              </w:rPr>
            </w:pPr>
            <w:r>
              <w:rPr>
                <w:rFonts w:hint="eastAsia" w:cs="Times New Roman"/>
                <w:smallCaps w:val="0"/>
                <w:color w:val="auto"/>
                <w:spacing w:val="0"/>
                <w:sz w:val="21"/>
                <w:szCs w:val="21"/>
                <w:highlight w:val="none"/>
                <w:lang w:val="en-US" w:eastAsia="zh-CN"/>
              </w:rPr>
              <w:t>即产即清，交由有资质单位处置</w:t>
            </w:r>
          </w:p>
        </w:tc>
        <w:tc>
          <w:tcPr>
            <w:tcW w:w="1309" w:type="dxa"/>
            <w:vMerge w:val="continue"/>
            <w:vAlign w:val="center"/>
          </w:tcPr>
          <w:p w14:paraId="778601F1">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480550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2AF6961D">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vAlign w:val="center"/>
          </w:tcPr>
          <w:p w14:paraId="34168E44">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cs="Times New Roman"/>
                <w:smallCaps w:val="0"/>
                <w:color w:val="auto"/>
                <w:spacing w:val="0"/>
                <w:highlight w:val="none"/>
                <w:lang w:val="en-US" w:eastAsia="zh-CN"/>
              </w:rPr>
              <w:t>设备维护</w:t>
            </w:r>
          </w:p>
        </w:tc>
        <w:tc>
          <w:tcPr>
            <w:tcW w:w="1418" w:type="dxa"/>
            <w:shd w:val="clear" w:color="auto" w:fill="auto"/>
            <w:vAlign w:val="center"/>
          </w:tcPr>
          <w:p w14:paraId="28DBE7AC">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废润滑油桶</w:t>
            </w:r>
          </w:p>
        </w:tc>
        <w:tc>
          <w:tcPr>
            <w:tcW w:w="3685" w:type="dxa"/>
            <w:gridSpan w:val="2"/>
            <w:vMerge w:val="continue"/>
            <w:vAlign w:val="center"/>
          </w:tcPr>
          <w:p w14:paraId="4BF6797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cs="Times New Roman"/>
                <w:smallCaps w:val="0"/>
                <w:color w:val="auto"/>
                <w:spacing w:val="0"/>
                <w:sz w:val="21"/>
                <w:szCs w:val="21"/>
                <w:highlight w:val="none"/>
              </w:rPr>
            </w:pPr>
          </w:p>
        </w:tc>
        <w:tc>
          <w:tcPr>
            <w:tcW w:w="1309" w:type="dxa"/>
            <w:vMerge w:val="continue"/>
            <w:vAlign w:val="center"/>
          </w:tcPr>
          <w:p w14:paraId="78146878">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3B907E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3B9311A8">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shd w:val="clear" w:color="auto" w:fill="auto"/>
            <w:vAlign w:val="center"/>
          </w:tcPr>
          <w:p w14:paraId="4F9D43EC">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bCs/>
                <w:smallCaps w:val="0"/>
                <w:color w:val="auto"/>
                <w:spacing w:val="0"/>
                <w:kern w:val="0"/>
                <w:sz w:val="21"/>
                <w:szCs w:val="20"/>
                <w:highlight w:val="none"/>
                <w:lang w:val="en-US" w:eastAsia="zh-CN" w:bidi="ar-SA"/>
              </w:rPr>
            </w:pPr>
            <w:r>
              <w:rPr>
                <w:rFonts w:hint="eastAsia" w:cs="Times New Roman"/>
                <w:smallCaps w:val="0"/>
                <w:color w:val="auto"/>
                <w:spacing w:val="0"/>
                <w:szCs w:val="20"/>
                <w:highlight w:val="none"/>
                <w:lang w:val="en-US" w:eastAsia="zh-CN"/>
              </w:rPr>
              <w:t>剥皮、切削</w:t>
            </w:r>
          </w:p>
        </w:tc>
        <w:tc>
          <w:tcPr>
            <w:tcW w:w="1418" w:type="dxa"/>
            <w:shd w:val="clear" w:color="auto" w:fill="auto"/>
            <w:vAlign w:val="center"/>
          </w:tcPr>
          <w:p w14:paraId="3DDE7465">
            <w:pPr>
              <w:pStyle w:val="67"/>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smallCaps w:val="0"/>
                <w:color w:val="auto"/>
                <w:spacing w:val="0"/>
                <w:kern w:val="0"/>
                <w:sz w:val="21"/>
                <w:szCs w:val="22"/>
                <w:highlight w:val="none"/>
                <w:lang w:val="en-US" w:eastAsia="zh-CN" w:bidi="ar-SA"/>
              </w:rPr>
            </w:pPr>
            <w:r>
              <w:rPr>
                <w:rFonts w:hint="eastAsia" w:cs="Times New Roman"/>
                <w:bCs/>
                <w:smallCaps w:val="0"/>
                <w:color w:val="auto"/>
                <w:spacing w:val="0"/>
                <w:kern w:val="0"/>
                <w:sz w:val="21"/>
                <w:szCs w:val="22"/>
                <w:highlight w:val="none"/>
                <w:lang w:val="en-US" w:eastAsia="zh-CN" w:bidi="ar-SA"/>
              </w:rPr>
              <w:t>废切削液</w:t>
            </w:r>
          </w:p>
        </w:tc>
        <w:tc>
          <w:tcPr>
            <w:tcW w:w="3685" w:type="dxa"/>
            <w:gridSpan w:val="2"/>
            <w:vMerge w:val="continue"/>
            <w:vAlign w:val="center"/>
          </w:tcPr>
          <w:p w14:paraId="64593C3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cs="Times New Roman"/>
                <w:smallCaps w:val="0"/>
                <w:color w:val="auto"/>
                <w:spacing w:val="0"/>
                <w:sz w:val="21"/>
                <w:szCs w:val="21"/>
                <w:highlight w:val="none"/>
              </w:rPr>
            </w:pPr>
          </w:p>
        </w:tc>
        <w:tc>
          <w:tcPr>
            <w:tcW w:w="1309" w:type="dxa"/>
            <w:vMerge w:val="continue"/>
            <w:vAlign w:val="center"/>
          </w:tcPr>
          <w:p w14:paraId="3F9FC99B">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3F8E58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267E45DA">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shd w:val="clear" w:color="auto" w:fill="auto"/>
            <w:vAlign w:val="center"/>
          </w:tcPr>
          <w:p w14:paraId="346866E3">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smallCaps w:val="0"/>
                <w:color w:val="auto"/>
                <w:spacing w:val="0"/>
                <w:kern w:val="2"/>
                <w:sz w:val="21"/>
                <w:szCs w:val="20"/>
                <w:highlight w:val="none"/>
                <w:lang w:val="en-US" w:eastAsia="zh-CN" w:bidi="ar-SA"/>
              </w:rPr>
            </w:pPr>
            <w:r>
              <w:rPr>
                <w:rFonts w:hint="eastAsia" w:cs="Times New Roman"/>
                <w:smallCaps w:val="0"/>
                <w:color w:val="auto"/>
                <w:spacing w:val="0"/>
                <w:szCs w:val="20"/>
                <w:highlight w:val="none"/>
                <w:lang w:val="en-US" w:eastAsia="zh-CN"/>
              </w:rPr>
              <w:t>剥皮、切削</w:t>
            </w:r>
          </w:p>
        </w:tc>
        <w:tc>
          <w:tcPr>
            <w:tcW w:w="1418" w:type="dxa"/>
            <w:shd w:val="clear" w:color="auto" w:fill="auto"/>
            <w:vAlign w:val="center"/>
          </w:tcPr>
          <w:p w14:paraId="10BD5823">
            <w:pPr>
              <w:pStyle w:val="67"/>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bCs/>
                <w:smallCaps w:val="0"/>
                <w:color w:val="auto"/>
                <w:spacing w:val="0"/>
                <w:kern w:val="0"/>
                <w:sz w:val="21"/>
                <w:szCs w:val="22"/>
                <w:highlight w:val="none"/>
                <w:lang w:val="en-US" w:eastAsia="zh-CN" w:bidi="ar-SA"/>
              </w:rPr>
            </w:pPr>
            <w:r>
              <w:rPr>
                <w:rFonts w:hint="eastAsia" w:cs="Times New Roman"/>
                <w:smallCaps w:val="0"/>
                <w:color w:val="auto"/>
                <w:spacing w:val="0"/>
                <w:szCs w:val="22"/>
                <w:highlight w:val="none"/>
                <w:lang w:val="en-US" w:eastAsia="zh-CN"/>
              </w:rPr>
              <w:t>废切削液桶</w:t>
            </w:r>
          </w:p>
        </w:tc>
        <w:tc>
          <w:tcPr>
            <w:tcW w:w="3685" w:type="dxa"/>
            <w:gridSpan w:val="2"/>
            <w:vMerge w:val="continue"/>
            <w:vAlign w:val="center"/>
          </w:tcPr>
          <w:p w14:paraId="7C93C37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cs="Times New Roman"/>
                <w:smallCaps w:val="0"/>
                <w:color w:val="auto"/>
                <w:spacing w:val="0"/>
                <w:sz w:val="21"/>
                <w:szCs w:val="21"/>
                <w:highlight w:val="none"/>
              </w:rPr>
            </w:pPr>
          </w:p>
        </w:tc>
        <w:tc>
          <w:tcPr>
            <w:tcW w:w="1309" w:type="dxa"/>
            <w:vMerge w:val="continue"/>
            <w:vAlign w:val="center"/>
          </w:tcPr>
          <w:p w14:paraId="73C8D1D4">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0859DA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1030F343">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vAlign w:val="center"/>
          </w:tcPr>
          <w:p w14:paraId="228BF5FE">
            <w:pPr>
              <w:pStyle w:val="67"/>
              <w:keepNext w:val="0"/>
              <w:keepLines w:val="0"/>
              <w:suppressLineNumbers w:val="0"/>
              <w:spacing w:before="0" w:beforeAutospacing="0" w:after="0" w:afterAutospacing="0"/>
              <w:ind w:left="0" w:leftChars="0" w:right="0" w:rightChars="0"/>
              <w:rPr>
                <w:rFonts w:hint="default" w:ascii="Times New Roman" w:hAnsi="Times New Roman" w:eastAsia="宋体" w:cs="Times New Roman"/>
                <w:smallCaps w:val="0"/>
                <w:color w:val="auto"/>
                <w:spacing w:val="0"/>
                <w:sz w:val="21"/>
                <w:szCs w:val="21"/>
                <w:highlight w:val="none"/>
                <w:lang w:val="en-US" w:eastAsia="zh-CN"/>
              </w:rPr>
            </w:pPr>
            <w:r>
              <w:rPr>
                <w:rFonts w:hint="default" w:ascii="Times New Roman" w:hAnsi="Times New Roman" w:cs="Times New Roman"/>
                <w:smallCaps w:val="0"/>
                <w:color w:val="auto"/>
                <w:spacing w:val="0"/>
                <w:highlight w:val="none"/>
                <w:lang w:val="en-US" w:eastAsia="zh-CN"/>
              </w:rPr>
              <w:t>设备维护</w:t>
            </w:r>
          </w:p>
        </w:tc>
        <w:tc>
          <w:tcPr>
            <w:tcW w:w="1418" w:type="dxa"/>
            <w:shd w:val="clear" w:color="auto" w:fill="auto"/>
            <w:vAlign w:val="center"/>
          </w:tcPr>
          <w:p w14:paraId="6954824A">
            <w:pPr>
              <w:pStyle w:val="39"/>
              <w:keepNext w:val="0"/>
              <w:keepLines w:val="0"/>
              <w:suppressLineNumbers w:val="0"/>
              <w:spacing w:before="0" w:beforeAutospacing="0" w:after="0" w:afterAutospacing="0" w:line="360" w:lineRule="exact"/>
              <w:ind w:left="0" w:leftChars="0" w:right="0" w:rightChars="0"/>
              <w:jc w:val="center"/>
              <w:rPr>
                <w:rFonts w:hint="eastAsia"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含油抹布及废劳保用品</w:t>
            </w:r>
          </w:p>
        </w:tc>
        <w:tc>
          <w:tcPr>
            <w:tcW w:w="3685" w:type="dxa"/>
            <w:gridSpan w:val="2"/>
            <w:vMerge w:val="continue"/>
            <w:vAlign w:val="center"/>
          </w:tcPr>
          <w:p w14:paraId="61B9DB1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cs="Times New Roman"/>
                <w:smallCaps w:val="0"/>
                <w:color w:val="auto"/>
                <w:spacing w:val="0"/>
                <w:sz w:val="21"/>
                <w:szCs w:val="21"/>
                <w:highlight w:val="none"/>
              </w:rPr>
            </w:pPr>
          </w:p>
        </w:tc>
        <w:tc>
          <w:tcPr>
            <w:tcW w:w="1309" w:type="dxa"/>
            <w:vMerge w:val="continue"/>
            <w:vAlign w:val="center"/>
          </w:tcPr>
          <w:p w14:paraId="624BFCB7">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0CA9A3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Merge w:val="continue"/>
            <w:vAlign w:val="center"/>
          </w:tcPr>
          <w:p w14:paraId="6A51FD75">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c>
          <w:tcPr>
            <w:tcW w:w="1436" w:type="dxa"/>
            <w:vAlign w:val="center"/>
          </w:tcPr>
          <w:p w14:paraId="09967C4E">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职工生活</w:t>
            </w:r>
          </w:p>
        </w:tc>
        <w:tc>
          <w:tcPr>
            <w:tcW w:w="1418" w:type="dxa"/>
            <w:shd w:val="clear" w:color="auto" w:fill="auto"/>
            <w:vAlign w:val="center"/>
          </w:tcPr>
          <w:p w14:paraId="04246AC1">
            <w:pPr>
              <w:pStyle w:val="39"/>
              <w:keepNext w:val="0"/>
              <w:keepLines w:val="0"/>
              <w:suppressLineNumbers w:val="0"/>
              <w:spacing w:before="0" w:beforeAutospacing="0" w:after="0" w:afterAutospacing="0" w:line="360" w:lineRule="exact"/>
              <w:ind w:left="0" w:leftChars="0" w:right="0" w:rightChars="0"/>
              <w:jc w:val="center"/>
              <w:rPr>
                <w:rFonts w:hint="eastAsia" w:ascii="Times New Roman" w:hAnsi="Times New Roman" w:eastAsia="宋体" w:cs="Times New Roman"/>
                <w:smallCaps/>
                <w:color w:val="auto"/>
                <w:kern w:val="0"/>
                <w:sz w:val="21"/>
                <w:szCs w:val="22"/>
                <w:highlight w:val="none"/>
                <w:lang w:val="en-US" w:eastAsia="zh-CN" w:bidi="ar-SA"/>
              </w:rPr>
            </w:pPr>
            <w:r>
              <w:rPr>
                <w:rFonts w:hint="eastAsia" w:cs="Times New Roman"/>
                <w:smallCaps/>
                <w:color w:val="auto"/>
                <w:kern w:val="0"/>
                <w:sz w:val="21"/>
                <w:szCs w:val="22"/>
                <w:highlight w:val="none"/>
                <w:lang w:val="en-US" w:eastAsia="zh-CN" w:bidi="ar-SA"/>
              </w:rPr>
              <w:t>职工生活垃圾</w:t>
            </w:r>
          </w:p>
        </w:tc>
        <w:tc>
          <w:tcPr>
            <w:tcW w:w="3685" w:type="dxa"/>
            <w:gridSpan w:val="2"/>
            <w:vAlign w:val="center"/>
          </w:tcPr>
          <w:p w14:paraId="2F193F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cs="Times New Roman"/>
                <w:smallCaps w:val="0"/>
                <w:color w:val="auto"/>
                <w:spacing w:val="0"/>
                <w:sz w:val="21"/>
                <w:szCs w:val="21"/>
                <w:highlight w:val="none"/>
              </w:rPr>
            </w:pPr>
            <w:r>
              <w:rPr>
                <w:rFonts w:hint="eastAsia" w:cs="Times New Roman"/>
                <w:smallCaps w:val="0"/>
                <w:color w:val="auto"/>
                <w:spacing w:val="0"/>
                <w:szCs w:val="20"/>
                <w:highlight w:val="none"/>
                <w:lang w:val="en-US" w:eastAsia="zh-CN"/>
              </w:rPr>
              <w:t>收集后由环卫部门统一处置</w:t>
            </w:r>
          </w:p>
        </w:tc>
        <w:tc>
          <w:tcPr>
            <w:tcW w:w="1309" w:type="dxa"/>
            <w:vMerge w:val="continue"/>
            <w:vAlign w:val="center"/>
          </w:tcPr>
          <w:p w14:paraId="72C44EA8">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p>
        </w:tc>
      </w:tr>
      <w:tr w14:paraId="5DE6BD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2" w:hRule="atLeast"/>
          <w:jc w:val="center"/>
        </w:trPr>
        <w:tc>
          <w:tcPr>
            <w:tcW w:w="1205" w:type="dxa"/>
            <w:vAlign w:val="center"/>
          </w:tcPr>
          <w:p w14:paraId="7901377C">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土壤及地下水污染防治措施</w:t>
            </w:r>
          </w:p>
        </w:tc>
        <w:tc>
          <w:tcPr>
            <w:tcW w:w="7848" w:type="dxa"/>
            <w:gridSpan w:val="5"/>
            <w:vAlign w:val="center"/>
          </w:tcPr>
          <w:p w14:paraId="4A5CAD35">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sz w:val="21"/>
                <w:szCs w:val="21"/>
                <w:highlight w:val="none"/>
                <w:lang w:val="en-US" w:eastAsia="zh-CN"/>
              </w:rPr>
            </w:pPr>
            <w:r>
              <w:rPr>
                <w:rFonts w:hint="eastAsia" w:cs="Times New Roman"/>
                <w:smallCaps w:val="0"/>
                <w:color w:val="auto"/>
                <w:spacing w:val="0"/>
                <w:sz w:val="21"/>
                <w:szCs w:val="21"/>
                <w:highlight w:val="none"/>
                <w:lang w:val="en-US" w:eastAsia="zh-CN"/>
              </w:rPr>
              <w:t>重点防渗区：1#生产车间等效黏土防渗层 Mb≥6.0m，K≤1.0×10</w:t>
            </w:r>
            <w:r>
              <w:rPr>
                <w:rFonts w:hint="eastAsia" w:cs="Times New Roman"/>
                <w:smallCaps w:val="0"/>
                <w:color w:val="auto"/>
                <w:spacing w:val="0"/>
                <w:sz w:val="21"/>
                <w:szCs w:val="21"/>
                <w:highlight w:val="none"/>
                <w:vertAlign w:val="superscript"/>
                <w:lang w:val="en-US" w:eastAsia="zh-CN"/>
              </w:rPr>
              <w:t>-7</w:t>
            </w:r>
            <w:r>
              <w:rPr>
                <w:rFonts w:hint="eastAsia" w:cs="Times New Roman"/>
                <w:smallCaps w:val="0"/>
                <w:color w:val="auto"/>
                <w:spacing w:val="0"/>
                <w:sz w:val="21"/>
                <w:szCs w:val="21"/>
                <w:highlight w:val="none"/>
                <w:lang w:val="en-US" w:eastAsia="zh-CN"/>
              </w:rPr>
              <w:t>cm/s</w:t>
            </w:r>
            <w:r>
              <w:rPr>
                <w:rFonts w:hint="eastAsia" w:cs="Arial Unicode MS"/>
                <w:color w:val="auto"/>
                <w:sz w:val="21"/>
                <w:szCs w:val="21"/>
                <w:highlight w:val="none"/>
                <w:lang w:val="en-US" w:eastAsia="zh-CN"/>
              </w:rPr>
              <w:t>；</w:t>
            </w:r>
          </w:p>
          <w:p w14:paraId="2BEB7FE8">
            <w:pPr>
              <w:pStyle w:val="67"/>
              <w:keepNext w:val="0"/>
              <w:keepLines w:val="0"/>
              <w:suppressLineNumbers w:val="0"/>
              <w:spacing w:before="0" w:beforeAutospacing="0" w:after="0" w:afterAutospacing="0"/>
              <w:ind w:left="0" w:right="0"/>
              <w:rPr>
                <w:rFonts w:hint="eastAsia" w:cs="Times New Roman"/>
                <w:smallCaps w:val="0"/>
                <w:color w:val="auto"/>
                <w:spacing w:val="0"/>
                <w:sz w:val="21"/>
                <w:szCs w:val="21"/>
                <w:highlight w:val="none"/>
                <w:lang w:val="en-US" w:eastAsia="zh-CN"/>
              </w:rPr>
            </w:pPr>
            <w:r>
              <w:rPr>
                <w:rFonts w:hint="default" w:ascii="Times New Roman" w:hAnsi="Times New Roman" w:eastAsia="宋体" w:cs="Times New Roman"/>
                <w:smallCaps w:val="0"/>
                <w:color w:val="auto"/>
                <w:spacing w:val="0"/>
                <w:sz w:val="21"/>
                <w:szCs w:val="21"/>
                <w:highlight w:val="none"/>
                <w:lang w:val="en-US" w:eastAsia="zh-CN"/>
              </w:rPr>
              <w:t>一般防渗</w:t>
            </w:r>
            <w:r>
              <w:rPr>
                <w:rFonts w:hint="eastAsia" w:cs="Times New Roman"/>
                <w:smallCaps w:val="0"/>
                <w:color w:val="auto"/>
                <w:spacing w:val="0"/>
                <w:sz w:val="21"/>
                <w:szCs w:val="21"/>
                <w:highlight w:val="none"/>
                <w:lang w:val="en-US" w:eastAsia="zh-CN"/>
              </w:rPr>
              <w:t>：2#生产车间、3#生产车间、沉淀池利用现有</w:t>
            </w:r>
            <w:r>
              <w:rPr>
                <w:rFonts w:hint="default" w:ascii="Times New Roman" w:hAnsi="Times New Roman" w:eastAsia="宋体" w:cs="Times New Roman"/>
                <w:smallCaps w:val="0"/>
                <w:color w:val="auto"/>
                <w:spacing w:val="0"/>
                <w:sz w:val="21"/>
                <w:szCs w:val="21"/>
                <w:highlight w:val="none"/>
                <w:lang w:val="en-US" w:eastAsia="zh-CN"/>
              </w:rPr>
              <w:t>防渗措施，其等效黏土防渗层Mb≥1.5m，渗透系数≤10</w:t>
            </w:r>
            <w:r>
              <w:rPr>
                <w:rFonts w:hint="default" w:ascii="Times New Roman" w:hAnsi="Times New Roman" w:eastAsia="宋体" w:cs="Times New Roman"/>
                <w:smallCaps w:val="0"/>
                <w:color w:val="auto"/>
                <w:spacing w:val="0"/>
                <w:sz w:val="21"/>
                <w:szCs w:val="21"/>
                <w:highlight w:val="none"/>
                <w:vertAlign w:val="superscript"/>
                <w:lang w:val="en-US" w:eastAsia="zh-CN"/>
              </w:rPr>
              <w:t>-7</w:t>
            </w:r>
            <w:r>
              <w:rPr>
                <w:rFonts w:hint="default" w:ascii="Times New Roman" w:hAnsi="Times New Roman" w:eastAsia="宋体" w:cs="Times New Roman"/>
                <w:smallCaps w:val="0"/>
                <w:color w:val="auto"/>
                <w:spacing w:val="0"/>
                <w:sz w:val="21"/>
                <w:szCs w:val="21"/>
                <w:highlight w:val="none"/>
                <w:lang w:val="en-US" w:eastAsia="zh-CN"/>
              </w:rPr>
              <w:t>cm/s</w:t>
            </w:r>
            <w:r>
              <w:rPr>
                <w:rFonts w:hint="eastAsia" w:cs="Times New Roman"/>
                <w:smallCaps w:val="0"/>
                <w:color w:val="auto"/>
                <w:spacing w:val="0"/>
                <w:sz w:val="21"/>
                <w:szCs w:val="21"/>
                <w:highlight w:val="none"/>
                <w:lang w:val="en-US" w:eastAsia="zh-CN"/>
              </w:rPr>
              <w:t>；</w:t>
            </w:r>
          </w:p>
          <w:p w14:paraId="016A32AF">
            <w:pPr>
              <w:pStyle w:val="67"/>
              <w:keepNext w:val="0"/>
              <w:keepLines w:val="0"/>
              <w:suppressLineNumbers w:val="0"/>
              <w:spacing w:before="0" w:beforeAutospacing="0" w:after="0" w:afterAutospacing="0"/>
              <w:ind w:left="0" w:right="0"/>
              <w:rPr>
                <w:rFonts w:hint="default" w:ascii="Times New Roman" w:hAnsi="Times New Roman" w:eastAsia="宋体" w:cs="Times New Roman"/>
                <w:smallCaps w:val="0"/>
                <w:color w:val="auto"/>
                <w:spacing w:val="0"/>
                <w:sz w:val="21"/>
                <w:szCs w:val="21"/>
                <w:highlight w:val="none"/>
              </w:rPr>
            </w:pPr>
            <w:r>
              <w:rPr>
                <w:rFonts w:hint="eastAsia" w:cs="Times New Roman"/>
                <w:smallCaps w:val="0"/>
                <w:color w:val="auto"/>
                <w:spacing w:val="0"/>
                <w:sz w:val="21"/>
                <w:szCs w:val="21"/>
                <w:highlight w:val="none"/>
                <w:lang w:val="en-US" w:eastAsia="zh-CN"/>
              </w:rPr>
              <w:t>简单防渗：办公室、厂区其他区域水泥硬化简单防渗措施</w:t>
            </w:r>
          </w:p>
        </w:tc>
      </w:tr>
      <w:tr w14:paraId="0B9DCC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205" w:type="dxa"/>
            <w:vAlign w:val="center"/>
          </w:tcPr>
          <w:p w14:paraId="6040D056">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生态保护措施</w:t>
            </w:r>
          </w:p>
        </w:tc>
        <w:tc>
          <w:tcPr>
            <w:tcW w:w="7848" w:type="dxa"/>
            <w:gridSpan w:val="5"/>
            <w:vAlign w:val="center"/>
          </w:tcPr>
          <w:p w14:paraId="7FCCE6E5">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w:t>
            </w:r>
          </w:p>
        </w:tc>
      </w:tr>
      <w:tr w14:paraId="177F05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205" w:type="dxa"/>
            <w:vAlign w:val="center"/>
          </w:tcPr>
          <w:p w14:paraId="64BB057E">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环境风险防范措施</w:t>
            </w:r>
          </w:p>
        </w:tc>
        <w:tc>
          <w:tcPr>
            <w:tcW w:w="7848" w:type="dxa"/>
            <w:gridSpan w:val="5"/>
            <w:vAlign w:val="center"/>
          </w:tcPr>
          <w:p w14:paraId="088E638E">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①总图布置和建筑安全防范措施</w:t>
            </w:r>
          </w:p>
          <w:p w14:paraId="3B96AB3E">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总图布置严格执行相关规范要求，所有构筑物之间或与其它场所之间留有足够的防火间距，防止在火灾或爆炸时相互影响；严格按工艺处理物料特性，对厂房区域进行危险区划分。厂房区域实行人、货流分开；在厂房总平面布置中配套建设应急救援设施、救援通道、应急疏散避难所等防护设施。按《安全标志》规定在装置区设置有关的安全标志。</w:t>
            </w:r>
          </w:p>
          <w:p w14:paraId="1632CF12">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根据火灾危险性等级和防火、防爆要求，建筑物的防火等级均应采用国家现行规范要求按一、二级耐火等级设计，满足建筑防火要求。凡禁火区均设置明显标志牌。各种易燃易爆物料均储存在阴凉、通风处，远离火源，避免与强氧化剂接触；安放易发生爆炸设备的房间，不允许任何人员随便入内。</w:t>
            </w:r>
          </w:p>
          <w:p w14:paraId="06D32C22">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②生产过程中的风险防范措施</w:t>
            </w:r>
          </w:p>
          <w:p w14:paraId="51DE165C">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Ⅰ、根据公司实际情况，建立安全生产岗位责任制，制定安全生产规章制度、安全操作规程。如生产过程必须有全套切实可行的安全操作规程，有专人负责检查安全操作规程的执行、安全设备及防护设备的使用情况；厂房应配备急救设备和药品；作业人员应学会自救和互救。</w:t>
            </w:r>
          </w:p>
          <w:p w14:paraId="0B839B7A">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Ⅱ、凡容易发生事故或危及生命安全的场所、设备以及需要提醒操作人员注意的地方，应设置安全标志；在各区域设置毒物周知卡；装置设物料走向、厂区设风向标等工艺技术设计安全防范措施。</w:t>
            </w:r>
          </w:p>
          <w:p w14:paraId="1ED851C8">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Ⅲ、项目所用的电源应设在防火区域以外；所有金属设备都应接地可靠，防止静电积聚和静电放电；生产线内严禁烟火，不许带火柴，打火机等火种进入生产线。</w:t>
            </w:r>
          </w:p>
          <w:p w14:paraId="5F220D98">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Ⅳ、加强工艺管理，严格控制工艺指标。加强安全教育，安全生产教育包括厂级、生产线、班组三级安全教育、特殊工种安全教育、日常安全教育、装置开前安全教育和外来人员安全教育五部分内容。让所有员工了解本厂各种原辅材料、化学制品以及固体废物的物理、化学和生理特性及其毒性，所有防护措施、环境影响等。</w:t>
            </w:r>
          </w:p>
          <w:p w14:paraId="1F6EBBB0">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Ⅴ、加强对各生产设备、设施等定期检查，及时发现隐患，维护维修，关键设备实行定期大修制度。</w:t>
            </w:r>
          </w:p>
          <w:p w14:paraId="27B4FAAA">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Ⅵ、原辅材料转移、计量、调配等过程应进行重点防范，避免由于操作失误造成物料泄漏。所有存放原辅材料的容器，除正在使用中外，均需保持紧盖。</w:t>
            </w:r>
          </w:p>
          <w:p w14:paraId="40696A78">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Ⅶ、若由于包装破裂、倾倒或生产装置阀门损坏造成物料泄漏，应在第一时间按照泄漏物质相应的应急处理措施进行处理，泄漏的物料回收利用妥善处置。</w:t>
            </w:r>
          </w:p>
          <w:p w14:paraId="76C24454">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Ⅷ、生产车间内一般区域采用水泥硬化地面，储存区和生产区长期配备足够的应急物资，确保泄漏物料及时收集、转移。</w:t>
            </w:r>
          </w:p>
          <w:p w14:paraId="377A098A">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③暂存过程中的风险防范措施</w:t>
            </w:r>
          </w:p>
          <w:p w14:paraId="0A5204B6">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Ⅰ、物料存放时，应保持通风、干燥、防止日光直接照射，并应隔绝火源、远离热源。设置禁火标志及防静电措施等，配备有完善的防火及灭火装备。暂存区应具有良好的排风通风措施。</w:t>
            </w:r>
          </w:p>
          <w:p w14:paraId="5740FD5C">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Ⅱ、地面硬化且采取防腐防渗处理，并设置防风、防雨、防晒、防流失等措施，防止各种液体类原辅料漫流或泄漏。</w:t>
            </w:r>
          </w:p>
          <w:p w14:paraId="06EB43B2">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Ⅲ、车间内配备足够的应急物资，确保泄漏物料及时收集、转移。</w:t>
            </w:r>
          </w:p>
          <w:p w14:paraId="15D23839">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项目生产过程中涉及的主要危险化学品储存严格按照《危险化学品安全技术手册》、《危险化学品安全技术说明书》、《危险货物运输包装通用技术条件》等相关要求执行。</w:t>
            </w:r>
          </w:p>
          <w:p w14:paraId="07FBABFB">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④其它风险防范措施</w:t>
            </w:r>
          </w:p>
          <w:p w14:paraId="50316836">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根据相关事故案例分析，管理混乱、物料装卸不规范等也是导致风险事故的常见原因，故建设单位一定要采取相应措施防范此类事故发生。</w:t>
            </w:r>
          </w:p>
          <w:p w14:paraId="4A6AC370">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Ⅰ、加强巡检，定期对设备、阀门进行检查、维修。</w:t>
            </w:r>
          </w:p>
          <w:p w14:paraId="07B242C2">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Ⅱ、加强对废包装桶等危险废物的管理，废弃包装桶应收集并即产即清，交有资质的单位处理。</w:t>
            </w:r>
          </w:p>
          <w:p w14:paraId="7C269157">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Ⅲ、发生泄漏后，事故处置过程中产生的含物料沙土、废棉纱等及时有效收集并送有资质单位进行处置。</w:t>
            </w:r>
          </w:p>
          <w:p w14:paraId="7F32B65F">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2）事故应急预案</w:t>
            </w:r>
          </w:p>
          <w:p w14:paraId="371AA82A">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eastAsia" w:ascii="Times New Roman" w:hAnsi="Times New Roman" w:eastAsia="宋体" w:cs="Times New Roman"/>
                <w:smallCaps w:val="0"/>
                <w:color w:val="auto"/>
                <w:spacing w:val="0"/>
                <w:sz w:val="21"/>
                <w:szCs w:val="21"/>
                <w:highlight w:val="none"/>
                <w:lang w:eastAsia="zh-CN"/>
              </w:rPr>
            </w:pPr>
            <w:r>
              <w:rPr>
                <w:rFonts w:hint="default" w:ascii="Times New Roman" w:hAnsi="Times New Roman" w:eastAsia="宋体" w:cs="Times New Roman"/>
                <w:smallCaps w:val="0"/>
                <w:color w:val="auto"/>
                <w:spacing w:val="0"/>
                <w:sz w:val="21"/>
                <w:szCs w:val="21"/>
                <w:highlight w:val="none"/>
              </w:rPr>
              <w:t>为更好的做好项目的事故防范工作，应严格执行事故应急预案，并定期组织演练，具体如下</w:t>
            </w:r>
            <w:r>
              <w:rPr>
                <w:rFonts w:hint="eastAsia" w:cs="Times New Roman"/>
                <w:smallCaps w:val="0"/>
                <w:color w:val="auto"/>
                <w:spacing w:val="0"/>
                <w:sz w:val="21"/>
                <w:szCs w:val="21"/>
                <w:highlight w:val="none"/>
                <w:lang w:eastAsia="zh-CN"/>
              </w:rPr>
              <w:t>：</w:t>
            </w:r>
          </w:p>
          <w:p w14:paraId="4803A50E">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①建立内部救援队伍</w:t>
            </w:r>
          </w:p>
          <w:p w14:paraId="0877954F">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cs="Times New Roman"/>
                <w:color w:val="auto"/>
                <w:sz w:val="21"/>
                <w:szCs w:val="21"/>
                <w:highlight w:val="none"/>
              </w:rPr>
              <w:t>建立事故应急救援指挥领导小组，由企业法人、及</w:t>
            </w:r>
            <w:r>
              <w:rPr>
                <w:rFonts w:hint="eastAsia" w:cs="Times New Roman"/>
                <w:color w:val="auto"/>
                <w:sz w:val="21"/>
                <w:szCs w:val="21"/>
                <w:highlight w:val="none"/>
                <w:lang w:val="en-US" w:eastAsia="zh-CN"/>
              </w:rPr>
              <w:t>车间主任</w:t>
            </w:r>
            <w:r>
              <w:rPr>
                <w:rFonts w:hint="default" w:ascii="Times New Roman" w:hAnsi="Times New Roman" w:cs="Times New Roman"/>
                <w:color w:val="auto"/>
                <w:sz w:val="21"/>
                <w:szCs w:val="21"/>
                <w:highlight w:val="none"/>
              </w:rPr>
              <w:t>等部门负责人组成</w:t>
            </w:r>
            <w:r>
              <w:rPr>
                <w:rFonts w:hint="default" w:ascii="Times New Roman" w:hAnsi="Times New Roman" w:eastAsia="宋体" w:cs="Times New Roman"/>
                <w:smallCaps w:val="0"/>
                <w:color w:val="auto"/>
                <w:spacing w:val="0"/>
                <w:sz w:val="21"/>
                <w:szCs w:val="21"/>
                <w:highlight w:val="none"/>
              </w:rPr>
              <w:t>。</w:t>
            </w:r>
          </w:p>
          <w:p w14:paraId="43C5F95C">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成立事故应急救援指挥部，负责一旦发生事故时的全厂应急救援的组织和指挥，企业法人任总指挥，若企业法人不在时，应明确有关领导全权负责应急救援工作。组织机构包括应急处置行动组、通讯联络组、疏散引导组、安全防护救护组等。</w:t>
            </w:r>
          </w:p>
          <w:p w14:paraId="1DE3E4C2">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指挥领导小组应负责企业事故应急预案的制定、修订；组建应急救业队伍，组织预案实施和演练；检查督促做好危险源事故的预防措施和应急救援的准备工作，一旦发生事故，按照应急救援预案实施救援。</w:t>
            </w:r>
          </w:p>
          <w:p w14:paraId="22B6683A">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②泄漏事故处置方案</w:t>
            </w:r>
          </w:p>
          <w:p w14:paraId="2245FBAA">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Ⅰ、停止使用，关闭有关设备和系统，立即向应急救援指挥部报告；</w:t>
            </w:r>
          </w:p>
          <w:p w14:paraId="767B55F9">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Ⅱ、事故现场严禁明火，切断电源，迅速撤离泄漏区人员至上风向安全处。同时在事故现场设置隔离区，禁止无关人员进入；</w:t>
            </w:r>
          </w:p>
          <w:p w14:paraId="5CAB26D3">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Ⅲ、应急处理人员必须配备必要的个人防护器具，严禁单独行动；</w:t>
            </w:r>
          </w:p>
          <w:p w14:paraId="40000C2F">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Ⅳ、用预先确定的堵漏方式尽快堵漏，切断或控制泄漏源。尽快收集泄漏物料。</w:t>
            </w:r>
          </w:p>
          <w:p w14:paraId="50CA63A5">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Ⅴ、迅速撤离泄漏污染区的工作人员至安全区，并进行隔离，脱去被污染的衣着，用流动清水冲洗。</w:t>
            </w:r>
          </w:p>
          <w:p w14:paraId="05A08B53">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Ⅵ、在厂房内设置疏散工作指示方向标识。</w:t>
            </w:r>
          </w:p>
          <w:p w14:paraId="79F25A9A">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③火灾应急措施</w:t>
            </w:r>
          </w:p>
          <w:p w14:paraId="5ADF8162">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Ⅰ、发现起火，立即报警，通过消防灭火，采用抗溶性泡沫、干粉、二氧化碳等灭火器灭火。</w:t>
            </w:r>
          </w:p>
          <w:p w14:paraId="323329D1">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Ⅱ、切断火势蔓延的途径，冷却和疏散受火势威胁的密闭容器和可燃物，控制燃烧范围，并积极抢救受伤和被困人员；</w:t>
            </w:r>
          </w:p>
          <w:p w14:paraId="6C18CA0B">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Ⅲ、通知安全、消防、救护等相关部门人员，启动相应的应急救护程序；</w:t>
            </w:r>
          </w:p>
          <w:p w14:paraId="6EB95896">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Ⅳ、组织救援小组，封锁现场，疏散人员；</w:t>
            </w:r>
          </w:p>
          <w:p w14:paraId="46675F96">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Ⅴ、灭火工作结束后，对现场进行恢复清理；</w:t>
            </w:r>
          </w:p>
          <w:p w14:paraId="5A2DD14B">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Ⅵ、调查和鉴定事故原因，提出事故评估报告，补充或修改事故防范措施和应急方案。</w:t>
            </w:r>
          </w:p>
          <w:p w14:paraId="37D16C69">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④急救措施</w:t>
            </w:r>
          </w:p>
          <w:p w14:paraId="10214E42">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皮肤接触</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脱去污染的衣着，用流动清水冲洗。</w:t>
            </w:r>
          </w:p>
          <w:p w14:paraId="72878308">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眼睛接触</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提起眼睑，用流动清水或生理盐水冲洗，就医。</w:t>
            </w:r>
          </w:p>
          <w:p w14:paraId="5FA2FD60">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吸入</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脱离现场至空气新鲜处，保持呼吸道通畅；如呼吸困难，给输氧；如呼吸停止，立即进行人工呼吸，就医。</w:t>
            </w:r>
          </w:p>
          <w:p w14:paraId="1BAD2236">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食入</w:t>
            </w:r>
            <w:r>
              <w:rPr>
                <w:rFonts w:hint="eastAsia" w:cs="Times New Roman"/>
                <w:smallCaps w:val="0"/>
                <w:color w:val="auto"/>
                <w:spacing w:val="0"/>
                <w:sz w:val="21"/>
                <w:szCs w:val="21"/>
                <w:highlight w:val="none"/>
                <w:lang w:eastAsia="zh-CN"/>
              </w:rPr>
              <w:t>：</w:t>
            </w:r>
            <w:r>
              <w:rPr>
                <w:rFonts w:hint="default" w:ascii="Times New Roman" w:hAnsi="Times New Roman" w:eastAsia="宋体" w:cs="Times New Roman"/>
                <w:smallCaps w:val="0"/>
                <w:color w:val="auto"/>
                <w:spacing w:val="0"/>
                <w:sz w:val="21"/>
                <w:szCs w:val="21"/>
                <w:highlight w:val="none"/>
              </w:rPr>
              <w:t>饮足量温水，催吐，就医。</w:t>
            </w:r>
          </w:p>
        </w:tc>
      </w:tr>
      <w:tr w14:paraId="622206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90" w:hRule="atLeast"/>
          <w:jc w:val="center"/>
        </w:trPr>
        <w:tc>
          <w:tcPr>
            <w:tcW w:w="1205" w:type="dxa"/>
            <w:vAlign w:val="center"/>
          </w:tcPr>
          <w:p w14:paraId="163FBB41">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smallCaps w:val="0"/>
                <w:color w:val="auto"/>
                <w:spacing w:val="0"/>
                <w:sz w:val="21"/>
                <w:szCs w:val="21"/>
                <w:highlight w:val="none"/>
              </w:rPr>
              <w:t>其他环境管理要求</w:t>
            </w:r>
          </w:p>
        </w:tc>
        <w:tc>
          <w:tcPr>
            <w:tcW w:w="7848" w:type="dxa"/>
            <w:gridSpan w:val="5"/>
            <w:vAlign w:val="center"/>
          </w:tcPr>
          <w:p w14:paraId="282CB8D0">
            <w:pPr>
              <w:pStyle w:val="67"/>
              <w:keepNext w:val="0"/>
              <w:keepLines w:val="0"/>
              <w:pageBreakBefore w:val="0"/>
              <w:widowControl w:val="0"/>
              <w:suppressLineNumbers w:val="0"/>
              <w:kinsoku/>
              <w:wordWrap/>
              <w:overflowPunct/>
              <w:bidi w:val="0"/>
              <w:spacing w:before="0" w:beforeAutospacing="0" w:after="0" w:afterAutospacing="0" w:line="320" w:lineRule="exact"/>
              <w:ind w:left="0" w:right="0"/>
              <w:jc w:val="both"/>
              <w:rPr>
                <w:rFonts w:hint="default" w:ascii="Times New Roman" w:hAnsi="Times New Roman" w:eastAsia="宋体" w:cs="Times New Roman"/>
                <w:smallCaps w:val="0"/>
                <w:color w:val="auto"/>
                <w:spacing w:val="0"/>
                <w:sz w:val="21"/>
                <w:szCs w:val="21"/>
                <w:highlight w:val="none"/>
              </w:rPr>
            </w:pPr>
            <w:r>
              <w:rPr>
                <w:rFonts w:hint="default" w:ascii="Times New Roman" w:hAnsi="Times New Roman" w:eastAsia="宋体" w:cs="Times New Roman"/>
                <w:b w:val="0"/>
                <w:bCs w:val="0"/>
                <w:smallCaps w:val="0"/>
                <w:color w:val="auto"/>
                <w:spacing w:val="0"/>
                <w:sz w:val="21"/>
                <w:szCs w:val="21"/>
                <w:highlight w:val="none"/>
              </w:rPr>
              <w:t>公司设立环境管理人员，履行环保管理职责，生产前</w:t>
            </w:r>
            <w:r>
              <w:rPr>
                <w:rFonts w:hint="eastAsia" w:cs="Times New Roman"/>
                <w:b w:val="0"/>
                <w:bCs w:val="0"/>
                <w:smallCaps w:val="0"/>
                <w:color w:val="auto"/>
                <w:spacing w:val="0"/>
                <w:sz w:val="21"/>
                <w:szCs w:val="21"/>
                <w:highlight w:val="none"/>
                <w:lang w:val="en-US" w:eastAsia="zh-CN"/>
              </w:rPr>
              <w:t>需按照《固定污染源排污许可分类管理名录》（2019年版）（部令 第11号）取得排污手续</w:t>
            </w:r>
            <w:r>
              <w:rPr>
                <w:rFonts w:hint="default" w:ascii="Times New Roman" w:hAnsi="Times New Roman" w:eastAsia="宋体" w:cs="Times New Roman"/>
                <w:b w:val="0"/>
                <w:bCs w:val="0"/>
                <w:smallCaps w:val="0"/>
                <w:color w:val="auto"/>
                <w:spacing w:val="0"/>
                <w:sz w:val="21"/>
                <w:szCs w:val="21"/>
                <w:highlight w:val="none"/>
              </w:rPr>
              <w:t>，按污染源监测计划实施定期监测。</w:t>
            </w:r>
          </w:p>
        </w:tc>
      </w:tr>
    </w:tbl>
    <w:p w14:paraId="5D3FB1AB">
      <w:pPr>
        <w:pStyle w:val="41"/>
        <w:jc w:val="center"/>
        <w:outlineLvl w:val="0"/>
        <w:rPr>
          <w:rFonts w:hint="default" w:ascii="Times New Roman" w:hAnsi="Times New Roman" w:eastAsia="黑体" w:cs="Times New Roman"/>
          <w:smallCaps w:val="0"/>
          <w:snapToGrid w:val="0"/>
          <w:color w:val="auto"/>
          <w:spacing w:val="0"/>
          <w:sz w:val="30"/>
          <w:szCs w:val="30"/>
          <w:highlight w:val="none"/>
        </w:rPr>
      </w:pPr>
      <w:r>
        <w:rPr>
          <w:rFonts w:hint="default" w:ascii="Times New Roman" w:hAnsi="Times New Roman" w:cs="Times New Roman"/>
          <w:smallCaps w:val="0"/>
          <w:snapToGrid w:val="0"/>
          <w:color w:val="auto"/>
          <w:spacing w:val="0"/>
          <w:highlight w:val="none"/>
        </w:rPr>
        <w:br w:type="page"/>
      </w:r>
      <w:bookmarkStart w:id="14" w:name="_Toc5925"/>
      <w:r>
        <w:rPr>
          <w:rFonts w:hint="default" w:ascii="Times New Roman" w:hAnsi="Times New Roman" w:eastAsia="黑体" w:cs="Times New Roman"/>
          <w:smallCaps w:val="0"/>
          <w:snapToGrid w:val="0"/>
          <w:color w:val="auto"/>
          <w:spacing w:val="0"/>
          <w:sz w:val="30"/>
          <w:szCs w:val="30"/>
          <w:highlight w:val="none"/>
        </w:rPr>
        <w:t>六、结论</w:t>
      </w:r>
      <w:bookmarkEnd w:id="14"/>
    </w:p>
    <w:tbl>
      <w:tblPr>
        <w:tblStyle w:val="4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770499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vAlign w:val="center"/>
          </w:tcPr>
          <w:p w14:paraId="7F3D5964">
            <w:pPr>
              <w:pStyle w:val="172"/>
              <w:keepNext w:val="0"/>
              <w:keepLines w:val="0"/>
              <w:suppressLineNumbers w:val="0"/>
              <w:spacing w:before="0" w:beforeAutospacing="0" w:after="0" w:afterAutospacing="0"/>
              <w:ind w:left="0" w:right="0" w:firstLine="480"/>
              <w:rPr>
                <w:rFonts w:hint="default" w:ascii="Times New Roman" w:hAnsi="Times New Roman" w:cs="Times New Roman"/>
                <w:smallCaps w:val="0"/>
                <w:color w:val="auto"/>
                <w:spacing w:val="0"/>
                <w:highlight w:val="none"/>
              </w:rPr>
            </w:pPr>
            <w:r>
              <w:rPr>
                <w:rFonts w:hint="default" w:ascii="Times New Roman" w:hAnsi="Times New Roman" w:cs="Times New Roman"/>
                <w:smallCaps w:val="0"/>
                <w:color w:val="auto"/>
                <w:spacing w:val="0"/>
                <w:highlight w:val="none"/>
              </w:rPr>
              <w:t>综上所述</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本项目符合国家和地方的相关产业政策</w:t>
            </w:r>
            <w:r>
              <w:rPr>
                <w:rFonts w:hint="eastAsia" w:cs="Times New Roman"/>
                <w:smallCaps w:val="0"/>
                <w:color w:val="auto"/>
                <w:spacing w:val="0"/>
                <w:highlight w:val="none"/>
                <w:lang w:eastAsia="zh-CN"/>
              </w:rPr>
              <w:t>，</w:t>
            </w:r>
            <w:r>
              <w:rPr>
                <w:rFonts w:hint="eastAsia" w:cs="Times New Roman"/>
                <w:smallCaps w:val="0"/>
                <w:color w:val="auto"/>
                <w:spacing w:val="0"/>
                <w:highlight w:val="none"/>
                <w:lang w:val="en-US" w:eastAsia="zh-CN"/>
              </w:rPr>
              <w:t>符合园区规划</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选址符合</w:t>
            </w:r>
            <w:r>
              <w:rPr>
                <w:rFonts w:hint="eastAsia" w:cs="Times New Roman"/>
                <w:smallCaps w:val="0"/>
                <w:color w:val="auto"/>
                <w:spacing w:val="0"/>
                <w:highlight w:val="none"/>
                <w:lang w:val="en-US" w:eastAsia="zh-CN"/>
              </w:rPr>
              <w:t>《石家庄市生态环境准入清单（2023年版）》要求</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所采用的污染防治措施合理可行</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可确保污染物稳定达标排放；项目污染物的排放量符合控制要求</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处理达标后的各项污染物对周围环境的影响较小</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不会改变当地环境功能区划</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项目的环境风险较小且可以接受。在落实本报告表提出的各项污染防治措施、严格执行</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环境保护措施监督检查清单</w:t>
            </w:r>
            <w:r>
              <w:rPr>
                <w:rFonts w:hint="eastAsia"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的情况下</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从环保角度分析</w:t>
            </w:r>
            <w:r>
              <w:rPr>
                <w:rFonts w:hint="default" w:ascii="Times New Roman" w:hAnsi="Times New Roman" w:cs="Times New Roman"/>
                <w:smallCaps w:val="0"/>
                <w:color w:val="auto"/>
                <w:spacing w:val="0"/>
                <w:highlight w:val="none"/>
                <w:lang w:eastAsia="zh-CN"/>
              </w:rPr>
              <w:t>，</w:t>
            </w:r>
            <w:r>
              <w:rPr>
                <w:rFonts w:hint="default" w:ascii="Times New Roman" w:hAnsi="Times New Roman" w:cs="Times New Roman"/>
                <w:smallCaps w:val="0"/>
                <w:color w:val="auto"/>
                <w:spacing w:val="0"/>
                <w:highlight w:val="none"/>
              </w:rPr>
              <w:t>项目在拟建地的建设具备环境可行性。</w:t>
            </w:r>
          </w:p>
        </w:tc>
      </w:tr>
    </w:tbl>
    <w:p w14:paraId="09BEEE12">
      <w:pPr>
        <w:pStyle w:val="19"/>
        <w:rPr>
          <w:rFonts w:hint="default" w:ascii="Times New Roman" w:hAnsi="Times New Roman" w:cs="Times New Roman"/>
          <w:smallCaps w:val="0"/>
          <w:color w:val="auto"/>
          <w:spacing w:val="0"/>
          <w:highlight w:val="none"/>
        </w:rPr>
        <w:sectPr>
          <w:pgSz w:w="11907" w:h="16840"/>
          <w:pgMar w:top="1440" w:right="1800" w:bottom="1440" w:left="1800" w:header="851" w:footer="992" w:gutter="0"/>
          <w:cols w:space="720" w:num="1"/>
          <w:docGrid w:type="linesAndChars" w:linePitch="319" w:charSpace="0"/>
        </w:sectPr>
      </w:pPr>
    </w:p>
    <w:p w14:paraId="10BC32F6">
      <w:pPr>
        <w:pStyle w:val="41"/>
        <w:keepNext w:val="0"/>
        <w:keepLines w:val="0"/>
        <w:pageBreakBefore w:val="0"/>
        <w:widowControl/>
        <w:tabs>
          <w:tab w:val="left" w:pos="6521"/>
        </w:tabs>
        <w:kinsoku/>
        <w:wordWrap/>
        <w:overflowPunct/>
        <w:topLinePunct w:val="0"/>
        <w:autoSpaceDE/>
        <w:autoSpaceDN/>
        <w:bidi w:val="0"/>
        <w:adjustRightInd w:val="0"/>
        <w:snapToGrid w:val="0"/>
        <w:spacing w:before="0" w:beforeAutospacing="0" w:after="0" w:afterAutospacing="0" w:line="240" w:lineRule="auto"/>
        <w:ind w:firstLine="641"/>
        <w:textAlignment w:val="auto"/>
        <w:outlineLvl w:val="0"/>
        <w:rPr>
          <w:rFonts w:hint="default" w:ascii="Times New Roman" w:hAnsi="Times New Roman" w:eastAsia="黑体" w:cs="Times New Roman"/>
          <w:snapToGrid w:val="0"/>
          <w:color w:val="auto"/>
          <w:sz w:val="32"/>
          <w:szCs w:val="32"/>
          <w:highlight w:val="none"/>
        </w:rPr>
      </w:pPr>
      <w:bookmarkStart w:id="15" w:name="_Toc27848"/>
      <w:bookmarkStart w:id="16" w:name="_Toc10899"/>
      <w:r>
        <w:rPr>
          <w:rFonts w:hint="default" w:ascii="Times New Roman" w:hAnsi="Times New Roman" w:eastAsia="黑体" w:cs="Times New Roman"/>
          <w:snapToGrid w:val="0"/>
          <w:color w:val="auto"/>
          <w:sz w:val="32"/>
          <w:szCs w:val="32"/>
          <w:highlight w:val="none"/>
        </w:rPr>
        <w:t>附表</w:t>
      </w:r>
      <w:bookmarkEnd w:id="15"/>
      <w:bookmarkEnd w:id="16"/>
    </w:p>
    <w:p w14:paraId="6DA7F5E2">
      <w:pPr>
        <w:pStyle w:val="41"/>
        <w:keepNext w:val="0"/>
        <w:keepLines w:val="0"/>
        <w:pageBreakBefore w:val="0"/>
        <w:widowControl/>
        <w:tabs>
          <w:tab w:val="left" w:pos="6521"/>
        </w:tabs>
        <w:kinsoku/>
        <w:wordWrap/>
        <w:overflowPunct/>
        <w:topLinePunct w:val="0"/>
        <w:autoSpaceDE/>
        <w:autoSpaceDN/>
        <w:bidi w:val="0"/>
        <w:adjustRightInd w:val="0"/>
        <w:snapToGrid w:val="0"/>
        <w:spacing w:before="0" w:beforeAutospacing="0" w:after="0" w:afterAutospacing="0" w:line="240" w:lineRule="auto"/>
        <w:ind w:firstLine="760"/>
        <w:jc w:val="center"/>
        <w:textAlignment w:val="auto"/>
        <w:outlineLvl w:val="0"/>
        <w:rPr>
          <w:rFonts w:hint="default" w:ascii="Times New Roman" w:hAnsi="Times New Roman" w:eastAsia="方正小标宋_GBK" w:cs="Times New Roman"/>
          <w:snapToGrid w:val="0"/>
          <w:color w:val="auto"/>
          <w:sz w:val="38"/>
          <w:szCs w:val="38"/>
          <w:highlight w:val="none"/>
        </w:rPr>
      </w:pPr>
      <w:bookmarkStart w:id="17" w:name="_Toc21305"/>
      <w:bookmarkStart w:id="18" w:name="_Toc21880"/>
      <w:r>
        <w:rPr>
          <w:rFonts w:hint="default" w:ascii="Times New Roman" w:hAnsi="Times New Roman" w:eastAsia="方正小标宋_GBK" w:cs="Times New Roman"/>
          <w:snapToGrid w:val="0"/>
          <w:color w:val="auto"/>
          <w:sz w:val="38"/>
          <w:szCs w:val="38"/>
          <w:highlight w:val="none"/>
        </w:rPr>
        <w:t>建设项目污染物排放量汇总表</w:t>
      </w:r>
      <w:bookmarkEnd w:id="17"/>
    </w:p>
    <w:tbl>
      <w:tblPr>
        <w:tblStyle w:val="47"/>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762"/>
        <w:gridCol w:w="1491"/>
        <w:gridCol w:w="1491"/>
        <w:gridCol w:w="1491"/>
        <w:gridCol w:w="1491"/>
        <w:gridCol w:w="1491"/>
        <w:gridCol w:w="1491"/>
        <w:gridCol w:w="1492"/>
      </w:tblGrid>
      <w:tr w14:paraId="688ED1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tcBorders>
              <w:tl2br w:val="single" w:color="auto" w:sz="4" w:space="0"/>
            </w:tcBorders>
            <w:noWrap w:val="0"/>
            <w:tcMar>
              <w:left w:w="28" w:type="dxa"/>
              <w:right w:w="28" w:type="dxa"/>
            </w:tcMar>
            <w:vAlign w:val="center"/>
          </w:tcPr>
          <w:p w14:paraId="073DFBE6">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right"/>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项目</w:t>
            </w:r>
          </w:p>
          <w:p w14:paraId="152CCDC2">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left"/>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分类</w:t>
            </w:r>
          </w:p>
        </w:tc>
        <w:tc>
          <w:tcPr>
            <w:tcW w:w="1762" w:type="dxa"/>
            <w:noWrap w:val="0"/>
            <w:tcMar>
              <w:left w:w="28" w:type="dxa"/>
              <w:right w:w="28" w:type="dxa"/>
            </w:tcMar>
            <w:vAlign w:val="center"/>
          </w:tcPr>
          <w:p w14:paraId="268B84FD">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污染物名称</w:t>
            </w:r>
          </w:p>
        </w:tc>
        <w:tc>
          <w:tcPr>
            <w:tcW w:w="1491" w:type="dxa"/>
            <w:noWrap w:val="0"/>
            <w:tcMar>
              <w:left w:w="28" w:type="dxa"/>
              <w:right w:w="28" w:type="dxa"/>
            </w:tcMar>
            <w:vAlign w:val="center"/>
          </w:tcPr>
          <w:p w14:paraId="2F8ABCB1">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现有工程</w:t>
            </w:r>
          </w:p>
          <w:p w14:paraId="2EF5B46E">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1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①</w:t>
            </w:r>
            <w:r>
              <w:rPr>
                <w:rFonts w:hint="default" w:ascii="Times New Roman" w:hAnsi="Times New Roman" w:eastAsia="黑体" w:cs="Times New Roman"/>
                <w:snapToGrid w:val="0"/>
                <w:color w:val="auto"/>
                <w:spacing w:val="-6"/>
                <w:kern w:val="21"/>
                <w:szCs w:val="21"/>
                <w:highlight w:val="none"/>
              </w:rPr>
              <w:fldChar w:fldCharType="end"/>
            </w:r>
          </w:p>
        </w:tc>
        <w:tc>
          <w:tcPr>
            <w:tcW w:w="1491" w:type="dxa"/>
            <w:noWrap w:val="0"/>
            <w:tcMar>
              <w:left w:w="28" w:type="dxa"/>
              <w:right w:w="28" w:type="dxa"/>
            </w:tcMar>
            <w:vAlign w:val="center"/>
          </w:tcPr>
          <w:p w14:paraId="0E54E746">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现有工程</w:t>
            </w:r>
          </w:p>
          <w:p w14:paraId="0C08FE04">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许可排放量</w:t>
            </w:r>
          </w:p>
          <w:p w14:paraId="6A58B45A">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2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snapToGrid w:val="0"/>
                <w:color w:val="auto"/>
                <w:spacing w:val="-6"/>
                <w:kern w:val="21"/>
                <w:szCs w:val="21"/>
                <w:highlight w:val="none"/>
              </w:rPr>
              <w:t>②</w:t>
            </w:r>
            <w:r>
              <w:rPr>
                <w:rFonts w:hint="default" w:ascii="Times New Roman" w:hAnsi="Times New Roman" w:eastAsia="黑体" w:cs="Times New Roman"/>
                <w:snapToGrid w:val="0"/>
                <w:color w:val="auto"/>
                <w:spacing w:val="-6"/>
                <w:kern w:val="21"/>
                <w:szCs w:val="21"/>
                <w:highlight w:val="none"/>
              </w:rPr>
              <w:fldChar w:fldCharType="end"/>
            </w:r>
          </w:p>
          <w:p w14:paraId="5141EA37">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eastAsia" w:ascii="Times New Roman" w:hAnsi="Times New Roman" w:eastAsia="黑体" w:cs="Times New Roman"/>
                <w:snapToGrid w:val="0"/>
                <w:color w:val="auto"/>
                <w:spacing w:val="-6"/>
                <w:kern w:val="21"/>
                <w:szCs w:val="21"/>
                <w:highlight w:val="none"/>
                <w:lang w:val="en-US" w:eastAsia="zh-CN"/>
              </w:rPr>
            </w:pPr>
            <w:r>
              <w:rPr>
                <w:rFonts w:hint="eastAsia" w:eastAsia="黑体" w:cs="Times New Roman"/>
                <w:snapToGrid w:val="0"/>
                <w:color w:val="auto"/>
                <w:spacing w:val="-6"/>
                <w:kern w:val="21"/>
                <w:szCs w:val="21"/>
                <w:highlight w:val="none"/>
                <w:lang w:val="en-US" w:eastAsia="zh-CN"/>
              </w:rPr>
              <w:t>总量控制指标</w:t>
            </w:r>
          </w:p>
        </w:tc>
        <w:tc>
          <w:tcPr>
            <w:tcW w:w="1491" w:type="dxa"/>
            <w:noWrap w:val="0"/>
            <w:tcMar>
              <w:left w:w="28" w:type="dxa"/>
              <w:right w:w="28" w:type="dxa"/>
            </w:tcMar>
            <w:vAlign w:val="center"/>
          </w:tcPr>
          <w:p w14:paraId="0ECF2015">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在建工程</w:t>
            </w:r>
          </w:p>
          <w:p w14:paraId="1ADA1E56">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3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③</w:t>
            </w:r>
            <w:r>
              <w:rPr>
                <w:rFonts w:hint="default" w:ascii="Times New Roman" w:hAnsi="Times New Roman" w:eastAsia="黑体" w:cs="Times New Roman"/>
                <w:snapToGrid w:val="0"/>
                <w:color w:val="auto"/>
                <w:spacing w:val="-6"/>
                <w:kern w:val="21"/>
                <w:szCs w:val="21"/>
                <w:highlight w:val="none"/>
              </w:rPr>
              <w:fldChar w:fldCharType="end"/>
            </w:r>
          </w:p>
        </w:tc>
        <w:tc>
          <w:tcPr>
            <w:tcW w:w="1491" w:type="dxa"/>
            <w:noWrap w:val="0"/>
            <w:tcMar>
              <w:left w:w="28" w:type="dxa"/>
              <w:right w:w="28" w:type="dxa"/>
            </w:tcMar>
            <w:vAlign w:val="center"/>
          </w:tcPr>
          <w:p w14:paraId="0E235B1F">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eastAsia" w:ascii="Times New Roman" w:hAnsi="Times New Roman" w:eastAsia="黑体" w:cs="Times New Roman"/>
                <w:snapToGrid w:val="0"/>
                <w:color w:val="auto"/>
                <w:spacing w:val="-6"/>
                <w:kern w:val="21"/>
                <w:szCs w:val="21"/>
                <w:highlight w:val="none"/>
                <w:lang w:eastAsia="zh-CN"/>
              </w:rPr>
            </w:pPr>
            <w:r>
              <w:rPr>
                <w:rFonts w:hint="default" w:ascii="Times New Roman" w:hAnsi="Times New Roman" w:eastAsia="黑体" w:cs="Times New Roman"/>
                <w:snapToGrid w:val="0"/>
                <w:color w:val="auto"/>
                <w:spacing w:val="-6"/>
                <w:kern w:val="21"/>
                <w:szCs w:val="21"/>
                <w:highlight w:val="none"/>
              </w:rPr>
              <w:t>本项目</w:t>
            </w:r>
          </w:p>
          <w:p w14:paraId="435B2DD0">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4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④</w:t>
            </w:r>
            <w:r>
              <w:rPr>
                <w:rFonts w:hint="default" w:ascii="Times New Roman" w:hAnsi="Times New Roman" w:eastAsia="黑体" w:cs="Times New Roman"/>
                <w:snapToGrid w:val="0"/>
                <w:color w:val="auto"/>
                <w:spacing w:val="-6"/>
                <w:kern w:val="21"/>
                <w:szCs w:val="21"/>
                <w:highlight w:val="none"/>
              </w:rPr>
              <w:fldChar w:fldCharType="end"/>
            </w:r>
          </w:p>
        </w:tc>
        <w:tc>
          <w:tcPr>
            <w:tcW w:w="1491" w:type="dxa"/>
            <w:noWrap w:val="0"/>
            <w:tcMar>
              <w:left w:w="28" w:type="dxa"/>
              <w:right w:w="28" w:type="dxa"/>
            </w:tcMar>
            <w:vAlign w:val="center"/>
          </w:tcPr>
          <w:p w14:paraId="00FD13A7">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以新带老削减量</w:t>
            </w:r>
          </w:p>
          <w:p w14:paraId="06122EBD">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（新建项目不填）</w:t>
            </w:r>
            <w:r>
              <w:rPr>
                <w:rFonts w:hint="default" w:ascii="Times New Roman" w:hAnsi="Times New Roman" w:eastAsia="黑体" w:cs="Times New Roman"/>
                <w:snapToGrid w:val="0"/>
                <w:color w:val="auto"/>
                <w:spacing w:val="-16"/>
                <w:kern w:val="21"/>
                <w:szCs w:val="21"/>
                <w:highlight w:val="none"/>
              </w:rPr>
              <w:fldChar w:fldCharType="begin"/>
            </w:r>
            <w:r>
              <w:rPr>
                <w:rFonts w:hint="default" w:ascii="Times New Roman" w:hAnsi="Times New Roman" w:eastAsia="黑体" w:cs="Times New Roman"/>
                <w:snapToGrid w:val="0"/>
                <w:color w:val="auto"/>
                <w:spacing w:val="-16"/>
                <w:kern w:val="21"/>
                <w:szCs w:val="21"/>
                <w:highlight w:val="none"/>
              </w:rPr>
              <w:instrText xml:space="preserve"> = 5 \* GB3 \* MERGEFORMAT </w:instrText>
            </w:r>
            <w:r>
              <w:rPr>
                <w:rFonts w:hint="default" w:ascii="Times New Roman" w:hAnsi="Times New Roman" w:eastAsia="黑体" w:cs="Times New Roman"/>
                <w:snapToGrid w:val="0"/>
                <w:color w:val="auto"/>
                <w:spacing w:val="-16"/>
                <w:kern w:val="21"/>
                <w:szCs w:val="21"/>
                <w:highlight w:val="none"/>
              </w:rPr>
              <w:fldChar w:fldCharType="separate"/>
            </w:r>
            <w:r>
              <w:rPr>
                <w:rFonts w:hint="default" w:ascii="Times New Roman" w:hAnsi="Times New Roman" w:eastAsia="黑体" w:cs="Times New Roman"/>
                <w:color w:val="auto"/>
                <w:kern w:val="2"/>
                <w:szCs w:val="21"/>
                <w:highlight w:val="none"/>
              </w:rPr>
              <w:t>⑤</w:t>
            </w:r>
            <w:r>
              <w:rPr>
                <w:rFonts w:hint="default" w:ascii="Times New Roman" w:hAnsi="Times New Roman" w:eastAsia="黑体" w:cs="Times New Roman"/>
                <w:snapToGrid w:val="0"/>
                <w:color w:val="auto"/>
                <w:spacing w:val="-16"/>
                <w:kern w:val="21"/>
                <w:szCs w:val="21"/>
                <w:highlight w:val="none"/>
              </w:rPr>
              <w:fldChar w:fldCharType="end"/>
            </w:r>
          </w:p>
        </w:tc>
        <w:tc>
          <w:tcPr>
            <w:tcW w:w="1491" w:type="dxa"/>
            <w:noWrap w:val="0"/>
            <w:tcMar>
              <w:left w:w="28" w:type="dxa"/>
              <w:right w:w="28" w:type="dxa"/>
            </w:tcMar>
            <w:vAlign w:val="center"/>
          </w:tcPr>
          <w:p w14:paraId="6F4DA5C7">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本项目建成后</w:t>
            </w:r>
          </w:p>
          <w:p w14:paraId="794AB0D9">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全厂排放量（固体废物产生量）</w:t>
            </w:r>
            <w:r>
              <w:rPr>
                <w:rFonts w:hint="default" w:ascii="Times New Roman" w:hAnsi="Times New Roman" w:eastAsia="黑体" w:cs="Times New Roman"/>
                <w:snapToGrid w:val="0"/>
                <w:color w:val="auto"/>
                <w:spacing w:val="-16"/>
                <w:kern w:val="21"/>
                <w:szCs w:val="21"/>
                <w:highlight w:val="none"/>
              </w:rPr>
              <w:fldChar w:fldCharType="begin"/>
            </w:r>
            <w:r>
              <w:rPr>
                <w:rFonts w:hint="default" w:ascii="Times New Roman" w:hAnsi="Times New Roman" w:eastAsia="黑体" w:cs="Times New Roman"/>
                <w:snapToGrid w:val="0"/>
                <w:color w:val="auto"/>
                <w:spacing w:val="-16"/>
                <w:kern w:val="21"/>
                <w:szCs w:val="21"/>
                <w:highlight w:val="none"/>
              </w:rPr>
              <w:instrText xml:space="preserve"> = 6 \* GB3 \* MERGEFORMAT </w:instrText>
            </w:r>
            <w:r>
              <w:rPr>
                <w:rFonts w:hint="default" w:ascii="Times New Roman" w:hAnsi="Times New Roman" w:eastAsia="黑体" w:cs="Times New Roman"/>
                <w:snapToGrid w:val="0"/>
                <w:color w:val="auto"/>
                <w:spacing w:val="-16"/>
                <w:kern w:val="21"/>
                <w:szCs w:val="21"/>
                <w:highlight w:val="none"/>
              </w:rPr>
              <w:fldChar w:fldCharType="separate"/>
            </w:r>
            <w:r>
              <w:rPr>
                <w:rFonts w:hint="default" w:ascii="Times New Roman" w:hAnsi="Times New Roman" w:eastAsia="黑体" w:cs="Times New Roman"/>
                <w:color w:val="auto"/>
                <w:kern w:val="2"/>
                <w:szCs w:val="21"/>
                <w:highlight w:val="none"/>
              </w:rPr>
              <w:t>⑥</w:t>
            </w:r>
            <w:r>
              <w:rPr>
                <w:rFonts w:hint="default" w:ascii="Times New Roman" w:hAnsi="Times New Roman" w:eastAsia="黑体" w:cs="Times New Roman"/>
                <w:snapToGrid w:val="0"/>
                <w:color w:val="auto"/>
                <w:spacing w:val="-16"/>
                <w:kern w:val="21"/>
                <w:szCs w:val="21"/>
                <w:highlight w:val="none"/>
              </w:rPr>
              <w:fldChar w:fldCharType="end"/>
            </w:r>
          </w:p>
        </w:tc>
        <w:tc>
          <w:tcPr>
            <w:tcW w:w="1492" w:type="dxa"/>
            <w:noWrap w:val="0"/>
            <w:tcMar>
              <w:left w:w="28" w:type="dxa"/>
              <w:right w:w="28" w:type="dxa"/>
            </w:tcMar>
            <w:vAlign w:val="center"/>
          </w:tcPr>
          <w:p w14:paraId="0BA1FF9C">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变化量</w:t>
            </w:r>
          </w:p>
          <w:p w14:paraId="48EF53F0">
            <w:pPr>
              <w:pStyle w:val="131"/>
              <w:keepNext w:val="0"/>
              <w:keepLines w:val="0"/>
              <w:pageBreakBefore w:val="0"/>
              <w:widowControl w:val="0"/>
              <w:suppressLineNumbers w:val="0"/>
              <w:tabs>
                <w:tab w:val="left" w:pos="6521"/>
              </w:tabs>
              <w:kinsoku/>
              <w:wordWrap/>
              <w:overflowPunct/>
              <w:bidi w:val="0"/>
              <w:spacing w:before="0" w:beforeAutospacing="0" w:after="0" w:afterAutospacing="0" w:line="240" w:lineRule="auto"/>
              <w:ind w:left="0" w:right="0" w:firstLine="0" w:firstLineChars="0"/>
              <w:jc w:val="center"/>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7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⑦</w:t>
            </w:r>
            <w:r>
              <w:rPr>
                <w:rFonts w:hint="default" w:ascii="Times New Roman" w:hAnsi="Times New Roman" w:eastAsia="黑体" w:cs="Times New Roman"/>
                <w:snapToGrid w:val="0"/>
                <w:color w:val="auto"/>
                <w:spacing w:val="-6"/>
                <w:kern w:val="21"/>
                <w:szCs w:val="21"/>
                <w:highlight w:val="none"/>
              </w:rPr>
              <w:fldChar w:fldCharType="end"/>
            </w:r>
          </w:p>
        </w:tc>
      </w:tr>
      <w:tr w14:paraId="61B5AD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noWrap w:val="0"/>
            <w:vAlign w:val="center"/>
          </w:tcPr>
          <w:p w14:paraId="4A4202FA">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rPr>
              <w:t>废气</w:t>
            </w:r>
          </w:p>
        </w:tc>
        <w:tc>
          <w:tcPr>
            <w:tcW w:w="1762" w:type="dxa"/>
            <w:noWrap w:val="0"/>
            <w:vAlign w:val="center"/>
          </w:tcPr>
          <w:p w14:paraId="22C51FC6">
            <w:pPr>
              <w:keepNext w:val="0"/>
              <w:keepLines w:val="0"/>
              <w:suppressLineNumbers w:val="0"/>
              <w:autoSpaceDE w:val="0"/>
              <w:autoSpaceDN w:val="0"/>
              <w:adjustRightInd w:val="0"/>
              <w:spacing w:before="0" w:beforeAutospacing="0" w:after="0" w:afterAutospacing="0" w:line="320" w:lineRule="exact"/>
              <w:ind w:left="0" w:leftChars="0" w:right="0" w:rightChars="0"/>
              <w:jc w:val="center"/>
              <w:rPr>
                <w:rFonts w:hint="default" w:ascii="Times New Roman" w:hAnsi="Times New Roman" w:eastAsia="宋体" w:cs="Times New Roman"/>
                <w:bCs/>
                <w:smallCaps w:val="0"/>
                <w:color w:val="auto"/>
                <w:spacing w:val="0"/>
                <w:kern w:val="0"/>
                <w:sz w:val="21"/>
                <w:szCs w:val="21"/>
                <w:highlight w:val="none"/>
                <w:lang w:val="en-US" w:eastAsia="zh-CN" w:bidi="ar-SA"/>
              </w:rPr>
            </w:pPr>
            <w:r>
              <w:rPr>
                <w:rFonts w:hint="eastAsia"/>
                <w:bCs/>
                <w:color w:val="auto"/>
                <w:szCs w:val="21"/>
                <w:highlight w:val="none"/>
                <w:lang w:val="en-US" w:eastAsia="zh-CN"/>
              </w:rPr>
              <w:t>颗粒物</w:t>
            </w:r>
          </w:p>
        </w:tc>
        <w:tc>
          <w:tcPr>
            <w:tcW w:w="1491" w:type="dxa"/>
            <w:noWrap w:val="0"/>
            <w:vAlign w:val="center"/>
          </w:tcPr>
          <w:p w14:paraId="2AEE2FE8">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Cs/>
                <w:smallCaps w:val="0"/>
                <w:color w:val="auto"/>
                <w:spacing w:val="0"/>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68D3E41F">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01446719">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lang w:val="en-US"/>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76F64F80">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snapToGrid w:val="0"/>
                <w:color w:val="auto"/>
                <w:kern w:val="21"/>
                <w:sz w:val="21"/>
                <w:szCs w:val="21"/>
                <w:highlight w:val="none"/>
                <w:lang w:val="en-US" w:eastAsia="zh-CN"/>
              </w:rPr>
            </w:pPr>
            <w:r>
              <w:rPr>
                <w:rFonts w:hint="eastAsia" w:cs="Times New Roman"/>
                <w:snapToGrid w:val="0"/>
                <w:color w:val="auto"/>
                <w:kern w:val="21"/>
                <w:sz w:val="21"/>
                <w:szCs w:val="21"/>
                <w:highlight w:val="none"/>
                <w:lang w:val="en-US" w:eastAsia="zh-CN"/>
              </w:rPr>
              <w:t>2.619t/a</w:t>
            </w:r>
          </w:p>
        </w:tc>
        <w:tc>
          <w:tcPr>
            <w:tcW w:w="1491" w:type="dxa"/>
            <w:shd w:val="clear" w:color="auto" w:fill="auto"/>
            <w:noWrap w:val="0"/>
            <w:vAlign w:val="center"/>
          </w:tcPr>
          <w:p w14:paraId="2D984775">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bCs/>
                <w:smallCaps w:val="0"/>
                <w:color w:val="auto"/>
                <w:spacing w:val="0"/>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311DBA60">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cs="Times New Roman"/>
                <w:snapToGrid w:val="0"/>
                <w:color w:val="auto"/>
                <w:kern w:val="21"/>
                <w:sz w:val="21"/>
                <w:szCs w:val="21"/>
                <w:highlight w:val="none"/>
                <w:lang w:val="en-US" w:eastAsia="zh-CN"/>
              </w:rPr>
              <w:t>2.619t/a</w:t>
            </w:r>
          </w:p>
        </w:tc>
        <w:tc>
          <w:tcPr>
            <w:tcW w:w="1492" w:type="dxa"/>
            <w:shd w:val="clear" w:color="auto" w:fill="auto"/>
            <w:noWrap w:val="0"/>
            <w:vAlign w:val="center"/>
          </w:tcPr>
          <w:p w14:paraId="10F4442E">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eastAsia" w:cs="Times New Roman"/>
                <w:snapToGrid w:val="0"/>
                <w:color w:val="auto"/>
                <w:kern w:val="21"/>
                <w:sz w:val="21"/>
                <w:szCs w:val="21"/>
                <w:highlight w:val="none"/>
                <w:lang w:val="en-US" w:eastAsia="zh-CN"/>
              </w:rPr>
              <w:t>+2.619</w:t>
            </w:r>
          </w:p>
        </w:tc>
      </w:tr>
      <w:tr w14:paraId="46C021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5" w:hRule="atLeast"/>
        </w:trPr>
        <w:tc>
          <w:tcPr>
            <w:tcW w:w="1588" w:type="dxa"/>
            <w:noWrap w:val="0"/>
            <w:vAlign w:val="center"/>
          </w:tcPr>
          <w:p w14:paraId="34C54E25">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rPr>
              <w:t>废水</w:t>
            </w:r>
          </w:p>
        </w:tc>
        <w:tc>
          <w:tcPr>
            <w:tcW w:w="1762" w:type="dxa"/>
            <w:noWrap w:val="0"/>
            <w:vAlign w:val="center"/>
          </w:tcPr>
          <w:p w14:paraId="5FBDE99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652927C8">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30428A78">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5634B5C9">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eastAsia"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3D056665">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10EB0B99">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47B10FD2">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2" w:type="dxa"/>
            <w:shd w:val="clear" w:color="auto" w:fill="auto"/>
            <w:noWrap w:val="0"/>
            <w:vAlign w:val="center"/>
          </w:tcPr>
          <w:p w14:paraId="468E3D5C">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r>
      <w:tr w14:paraId="052992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restart"/>
            <w:noWrap w:val="0"/>
            <w:vAlign w:val="center"/>
          </w:tcPr>
          <w:p w14:paraId="4D55554A">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rPr>
              <w:t>一般工业</w:t>
            </w:r>
          </w:p>
          <w:p w14:paraId="22AEC6DC">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rPr>
              <w:t>固体废物</w:t>
            </w:r>
          </w:p>
        </w:tc>
        <w:tc>
          <w:tcPr>
            <w:tcW w:w="1762" w:type="dxa"/>
            <w:shd w:val="clear" w:color="auto" w:fill="auto"/>
            <w:noWrap w:val="0"/>
            <w:vAlign w:val="center"/>
          </w:tcPr>
          <w:p w14:paraId="6228F64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废包装材料</w:t>
            </w:r>
          </w:p>
        </w:tc>
        <w:tc>
          <w:tcPr>
            <w:tcW w:w="1491" w:type="dxa"/>
            <w:noWrap w:val="0"/>
            <w:vAlign w:val="center"/>
          </w:tcPr>
          <w:p w14:paraId="7C8ECED1">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37218181">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06FFD115">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01E73A3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81.13</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1" w:type="dxa"/>
            <w:shd w:val="clear" w:color="auto" w:fill="auto"/>
            <w:noWrap w:val="0"/>
            <w:vAlign w:val="center"/>
          </w:tcPr>
          <w:p w14:paraId="4AA727AD">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2E2B5AE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81.13</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2" w:type="dxa"/>
            <w:shd w:val="clear" w:color="auto" w:fill="auto"/>
            <w:noWrap w:val="0"/>
            <w:vAlign w:val="center"/>
          </w:tcPr>
          <w:p w14:paraId="5C7C68C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snapToGrid w:val="0"/>
                <w:color w:val="auto"/>
                <w:spacing w:val="0"/>
                <w:kern w:val="21"/>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+81.13</w:t>
            </w:r>
          </w:p>
        </w:tc>
      </w:tr>
      <w:tr w14:paraId="30107C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continue"/>
            <w:noWrap w:val="0"/>
            <w:vAlign w:val="center"/>
          </w:tcPr>
          <w:p w14:paraId="61F4FCA1">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p>
        </w:tc>
        <w:tc>
          <w:tcPr>
            <w:tcW w:w="1762" w:type="dxa"/>
            <w:shd w:val="clear" w:color="auto" w:fill="auto"/>
            <w:noWrap w:val="0"/>
            <w:vAlign w:val="center"/>
          </w:tcPr>
          <w:p w14:paraId="4B63B5AE">
            <w:pPr>
              <w:pStyle w:val="39"/>
              <w:keepNext w:val="0"/>
              <w:keepLines w:val="0"/>
              <w:suppressLineNumbers w:val="0"/>
              <w:spacing w:before="0" w:beforeAutospacing="0" w:after="0" w:afterAutospacing="0" w:line="360" w:lineRule="exact"/>
              <w:ind w:left="0" w:leftChars="0" w:right="0" w:rightChars="0"/>
              <w:jc w:val="center"/>
              <w:rPr>
                <w:rFonts w:hint="eastAsia"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废布袋</w:t>
            </w:r>
          </w:p>
        </w:tc>
        <w:tc>
          <w:tcPr>
            <w:tcW w:w="1491" w:type="dxa"/>
            <w:shd w:val="clear" w:color="auto" w:fill="auto"/>
            <w:noWrap w:val="0"/>
            <w:vAlign w:val="center"/>
          </w:tcPr>
          <w:p w14:paraId="27C4B9A4">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17A0776D">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403BB277">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7043388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0.48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1" w:type="dxa"/>
            <w:shd w:val="clear" w:color="auto" w:fill="auto"/>
            <w:noWrap w:val="0"/>
            <w:vAlign w:val="center"/>
          </w:tcPr>
          <w:p w14:paraId="22513F6E">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66FAD7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0.48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2" w:type="dxa"/>
            <w:shd w:val="clear" w:color="auto" w:fill="auto"/>
            <w:noWrap w:val="0"/>
            <w:vAlign w:val="center"/>
          </w:tcPr>
          <w:p w14:paraId="7ADA5C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+0.48</w:t>
            </w:r>
          </w:p>
        </w:tc>
      </w:tr>
      <w:tr w14:paraId="357BA7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continue"/>
            <w:noWrap w:val="0"/>
            <w:vAlign w:val="center"/>
          </w:tcPr>
          <w:p w14:paraId="73B95486">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p>
        </w:tc>
        <w:tc>
          <w:tcPr>
            <w:tcW w:w="1762" w:type="dxa"/>
            <w:shd w:val="clear" w:color="auto" w:fill="auto"/>
            <w:noWrap w:val="0"/>
            <w:vAlign w:val="center"/>
          </w:tcPr>
          <w:p w14:paraId="335A0BFE">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除尘灰</w:t>
            </w:r>
          </w:p>
        </w:tc>
        <w:tc>
          <w:tcPr>
            <w:tcW w:w="1491" w:type="dxa"/>
            <w:noWrap w:val="0"/>
            <w:vAlign w:val="center"/>
          </w:tcPr>
          <w:p w14:paraId="0D28979C">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0521EF95">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6565BF3F">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0DC5FF9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1239.307t/a</w:t>
            </w:r>
          </w:p>
        </w:tc>
        <w:tc>
          <w:tcPr>
            <w:tcW w:w="1491" w:type="dxa"/>
            <w:shd w:val="clear" w:color="auto" w:fill="auto"/>
            <w:noWrap w:val="0"/>
            <w:vAlign w:val="center"/>
          </w:tcPr>
          <w:p w14:paraId="7360EE34">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3BD9DB7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1239.307t/a</w:t>
            </w:r>
          </w:p>
        </w:tc>
        <w:tc>
          <w:tcPr>
            <w:tcW w:w="1492" w:type="dxa"/>
            <w:shd w:val="clear" w:color="auto" w:fill="auto"/>
            <w:noWrap w:val="0"/>
            <w:vAlign w:val="center"/>
          </w:tcPr>
          <w:p w14:paraId="047899C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+1239.307</w:t>
            </w:r>
          </w:p>
        </w:tc>
      </w:tr>
      <w:tr w14:paraId="37049B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continue"/>
            <w:noWrap w:val="0"/>
            <w:vAlign w:val="center"/>
          </w:tcPr>
          <w:p w14:paraId="21FB132E">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p>
        </w:tc>
        <w:tc>
          <w:tcPr>
            <w:tcW w:w="1762" w:type="dxa"/>
            <w:shd w:val="clear" w:color="auto" w:fill="auto"/>
            <w:noWrap w:val="0"/>
            <w:vAlign w:val="center"/>
          </w:tcPr>
          <w:p w14:paraId="562706B0">
            <w:pPr>
              <w:pStyle w:val="39"/>
              <w:keepNext w:val="0"/>
              <w:keepLines w:val="0"/>
              <w:suppressLineNumbers w:val="0"/>
              <w:spacing w:before="0" w:beforeAutospacing="0" w:after="0" w:afterAutospacing="0" w:line="360" w:lineRule="exact"/>
              <w:ind w:left="0" w:leftChars="0" w:right="0" w:rightChars="0"/>
              <w:jc w:val="center"/>
              <w:rPr>
                <w:rFonts w:hint="default"/>
                <w:color w:val="auto"/>
                <w:sz w:val="21"/>
                <w:szCs w:val="22"/>
                <w:highlight w:val="none"/>
                <w:lang w:val="en-US" w:eastAsia="zh-CN"/>
              </w:rPr>
            </w:pPr>
            <w:r>
              <w:rPr>
                <w:rFonts w:hint="eastAsia"/>
                <w:color w:val="auto"/>
                <w:sz w:val="21"/>
                <w:szCs w:val="22"/>
                <w:highlight w:val="none"/>
                <w:lang w:val="en-US" w:eastAsia="zh-CN"/>
              </w:rPr>
              <w:t>废铁屑</w:t>
            </w:r>
          </w:p>
        </w:tc>
        <w:tc>
          <w:tcPr>
            <w:tcW w:w="1491" w:type="dxa"/>
            <w:shd w:val="clear" w:color="auto" w:fill="auto"/>
            <w:noWrap w:val="0"/>
            <w:vAlign w:val="center"/>
          </w:tcPr>
          <w:p w14:paraId="5AFBF003">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357D6EAC">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35EE72B5">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0D92D3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0.026t/a</w:t>
            </w:r>
          </w:p>
        </w:tc>
        <w:tc>
          <w:tcPr>
            <w:tcW w:w="1491" w:type="dxa"/>
            <w:shd w:val="clear" w:color="auto" w:fill="auto"/>
            <w:noWrap w:val="0"/>
            <w:vAlign w:val="center"/>
          </w:tcPr>
          <w:p w14:paraId="7A01C9F0">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544A1DE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0.026t/a</w:t>
            </w:r>
          </w:p>
        </w:tc>
        <w:tc>
          <w:tcPr>
            <w:tcW w:w="1492" w:type="dxa"/>
            <w:shd w:val="clear" w:color="auto" w:fill="auto"/>
            <w:noWrap w:val="0"/>
            <w:vAlign w:val="center"/>
          </w:tcPr>
          <w:p w14:paraId="3BC5A50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+0.026</w:t>
            </w:r>
          </w:p>
        </w:tc>
      </w:tr>
      <w:tr w14:paraId="6500E68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continue"/>
            <w:noWrap w:val="0"/>
            <w:vAlign w:val="center"/>
          </w:tcPr>
          <w:p w14:paraId="12FFAFB7">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p>
        </w:tc>
        <w:tc>
          <w:tcPr>
            <w:tcW w:w="1762" w:type="dxa"/>
            <w:shd w:val="clear" w:color="auto" w:fill="auto"/>
            <w:noWrap w:val="0"/>
            <w:vAlign w:val="center"/>
          </w:tcPr>
          <w:p w14:paraId="7BC67A16">
            <w:pPr>
              <w:pStyle w:val="39"/>
              <w:keepNext w:val="0"/>
              <w:keepLines w:val="0"/>
              <w:suppressLineNumbers w:val="0"/>
              <w:spacing w:before="0" w:beforeAutospacing="0" w:after="0" w:afterAutospacing="0" w:line="360" w:lineRule="exact"/>
              <w:ind w:left="0" w:leftChars="0" w:right="0" w:rightChars="0"/>
              <w:jc w:val="center"/>
              <w:rPr>
                <w:rFonts w:hint="default"/>
                <w:color w:val="auto"/>
                <w:sz w:val="21"/>
                <w:szCs w:val="22"/>
                <w:highlight w:val="none"/>
                <w:lang w:val="en-US" w:eastAsia="zh-CN"/>
              </w:rPr>
            </w:pPr>
            <w:r>
              <w:rPr>
                <w:rFonts w:hint="eastAsia"/>
                <w:color w:val="auto"/>
                <w:sz w:val="21"/>
                <w:szCs w:val="22"/>
                <w:highlight w:val="none"/>
                <w:lang w:val="en-US" w:eastAsia="zh-CN"/>
              </w:rPr>
              <w:t>沉淀池底泥（氧化铁渣）</w:t>
            </w:r>
          </w:p>
        </w:tc>
        <w:tc>
          <w:tcPr>
            <w:tcW w:w="1491" w:type="dxa"/>
            <w:shd w:val="clear" w:color="auto" w:fill="auto"/>
            <w:noWrap w:val="0"/>
            <w:vAlign w:val="center"/>
          </w:tcPr>
          <w:p w14:paraId="6E2741EF">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221D6E74">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2929BC42">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502D3E3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3.2t/a</w:t>
            </w:r>
          </w:p>
        </w:tc>
        <w:tc>
          <w:tcPr>
            <w:tcW w:w="1491" w:type="dxa"/>
            <w:shd w:val="clear" w:color="auto" w:fill="auto"/>
            <w:noWrap w:val="0"/>
            <w:vAlign w:val="center"/>
          </w:tcPr>
          <w:p w14:paraId="4651C89E">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2B65AA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3.2t/a</w:t>
            </w:r>
          </w:p>
        </w:tc>
        <w:tc>
          <w:tcPr>
            <w:tcW w:w="1492" w:type="dxa"/>
            <w:shd w:val="clear" w:color="auto" w:fill="auto"/>
            <w:noWrap w:val="0"/>
            <w:vAlign w:val="center"/>
          </w:tcPr>
          <w:p w14:paraId="518C085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+3.2</w:t>
            </w:r>
          </w:p>
        </w:tc>
      </w:tr>
      <w:tr w14:paraId="7CB592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continue"/>
            <w:noWrap w:val="0"/>
            <w:vAlign w:val="center"/>
          </w:tcPr>
          <w:p w14:paraId="24F14CEF">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p>
        </w:tc>
        <w:tc>
          <w:tcPr>
            <w:tcW w:w="1762" w:type="dxa"/>
            <w:shd w:val="clear" w:color="auto" w:fill="auto"/>
            <w:noWrap w:val="0"/>
            <w:vAlign w:val="center"/>
          </w:tcPr>
          <w:p w14:paraId="1792963D">
            <w:pPr>
              <w:pStyle w:val="39"/>
              <w:keepNext w:val="0"/>
              <w:keepLines w:val="0"/>
              <w:suppressLineNumbers w:val="0"/>
              <w:spacing w:before="0" w:beforeAutospacing="0" w:after="0" w:afterAutospacing="0" w:line="360" w:lineRule="exact"/>
              <w:ind w:left="0" w:leftChars="0" w:right="0" w:rightChars="0"/>
              <w:jc w:val="center"/>
              <w:rPr>
                <w:rFonts w:hint="default"/>
                <w:color w:val="auto"/>
                <w:sz w:val="21"/>
                <w:szCs w:val="22"/>
                <w:highlight w:val="none"/>
                <w:lang w:val="en-US" w:eastAsia="zh-CN"/>
              </w:rPr>
            </w:pPr>
            <w:r>
              <w:rPr>
                <w:rFonts w:hint="eastAsia"/>
                <w:color w:val="auto"/>
                <w:sz w:val="21"/>
                <w:szCs w:val="22"/>
                <w:highlight w:val="none"/>
                <w:lang w:val="en-US" w:eastAsia="zh-CN"/>
              </w:rPr>
              <w:t>不合格品</w:t>
            </w:r>
          </w:p>
        </w:tc>
        <w:tc>
          <w:tcPr>
            <w:tcW w:w="1491" w:type="dxa"/>
            <w:shd w:val="clear" w:color="auto" w:fill="auto"/>
            <w:noWrap w:val="0"/>
            <w:vAlign w:val="center"/>
          </w:tcPr>
          <w:p w14:paraId="30CF4286">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0B6A7941">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25FEF874">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527CB1D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8t/a</w:t>
            </w:r>
          </w:p>
        </w:tc>
        <w:tc>
          <w:tcPr>
            <w:tcW w:w="1491" w:type="dxa"/>
            <w:shd w:val="clear" w:color="auto" w:fill="auto"/>
            <w:noWrap w:val="0"/>
            <w:vAlign w:val="center"/>
          </w:tcPr>
          <w:p w14:paraId="5B95A82D">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20DD506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8t/a</w:t>
            </w:r>
          </w:p>
        </w:tc>
        <w:tc>
          <w:tcPr>
            <w:tcW w:w="1492" w:type="dxa"/>
            <w:shd w:val="clear" w:color="auto" w:fill="auto"/>
            <w:noWrap w:val="0"/>
            <w:vAlign w:val="center"/>
          </w:tcPr>
          <w:p w14:paraId="5024D7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+8</w:t>
            </w:r>
          </w:p>
        </w:tc>
      </w:tr>
      <w:tr w14:paraId="35616F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noWrap w:val="0"/>
            <w:vAlign w:val="center"/>
          </w:tcPr>
          <w:p w14:paraId="05A5AE2D">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职工生活垃圾</w:t>
            </w:r>
          </w:p>
        </w:tc>
        <w:tc>
          <w:tcPr>
            <w:tcW w:w="1762" w:type="dxa"/>
            <w:noWrap w:val="0"/>
            <w:vAlign w:val="center"/>
          </w:tcPr>
          <w:p w14:paraId="508AF3A0">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rPr>
              <w:t>生活垃圾</w:t>
            </w:r>
          </w:p>
        </w:tc>
        <w:tc>
          <w:tcPr>
            <w:tcW w:w="1491" w:type="dxa"/>
            <w:noWrap w:val="0"/>
            <w:vAlign w:val="center"/>
          </w:tcPr>
          <w:p w14:paraId="4D18917A">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40E68174">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36D06F22">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2E73E059">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mallCaps w:val="0"/>
                <w:snapToGrid w:val="0"/>
                <w:color w:val="auto"/>
                <w:spacing w:val="0"/>
                <w:kern w:val="21"/>
                <w:sz w:val="21"/>
                <w:szCs w:val="21"/>
                <w:highlight w:val="none"/>
                <w:lang w:val="en-US" w:eastAsia="zh-CN" w:bidi="ar-SA"/>
              </w:rPr>
            </w:pPr>
            <w:r>
              <w:rPr>
                <w:rFonts w:hint="eastAsia" w:cs="Times New Roman"/>
                <w:snapToGrid w:val="0"/>
                <w:color w:val="auto"/>
                <w:kern w:val="21"/>
                <w:sz w:val="21"/>
                <w:szCs w:val="21"/>
                <w:highlight w:val="none"/>
                <w:lang w:val="en-US" w:eastAsia="zh-CN"/>
              </w:rPr>
              <w:t>1.5t/a</w:t>
            </w:r>
          </w:p>
        </w:tc>
        <w:tc>
          <w:tcPr>
            <w:tcW w:w="1491" w:type="dxa"/>
            <w:shd w:val="clear" w:color="auto" w:fill="auto"/>
            <w:noWrap w:val="0"/>
            <w:vAlign w:val="center"/>
          </w:tcPr>
          <w:p w14:paraId="2F1BA2CF">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65F0AD8A">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mallCaps w:val="0"/>
                <w:snapToGrid w:val="0"/>
                <w:color w:val="auto"/>
                <w:spacing w:val="0"/>
                <w:kern w:val="21"/>
                <w:sz w:val="21"/>
                <w:szCs w:val="21"/>
                <w:highlight w:val="none"/>
                <w:lang w:val="en-US" w:eastAsia="zh-CN" w:bidi="ar-SA"/>
              </w:rPr>
            </w:pPr>
            <w:r>
              <w:rPr>
                <w:rFonts w:hint="eastAsia" w:cs="Times New Roman"/>
                <w:snapToGrid w:val="0"/>
                <w:color w:val="auto"/>
                <w:kern w:val="21"/>
                <w:sz w:val="21"/>
                <w:szCs w:val="21"/>
                <w:highlight w:val="none"/>
                <w:lang w:val="en-US" w:eastAsia="zh-CN"/>
              </w:rPr>
              <w:t>1.5t/a</w:t>
            </w:r>
          </w:p>
        </w:tc>
        <w:tc>
          <w:tcPr>
            <w:tcW w:w="1492" w:type="dxa"/>
            <w:shd w:val="clear" w:color="auto" w:fill="auto"/>
            <w:noWrap w:val="0"/>
            <w:vAlign w:val="center"/>
          </w:tcPr>
          <w:p w14:paraId="3B352927">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mallCaps w:val="0"/>
                <w:snapToGrid w:val="0"/>
                <w:color w:val="auto"/>
                <w:spacing w:val="0"/>
                <w:kern w:val="21"/>
                <w:sz w:val="21"/>
                <w:szCs w:val="21"/>
                <w:highlight w:val="none"/>
                <w:lang w:val="en-US" w:eastAsia="zh-CN" w:bidi="ar-SA"/>
              </w:rPr>
            </w:pPr>
            <w:r>
              <w:rPr>
                <w:rFonts w:hint="eastAsia" w:cs="Times New Roman"/>
                <w:snapToGrid w:val="0"/>
                <w:color w:val="auto"/>
                <w:kern w:val="21"/>
                <w:sz w:val="21"/>
                <w:szCs w:val="21"/>
                <w:highlight w:val="none"/>
                <w:lang w:val="en-US" w:eastAsia="zh-CN"/>
              </w:rPr>
              <w:t>+1.5</w:t>
            </w:r>
          </w:p>
        </w:tc>
      </w:tr>
      <w:tr w14:paraId="4461DB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restart"/>
            <w:noWrap w:val="0"/>
            <w:vAlign w:val="center"/>
          </w:tcPr>
          <w:p w14:paraId="0CA499ED">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r>
              <w:rPr>
                <w:rFonts w:hint="default" w:ascii="Times New Roman" w:hAnsi="Times New Roman" w:cs="Times New Roman"/>
                <w:snapToGrid w:val="0"/>
                <w:color w:val="auto"/>
                <w:kern w:val="21"/>
                <w:sz w:val="21"/>
                <w:szCs w:val="21"/>
                <w:highlight w:val="none"/>
              </w:rPr>
              <w:t>危险废物</w:t>
            </w:r>
          </w:p>
        </w:tc>
        <w:tc>
          <w:tcPr>
            <w:tcW w:w="1762" w:type="dxa"/>
            <w:shd w:val="clear" w:color="auto" w:fill="auto"/>
            <w:noWrap w:val="0"/>
            <w:vAlign w:val="center"/>
          </w:tcPr>
          <w:p w14:paraId="53F8F003">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废润滑油</w:t>
            </w:r>
          </w:p>
        </w:tc>
        <w:tc>
          <w:tcPr>
            <w:tcW w:w="1491" w:type="dxa"/>
            <w:shd w:val="clear" w:color="auto" w:fill="auto"/>
            <w:noWrap w:val="0"/>
            <w:vAlign w:val="center"/>
          </w:tcPr>
          <w:p w14:paraId="6CE0F3AC">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noWrap w:val="0"/>
            <w:vAlign w:val="center"/>
          </w:tcPr>
          <w:p w14:paraId="07BB78B5">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6C9B2977">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mallCaps w:val="0"/>
                <w:snapToGrid w:val="0"/>
                <w:color w:val="auto"/>
                <w:spacing w:val="0"/>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3DDD8F38">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0.048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1" w:type="dxa"/>
            <w:shd w:val="clear" w:color="auto" w:fill="auto"/>
            <w:noWrap w:val="0"/>
            <w:vAlign w:val="center"/>
          </w:tcPr>
          <w:p w14:paraId="214C220D">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noWrap w:val="0"/>
            <w:vAlign w:val="center"/>
          </w:tcPr>
          <w:p w14:paraId="14A2C5BC">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0.048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2" w:type="dxa"/>
            <w:shd w:val="clear" w:color="auto" w:fill="auto"/>
            <w:noWrap w:val="0"/>
            <w:vAlign w:val="center"/>
          </w:tcPr>
          <w:p w14:paraId="4AB8A47F">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+0.048</w:t>
            </w:r>
          </w:p>
        </w:tc>
      </w:tr>
      <w:tr w14:paraId="3FC984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continue"/>
            <w:vAlign w:val="center"/>
          </w:tcPr>
          <w:p w14:paraId="3483DDCD">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p>
        </w:tc>
        <w:tc>
          <w:tcPr>
            <w:tcW w:w="1762" w:type="dxa"/>
            <w:shd w:val="clear" w:color="auto" w:fill="auto"/>
            <w:vAlign w:val="center"/>
          </w:tcPr>
          <w:p w14:paraId="023BA431">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废润滑油桶</w:t>
            </w:r>
          </w:p>
        </w:tc>
        <w:tc>
          <w:tcPr>
            <w:tcW w:w="1491" w:type="dxa"/>
            <w:shd w:val="clear" w:color="auto" w:fill="auto"/>
            <w:vAlign w:val="center"/>
          </w:tcPr>
          <w:p w14:paraId="5003DE0A">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vAlign w:val="center"/>
          </w:tcPr>
          <w:p w14:paraId="334B5991">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snapToGrid w:val="0"/>
                <w:color w:val="auto"/>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225B7FAA">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smallCaps w:val="0"/>
                <w:snapToGrid w:val="0"/>
                <w:color w:val="auto"/>
                <w:spacing w:val="0"/>
                <w:kern w:val="21"/>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41F44A76">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0.002</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1" w:type="dxa"/>
            <w:shd w:val="clear" w:color="auto" w:fill="auto"/>
            <w:vAlign w:val="center"/>
          </w:tcPr>
          <w:p w14:paraId="6A3570C2">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26A7B162">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0.002</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2" w:type="dxa"/>
            <w:shd w:val="clear" w:color="auto" w:fill="auto"/>
            <w:vAlign w:val="center"/>
          </w:tcPr>
          <w:p w14:paraId="0D205B00">
            <w:pPr>
              <w:keepNext w:val="0"/>
              <w:keepLines w:val="0"/>
              <w:suppressLineNumbers w:val="0"/>
              <w:snapToGrid w:val="0"/>
              <w:spacing w:before="0" w:beforeAutospacing="0" w:after="0" w:afterAutospacing="0" w:line="360" w:lineRule="exact"/>
              <w:ind w:left="-105" w:leftChars="-50" w:right="-105" w:rightChars="-5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+0.002</w:t>
            </w:r>
          </w:p>
        </w:tc>
      </w:tr>
      <w:tr w14:paraId="5316C2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continue"/>
            <w:vAlign w:val="center"/>
          </w:tcPr>
          <w:p w14:paraId="5565F990">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p>
        </w:tc>
        <w:tc>
          <w:tcPr>
            <w:tcW w:w="1762" w:type="dxa"/>
            <w:shd w:val="clear" w:color="auto" w:fill="auto"/>
            <w:vAlign w:val="center"/>
          </w:tcPr>
          <w:p w14:paraId="6AF406B0">
            <w:pPr>
              <w:pStyle w:val="39"/>
              <w:keepNext w:val="0"/>
              <w:keepLines w:val="0"/>
              <w:suppressLineNumbers w:val="0"/>
              <w:spacing w:before="0" w:beforeAutospacing="0" w:after="0" w:afterAutospacing="0" w:line="360" w:lineRule="exact"/>
              <w:ind w:left="0" w:leftChars="0" w:right="0" w:rightChars="0"/>
              <w:jc w:val="center"/>
              <w:rPr>
                <w:rFonts w:hint="default"/>
                <w:color w:val="auto"/>
                <w:sz w:val="21"/>
                <w:szCs w:val="22"/>
                <w:highlight w:val="none"/>
                <w:lang w:val="en-US" w:eastAsia="zh-CN"/>
              </w:rPr>
            </w:pPr>
            <w:r>
              <w:rPr>
                <w:rFonts w:hint="eastAsia"/>
                <w:color w:val="auto"/>
                <w:sz w:val="21"/>
                <w:szCs w:val="22"/>
                <w:highlight w:val="none"/>
                <w:lang w:val="en-US" w:eastAsia="zh-CN"/>
              </w:rPr>
              <w:t>废切削液</w:t>
            </w:r>
          </w:p>
        </w:tc>
        <w:tc>
          <w:tcPr>
            <w:tcW w:w="1491" w:type="dxa"/>
            <w:shd w:val="clear" w:color="auto" w:fill="auto"/>
            <w:vAlign w:val="center"/>
          </w:tcPr>
          <w:p w14:paraId="4B912240">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vAlign w:val="center"/>
          </w:tcPr>
          <w:p w14:paraId="6D7AAE12">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749FDDC5">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63E1FCCF">
            <w:pPr>
              <w:keepNext w:val="0"/>
              <w:keepLines w:val="0"/>
              <w:suppressLineNumbers w:val="0"/>
              <w:snapToGrid w:val="0"/>
              <w:spacing w:before="0" w:beforeAutospacing="0" w:after="0" w:afterAutospacing="0" w:line="360" w:lineRule="exact"/>
              <w:ind w:left="-105" w:leftChars="-50" w:right="-105" w:rightChars="-50"/>
              <w:jc w:val="center"/>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0.576</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1" w:type="dxa"/>
            <w:shd w:val="clear" w:color="auto" w:fill="auto"/>
            <w:vAlign w:val="center"/>
          </w:tcPr>
          <w:p w14:paraId="00F538ED">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4206FDE3">
            <w:pPr>
              <w:keepNext w:val="0"/>
              <w:keepLines w:val="0"/>
              <w:suppressLineNumbers w:val="0"/>
              <w:snapToGrid w:val="0"/>
              <w:spacing w:before="0" w:beforeAutospacing="0" w:after="0" w:afterAutospacing="0" w:line="360" w:lineRule="exact"/>
              <w:ind w:left="-105" w:leftChars="-50" w:right="-105" w:rightChars="-5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0.576</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2" w:type="dxa"/>
            <w:shd w:val="clear" w:color="auto" w:fill="auto"/>
            <w:vAlign w:val="center"/>
          </w:tcPr>
          <w:p w14:paraId="6C4BCD2B">
            <w:pPr>
              <w:keepNext w:val="0"/>
              <w:keepLines w:val="0"/>
              <w:suppressLineNumbers w:val="0"/>
              <w:snapToGrid w:val="0"/>
              <w:spacing w:before="0" w:beforeAutospacing="0" w:after="0" w:afterAutospacing="0" w:line="360" w:lineRule="exact"/>
              <w:ind w:left="-105" w:leftChars="-50" w:right="-105" w:rightChars="-5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+0.576</w:t>
            </w:r>
          </w:p>
        </w:tc>
      </w:tr>
      <w:tr w14:paraId="1D6F53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continue"/>
            <w:vAlign w:val="center"/>
          </w:tcPr>
          <w:p w14:paraId="62D05A8D">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p>
        </w:tc>
        <w:tc>
          <w:tcPr>
            <w:tcW w:w="1762" w:type="dxa"/>
            <w:shd w:val="clear" w:color="auto" w:fill="auto"/>
            <w:vAlign w:val="center"/>
          </w:tcPr>
          <w:p w14:paraId="52F9EBB5">
            <w:pPr>
              <w:pStyle w:val="39"/>
              <w:keepNext w:val="0"/>
              <w:keepLines w:val="0"/>
              <w:suppressLineNumbers w:val="0"/>
              <w:spacing w:before="0" w:beforeAutospacing="0" w:after="0" w:afterAutospacing="0" w:line="360" w:lineRule="exact"/>
              <w:ind w:left="0" w:leftChars="0" w:right="0" w:rightChars="0"/>
              <w:jc w:val="center"/>
              <w:rPr>
                <w:rFonts w:hint="default"/>
                <w:color w:val="auto"/>
                <w:sz w:val="21"/>
                <w:szCs w:val="22"/>
                <w:highlight w:val="none"/>
                <w:lang w:val="en-US" w:eastAsia="zh-CN"/>
              </w:rPr>
            </w:pPr>
            <w:r>
              <w:rPr>
                <w:rFonts w:hint="eastAsia"/>
                <w:color w:val="auto"/>
                <w:sz w:val="21"/>
                <w:szCs w:val="22"/>
                <w:highlight w:val="none"/>
                <w:lang w:val="en-US" w:eastAsia="zh-CN"/>
              </w:rPr>
              <w:t>废切削液桶</w:t>
            </w:r>
          </w:p>
        </w:tc>
        <w:tc>
          <w:tcPr>
            <w:tcW w:w="1491" w:type="dxa"/>
            <w:shd w:val="clear" w:color="auto" w:fill="auto"/>
            <w:vAlign w:val="center"/>
          </w:tcPr>
          <w:p w14:paraId="41AED781">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vAlign w:val="center"/>
          </w:tcPr>
          <w:p w14:paraId="7D7DE8A8">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3DBC497B">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5944B6FD">
            <w:pPr>
              <w:keepNext w:val="0"/>
              <w:keepLines w:val="0"/>
              <w:suppressLineNumbers w:val="0"/>
              <w:snapToGrid w:val="0"/>
              <w:spacing w:before="0" w:beforeAutospacing="0" w:after="0" w:afterAutospacing="0" w:line="360" w:lineRule="exact"/>
              <w:ind w:left="-105" w:leftChars="-50" w:right="-105" w:rightChars="-50"/>
              <w:jc w:val="center"/>
              <w:rPr>
                <w:rFonts w:hint="eastAsia"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0.006</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1" w:type="dxa"/>
            <w:shd w:val="clear" w:color="auto" w:fill="auto"/>
            <w:vAlign w:val="center"/>
          </w:tcPr>
          <w:p w14:paraId="72BBCA18">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0517422F">
            <w:pPr>
              <w:keepNext w:val="0"/>
              <w:keepLines w:val="0"/>
              <w:suppressLineNumbers w:val="0"/>
              <w:snapToGrid w:val="0"/>
              <w:spacing w:before="0" w:beforeAutospacing="0" w:after="0" w:afterAutospacing="0" w:line="360" w:lineRule="exact"/>
              <w:ind w:left="-105" w:leftChars="-50" w:right="-105" w:rightChars="-5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0.006</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2" w:type="dxa"/>
            <w:shd w:val="clear" w:color="auto" w:fill="auto"/>
            <w:vAlign w:val="center"/>
          </w:tcPr>
          <w:p w14:paraId="25155C69">
            <w:pPr>
              <w:keepNext w:val="0"/>
              <w:keepLines w:val="0"/>
              <w:suppressLineNumbers w:val="0"/>
              <w:snapToGrid w:val="0"/>
              <w:spacing w:before="0" w:beforeAutospacing="0" w:after="0" w:afterAutospacing="0" w:line="360" w:lineRule="exact"/>
              <w:ind w:left="-105" w:leftChars="-50" w:right="-105" w:rightChars="-50"/>
              <w:jc w:val="center"/>
              <w:rPr>
                <w:rFonts w:hint="eastAsia"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+0.006</w:t>
            </w:r>
          </w:p>
        </w:tc>
      </w:tr>
      <w:tr w14:paraId="119ED0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1588" w:type="dxa"/>
            <w:vMerge w:val="continue"/>
            <w:vAlign w:val="center"/>
          </w:tcPr>
          <w:p w14:paraId="2CBE967D">
            <w:pPr>
              <w:pStyle w:val="131"/>
              <w:keepNext w:val="0"/>
              <w:keepLines w:val="0"/>
              <w:pageBreakBefore w:val="0"/>
              <w:widowControl w:val="0"/>
              <w:suppressLineNumbers w:val="0"/>
              <w:tabs>
                <w:tab w:val="left" w:pos="6521"/>
              </w:tabs>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rPr>
            </w:pPr>
          </w:p>
        </w:tc>
        <w:tc>
          <w:tcPr>
            <w:tcW w:w="1762" w:type="dxa"/>
            <w:shd w:val="clear" w:color="auto" w:fill="auto"/>
            <w:vAlign w:val="center"/>
          </w:tcPr>
          <w:p w14:paraId="6B6C5EEB">
            <w:pPr>
              <w:pStyle w:val="39"/>
              <w:keepNext w:val="0"/>
              <w:keepLines w:val="0"/>
              <w:suppressLineNumbers w:val="0"/>
              <w:spacing w:before="0" w:beforeAutospacing="0" w:after="0" w:afterAutospacing="0" w:line="360" w:lineRule="exact"/>
              <w:ind w:left="0" w:leftChars="0" w:right="0" w:rightChars="0"/>
              <w:jc w:val="center"/>
              <w:rPr>
                <w:rFonts w:hint="default" w:ascii="Times New Roman" w:hAnsi="Times New Roman" w:eastAsia="宋体" w:cs="Times New Roman"/>
                <w:smallCaps/>
                <w:color w:val="auto"/>
                <w:kern w:val="0"/>
                <w:sz w:val="21"/>
                <w:szCs w:val="22"/>
                <w:highlight w:val="none"/>
                <w:lang w:val="en-US" w:eastAsia="zh-CN" w:bidi="ar-SA"/>
              </w:rPr>
            </w:pPr>
            <w:r>
              <w:rPr>
                <w:rFonts w:hint="eastAsia"/>
                <w:color w:val="auto"/>
                <w:sz w:val="21"/>
                <w:szCs w:val="22"/>
                <w:highlight w:val="none"/>
                <w:lang w:val="en-US" w:eastAsia="zh-CN"/>
              </w:rPr>
              <w:t>含油抹布及废劳保用品</w:t>
            </w:r>
          </w:p>
        </w:tc>
        <w:tc>
          <w:tcPr>
            <w:tcW w:w="1491" w:type="dxa"/>
            <w:vAlign w:val="center"/>
          </w:tcPr>
          <w:p w14:paraId="75E9DD87">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vAlign w:val="center"/>
          </w:tcPr>
          <w:p w14:paraId="0AB6EC39">
            <w:pPr>
              <w:keepNext w:val="0"/>
              <w:keepLines w:val="0"/>
              <w:pageBreakBefore w:val="0"/>
              <w:widowControl w:val="0"/>
              <w:suppressLineNumbers w:val="0"/>
              <w:kinsoku/>
              <w:wordWrap/>
              <w:overflowPunct/>
              <w:bidi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snapToGrid w:val="0"/>
                <w:color w:val="auto"/>
                <w:kern w:val="21"/>
                <w:sz w:val="21"/>
                <w:szCs w:val="21"/>
                <w:highlight w:val="none"/>
                <w:lang w:val="en-US" w:eastAsia="zh-CN"/>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0B81A7D0">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4C0854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0.368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1" w:type="dxa"/>
            <w:shd w:val="clear" w:color="auto" w:fill="auto"/>
            <w:vAlign w:val="center"/>
          </w:tcPr>
          <w:p w14:paraId="368FA396">
            <w:pPr>
              <w:keepNext w:val="0"/>
              <w:keepLines w:val="0"/>
              <w:pageBreakBefore w:val="0"/>
              <w:widowControl w:val="0"/>
              <w:suppressLineNumbers w:val="0"/>
              <w:kinsoku/>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cs="Times New Roman"/>
                <w:snapToGrid w:val="0"/>
                <w:color w:val="auto"/>
                <w:kern w:val="21"/>
                <w:sz w:val="21"/>
                <w:szCs w:val="21"/>
                <w:highlight w:val="none"/>
                <w:lang w:val="en-US" w:eastAsia="zh-CN"/>
              </w:rPr>
              <w:t>-</w:t>
            </w:r>
          </w:p>
        </w:tc>
        <w:tc>
          <w:tcPr>
            <w:tcW w:w="1491" w:type="dxa"/>
            <w:shd w:val="clear" w:color="auto" w:fill="auto"/>
            <w:vAlign w:val="center"/>
          </w:tcPr>
          <w:p w14:paraId="542AB9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0.368</w:t>
            </w:r>
            <w:r>
              <w:rPr>
                <w:rFonts w:hint="default" w:ascii="Times New Roman" w:hAnsi="Times New Roman" w:cs="Times New Roman"/>
                <w:smallCaps w:val="0"/>
                <w:color w:val="auto"/>
                <w:spacing w:val="0"/>
                <w:kern w:val="2"/>
                <w:sz w:val="21"/>
                <w:szCs w:val="21"/>
                <w:highlight w:val="none"/>
                <w:lang w:val="en-US" w:eastAsia="zh-CN" w:bidi="ar-SA"/>
              </w:rPr>
              <w:t>t/a</w:t>
            </w:r>
          </w:p>
        </w:tc>
        <w:tc>
          <w:tcPr>
            <w:tcW w:w="1492" w:type="dxa"/>
            <w:shd w:val="clear" w:color="auto" w:fill="auto"/>
            <w:vAlign w:val="center"/>
          </w:tcPr>
          <w:p w14:paraId="60A3370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center"/>
              <w:textAlignment w:val="auto"/>
              <w:rPr>
                <w:rFonts w:hint="default" w:ascii="Times New Roman" w:hAnsi="Times New Roman" w:eastAsia="宋体" w:cs="Times New Roman"/>
                <w:smallCaps w:val="0"/>
                <w:color w:val="auto"/>
                <w:spacing w:val="0"/>
                <w:kern w:val="2"/>
                <w:sz w:val="21"/>
                <w:szCs w:val="21"/>
                <w:highlight w:val="none"/>
                <w:lang w:val="en-US" w:eastAsia="zh-CN" w:bidi="ar-SA"/>
              </w:rPr>
            </w:pPr>
            <w:r>
              <w:rPr>
                <w:rFonts w:hint="eastAsia" w:cs="Times New Roman"/>
                <w:smallCaps w:val="0"/>
                <w:color w:val="auto"/>
                <w:spacing w:val="0"/>
                <w:kern w:val="2"/>
                <w:sz w:val="21"/>
                <w:szCs w:val="21"/>
                <w:highlight w:val="none"/>
                <w:lang w:val="en-US" w:eastAsia="zh-CN" w:bidi="ar-SA"/>
              </w:rPr>
              <w:t>+0.368</w:t>
            </w:r>
          </w:p>
        </w:tc>
      </w:tr>
    </w:tbl>
    <w:p w14:paraId="462078FD">
      <w:pPr>
        <w:pStyle w:val="131"/>
        <w:keepNext w:val="0"/>
        <w:keepLines w:val="0"/>
        <w:pageBreakBefore w:val="0"/>
        <w:widowControl w:val="0"/>
        <w:tabs>
          <w:tab w:val="left" w:pos="6521"/>
        </w:tabs>
        <w:kinsoku/>
        <w:wordWrap/>
        <w:overflowPunct/>
        <w:topLinePunct/>
        <w:autoSpaceDE/>
        <w:autoSpaceDN/>
        <w:bidi w:val="0"/>
        <w:adjustRightInd w:val="0"/>
        <w:snapToGrid w:val="0"/>
        <w:spacing w:before="192" w:beforeLines="80" w:after="24" w:line="240" w:lineRule="auto"/>
        <w:ind w:firstLine="480"/>
        <w:jc w:val="left"/>
        <w:textAlignment w:val="baseline"/>
        <w:rPr>
          <w:rFonts w:hint="default" w:ascii="Times New Roman" w:hAnsi="Times New Roman" w:cs="Times New Roman"/>
          <w:smallCaps w:val="0"/>
          <w:color w:val="auto"/>
          <w:spacing w:val="0"/>
          <w:highlight w:val="none"/>
        </w:rPr>
      </w:pPr>
      <w:r>
        <w:rPr>
          <w:rFonts w:hint="default" w:ascii="Times New Roman" w:hAnsi="Times New Roman" w:cs="Times New Roman"/>
          <w:snapToGrid w:val="0"/>
          <w:color w:val="auto"/>
          <w:kern w:val="21"/>
          <w:szCs w:val="21"/>
          <w:highlight w:val="none"/>
        </w:rPr>
        <w:t>注</w:t>
      </w:r>
      <w:r>
        <w:rPr>
          <w:rFonts w:hint="eastAsia" w:cs="Times New Roman"/>
          <w:snapToGrid w:val="0"/>
          <w:color w:val="auto"/>
          <w:kern w:val="21"/>
          <w:szCs w:val="21"/>
          <w:highlight w:val="none"/>
          <w:lang w:eastAsia="zh-CN"/>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3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③</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4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④</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5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⑤</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7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⑦</w:t>
      </w:r>
      <w:r>
        <w:rPr>
          <w:rFonts w:hint="default" w:ascii="Times New Roman" w:hAnsi="Times New Roman" w:cs="Times New Roman"/>
          <w:snapToGrid w:val="0"/>
          <w:color w:val="auto"/>
          <w:spacing w:val="-6"/>
          <w:kern w:val="21"/>
          <w:szCs w:val="21"/>
          <w:highlight w:val="none"/>
        </w:rPr>
        <w:fldChar w:fldCharType="end"/>
      </w:r>
      <w:r>
        <w:rPr>
          <w:rFonts w:hint="default" w:ascii="Times New Roman" w:hAnsi="Times New Roman" w:cs="Times New Roman"/>
          <w:snapToGrid w:val="0"/>
          <w:color w:val="auto"/>
          <w:spacing w:val="-6"/>
          <w:kern w:val="21"/>
          <w:szCs w:val="21"/>
          <w:highlight w:val="none"/>
        </w:rPr>
        <w:t>=</w:t>
      </w:r>
      <w:r>
        <w:rPr>
          <w:rFonts w:hint="default" w:ascii="Times New Roman" w:hAnsi="Times New Roman" w:cs="Times New Roman"/>
          <w:snapToGrid w:val="0"/>
          <w:color w:val="auto"/>
          <w:spacing w:val="-16"/>
          <w:kern w:val="21"/>
          <w:szCs w:val="21"/>
          <w:highlight w:val="none"/>
        </w:rPr>
        <w:fldChar w:fldCharType="begin"/>
      </w:r>
      <w:r>
        <w:rPr>
          <w:rFonts w:hint="default" w:ascii="Times New Roman" w:hAnsi="Times New Roman" w:cs="Times New Roman"/>
          <w:snapToGrid w:val="0"/>
          <w:color w:val="auto"/>
          <w:spacing w:val="-16"/>
          <w:kern w:val="21"/>
          <w:szCs w:val="21"/>
          <w:highlight w:val="none"/>
        </w:rPr>
        <w:instrText xml:space="preserve"> = 6 \* GB3 \* MERGEFORMAT </w:instrText>
      </w:r>
      <w:r>
        <w:rPr>
          <w:rFonts w:hint="default" w:ascii="Times New Roman" w:hAnsi="Times New Roman" w:cs="Times New Roman"/>
          <w:snapToGrid w:val="0"/>
          <w:color w:val="auto"/>
          <w:spacing w:val="-16"/>
          <w:kern w:val="21"/>
          <w:szCs w:val="21"/>
          <w:highlight w:val="none"/>
        </w:rPr>
        <w:fldChar w:fldCharType="separate"/>
      </w:r>
      <w:r>
        <w:rPr>
          <w:rFonts w:hint="default" w:ascii="Times New Roman" w:hAnsi="Times New Roman" w:cs="Times New Roman"/>
          <w:color w:val="auto"/>
          <w:szCs w:val="21"/>
          <w:highlight w:val="none"/>
        </w:rPr>
        <w:t>⑥</w:t>
      </w:r>
      <w:r>
        <w:rPr>
          <w:rFonts w:hint="default" w:ascii="Times New Roman" w:hAnsi="Times New Roman" w:cs="Times New Roman"/>
          <w:snapToGrid w:val="0"/>
          <w:color w:val="auto"/>
          <w:spacing w:val="-16"/>
          <w:kern w:val="21"/>
          <w:szCs w:val="21"/>
          <w:highlight w:val="none"/>
        </w:rPr>
        <w:fldChar w:fldCharType="end"/>
      </w:r>
      <w:r>
        <w:rPr>
          <w:rFonts w:hint="default" w:ascii="Times New Roman" w:hAnsi="Times New Roman" w:cs="Times New Roman"/>
          <w:snapToGrid w:val="0"/>
          <w:color w:val="auto"/>
          <w:spacing w:val="-16"/>
          <w:kern w:val="21"/>
          <w:szCs w:val="21"/>
          <w:highlight w:val="none"/>
        </w:rPr>
        <w:t>-</w:t>
      </w:r>
      <w:r>
        <w:rPr>
          <w:rFonts w:hint="default" w:ascii="Times New Roman" w:hAnsi="Times New Roman" w:cs="Times New Roman"/>
          <w:snapToGrid w:val="0"/>
          <w:color w:val="auto"/>
          <w:spacing w:val="-6"/>
          <w:kern w:val="21"/>
          <w:szCs w:val="21"/>
          <w:highlight w:val="none"/>
        </w:rPr>
        <w:fldChar w:fldCharType="begin"/>
      </w:r>
      <w:r>
        <w:rPr>
          <w:rFonts w:hint="default" w:ascii="Times New Roman" w:hAnsi="Times New Roman" w:cs="Times New Roman"/>
          <w:snapToGrid w:val="0"/>
          <w:color w:val="auto"/>
          <w:spacing w:val="-6"/>
          <w:kern w:val="21"/>
          <w:szCs w:val="21"/>
          <w:highlight w:val="none"/>
        </w:rPr>
        <w:instrText xml:space="preserve"> = 1 \* GB3 \* MERGEFORMAT </w:instrText>
      </w:r>
      <w:r>
        <w:rPr>
          <w:rFonts w:hint="default" w:ascii="Times New Roman" w:hAnsi="Times New Roman" w:cs="Times New Roman"/>
          <w:snapToGrid w:val="0"/>
          <w:color w:val="auto"/>
          <w:spacing w:val="-6"/>
          <w:kern w:val="21"/>
          <w:szCs w:val="21"/>
          <w:highlight w:val="none"/>
        </w:rPr>
        <w:fldChar w:fldCharType="separate"/>
      </w:r>
      <w:r>
        <w:rPr>
          <w:rFonts w:hint="default" w:ascii="Times New Roman" w:hAnsi="Times New Roman" w:cs="Times New Roman"/>
          <w:color w:val="auto"/>
          <w:szCs w:val="21"/>
          <w:highlight w:val="none"/>
        </w:rPr>
        <w:t>①</w:t>
      </w:r>
      <w:r>
        <w:rPr>
          <w:rFonts w:hint="default" w:ascii="Times New Roman" w:hAnsi="Times New Roman" w:cs="Times New Roman"/>
          <w:snapToGrid w:val="0"/>
          <w:color w:val="auto"/>
          <w:spacing w:val="-6"/>
          <w:kern w:val="21"/>
          <w:szCs w:val="21"/>
          <w:highlight w:val="none"/>
        </w:rPr>
        <w:fldChar w:fldCharType="end"/>
      </w:r>
      <w:bookmarkEnd w:id="18"/>
    </w:p>
    <w:sectPr>
      <w:footerReference r:id="rId6" w:type="default"/>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Courier">
    <w:altName w:val="Courier New"/>
    <w:panose1 w:val="02070409020205020404"/>
    <w:charset w:val="00"/>
    <w:family w:val="modern"/>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66519">
    <w:pPr>
      <w:pStyle w:val="30"/>
      <w:ind w:right="360"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C845D0">
    <w:pPr>
      <w:pStyle w:val="30"/>
      <w:framePr w:wrap="around" w:vAnchor="text" w:hAnchor="margin" w:xAlign="center" w:y="1"/>
      <w:rPr>
        <w:rStyle w:val="52"/>
      </w:rPr>
    </w:pPr>
    <w:r>
      <w:fldChar w:fldCharType="begin"/>
    </w:r>
    <w:r>
      <w:rPr>
        <w:rStyle w:val="52"/>
      </w:rPr>
      <w:instrText xml:space="preserve">PAGE  </w:instrText>
    </w:r>
    <w:r>
      <w:fldChar w:fldCharType="end"/>
    </w:r>
  </w:p>
  <w:p w14:paraId="544A3034">
    <w:pPr>
      <w:pStyle w:val="30"/>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00001520"/>
    </w:sdtPr>
    <w:sdtContent>
      <w:p w14:paraId="12AF349C">
        <w:pPr>
          <w:pStyle w:val="30"/>
          <w:jc w:val="center"/>
        </w:pPr>
        <w:r>
          <w:fldChar w:fldCharType="begin"/>
        </w:r>
        <w:r>
          <w:instrText xml:space="preserve">PAGE   \* MERGEFORMAT</w:instrText>
        </w:r>
        <w:r>
          <w:fldChar w:fldCharType="separate"/>
        </w:r>
        <w:r>
          <w:rPr>
            <w:lang w:val="zh-CN"/>
          </w:rPr>
          <w:t>1</w:t>
        </w:r>
        <w:r>
          <w:fldChar w:fldCharType="end"/>
        </w:r>
      </w:p>
    </w:sdtContent>
  </w:sdt>
  <w:p w14:paraId="18CC10D7">
    <w:pPr>
      <w:pStyle w:val="30"/>
      <w:spacing w:before="48" w:after="48"/>
      <w:ind w:right="360" w:firstLine="523"/>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7D80C">
    <w:pPr>
      <w:pStyle w:val="30"/>
      <w:ind w:right="360" w:firstLine="36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71C678F">
                          <w:pPr>
                            <w:pStyle w:val="30"/>
                            <w:ind w:firstLine="360"/>
                          </w:pPr>
                          <w:r>
                            <w:fldChar w:fldCharType="begin"/>
                          </w:r>
                          <w:r>
                            <w:instrText xml:space="preserve"> PAGE  \* MERGEFORMAT </w:instrText>
                          </w:r>
                          <w:r>
                            <w:fldChar w:fldCharType="separate"/>
                          </w:r>
                          <w:r>
                            <w:t>55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KDQKc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X2DkjhuceLnnz/Ovx7PD98J&#10;+lCgPkCNeXcBM9Pw3g+4NrMf0Jl5Dyra/EVGBOOIdbrIK4dERH60Wq5WFYYExuYL4rOn5yFC+iC9&#10;JdloaMT5FVn58ROkMXVOydWcv9XGlBka95cDMbOH5d7HHrOVht0wEdr59oR8ehx9Qx1uOiXmo0Nl&#10;sb80G3E2drNxCFHvu7JGuR6Ed4eETZTecoURdiqMMyvspv3KS/HnvWQ9/VOb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MoNApyQEAAJsDAAAOAAAAAAAAAAEAIAAAAB4BAABkcnMvZTJvRG9j&#10;LnhtbFBLBQYAAAAABgAGAFkBAABZBQAAAAA=&#10;">
              <v:fill on="f" focussize="0,0"/>
              <v:stroke on="f"/>
              <v:imagedata o:title=""/>
              <o:lock v:ext="edit" aspectratio="f"/>
              <v:textbox inset="0mm,0mm,0mm,0mm" style="mso-fit-shape-to-text:t;">
                <w:txbxContent>
                  <w:p w14:paraId="571C678F">
                    <w:pPr>
                      <w:pStyle w:val="30"/>
                      <w:ind w:firstLine="360"/>
                    </w:pPr>
                    <w:r>
                      <w:fldChar w:fldCharType="begin"/>
                    </w:r>
                    <w:r>
                      <w:instrText xml:space="preserve"> PAGE  \* MERGEFORMAT </w:instrText>
                    </w:r>
                    <w:r>
                      <w:fldChar w:fldCharType="separate"/>
                    </w:r>
                    <w:r>
                      <w:t>55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8A5E5F"/>
    <w:multiLevelType w:val="singleLevel"/>
    <w:tmpl w:val="E48A5E5F"/>
    <w:lvl w:ilvl="0" w:tentative="0">
      <w:start w:val="1"/>
      <w:numFmt w:val="decimal"/>
      <w:suff w:val="nothing"/>
      <w:lvlText w:val="%1、"/>
      <w:lvlJc w:val="left"/>
    </w:lvl>
  </w:abstractNum>
  <w:abstractNum w:abstractNumId="1">
    <w:nsid w:val="24952AB3"/>
    <w:multiLevelType w:val="singleLevel"/>
    <w:tmpl w:val="24952AB3"/>
    <w:lvl w:ilvl="0" w:tentative="0">
      <w:start w:val="1"/>
      <w:numFmt w:val="bullet"/>
      <w:pStyle w:val="25"/>
      <w:lvlText w:val=""/>
      <w:lvlJc w:val="left"/>
      <w:pPr>
        <w:tabs>
          <w:tab w:val="left" w:pos="2040"/>
        </w:tabs>
        <w:ind w:left="2040" w:hanging="360"/>
      </w:pPr>
      <w:rPr>
        <w:rFonts w:hint="default" w:ascii="Wingdings" w:hAnsi="Wingdings"/>
      </w:rPr>
    </w:lvl>
  </w:abstractNum>
  <w:abstractNum w:abstractNumId="2">
    <w:nsid w:val="4B733353"/>
    <w:multiLevelType w:val="multilevel"/>
    <w:tmpl w:val="4B733353"/>
    <w:lvl w:ilvl="0" w:tentative="0">
      <w:start w:val="1"/>
      <w:numFmt w:val="decimal"/>
      <w:pStyle w:val="143"/>
      <w:lvlText w:val="%1、"/>
      <w:lvlJc w:val="left"/>
      <w:pPr>
        <w:tabs>
          <w:tab w:val="left" w:pos="1203"/>
        </w:tabs>
        <w:ind w:left="1203" w:hanging="765"/>
      </w:pPr>
      <w:rPr>
        <w:rFonts w:hint="default"/>
      </w:rPr>
    </w:lvl>
    <w:lvl w:ilvl="1" w:tentative="0">
      <w:start w:val="1"/>
      <w:numFmt w:val="lowerLetter"/>
      <w:pStyle w:val="140"/>
      <w:lvlText w:val="%2)"/>
      <w:lvlJc w:val="left"/>
      <w:pPr>
        <w:tabs>
          <w:tab w:val="left" w:pos="1278"/>
        </w:tabs>
        <w:ind w:left="1278" w:hanging="420"/>
      </w:pPr>
    </w:lvl>
    <w:lvl w:ilvl="2" w:tentative="0">
      <w:start w:val="1"/>
      <w:numFmt w:val="lowerRoman"/>
      <w:lvlText w:val="%3."/>
      <w:lvlJc w:val="right"/>
      <w:pPr>
        <w:tabs>
          <w:tab w:val="left" w:pos="1698"/>
        </w:tabs>
        <w:ind w:left="1698" w:hanging="420"/>
      </w:pPr>
    </w:lvl>
    <w:lvl w:ilvl="3" w:tentative="0">
      <w:start w:val="1"/>
      <w:numFmt w:val="decimal"/>
      <w:lvlText w:val="%4."/>
      <w:lvlJc w:val="left"/>
      <w:pPr>
        <w:tabs>
          <w:tab w:val="left" w:pos="2118"/>
        </w:tabs>
        <w:ind w:left="2118" w:hanging="420"/>
      </w:pPr>
    </w:lvl>
    <w:lvl w:ilvl="4" w:tentative="0">
      <w:start w:val="1"/>
      <w:numFmt w:val="lowerLetter"/>
      <w:lvlText w:val="%5)"/>
      <w:lvlJc w:val="left"/>
      <w:pPr>
        <w:tabs>
          <w:tab w:val="left" w:pos="2538"/>
        </w:tabs>
        <w:ind w:left="2538" w:hanging="420"/>
      </w:pPr>
    </w:lvl>
    <w:lvl w:ilvl="5" w:tentative="0">
      <w:start w:val="1"/>
      <w:numFmt w:val="lowerRoman"/>
      <w:lvlText w:val="%6."/>
      <w:lvlJc w:val="right"/>
      <w:pPr>
        <w:tabs>
          <w:tab w:val="left" w:pos="2958"/>
        </w:tabs>
        <w:ind w:left="2958" w:hanging="420"/>
      </w:pPr>
    </w:lvl>
    <w:lvl w:ilvl="6" w:tentative="0">
      <w:start w:val="1"/>
      <w:numFmt w:val="decimal"/>
      <w:lvlText w:val="%7."/>
      <w:lvlJc w:val="left"/>
      <w:pPr>
        <w:tabs>
          <w:tab w:val="left" w:pos="3378"/>
        </w:tabs>
        <w:ind w:left="3378" w:hanging="420"/>
      </w:pPr>
    </w:lvl>
    <w:lvl w:ilvl="7" w:tentative="0">
      <w:start w:val="1"/>
      <w:numFmt w:val="lowerLetter"/>
      <w:lvlText w:val="%8)"/>
      <w:lvlJc w:val="left"/>
      <w:pPr>
        <w:tabs>
          <w:tab w:val="left" w:pos="3798"/>
        </w:tabs>
        <w:ind w:left="3798" w:hanging="420"/>
      </w:pPr>
    </w:lvl>
    <w:lvl w:ilvl="8" w:tentative="0">
      <w:start w:val="1"/>
      <w:numFmt w:val="lowerRoman"/>
      <w:lvlText w:val="%9."/>
      <w:lvlJc w:val="right"/>
      <w:pPr>
        <w:tabs>
          <w:tab w:val="left" w:pos="4218"/>
        </w:tabs>
        <w:ind w:left="4218" w:hanging="420"/>
      </w:pPr>
    </w:lvl>
  </w:abstractNum>
  <w:abstractNum w:abstractNumId="3">
    <w:nsid w:val="4BE5EFB5"/>
    <w:multiLevelType w:val="singleLevel"/>
    <w:tmpl w:val="4BE5EFB5"/>
    <w:lvl w:ilvl="0" w:tentative="0">
      <w:start w:val="1"/>
      <w:numFmt w:val="decimal"/>
      <w:suff w:val="nothing"/>
      <w:lvlText w:val="（%1）"/>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drawingGridHorizontalSpacing w:val="105"/>
  <w:drawingGridVerticalSpacing w:val="31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0M2MwYzc1MWQ3YzM2NWI5OWY3ZWFkOTI2MzA0NDAifQ=="/>
  </w:docVars>
  <w:rsids>
    <w:rsidRoot w:val="00CC611A"/>
    <w:rsid w:val="000006C4"/>
    <w:rsid w:val="00000DF0"/>
    <w:rsid w:val="00000E55"/>
    <w:rsid w:val="0000116F"/>
    <w:rsid w:val="00001672"/>
    <w:rsid w:val="000016C9"/>
    <w:rsid w:val="000019D5"/>
    <w:rsid w:val="00001D9D"/>
    <w:rsid w:val="000020E1"/>
    <w:rsid w:val="00002552"/>
    <w:rsid w:val="000028DE"/>
    <w:rsid w:val="00002CE9"/>
    <w:rsid w:val="00002D5C"/>
    <w:rsid w:val="0000381C"/>
    <w:rsid w:val="00003E00"/>
    <w:rsid w:val="00003E79"/>
    <w:rsid w:val="00003FF1"/>
    <w:rsid w:val="000041B1"/>
    <w:rsid w:val="00004202"/>
    <w:rsid w:val="00004249"/>
    <w:rsid w:val="0000431F"/>
    <w:rsid w:val="00004526"/>
    <w:rsid w:val="00004B50"/>
    <w:rsid w:val="00004C97"/>
    <w:rsid w:val="00004F28"/>
    <w:rsid w:val="00004F3E"/>
    <w:rsid w:val="00004F75"/>
    <w:rsid w:val="0000514B"/>
    <w:rsid w:val="00005169"/>
    <w:rsid w:val="000057FD"/>
    <w:rsid w:val="00005837"/>
    <w:rsid w:val="00005F06"/>
    <w:rsid w:val="00005F34"/>
    <w:rsid w:val="00006524"/>
    <w:rsid w:val="00006FDE"/>
    <w:rsid w:val="00010412"/>
    <w:rsid w:val="0001082D"/>
    <w:rsid w:val="000113CB"/>
    <w:rsid w:val="00012950"/>
    <w:rsid w:val="00012AAE"/>
    <w:rsid w:val="0001365E"/>
    <w:rsid w:val="00013809"/>
    <w:rsid w:val="0001399D"/>
    <w:rsid w:val="00013C18"/>
    <w:rsid w:val="0001461B"/>
    <w:rsid w:val="0001468C"/>
    <w:rsid w:val="000146C5"/>
    <w:rsid w:val="00014900"/>
    <w:rsid w:val="00014998"/>
    <w:rsid w:val="000154E2"/>
    <w:rsid w:val="00015593"/>
    <w:rsid w:val="000159A2"/>
    <w:rsid w:val="00015C1D"/>
    <w:rsid w:val="00015F3B"/>
    <w:rsid w:val="00015F54"/>
    <w:rsid w:val="0001613A"/>
    <w:rsid w:val="000166D6"/>
    <w:rsid w:val="0001672C"/>
    <w:rsid w:val="00016CFA"/>
    <w:rsid w:val="0002032C"/>
    <w:rsid w:val="00020821"/>
    <w:rsid w:val="00020B90"/>
    <w:rsid w:val="000214DB"/>
    <w:rsid w:val="000221AF"/>
    <w:rsid w:val="000222AA"/>
    <w:rsid w:val="0002250F"/>
    <w:rsid w:val="0002290B"/>
    <w:rsid w:val="00023D90"/>
    <w:rsid w:val="00024435"/>
    <w:rsid w:val="00024573"/>
    <w:rsid w:val="00025402"/>
    <w:rsid w:val="000256B2"/>
    <w:rsid w:val="000257DD"/>
    <w:rsid w:val="000264F7"/>
    <w:rsid w:val="00026785"/>
    <w:rsid w:val="00026F4C"/>
    <w:rsid w:val="000272A4"/>
    <w:rsid w:val="000273C2"/>
    <w:rsid w:val="000274A3"/>
    <w:rsid w:val="0002756A"/>
    <w:rsid w:val="000275B7"/>
    <w:rsid w:val="00027954"/>
    <w:rsid w:val="00027AF5"/>
    <w:rsid w:val="00027D47"/>
    <w:rsid w:val="00027E0E"/>
    <w:rsid w:val="00027F88"/>
    <w:rsid w:val="00030249"/>
    <w:rsid w:val="00030480"/>
    <w:rsid w:val="00030AC7"/>
    <w:rsid w:val="00030B17"/>
    <w:rsid w:val="00030CB0"/>
    <w:rsid w:val="00032083"/>
    <w:rsid w:val="00032723"/>
    <w:rsid w:val="000327B1"/>
    <w:rsid w:val="00032B08"/>
    <w:rsid w:val="000331B3"/>
    <w:rsid w:val="000338C2"/>
    <w:rsid w:val="00033D6E"/>
    <w:rsid w:val="00034405"/>
    <w:rsid w:val="00034BD3"/>
    <w:rsid w:val="000351A3"/>
    <w:rsid w:val="00035733"/>
    <w:rsid w:val="00035D14"/>
    <w:rsid w:val="00035E00"/>
    <w:rsid w:val="00036B60"/>
    <w:rsid w:val="00036ED3"/>
    <w:rsid w:val="00037A2B"/>
    <w:rsid w:val="00037C68"/>
    <w:rsid w:val="000407F5"/>
    <w:rsid w:val="0004102D"/>
    <w:rsid w:val="000413DD"/>
    <w:rsid w:val="0004192D"/>
    <w:rsid w:val="000422D9"/>
    <w:rsid w:val="00042343"/>
    <w:rsid w:val="00042E34"/>
    <w:rsid w:val="000430F9"/>
    <w:rsid w:val="0004378C"/>
    <w:rsid w:val="0004387A"/>
    <w:rsid w:val="00043905"/>
    <w:rsid w:val="00043A6F"/>
    <w:rsid w:val="00044115"/>
    <w:rsid w:val="000441ED"/>
    <w:rsid w:val="000445F0"/>
    <w:rsid w:val="000448F3"/>
    <w:rsid w:val="00044BDE"/>
    <w:rsid w:val="00044EBA"/>
    <w:rsid w:val="00044EE0"/>
    <w:rsid w:val="00044FA2"/>
    <w:rsid w:val="000454C0"/>
    <w:rsid w:val="0004559B"/>
    <w:rsid w:val="00045C9E"/>
    <w:rsid w:val="00045D3F"/>
    <w:rsid w:val="00046BC0"/>
    <w:rsid w:val="00046EBA"/>
    <w:rsid w:val="00047550"/>
    <w:rsid w:val="0004773E"/>
    <w:rsid w:val="0004797E"/>
    <w:rsid w:val="00050099"/>
    <w:rsid w:val="0005013F"/>
    <w:rsid w:val="000509FB"/>
    <w:rsid w:val="00050B4D"/>
    <w:rsid w:val="00050C1F"/>
    <w:rsid w:val="00050EE1"/>
    <w:rsid w:val="00051817"/>
    <w:rsid w:val="00051839"/>
    <w:rsid w:val="00051D62"/>
    <w:rsid w:val="00052011"/>
    <w:rsid w:val="0005271A"/>
    <w:rsid w:val="00052A18"/>
    <w:rsid w:val="00052EEF"/>
    <w:rsid w:val="00053AF0"/>
    <w:rsid w:val="00053E4A"/>
    <w:rsid w:val="00054146"/>
    <w:rsid w:val="00055A41"/>
    <w:rsid w:val="0005629D"/>
    <w:rsid w:val="00056D7C"/>
    <w:rsid w:val="00057272"/>
    <w:rsid w:val="000574E1"/>
    <w:rsid w:val="00057BD5"/>
    <w:rsid w:val="00057BF7"/>
    <w:rsid w:val="00057CEA"/>
    <w:rsid w:val="000602EC"/>
    <w:rsid w:val="00060469"/>
    <w:rsid w:val="00060567"/>
    <w:rsid w:val="00060D9B"/>
    <w:rsid w:val="000619E2"/>
    <w:rsid w:val="000628E9"/>
    <w:rsid w:val="0006383E"/>
    <w:rsid w:val="000641FA"/>
    <w:rsid w:val="000647FD"/>
    <w:rsid w:val="00064D35"/>
    <w:rsid w:val="00064DA4"/>
    <w:rsid w:val="00064F85"/>
    <w:rsid w:val="00065781"/>
    <w:rsid w:val="000658C1"/>
    <w:rsid w:val="000660BB"/>
    <w:rsid w:val="00066769"/>
    <w:rsid w:val="00066B7A"/>
    <w:rsid w:val="00067105"/>
    <w:rsid w:val="00067452"/>
    <w:rsid w:val="00067C7F"/>
    <w:rsid w:val="00070484"/>
    <w:rsid w:val="00070516"/>
    <w:rsid w:val="00070A3A"/>
    <w:rsid w:val="00070FC3"/>
    <w:rsid w:val="00071297"/>
    <w:rsid w:val="00071644"/>
    <w:rsid w:val="00071A1F"/>
    <w:rsid w:val="0007213E"/>
    <w:rsid w:val="000722EA"/>
    <w:rsid w:val="00072839"/>
    <w:rsid w:val="00073469"/>
    <w:rsid w:val="000735CB"/>
    <w:rsid w:val="00073684"/>
    <w:rsid w:val="0007393B"/>
    <w:rsid w:val="00073ABD"/>
    <w:rsid w:val="00073FB1"/>
    <w:rsid w:val="000740E2"/>
    <w:rsid w:val="00074484"/>
    <w:rsid w:val="0007495C"/>
    <w:rsid w:val="00074FB2"/>
    <w:rsid w:val="0007523E"/>
    <w:rsid w:val="000755D9"/>
    <w:rsid w:val="000756CB"/>
    <w:rsid w:val="0007597C"/>
    <w:rsid w:val="00075E8C"/>
    <w:rsid w:val="0007642F"/>
    <w:rsid w:val="000766AE"/>
    <w:rsid w:val="00076AA6"/>
    <w:rsid w:val="00077384"/>
    <w:rsid w:val="00077594"/>
    <w:rsid w:val="0007765F"/>
    <w:rsid w:val="000777D8"/>
    <w:rsid w:val="000800A1"/>
    <w:rsid w:val="00080244"/>
    <w:rsid w:val="0008034C"/>
    <w:rsid w:val="000804F2"/>
    <w:rsid w:val="00080C6D"/>
    <w:rsid w:val="00080F71"/>
    <w:rsid w:val="000813DC"/>
    <w:rsid w:val="0008150E"/>
    <w:rsid w:val="00081721"/>
    <w:rsid w:val="00081A54"/>
    <w:rsid w:val="00081C03"/>
    <w:rsid w:val="00081E2C"/>
    <w:rsid w:val="000821D8"/>
    <w:rsid w:val="00082A76"/>
    <w:rsid w:val="00083024"/>
    <w:rsid w:val="00083603"/>
    <w:rsid w:val="000838F8"/>
    <w:rsid w:val="00083A2F"/>
    <w:rsid w:val="00083C03"/>
    <w:rsid w:val="00084065"/>
    <w:rsid w:val="00084B94"/>
    <w:rsid w:val="00085095"/>
    <w:rsid w:val="0008618A"/>
    <w:rsid w:val="000861C8"/>
    <w:rsid w:val="0008623E"/>
    <w:rsid w:val="00086801"/>
    <w:rsid w:val="00086B3D"/>
    <w:rsid w:val="000871BD"/>
    <w:rsid w:val="000873C9"/>
    <w:rsid w:val="000874E2"/>
    <w:rsid w:val="000875FC"/>
    <w:rsid w:val="0008782A"/>
    <w:rsid w:val="00090C69"/>
    <w:rsid w:val="00091501"/>
    <w:rsid w:val="00091980"/>
    <w:rsid w:val="00091DF6"/>
    <w:rsid w:val="00091F6F"/>
    <w:rsid w:val="00092333"/>
    <w:rsid w:val="00092A90"/>
    <w:rsid w:val="00092CB0"/>
    <w:rsid w:val="00092ED1"/>
    <w:rsid w:val="0009339E"/>
    <w:rsid w:val="0009380C"/>
    <w:rsid w:val="00093B01"/>
    <w:rsid w:val="00093D40"/>
    <w:rsid w:val="000940FC"/>
    <w:rsid w:val="000942B7"/>
    <w:rsid w:val="00094390"/>
    <w:rsid w:val="00094DE5"/>
    <w:rsid w:val="000958D6"/>
    <w:rsid w:val="00095C21"/>
    <w:rsid w:val="00095E87"/>
    <w:rsid w:val="00095F40"/>
    <w:rsid w:val="0009601D"/>
    <w:rsid w:val="000972E1"/>
    <w:rsid w:val="000977A5"/>
    <w:rsid w:val="000A002F"/>
    <w:rsid w:val="000A0124"/>
    <w:rsid w:val="000A1079"/>
    <w:rsid w:val="000A131E"/>
    <w:rsid w:val="000A1391"/>
    <w:rsid w:val="000A1407"/>
    <w:rsid w:val="000A187A"/>
    <w:rsid w:val="000A1BC9"/>
    <w:rsid w:val="000A22C3"/>
    <w:rsid w:val="000A2647"/>
    <w:rsid w:val="000A2BF6"/>
    <w:rsid w:val="000A3191"/>
    <w:rsid w:val="000A4278"/>
    <w:rsid w:val="000A4349"/>
    <w:rsid w:val="000A531D"/>
    <w:rsid w:val="000A569E"/>
    <w:rsid w:val="000A5E33"/>
    <w:rsid w:val="000A6102"/>
    <w:rsid w:val="000A616E"/>
    <w:rsid w:val="000A6309"/>
    <w:rsid w:val="000A679B"/>
    <w:rsid w:val="000A67A4"/>
    <w:rsid w:val="000A6BF7"/>
    <w:rsid w:val="000A6D35"/>
    <w:rsid w:val="000A6E6D"/>
    <w:rsid w:val="000A7444"/>
    <w:rsid w:val="000A7525"/>
    <w:rsid w:val="000B19C6"/>
    <w:rsid w:val="000B1FC5"/>
    <w:rsid w:val="000B2328"/>
    <w:rsid w:val="000B26FA"/>
    <w:rsid w:val="000B2740"/>
    <w:rsid w:val="000B2EF9"/>
    <w:rsid w:val="000B30C7"/>
    <w:rsid w:val="000B329A"/>
    <w:rsid w:val="000B3DCA"/>
    <w:rsid w:val="000B3E40"/>
    <w:rsid w:val="000B4031"/>
    <w:rsid w:val="000B41B8"/>
    <w:rsid w:val="000B43A0"/>
    <w:rsid w:val="000B4BFB"/>
    <w:rsid w:val="000B5337"/>
    <w:rsid w:val="000B54ED"/>
    <w:rsid w:val="000B559B"/>
    <w:rsid w:val="000B5648"/>
    <w:rsid w:val="000B5A06"/>
    <w:rsid w:val="000B5D9B"/>
    <w:rsid w:val="000B5DD9"/>
    <w:rsid w:val="000B5F97"/>
    <w:rsid w:val="000B6654"/>
    <w:rsid w:val="000B683B"/>
    <w:rsid w:val="000B6910"/>
    <w:rsid w:val="000B6A54"/>
    <w:rsid w:val="000B701C"/>
    <w:rsid w:val="000B7609"/>
    <w:rsid w:val="000B78C8"/>
    <w:rsid w:val="000B78DD"/>
    <w:rsid w:val="000C0120"/>
    <w:rsid w:val="000C0786"/>
    <w:rsid w:val="000C0D4A"/>
    <w:rsid w:val="000C10E5"/>
    <w:rsid w:val="000C164A"/>
    <w:rsid w:val="000C185C"/>
    <w:rsid w:val="000C19C5"/>
    <w:rsid w:val="000C1A6F"/>
    <w:rsid w:val="000C1B47"/>
    <w:rsid w:val="000C1DD1"/>
    <w:rsid w:val="000C2279"/>
    <w:rsid w:val="000C3077"/>
    <w:rsid w:val="000C3D8F"/>
    <w:rsid w:val="000C4313"/>
    <w:rsid w:val="000C478F"/>
    <w:rsid w:val="000C47C0"/>
    <w:rsid w:val="000C48C7"/>
    <w:rsid w:val="000C49B6"/>
    <w:rsid w:val="000C5F0E"/>
    <w:rsid w:val="000C64F4"/>
    <w:rsid w:val="000C694C"/>
    <w:rsid w:val="000C7432"/>
    <w:rsid w:val="000C7CD1"/>
    <w:rsid w:val="000C7F7C"/>
    <w:rsid w:val="000D0314"/>
    <w:rsid w:val="000D0C1A"/>
    <w:rsid w:val="000D1518"/>
    <w:rsid w:val="000D1615"/>
    <w:rsid w:val="000D1DB6"/>
    <w:rsid w:val="000D1F42"/>
    <w:rsid w:val="000D21D1"/>
    <w:rsid w:val="000D225B"/>
    <w:rsid w:val="000D26D2"/>
    <w:rsid w:val="000D2766"/>
    <w:rsid w:val="000D2929"/>
    <w:rsid w:val="000D3562"/>
    <w:rsid w:val="000D35D4"/>
    <w:rsid w:val="000D3740"/>
    <w:rsid w:val="000D38AC"/>
    <w:rsid w:val="000D3940"/>
    <w:rsid w:val="000D3AD7"/>
    <w:rsid w:val="000D4125"/>
    <w:rsid w:val="000D42A6"/>
    <w:rsid w:val="000D42BE"/>
    <w:rsid w:val="000D4710"/>
    <w:rsid w:val="000D4DD2"/>
    <w:rsid w:val="000D4F6F"/>
    <w:rsid w:val="000D54FE"/>
    <w:rsid w:val="000D574D"/>
    <w:rsid w:val="000D5AB1"/>
    <w:rsid w:val="000D5BBB"/>
    <w:rsid w:val="000D5F32"/>
    <w:rsid w:val="000D5F94"/>
    <w:rsid w:val="000D60D7"/>
    <w:rsid w:val="000D698E"/>
    <w:rsid w:val="000D6B50"/>
    <w:rsid w:val="000D6BBE"/>
    <w:rsid w:val="000D7409"/>
    <w:rsid w:val="000D774B"/>
    <w:rsid w:val="000E019A"/>
    <w:rsid w:val="000E0988"/>
    <w:rsid w:val="000E1302"/>
    <w:rsid w:val="000E159E"/>
    <w:rsid w:val="000E17FB"/>
    <w:rsid w:val="000E1B2B"/>
    <w:rsid w:val="000E2347"/>
    <w:rsid w:val="000E24DE"/>
    <w:rsid w:val="000E2622"/>
    <w:rsid w:val="000E2731"/>
    <w:rsid w:val="000E2A41"/>
    <w:rsid w:val="000E2B70"/>
    <w:rsid w:val="000E3981"/>
    <w:rsid w:val="000E419F"/>
    <w:rsid w:val="000E490E"/>
    <w:rsid w:val="000E49BD"/>
    <w:rsid w:val="000E4C0F"/>
    <w:rsid w:val="000E4DF8"/>
    <w:rsid w:val="000E50D0"/>
    <w:rsid w:val="000E53CF"/>
    <w:rsid w:val="000E592F"/>
    <w:rsid w:val="000E60A0"/>
    <w:rsid w:val="000E6587"/>
    <w:rsid w:val="000E6B46"/>
    <w:rsid w:val="000E6D4C"/>
    <w:rsid w:val="000E70AA"/>
    <w:rsid w:val="000E760C"/>
    <w:rsid w:val="000E761A"/>
    <w:rsid w:val="000E78F0"/>
    <w:rsid w:val="000E7927"/>
    <w:rsid w:val="000E7F7F"/>
    <w:rsid w:val="000E7F94"/>
    <w:rsid w:val="000F05D9"/>
    <w:rsid w:val="000F07CF"/>
    <w:rsid w:val="000F0AB7"/>
    <w:rsid w:val="000F0B40"/>
    <w:rsid w:val="000F0B99"/>
    <w:rsid w:val="000F0BE8"/>
    <w:rsid w:val="000F0F9F"/>
    <w:rsid w:val="000F1000"/>
    <w:rsid w:val="000F101E"/>
    <w:rsid w:val="000F1529"/>
    <w:rsid w:val="000F18D8"/>
    <w:rsid w:val="000F1A69"/>
    <w:rsid w:val="000F23CD"/>
    <w:rsid w:val="000F2672"/>
    <w:rsid w:val="000F3203"/>
    <w:rsid w:val="000F378C"/>
    <w:rsid w:val="000F3E9C"/>
    <w:rsid w:val="000F3ED7"/>
    <w:rsid w:val="000F4374"/>
    <w:rsid w:val="000F45BE"/>
    <w:rsid w:val="000F46BE"/>
    <w:rsid w:val="000F4B64"/>
    <w:rsid w:val="000F4F33"/>
    <w:rsid w:val="000F4F54"/>
    <w:rsid w:val="000F50C7"/>
    <w:rsid w:val="000F5A29"/>
    <w:rsid w:val="000F5C9D"/>
    <w:rsid w:val="000F661D"/>
    <w:rsid w:val="000F661E"/>
    <w:rsid w:val="000F73C6"/>
    <w:rsid w:val="000F7820"/>
    <w:rsid w:val="000F79BD"/>
    <w:rsid w:val="000F7C22"/>
    <w:rsid w:val="000F7E73"/>
    <w:rsid w:val="000F7E75"/>
    <w:rsid w:val="0010028A"/>
    <w:rsid w:val="00100798"/>
    <w:rsid w:val="001008F7"/>
    <w:rsid w:val="00101181"/>
    <w:rsid w:val="00101F0E"/>
    <w:rsid w:val="00102497"/>
    <w:rsid w:val="00102524"/>
    <w:rsid w:val="001038F5"/>
    <w:rsid w:val="0010433F"/>
    <w:rsid w:val="0010542E"/>
    <w:rsid w:val="0010558F"/>
    <w:rsid w:val="0010596C"/>
    <w:rsid w:val="00105B3E"/>
    <w:rsid w:val="00105F37"/>
    <w:rsid w:val="001061BF"/>
    <w:rsid w:val="001068FD"/>
    <w:rsid w:val="00106B85"/>
    <w:rsid w:val="00106E01"/>
    <w:rsid w:val="00107357"/>
    <w:rsid w:val="00107434"/>
    <w:rsid w:val="0010747A"/>
    <w:rsid w:val="001074B6"/>
    <w:rsid w:val="0010753F"/>
    <w:rsid w:val="001078E3"/>
    <w:rsid w:val="00107B70"/>
    <w:rsid w:val="00107D49"/>
    <w:rsid w:val="001106B4"/>
    <w:rsid w:val="00110927"/>
    <w:rsid w:val="00110AAF"/>
    <w:rsid w:val="00110B22"/>
    <w:rsid w:val="00110EA5"/>
    <w:rsid w:val="001113BD"/>
    <w:rsid w:val="0011155B"/>
    <w:rsid w:val="00111AEC"/>
    <w:rsid w:val="00111B27"/>
    <w:rsid w:val="00111F85"/>
    <w:rsid w:val="0011232B"/>
    <w:rsid w:val="00112C15"/>
    <w:rsid w:val="00112F7A"/>
    <w:rsid w:val="001131FC"/>
    <w:rsid w:val="0011351A"/>
    <w:rsid w:val="00113E71"/>
    <w:rsid w:val="0011411A"/>
    <w:rsid w:val="0011475D"/>
    <w:rsid w:val="001155A8"/>
    <w:rsid w:val="00116161"/>
    <w:rsid w:val="00116261"/>
    <w:rsid w:val="00116725"/>
    <w:rsid w:val="00116AB3"/>
    <w:rsid w:val="00116F99"/>
    <w:rsid w:val="00117733"/>
    <w:rsid w:val="00117FBD"/>
    <w:rsid w:val="00117FDB"/>
    <w:rsid w:val="0012000E"/>
    <w:rsid w:val="00120260"/>
    <w:rsid w:val="00120C42"/>
    <w:rsid w:val="00121034"/>
    <w:rsid w:val="001217AE"/>
    <w:rsid w:val="00121955"/>
    <w:rsid w:val="00121D38"/>
    <w:rsid w:val="001222AC"/>
    <w:rsid w:val="001228C0"/>
    <w:rsid w:val="00123082"/>
    <w:rsid w:val="0012319A"/>
    <w:rsid w:val="0012374B"/>
    <w:rsid w:val="00123E8B"/>
    <w:rsid w:val="00124361"/>
    <w:rsid w:val="001255C5"/>
    <w:rsid w:val="001257A8"/>
    <w:rsid w:val="00125861"/>
    <w:rsid w:val="00125B4B"/>
    <w:rsid w:val="00125C79"/>
    <w:rsid w:val="00125E30"/>
    <w:rsid w:val="00125E4D"/>
    <w:rsid w:val="0012608D"/>
    <w:rsid w:val="00126959"/>
    <w:rsid w:val="00126A15"/>
    <w:rsid w:val="00126B12"/>
    <w:rsid w:val="00126D2D"/>
    <w:rsid w:val="00127296"/>
    <w:rsid w:val="001274DC"/>
    <w:rsid w:val="001278F1"/>
    <w:rsid w:val="00130CE6"/>
    <w:rsid w:val="0013107A"/>
    <w:rsid w:val="001310FA"/>
    <w:rsid w:val="001311E0"/>
    <w:rsid w:val="00131A11"/>
    <w:rsid w:val="0013248B"/>
    <w:rsid w:val="00132520"/>
    <w:rsid w:val="00132A40"/>
    <w:rsid w:val="00132AF9"/>
    <w:rsid w:val="00132EF9"/>
    <w:rsid w:val="00133ED7"/>
    <w:rsid w:val="0013425E"/>
    <w:rsid w:val="00134CBD"/>
    <w:rsid w:val="00134E1D"/>
    <w:rsid w:val="001352B0"/>
    <w:rsid w:val="00135794"/>
    <w:rsid w:val="00135D70"/>
    <w:rsid w:val="00136161"/>
    <w:rsid w:val="001362E5"/>
    <w:rsid w:val="00136D03"/>
    <w:rsid w:val="001371D7"/>
    <w:rsid w:val="00137EB5"/>
    <w:rsid w:val="001402BD"/>
    <w:rsid w:val="0014031A"/>
    <w:rsid w:val="00140349"/>
    <w:rsid w:val="001403FA"/>
    <w:rsid w:val="00140512"/>
    <w:rsid w:val="001408E0"/>
    <w:rsid w:val="00140B18"/>
    <w:rsid w:val="0014169B"/>
    <w:rsid w:val="001416CA"/>
    <w:rsid w:val="00141C1F"/>
    <w:rsid w:val="00141D54"/>
    <w:rsid w:val="00142015"/>
    <w:rsid w:val="00142629"/>
    <w:rsid w:val="00142A81"/>
    <w:rsid w:val="00142E3C"/>
    <w:rsid w:val="00142F0A"/>
    <w:rsid w:val="00143013"/>
    <w:rsid w:val="001430CF"/>
    <w:rsid w:val="001432AA"/>
    <w:rsid w:val="0014335E"/>
    <w:rsid w:val="00143692"/>
    <w:rsid w:val="00143BCF"/>
    <w:rsid w:val="00144231"/>
    <w:rsid w:val="00144393"/>
    <w:rsid w:val="001452A5"/>
    <w:rsid w:val="00145709"/>
    <w:rsid w:val="00145E98"/>
    <w:rsid w:val="00145F30"/>
    <w:rsid w:val="0014660C"/>
    <w:rsid w:val="00146BB0"/>
    <w:rsid w:val="00147647"/>
    <w:rsid w:val="0014775A"/>
    <w:rsid w:val="0015089C"/>
    <w:rsid w:val="00150C92"/>
    <w:rsid w:val="00150E07"/>
    <w:rsid w:val="00150E68"/>
    <w:rsid w:val="00151156"/>
    <w:rsid w:val="00151373"/>
    <w:rsid w:val="00151607"/>
    <w:rsid w:val="001519EF"/>
    <w:rsid w:val="00151CBD"/>
    <w:rsid w:val="00151CD6"/>
    <w:rsid w:val="00151D2D"/>
    <w:rsid w:val="00151D7E"/>
    <w:rsid w:val="001520B9"/>
    <w:rsid w:val="00152A00"/>
    <w:rsid w:val="00152A7C"/>
    <w:rsid w:val="00153C54"/>
    <w:rsid w:val="00153D56"/>
    <w:rsid w:val="00153ED8"/>
    <w:rsid w:val="00155351"/>
    <w:rsid w:val="0015554F"/>
    <w:rsid w:val="00155A72"/>
    <w:rsid w:val="00155D3D"/>
    <w:rsid w:val="001566E9"/>
    <w:rsid w:val="00156751"/>
    <w:rsid w:val="00157274"/>
    <w:rsid w:val="001573B6"/>
    <w:rsid w:val="00157ADD"/>
    <w:rsid w:val="00160246"/>
    <w:rsid w:val="00161C9C"/>
    <w:rsid w:val="00161F42"/>
    <w:rsid w:val="0016238F"/>
    <w:rsid w:val="0016247B"/>
    <w:rsid w:val="00162659"/>
    <w:rsid w:val="00162EE3"/>
    <w:rsid w:val="001637A9"/>
    <w:rsid w:val="0016499B"/>
    <w:rsid w:val="00164C88"/>
    <w:rsid w:val="0016515C"/>
    <w:rsid w:val="001654F8"/>
    <w:rsid w:val="00165790"/>
    <w:rsid w:val="00165AA2"/>
    <w:rsid w:val="00165D2A"/>
    <w:rsid w:val="00166747"/>
    <w:rsid w:val="00166EF2"/>
    <w:rsid w:val="0016710E"/>
    <w:rsid w:val="00167225"/>
    <w:rsid w:val="0016743B"/>
    <w:rsid w:val="00170A04"/>
    <w:rsid w:val="00170E17"/>
    <w:rsid w:val="001710DB"/>
    <w:rsid w:val="001720FA"/>
    <w:rsid w:val="00172D96"/>
    <w:rsid w:val="001747D1"/>
    <w:rsid w:val="001748D6"/>
    <w:rsid w:val="0017493C"/>
    <w:rsid w:val="00175312"/>
    <w:rsid w:val="00175BCA"/>
    <w:rsid w:val="0017636E"/>
    <w:rsid w:val="001767C3"/>
    <w:rsid w:val="00176A98"/>
    <w:rsid w:val="00176B4D"/>
    <w:rsid w:val="00176CB1"/>
    <w:rsid w:val="00176E48"/>
    <w:rsid w:val="00177B5E"/>
    <w:rsid w:val="00177F9C"/>
    <w:rsid w:val="00180252"/>
    <w:rsid w:val="00180745"/>
    <w:rsid w:val="001807BA"/>
    <w:rsid w:val="00181085"/>
    <w:rsid w:val="00181762"/>
    <w:rsid w:val="0018181C"/>
    <w:rsid w:val="00181AC1"/>
    <w:rsid w:val="001823F3"/>
    <w:rsid w:val="001826AA"/>
    <w:rsid w:val="00182C54"/>
    <w:rsid w:val="00182F51"/>
    <w:rsid w:val="00182F66"/>
    <w:rsid w:val="001836A9"/>
    <w:rsid w:val="00183BCD"/>
    <w:rsid w:val="00183D8D"/>
    <w:rsid w:val="00183F6E"/>
    <w:rsid w:val="00184A12"/>
    <w:rsid w:val="001850E9"/>
    <w:rsid w:val="00185A16"/>
    <w:rsid w:val="00186954"/>
    <w:rsid w:val="00187137"/>
    <w:rsid w:val="00187B8D"/>
    <w:rsid w:val="001904B6"/>
    <w:rsid w:val="00190638"/>
    <w:rsid w:val="00190774"/>
    <w:rsid w:val="00191069"/>
    <w:rsid w:val="00191395"/>
    <w:rsid w:val="0019179C"/>
    <w:rsid w:val="00191DAC"/>
    <w:rsid w:val="00191EB5"/>
    <w:rsid w:val="001926A1"/>
    <w:rsid w:val="0019289E"/>
    <w:rsid w:val="00192B01"/>
    <w:rsid w:val="00193101"/>
    <w:rsid w:val="00193274"/>
    <w:rsid w:val="0019363E"/>
    <w:rsid w:val="00193B08"/>
    <w:rsid w:val="001941E1"/>
    <w:rsid w:val="001941FB"/>
    <w:rsid w:val="00194273"/>
    <w:rsid w:val="00194299"/>
    <w:rsid w:val="0019444D"/>
    <w:rsid w:val="00194CBD"/>
    <w:rsid w:val="00194D27"/>
    <w:rsid w:val="00194EB2"/>
    <w:rsid w:val="00194ECE"/>
    <w:rsid w:val="00195578"/>
    <w:rsid w:val="00196848"/>
    <w:rsid w:val="001975D9"/>
    <w:rsid w:val="00197B80"/>
    <w:rsid w:val="001A19CE"/>
    <w:rsid w:val="001A1D8B"/>
    <w:rsid w:val="001A1FD7"/>
    <w:rsid w:val="001A204A"/>
    <w:rsid w:val="001A2638"/>
    <w:rsid w:val="001A288D"/>
    <w:rsid w:val="001A2AA6"/>
    <w:rsid w:val="001A2FAC"/>
    <w:rsid w:val="001A31CD"/>
    <w:rsid w:val="001A343B"/>
    <w:rsid w:val="001A36E1"/>
    <w:rsid w:val="001A3949"/>
    <w:rsid w:val="001A39D3"/>
    <w:rsid w:val="001A42A4"/>
    <w:rsid w:val="001A4435"/>
    <w:rsid w:val="001A49A7"/>
    <w:rsid w:val="001A49E1"/>
    <w:rsid w:val="001A4A64"/>
    <w:rsid w:val="001A4D58"/>
    <w:rsid w:val="001A4FDA"/>
    <w:rsid w:val="001A5152"/>
    <w:rsid w:val="001A55C8"/>
    <w:rsid w:val="001A5942"/>
    <w:rsid w:val="001A5CF4"/>
    <w:rsid w:val="001A644D"/>
    <w:rsid w:val="001A667E"/>
    <w:rsid w:val="001A686C"/>
    <w:rsid w:val="001A6926"/>
    <w:rsid w:val="001A6A9C"/>
    <w:rsid w:val="001A6EBF"/>
    <w:rsid w:val="001A7039"/>
    <w:rsid w:val="001A7257"/>
    <w:rsid w:val="001A773B"/>
    <w:rsid w:val="001A777A"/>
    <w:rsid w:val="001A7DC0"/>
    <w:rsid w:val="001A7F73"/>
    <w:rsid w:val="001A7F81"/>
    <w:rsid w:val="001B050E"/>
    <w:rsid w:val="001B1204"/>
    <w:rsid w:val="001B14EC"/>
    <w:rsid w:val="001B1528"/>
    <w:rsid w:val="001B1A25"/>
    <w:rsid w:val="001B1A8F"/>
    <w:rsid w:val="001B210F"/>
    <w:rsid w:val="001B24ED"/>
    <w:rsid w:val="001B24F3"/>
    <w:rsid w:val="001B2C6A"/>
    <w:rsid w:val="001B2D11"/>
    <w:rsid w:val="001B2E94"/>
    <w:rsid w:val="001B3656"/>
    <w:rsid w:val="001B3919"/>
    <w:rsid w:val="001B504D"/>
    <w:rsid w:val="001B50D9"/>
    <w:rsid w:val="001B51E2"/>
    <w:rsid w:val="001B52E0"/>
    <w:rsid w:val="001B5580"/>
    <w:rsid w:val="001B6761"/>
    <w:rsid w:val="001B69DD"/>
    <w:rsid w:val="001B6B8A"/>
    <w:rsid w:val="001B6F31"/>
    <w:rsid w:val="001B74B9"/>
    <w:rsid w:val="001B7617"/>
    <w:rsid w:val="001B77E2"/>
    <w:rsid w:val="001B7CC1"/>
    <w:rsid w:val="001C0163"/>
    <w:rsid w:val="001C01F3"/>
    <w:rsid w:val="001C05E4"/>
    <w:rsid w:val="001C1324"/>
    <w:rsid w:val="001C16F8"/>
    <w:rsid w:val="001C19AC"/>
    <w:rsid w:val="001C24DD"/>
    <w:rsid w:val="001C2E45"/>
    <w:rsid w:val="001C33BB"/>
    <w:rsid w:val="001C3B90"/>
    <w:rsid w:val="001C3BEF"/>
    <w:rsid w:val="001C3EC5"/>
    <w:rsid w:val="001C4361"/>
    <w:rsid w:val="001C439D"/>
    <w:rsid w:val="001C4934"/>
    <w:rsid w:val="001C4960"/>
    <w:rsid w:val="001C4A25"/>
    <w:rsid w:val="001C4F63"/>
    <w:rsid w:val="001C51EE"/>
    <w:rsid w:val="001C525C"/>
    <w:rsid w:val="001C52F3"/>
    <w:rsid w:val="001C5AFC"/>
    <w:rsid w:val="001C5E8E"/>
    <w:rsid w:val="001C6587"/>
    <w:rsid w:val="001C66E0"/>
    <w:rsid w:val="001C6723"/>
    <w:rsid w:val="001C6746"/>
    <w:rsid w:val="001C6CEB"/>
    <w:rsid w:val="001C6EC0"/>
    <w:rsid w:val="001C7220"/>
    <w:rsid w:val="001C763E"/>
    <w:rsid w:val="001C7826"/>
    <w:rsid w:val="001C793C"/>
    <w:rsid w:val="001C7B03"/>
    <w:rsid w:val="001C7C92"/>
    <w:rsid w:val="001C7DD7"/>
    <w:rsid w:val="001C7EE8"/>
    <w:rsid w:val="001D0903"/>
    <w:rsid w:val="001D14D1"/>
    <w:rsid w:val="001D1C93"/>
    <w:rsid w:val="001D1CED"/>
    <w:rsid w:val="001D258A"/>
    <w:rsid w:val="001D28E0"/>
    <w:rsid w:val="001D29E7"/>
    <w:rsid w:val="001D2A05"/>
    <w:rsid w:val="001D2AE6"/>
    <w:rsid w:val="001D3637"/>
    <w:rsid w:val="001D45F9"/>
    <w:rsid w:val="001D4961"/>
    <w:rsid w:val="001D4B23"/>
    <w:rsid w:val="001D4E36"/>
    <w:rsid w:val="001D4F30"/>
    <w:rsid w:val="001D5173"/>
    <w:rsid w:val="001D5204"/>
    <w:rsid w:val="001D5629"/>
    <w:rsid w:val="001D5906"/>
    <w:rsid w:val="001D59A4"/>
    <w:rsid w:val="001D5AD7"/>
    <w:rsid w:val="001D5BBD"/>
    <w:rsid w:val="001D618F"/>
    <w:rsid w:val="001D6246"/>
    <w:rsid w:val="001D6AF8"/>
    <w:rsid w:val="001D6E92"/>
    <w:rsid w:val="001D709A"/>
    <w:rsid w:val="001D7283"/>
    <w:rsid w:val="001D7CC4"/>
    <w:rsid w:val="001E080A"/>
    <w:rsid w:val="001E0EAC"/>
    <w:rsid w:val="001E114C"/>
    <w:rsid w:val="001E1D16"/>
    <w:rsid w:val="001E201C"/>
    <w:rsid w:val="001E25E8"/>
    <w:rsid w:val="001E2BC4"/>
    <w:rsid w:val="001E3443"/>
    <w:rsid w:val="001E3B3D"/>
    <w:rsid w:val="001E3B5C"/>
    <w:rsid w:val="001E3C04"/>
    <w:rsid w:val="001E4531"/>
    <w:rsid w:val="001E46CA"/>
    <w:rsid w:val="001E47E6"/>
    <w:rsid w:val="001E518F"/>
    <w:rsid w:val="001E55E7"/>
    <w:rsid w:val="001E597C"/>
    <w:rsid w:val="001E5C96"/>
    <w:rsid w:val="001E5E0C"/>
    <w:rsid w:val="001E619B"/>
    <w:rsid w:val="001E65D8"/>
    <w:rsid w:val="001E6A3A"/>
    <w:rsid w:val="001E6A59"/>
    <w:rsid w:val="001E7132"/>
    <w:rsid w:val="001E737B"/>
    <w:rsid w:val="001E7672"/>
    <w:rsid w:val="001E78C5"/>
    <w:rsid w:val="001E7A0B"/>
    <w:rsid w:val="001E7BEC"/>
    <w:rsid w:val="001F03F0"/>
    <w:rsid w:val="001F16D3"/>
    <w:rsid w:val="001F1ABC"/>
    <w:rsid w:val="001F21B1"/>
    <w:rsid w:val="001F2571"/>
    <w:rsid w:val="001F2E9A"/>
    <w:rsid w:val="001F2F0B"/>
    <w:rsid w:val="001F3462"/>
    <w:rsid w:val="001F371D"/>
    <w:rsid w:val="001F39DB"/>
    <w:rsid w:val="001F3BAD"/>
    <w:rsid w:val="001F3CD9"/>
    <w:rsid w:val="001F3D11"/>
    <w:rsid w:val="001F5072"/>
    <w:rsid w:val="001F52D4"/>
    <w:rsid w:val="001F533E"/>
    <w:rsid w:val="001F568B"/>
    <w:rsid w:val="001F620A"/>
    <w:rsid w:val="001F6303"/>
    <w:rsid w:val="001F64A9"/>
    <w:rsid w:val="001F6C49"/>
    <w:rsid w:val="001F716D"/>
    <w:rsid w:val="001F7545"/>
    <w:rsid w:val="001F7939"/>
    <w:rsid w:val="001F7DA0"/>
    <w:rsid w:val="002007E5"/>
    <w:rsid w:val="00200DCF"/>
    <w:rsid w:val="00201154"/>
    <w:rsid w:val="00201AC0"/>
    <w:rsid w:val="00201B74"/>
    <w:rsid w:val="00202005"/>
    <w:rsid w:val="00202654"/>
    <w:rsid w:val="002027F3"/>
    <w:rsid w:val="00202AF4"/>
    <w:rsid w:val="00203B8F"/>
    <w:rsid w:val="00203C1A"/>
    <w:rsid w:val="00203E71"/>
    <w:rsid w:val="002044B3"/>
    <w:rsid w:val="0020474F"/>
    <w:rsid w:val="002047BD"/>
    <w:rsid w:val="002052CF"/>
    <w:rsid w:val="00205EC2"/>
    <w:rsid w:val="00206241"/>
    <w:rsid w:val="00206595"/>
    <w:rsid w:val="00206FAA"/>
    <w:rsid w:val="00206FD4"/>
    <w:rsid w:val="0020721F"/>
    <w:rsid w:val="0020774B"/>
    <w:rsid w:val="00207852"/>
    <w:rsid w:val="00207D87"/>
    <w:rsid w:val="00210470"/>
    <w:rsid w:val="002107D9"/>
    <w:rsid w:val="00211022"/>
    <w:rsid w:val="002115E7"/>
    <w:rsid w:val="002116B7"/>
    <w:rsid w:val="00211707"/>
    <w:rsid w:val="00211A26"/>
    <w:rsid w:val="00211C2C"/>
    <w:rsid w:val="00212185"/>
    <w:rsid w:val="00213690"/>
    <w:rsid w:val="0021393C"/>
    <w:rsid w:val="002139F0"/>
    <w:rsid w:val="0021401F"/>
    <w:rsid w:val="002154D3"/>
    <w:rsid w:val="00215B24"/>
    <w:rsid w:val="00215C5E"/>
    <w:rsid w:val="00216103"/>
    <w:rsid w:val="00216567"/>
    <w:rsid w:val="00216EDE"/>
    <w:rsid w:val="00217251"/>
    <w:rsid w:val="0021736F"/>
    <w:rsid w:val="00220283"/>
    <w:rsid w:val="00220625"/>
    <w:rsid w:val="00220DB6"/>
    <w:rsid w:val="0022162A"/>
    <w:rsid w:val="0022180B"/>
    <w:rsid w:val="00221EDD"/>
    <w:rsid w:val="002220EE"/>
    <w:rsid w:val="00222581"/>
    <w:rsid w:val="00222D6B"/>
    <w:rsid w:val="00222FBF"/>
    <w:rsid w:val="0022342A"/>
    <w:rsid w:val="00223C54"/>
    <w:rsid w:val="002245D9"/>
    <w:rsid w:val="00224602"/>
    <w:rsid w:val="00224B9A"/>
    <w:rsid w:val="002255BC"/>
    <w:rsid w:val="002257C5"/>
    <w:rsid w:val="00225C69"/>
    <w:rsid w:val="00225E04"/>
    <w:rsid w:val="00225FB4"/>
    <w:rsid w:val="00226501"/>
    <w:rsid w:val="00226E39"/>
    <w:rsid w:val="00226EF0"/>
    <w:rsid w:val="00227334"/>
    <w:rsid w:val="0023025B"/>
    <w:rsid w:val="00230373"/>
    <w:rsid w:val="002307C5"/>
    <w:rsid w:val="00230D21"/>
    <w:rsid w:val="00230F61"/>
    <w:rsid w:val="00232502"/>
    <w:rsid w:val="00233474"/>
    <w:rsid w:val="0023368B"/>
    <w:rsid w:val="00233692"/>
    <w:rsid w:val="00233C26"/>
    <w:rsid w:val="00233FFB"/>
    <w:rsid w:val="002344F0"/>
    <w:rsid w:val="00235757"/>
    <w:rsid w:val="0023577B"/>
    <w:rsid w:val="002359C7"/>
    <w:rsid w:val="00235DE6"/>
    <w:rsid w:val="0023604C"/>
    <w:rsid w:val="00236300"/>
    <w:rsid w:val="002363F7"/>
    <w:rsid w:val="002367D8"/>
    <w:rsid w:val="00236B3C"/>
    <w:rsid w:val="00236DF1"/>
    <w:rsid w:val="00236EAE"/>
    <w:rsid w:val="00236F0B"/>
    <w:rsid w:val="0023730A"/>
    <w:rsid w:val="002373A3"/>
    <w:rsid w:val="00237A00"/>
    <w:rsid w:val="00237A5E"/>
    <w:rsid w:val="0024022C"/>
    <w:rsid w:val="00240420"/>
    <w:rsid w:val="0024062E"/>
    <w:rsid w:val="00240CCA"/>
    <w:rsid w:val="00241AC6"/>
    <w:rsid w:val="00241BFB"/>
    <w:rsid w:val="00241CDF"/>
    <w:rsid w:val="0024241A"/>
    <w:rsid w:val="00242C05"/>
    <w:rsid w:val="00243788"/>
    <w:rsid w:val="002438B1"/>
    <w:rsid w:val="00244733"/>
    <w:rsid w:val="0024548D"/>
    <w:rsid w:val="00245675"/>
    <w:rsid w:val="00245763"/>
    <w:rsid w:val="002460F7"/>
    <w:rsid w:val="002462AB"/>
    <w:rsid w:val="00246994"/>
    <w:rsid w:val="00246ACD"/>
    <w:rsid w:val="002477EA"/>
    <w:rsid w:val="00247A4F"/>
    <w:rsid w:val="00247ABB"/>
    <w:rsid w:val="00247D54"/>
    <w:rsid w:val="00250065"/>
    <w:rsid w:val="00250226"/>
    <w:rsid w:val="002507FF"/>
    <w:rsid w:val="00251453"/>
    <w:rsid w:val="00251598"/>
    <w:rsid w:val="002519CE"/>
    <w:rsid w:val="0025354E"/>
    <w:rsid w:val="00253D5F"/>
    <w:rsid w:val="00253DA0"/>
    <w:rsid w:val="002540F5"/>
    <w:rsid w:val="00254362"/>
    <w:rsid w:val="0025501A"/>
    <w:rsid w:val="0025511F"/>
    <w:rsid w:val="0025598F"/>
    <w:rsid w:val="00255AFD"/>
    <w:rsid w:val="0025632C"/>
    <w:rsid w:val="002563ED"/>
    <w:rsid w:val="002576C9"/>
    <w:rsid w:val="00257EDA"/>
    <w:rsid w:val="00260651"/>
    <w:rsid w:val="0026197A"/>
    <w:rsid w:val="00261FF9"/>
    <w:rsid w:val="002620FA"/>
    <w:rsid w:val="00262975"/>
    <w:rsid w:val="00262DFF"/>
    <w:rsid w:val="00263016"/>
    <w:rsid w:val="00263082"/>
    <w:rsid w:val="002636F4"/>
    <w:rsid w:val="00263707"/>
    <w:rsid w:val="00263B2C"/>
    <w:rsid w:val="0026452B"/>
    <w:rsid w:val="00265252"/>
    <w:rsid w:val="002655EC"/>
    <w:rsid w:val="0026581F"/>
    <w:rsid w:val="00265B93"/>
    <w:rsid w:val="00266033"/>
    <w:rsid w:val="00266A2B"/>
    <w:rsid w:val="00266F6E"/>
    <w:rsid w:val="002672FC"/>
    <w:rsid w:val="0026746C"/>
    <w:rsid w:val="00267503"/>
    <w:rsid w:val="00267741"/>
    <w:rsid w:val="00267D5A"/>
    <w:rsid w:val="0027092C"/>
    <w:rsid w:val="00270B65"/>
    <w:rsid w:val="00270BF6"/>
    <w:rsid w:val="002710E6"/>
    <w:rsid w:val="002714B7"/>
    <w:rsid w:val="00271C1D"/>
    <w:rsid w:val="0027243A"/>
    <w:rsid w:val="002729EB"/>
    <w:rsid w:val="00272DF2"/>
    <w:rsid w:val="002732BA"/>
    <w:rsid w:val="00273304"/>
    <w:rsid w:val="0027349C"/>
    <w:rsid w:val="00274E63"/>
    <w:rsid w:val="00275359"/>
    <w:rsid w:val="00275444"/>
    <w:rsid w:val="002755F0"/>
    <w:rsid w:val="00275C92"/>
    <w:rsid w:val="00275DCA"/>
    <w:rsid w:val="002766B4"/>
    <w:rsid w:val="00276E33"/>
    <w:rsid w:val="00277402"/>
    <w:rsid w:val="002775D7"/>
    <w:rsid w:val="00277D70"/>
    <w:rsid w:val="00277F42"/>
    <w:rsid w:val="0028017D"/>
    <w:rsid w:val="00280261"/>
    <w:rsid w:val="00280696"/>
    <w:rsid w:val="00280A3C"/>
    <w:rsid w:val="0028109F"/>
    <w:rsid w:val="0028142A"/>
    <w:rsid w:val="00282222"/>
    <w:rsid w:val="0028275A"/>
    <w:rsid w:val="00283F64"/>
    <w:rsid w:val="00284487"/>
    <w:rsid w:val="002848BB"/>
    <w:rsid w:val="00285A39"/>
    <w:rsid w:val="00285A41"/>
    <w:rsid w:val="00285A56"/>
    <w:rsid w:val="00285B73"/>
    <w:rsid w:val="00285FE3"/>
    <w:rsid w:val="002860D5"/>
    <w:rsid w:val="002866DF"/>
    <w:rsid w:val="002867BD"/>
    <w:rsid w:val="0028690C"/>
    <w:rsid w:val="00287634"/>
    <w:rsid w:val="00287B1C"/>
    <w:rsid w:val="002904D4"/>
    <w:rsid w:val="002905E4"/>
    <w:rsid w:val="00290AD9"/>
    <w:rsid w:val="00290CF9"/>
    <w:rsid w:val="002917AB"/>
    <w:rsid w:val="00291BF2"/>
    <w:rsid w:val="00292A9F"/>
    <w:rsid w:val="00292CAE"/>
    <w:rsid w:val="0029426A"/>
    <w:rsid w:val="0029446D"/>
    <w:rsid w:val="00294523"/>
    <w:rsid w:val="0029455C"/>
    <w:rsid w:val="00294A49"/>
    <w:rsid w:val="00296717"/>
    <w:rsid w:val="00296FE3"/>
    <w:rsid w:val="002A0739"/>
    <w:rsid w:val="002A0777"/>
    <w:rsid w:val="002A1332"/>
    <w:rsid w:val="002A16CB"/>
    <w:rsid w:val="002A1C96"/>
    <w:rsid w:val="002A298E"/>
    <w:rsid w:val="002A3095"/>
    <w:rsid w:val="002A3466"/>
    <w:rsid w:val="002A363A"/>
    <w:rsid w:val="002A4228"/>
    <w:rsid w:val="002A43C6"/>
    <w:rsid w:val="002A4520"/>
    <w:rsid w:val="002A47F3"/>
    <w:rsid w:val="002A4845"/>
    <w:rsid w:val="002A49F6"/>
    <w:rsid w:val="002A4BAE"/>
    <w:rsid w:val="002A4E51"/>
    <w:rsid w:val="002A59A1"/>
    <w:rsid w:val="002A5A5B"/>
    <w:rsid w:val="002A5CF7"/>
    <w:rsid w:val="002A627A"/>
    <w:rsid w:val="002A662A"/>
    <w:rsid w:val="002A6E07"/>
    <w:rsid w:val="002A7452"/>
    <w:rsid w:val="002A7AAA"/>
    <w:rsid w:val="002A7C6E"/>
    <w:rsid w:val="002B0139"/>
    <w:rsid w:val="002B0A24"/>
    <w:rsid w:val="002B1C41"/>
    <w:rsid w:val="002B1EB3"/>
    <w:rsid w:val="002B1FA4"/>
    <w:rsid w:val="002B243D"/>
    <w:rsid w:val="002B2449"/>
    <w:rsid w:val="002B2707"/>
    <w:rsid w:val="002B2E73"/>
    <w:rsid w:val="002B3088"/>
    <w:rsid w:val="002B4573"/>
    <w:rsid w:val="002B45DE"/>
    <w:rsid w:val="002B48DC"/>
    <w:rsid w:val="002B4A21"/>
    <w:rsid w:val="002B508D"/>
    <w:rsid w:val="002B52A7"/>
    <w:rsid w:val="002B5D27"/>
    <w:rsid w:val="002B5DB1"/>
    <w:rsid w:val="002B5FAD"/>
    <w:rsid w:val="002B60DB"/>
    <w:rsid w:val="002B6196"/>
    <w:rsid w:val="002B63CB"/>
    <w:rsid w:val="002B65C8"/>
    <w:rsid w:val="002B6F21"/>
    <w:rsid w:val="002B753B"/>
    <w:rsid w:val="002B7639"/>
    <w:rsid w:val="002B7DF4"/>
    <w:rsid w:val="002C009F"/>
    <w:rsid w:val="002C024E"/>
    <w:rsid w:val="002C05EF"/>
    <w:rsid w:val="002C0BD0"/>
    <w:rsid w:val="002C0C09"/>
    <w:rsid w:val="002C10F0"/>
    <w:rsid w:val="002C16B4"/>
    <w:rsid w:val="002C20D4"/>
    <w:rsid w:val="002C296E"/>
    <w:rsid w:val="002C2A43"/>
    <w:rsid w:val="002C317C"/>
    <w:rsid w:val="002C32E3"/>
    <w:rsid w:val="002C32FA"/>
    <w:rsid w:val="002C3781"/>
    <w:rsid w:val="002C3915"/>
    <w:rsid w:val="002C3A19"/>
    <w:rsid w:val="002C3D83"/>
    <w:rsid w:val="002C3EDE"/>
    <w:rsid w:val="002C419C"/>
    <w:rsid w:val="002C4404"/>
    <w:rsid w:val="002C4E24"/>
    <w:rsid w:val="002C548C"/>
    <w:rsid w:val="002C58B6"/>
    <w:rsid w:val="002C629D"/>
    <w:rsid w:val="002C694F"/>
    <w:rsid w:val="002C7052"/>
    <w:rsid w:val="002C7371"/>
    <w:rsid w:val="002C782F"/>
    <w:rsid w:val="002C7C7B"/>
    <w:rsid w:val="002D0A6F"/>
    <w:rsid w:val="002D1179"/>
    <w:rsid w:val="002D11B6"/>
    <w:rsid w:val="002D13CE"/>
    <w:rsid w:val="002D1434"/>
    <w:rsid w:val="002D1803"/>
    <w:rsid w:val="002D1EE7"/>
    <w:rsid w:val="002D2AD6"/>
    <w:rsid w:val="002D343F"/>
    <w:rsid w:val="002D36FF"/>
    <w:rsid w:val="002D3A4D"/>
    <w:rsid w:val="002D41D2"/>
    <w:rsid w:val="002D4CA9"/>
    <w:rsid w:val="002D5AEC"/>
    <w:rsid w:val="002D5B22"/>
    <w:rsid w:val="002D5B7F"/>
    <w:rsid w:val="002D5D5E"/>
    <w:rsid w:val="002D60E7"/>
    <w:rsid w:val="002D6361"/>
    <w:rsid w:val="002D640B"/>
    <w:rsid w:val="002D6701"/>
    <w:rsid w:val="002D6CAF"/>
    <w:rsid w:val="002D721C"/>
    <w:rsid w:val="002D727F"/>
    <w:rsid w:val="002D7446"/>
    <w:rsid w:val="002D7539"/>
    <w:rsid w:val="002D7AE4"/>
    <w:rsid w:val="002D7DFE"/>
    <w:rsid w:val="002D7EEF"/>
    <w:rsid w:val="002D7F3C"/>
    <w:rsid w:val="002E0130"/>
    <w:rsid w:val="002E02D5"/>
    <w:rsid w:val="002E02E0"/>
    <w:rsid w:val="002E0304"/>
    <w:rsid w:val="002E05D4"/>
    <w:rsid w:val="002E0827"/>
    <w:rsid w:val="002E0FFD"/>
    <w:rsid w:val="002E15EA"/>
    <w:rsid w:val="002E1B0C"/>
    <w:rsid w:val="002E1CD0"/>
    <w:rsid w:val="002E203D"/>
    <w:rsid w:val="002E2114"/>
    <w:rsid w:val="002E21D2"/>
    <w:rsid w:val="002E2415"/>
    <w:rsid w:val="002E3045"/>
    <w:rsid w:val="002E30CB"/>
    <w:rsid w:val="002E3234"/>
    <w:rsid w:val="002E34C1"/>
    <w:rsid w:val="002E3527"/>
    <w:rsid w:val="002E3984"/>
    <w:rsid w:val="002E3BFC"/>
    <w:rsid w:val="002E3CEE"/>
    <w:rsid w:val="002E4261"/>
    <w:rsid w:val="002E4329"/>
    <w:rsid w:val="002E50CD"/>
    <w:rsid w:val="002E5260"/>
    <w:rsid w:val="002E53CC"/>
    <w:rsid w:val="002E543D"/>
    <w:rsid w:val="002E6626"/>
    <w:rsid w:val="002E71C9"/>
    <w:rsid w:val="002E7761"/>
    <w:rsid w:val="002F0BD1"/>
    <w:rsid w:val="002F0BF7"/>
    <w:rsid w:val="002F0E43"/>
    <w:rsid w:val="002F1196"/>
    <w:rsid w:val="002F15E8"/>
    <w:rsid w:val="002F1802"/>
    <w:rsid w:val="002F1E30"/>
    <w:rsid w:val="002F22C1"/>
    <w:rsid w:val="002F2345"/>
    <w:rsid w:val="002F2604"/>
    <w:rsid w:val="002F2925"/>
    <w:rsid w:val="002F2932"/>
    <w:rsid w:val="002F3EDC"/>
    <w:rsid w:val="002F3F27"/>
    <w:rsid w:val="002F3F82"/>
    <w:rsid w:val="002F4215"/>
    <w:rsid w:val="002F45C0"/>
    <w:rsid w:val="002F45E3"/>
    <w:rsid w:val="002F4AF2"/>
    <w:rsid w:val="002F57D9"/>
    <w:rsid w:val="002F5989"/>
    <w:rsid w:val="002F5CF9"/>
    <w:rsid w:val="002F6115"/>
    <w:rsid w:val="002F6249"/>
    <w:rsid w:val="002F6941"/>
    <w:rsid w:val="002F7807"/>
    <w:rsid w:val="002F7A60"/>
    <w:rsid w:val="002F7CF1"/>
    <w:rsid w:val="003002D6"/>
    <w:rsid w:val="0030037D"/>
    <w:rsid w:val="0030048E"/>
    <w:rsid w:val="003004AD"/>
    <w:rsid w:val="003004BC"/>
    <w:rsid w:val="00300756"/>
    <w:rsid w:val="00300825"/>
    <w:rsid w:val="00300CB5"/>
    <w:rsid w:val="00300F7F"/>
    <w:rsid w:val="0030119B"/>
    <w:rsid w:val="003019D0"/>
    <w:rsid w:val="00301C5C"/>
    <w:rsid w:val="00301E7F"/>
    <w:rsid w:val="00301FD0"/>
    <w:rsid w:val="003020D9"/>
    <w:rsid w:val="0030254D"/>
    <w:rsid w:val="0030273A"/>
    <w:rsid w:val="003028E9"/>
    <w:rsid w:val="00302A51"/>
    <w:rsid w:val="0030391E"/>
    <w:rsid w:val="00303B58"/>
    <w:rsid w:val="00303F7D"/>
    <w:rsid w:val="003045B4"/>
    <w:rsid w:val="00304B4B"/>
    <w:rsid w:val="00304D5E"/>
    <w:rsid w:val="00304E8B"/>
    <w:rsid w:val="00305484"/>
    <w:rsid w:val="00305754"/>
    <w:rsid w:val="00306A5E"/>
    <w:rsid w:val="00306BAE"/>
    <w:rsid w:val="003102E6"/>
    <w:rsid w:val="00310626"/>
    <w:rsid w:val="00311265"/>
    <w:rsid w:val="00311285"/>
    <w:rsid w:val="00311BCE"/>
    <w:rsid w:val="00311CE4"/>
    <w:rsid w:val="00312463"/>
    <w:rsid w:val="0031249A"/>
    <w:rsid w:val="00312509"/>
    <w:rsid w:val="00312B55"/>
    <w:rsid w:val="00313693"/>
    <w:rsid w:val="0031438A"/>
    <w:rsid w:val="00314681"/>
    <w:rsid w:val="003151A9"/>
    <w:rsid w:val="003151CA"/>
    <w:rsid w:val="003155CD"/>
    <w:rsid w:val="00315961"/>
    <w:rsid w:val="00315FA6"/>
    <w:rsid w:val="00316065"/>
    <w:rsid w:val="003160F6"/>
    <w:rsid w:val="00316138"/>
    <w:rsid w:val="00316453"/>
    <w:rsid w:val="00316B61"/>
    <w:rsid w:val="00316DCD"/>
    <w:rsid w:val="0031717F"/>
    <w:rsid w:val="00317A98"/>
    <w:rsid w:val="00317DF3"/>
    <w:rsid w:val="003203D5"/>
    <w:rsid w:val="00320C11"/>
    <w:rsid w:val="00320D03"/>
    <w:rsid w:val="0032113C"/>
    <w:rsid w:val="00321140"/>
    <w:rsid w:val="0032154A"/>
    <w:rsid w:val="00321690"/>
    <w:rsid w:val="00321AB6"/>
    <w:rsid w:val="00321B03"/>
    <w:rsid w:val="00321F67"/>
    <w:rsid w:val="003221BC"/>
    <w:rsid w:val="003224AB"/>
    <w:rsid w:val="00322985"/>
    <w:rsid w:val="00322C64"/>
    <w:rsid w:val="0032309A"/>
    <w:rsid w:val="00323182"/>
    <w:rsid w:val="003231EC"/>
    <w:rsid w:val="003232B2"/>
    <w:rsid w:val="0032343C"/>
    <w:rsid w:val="00323898"/>
    <w:rsid w:val="00323E2A"/>
    <w:rsid w:val="0032421A"/>
    <w:rsid w:val="003244B4"/>
    <w:rsid w:val="00324706"/>
    <w:rsid w:val="0032484B"/>
    <w:rsid w:val="00324936"/>
    <w:rsid w:val="00324A23"/>
    <w:rsid w:val="00324C23"/>
    <w:rsid w:val="00325232"/>
    <w:rsid w:val="0032539A"/>
    <w:rsid w:val="0032547E"/>
    <w:rsid w:val="0032594E"/>
    <w:rsid w:val="00325B47"/>
    <w:rsid w:val="00325D92"/>
    <w:rsid w:val="00326A36"/>
    <w:rsid w:val="00326DBF"/>
    <w:rsid w:val="00326ED4"/>
    <w:rsid w:val="0032717E"/>
    <w:rsid w:val="003272F0"/>
    <w:rsid w:val="003274F7"/>
    <w:rsid w:val="0032793B"/>
    <w:rsid w:val="00327BDD"/>
    <w:rsid w:val="00327C70"/>
    <w:rsid w:val="00327E5C"/>
    <w:rsid w:val="00327F8D"/>
    <w:rsid w:val="00330CF6"/>
    <w:rsid w:val="00330E08"/>
    <w:rsid w:val="00331C74"/>
    <w:rsid w:val="003327F5"/>
    <w:rsid w:val="00332BD7"/>
    <w:rsid w:val="00332D84"/>
    <w:rsid w:val="003333D1"/>
    <w:rsid w:val="003337E1"/>
    <w:rsid w:val="00334407"/>
    <w:rsid w:val="003347F1"/>
    <w:rsid w:val="00334E70"/>
    <w:rsid w:val="00334EAF"/>
    <w:rsid w:val="00335AAF"/>
    <w:rsid w:val="0033651C"/>
    <w:rsid w:val="00336571"/>
    <w:rsid w:val="00336F66"/>
    <w:rsid w:val="00337196"/>
    <w:rsid w:val="003375DF"/>
    <w:rsid w:val="0033776B"/>
    <w:rsid w:val="00340088"/>
    <w:rsid w:val="0034056C"/>
    <w:rsid w:val="0034112B"/>
    <w:rsid w:val="00341B35"/>
    <w:rsid w:val="00342093"/>
    <w:rsid w:val="00342D1F"/>
    <w:rsid w:val="00343679"/>
    <w:rsid w:val="00343989"/>
    <w:rsid w:val="00343E37"/>
    <w:rsid w:val="003444B2"/>
    <w:rsid w:val="00344651"/>
    <w:rsid w:val="003446D7"/>
    <w:rsid w:val="00344EB6"/>
    <w:rsid w:val="00345665"/>
    <w:rsid w:val="00345CAA"/>
    <w:rsid w:val="003461D8"/>
    <w:rsid w:val="00346248"/>
    <w:rsid w:val="0034679B"/>
    <w:rsid w:val="00346966"/>
    <w:rsid w:val="003474F9"/>
    <w:rsid w:val="00347612"/>
    <w:rsid w:val="0034774C"/>
    <w:rsid w:val="00347F09"/>
    <w:rsid w:val="00347F1E"/>
    <w:rsid w:val="00350534"/>
    <w:rsid w:val="00350785"/>
    <w:rsid w:val="00350855"/>
    <w:rsid w:val="00350A9C"/>
    <w:rsid w:val="00350E6F"/>
    <w:rsid w:val="00350E85"/>
    <w:rsid w:val="00351A44"/>
    <w:rsid w:val="00351B6B"/>
    <w:rsid w:val="003522E1"/>
    <w:rsid w:val="0035265B"/>
    <w:rsid w:val="003526A3"/>
    <w:rsid w:val="00352C1A"/>
    <w:rsid w:val="00353385"/>
    <w:rsid w:val="0035352B"/>
    <w:rsid w:val="003537F4"/>
    <w:rsid w:val="003542BC"/>
    <w:rsid w:val="003548F3"/>
    <w:rsid w:val="00354C41"/>
    <w:rsid w:val="00354D4F"/>
    <w:rsid w:val="0035538F"/>
    <w:rsid w:val="00355696"/>
    <w:rsid w:val="0035571C"/>
    <w:rsid w:val="003558E3"/>
    <w:rsid w:val="00355A06"/>
    <w:rsid w:val="00355D1B"/>
    <w:rsid w:val="00356508"/>
    <w:rsid w:val="003567CA"/>
    <w:rsid w:val="00356C8A"/>
    <w:rsid w:val="00356DA8"/>
    <w:rsid w:val="00357835"/>
    <w:rsid w:val="003578D0"/>
    <w:rsid w:val="00357BAC"/>
    <w:rsid w:val="00357CF6"/>
    <w:rsid w:val="00357FF4"/>
    <w:rsid w:val="00360746"/>
    <w:rsid w:val="003609D2"/>
    <w:rsid w:val="00360B4A"/>
    <w:rsid w:val="00360D20"/>
    <w:rsid w:val="0036163C"/>
    <w:rsid w:val="00361A6F"/>
    <w:rsid w:val="0036219C"/>
    <w:rsid w:val="00362596"/>
    <w:rsid w:val="0036288C"/>
    <w:rsid w:val="00362E67"/>
    <w:rsid w:val="00363C4F"/>
    <w:rsid w:val="00363EF1"/>
    <w:rsid w:val="00364AA2"/>
    <w:rsid w:val="00364EE8"/>
    <w:rsid w:val="00365161"/>
    <w:rsid w:val="003653FB"/>
    <w:rsid w:val="00365580"/>
    <w:rsid w:val="0036594F"/>
    <w:rsid w:val="00365DEC"/>
    <w:rsid w:val="0036603D"/>
    <w:rsid w:val="0036656D"/>
    <w:rsid w:val="0036670E"/>
    <w:rsid w:val="00366824"/>
    <w:rsid w:val="00367280"/>
    <w:rsid w:val="00367715"/>
    <w:rsid w:val="00367747"/>
    <w:rsid w:val="003678D4"/>
    <w:rsid w:val="003679ED"/>
    <w:rsid w:val="00367D6A"/>
    <w:rsid w:val="00370171"/>
    <w:rsid w:val="0037021E"/>
    <w:rsid w:val="00370313"/>
    <w:rsid w:val="0037099A"/>
    <w:rsid w:val="00371392"/>
    <w:rsid w:val="00371459"/>
    <w:rsid w:val="0037198E"/>
    <w:rsid w:val="00371A9C"/>
    <w:rsid w:val="00371EEB"/>
    <w:rsid w:val="0037240C"/>
    <w:rsid w:val="00372A5D"/>
    <w:rsid w:val="00372F91"/>
    <w:rsid w:val="003732C1"/>
    <w:rsid w:val="00373341"/>
    <w:rsid w:val="00373BDC"/>
    <w:rsid w:val="00373FBC"/>
    <w:rsid w:val="00374042"/>
    <w:rsid w:val="0037438E"/>
    <w:rsid w:val="00375237"/>
    <w:rsid w:val="003754A9"/>
    <w:rsid w:val="00375855"/>
    <w:rsid w:val="003758C7"/>
    <w:rsid w:val="00375F23"/>
    <w:rsid w:val="00375FD6"/>
    <w:rsid w:val="003764C6"/>
    <w:rsid w:val="00376A1A"/>
    <w:rsid w:val="00376C78"/>
    <w:rsid w:val="00376FAE"/>
    <w:rsid w:val="00377348"/>
    <w:rsid w:val="00377381"/>
    <w:rsid w:val="003777D4"/>
    <w:rsid w:val="00377A16"/>
    <w:rsid w:val="00377A29"/>
    <w:rsid w:val="00380137"/>
    <w:rsid w:val="003801C9"/>
    <w:rsid w:val="00380447"/>
    <w:rsid w:val="003805B1"/>
    <w:rsid w:val="003805EF"/>
    <w:rsid w:val="003809F9"/>
    <w:rsid w:val="00380DDD"/>
    <w:rsid w:val="00381400"/>
    <w:rsid w:val="00381692"/>
    <w:rsid w:val="003817BA"/>
    <w:rsid w:val="0038182E"/>
    <w:rsid w:val="0038190E"/>
    <w:rsid w:val="00381B19"/>
    <w:rsid w:val="00381FF3"/>
    <w:rsid w:val="003824C7"/>
    <w:rsid w:val="00382509"/>
    <w:rsid w:val="00382AC0"/>
    <w:rsid w:val="00382B08"/>
    <w:rsid w:val="00384C2E"/>
    <w:rsid w:val="00384D1B"/>
    <w:rsid w:val="00385EB1"/>
    <w:rsid w:val="00385EBF"/>
    <w:rsid w:val="00386488"/>
    <w:rsid w:val="00386686"/>
    <w:rsid w:val="0038672A"/>
    <w:rsid w:val="003878EC"/>
    <w:rsid w:val="00387EBC"/>
    <w:rsid w:val="0039068D"/>
    <w:rsid w:val="00390714"/>
    <w:rsid w:val="003907E1"/>
    <w:rsid w:val="003908DF"/>
    <w:rsid w:val="00390A2E"/>
    <w:rsid w:val="00390B74"/>
    <w:rsid w:val="00390FC7"/>
    <w:rsid w:val="0039100C"/>
    <w:rsid w:val="00391338"/>
    <w:rsid w:val="00391433"/>
    <w:rsid w:val="00391444"/>
    <w:rsid w:val="003915FC"/>
    <w:rsid w:val="00391998"/>
    <w:rsid w:val="00392526"/>
    <w:rsid w:val="00392BD0"/>
    <w:rsid w:val="00392C45"/>
    <w:rsid w:val="00392CF7"/>
    <w:rsid w:val="0039347E"/>
    <w:rsid w:val="00393791"/>
    <w:rsid w:val="0039388B"/>
    <w:rsid w:val="00393E99"/>
    <w:rsid w:val="00393E9A"/>
    <w:rsid w:val="0039413C"/>
    <w:rsid w:val="00394532"/>
    <w:rsid w:val="0039484C"/>
    <w:rsid w:val="00394F62"/>
    <w:rsid w:val="003955EF"/>
    <w:rsid w:val="003959E2"/>
    <w:rsid w:val="00395A74"/>
    <w:rsid w:val="00395F3E"/>
    <w:rsid w:val="0039605B"/>
    <w:rsid w:val="0039608D"/>
    <w:rsid w:val="003965A9"/>
    <w:rsid w:val="00396A93"/>
    <w:rsid w:val="00396E4B"/>
    <w:rsid w:val="00397312"/>
    <w:rsid w:val="00397ACD"/>
    <w:rsid w:val="00397C4D"/>
    <w:rsid w:val="003A021F"/>
    <w:rsid w:val="003A0398"/>
    <w:rsid w:val="003A07B3"/>
    <w:rsid w:val="003A0986"/>
    <w:rsid w:val="003A09E4"/>
    <w:rsid w:val="003A16F0"/>
    <w:rsid w:val="003A17C0"/>
    <w:rsid w:val="003A1D88"/>
    <w:rsid w:val="003A201D"/>
    <w:rsid w:val="003A2213"/>
    <w:rsid w:val="003A29D7"/>
    <w:rsid w:val="003A2E3D"/>
    <w:rsid w:val="003A2F51"/>
    <w:rsid w:val="003A2F72"/>
    <w:rsid w:val="003A38BD"/>
    <w:rsid w:val="003A3B15"/>
    <w:rsid w:val="003A4114"/>
    <w:rsid w:val="003A41E0"/>
    <w:rsid w:val="003A429F"/>
    <w:rsid w:val="003A4420"/>
    <w:rsid w:val="003A4B64"/>
    <w:rsid w:val="003A4C36"/>
    <w:rsid w:val="003A4CCE"/>
    <w:rsid w:val="003A4DAC"/>
    <w:rsid w:val="003A5B43"/>
    <w:rsid w:val="003A6D3B"/>
    <w:rsid w:val="003A6D3C"/>
    <w:rsid w:val="003A6ECE"/>
    <w:rsid w:val="003A71EF"/>
    <w:rsid w:val="003A75B1"/>
    <w:rsid w:val="003A7770"/>
    <w:rsid w:val="003A7B3C"/>
    <w:rsid w:val="003B012A"/>
    <w:rsid w:val="003B0397"/>
    <w:rsid w:val="003B045F"/>
    <w:rsid w:val="003B0A2D"/>
    <w:rsid w:val="003B1442"/>
    <w:rsid w:val="003B14E1"/>
    <w:rsid w:val="003B19CF"/>
    <w:rsid w:val="003B32F2"/>
    <w:rsid w:val="003B3308"/>
    <w:rsid w:val="003B3DE0"/>
    <w:rsid w:val="003B40A8"/>
    <w:rsid w:val="003B40F9"/>
    <w:rsid w:val="003B4CEA"/>
    <w:rsid w:val="003B53A9"/>
    <w:rsid w:val="003B5460"/>
    <w:rsid w:val="003B56B1"/>
    <w:rsid w:val="003B5966"/>
    <w:rsid w:val="003B5B55"/>
    <w:rsid w:val="003B5B79"/>
    <w:rsid w:val="003B5ED3"/>
    <w:rsid w:val="003B625D"/>
    <w:rsid w:val="003B678A"/>
    <w:rsid w:val="003B6E7F"/>
    <w:rsid w:val="003B6E93"/>
    <w:rsid w:val="003B7732"/>
    <w:rsid w:val="003B7871"/>
    <w:rsid w:val="003B7DD6"/>
    <w:rsid w:val="003C078C"/>
    <w:rsid w:val="003C1C75"/>
    <w:rsid w:val="003C1E8C"/>
    <w:rsid w:val="003C231C"/>
    <w:rsid w:val="003C2457"/>
    <w:rsid w:val="003C36D9"/>
    <w:rsid w:val="003C38B5"/>
    <w:rsid w:val="003C412C"/>
    <w:rsid w:val="003C4938"/>
    <w:rsid w:val="003C4E13"/>
    <w:rsid w:val="003C50A8"/>
    <w:rsid w:val="003C53C3"/>
    <w:rsid w:val="003C53EB"/>
    <w:rsid w:val="003C5788"/>
    <w:rsid w:val="003C6154"/>
    <w:rsid w:val="003C6489"/>
    <w:rsid w:val="003C6AF5"/>
    <w:rsid w:val="003C70F7"/>
    <w:rsid w:val="003C74EA"/>
    <w:rsid w:val="003C79B1"/>
    <w:rsid w:val="003C79D3"/>
    <w:rsid w:val="003C7C9E"/>
    <w:rsid w:val="003D03E6"/>
    <w:rsid w:val="003D17E2"/>
    <w:rsid w:val="003D26DE"/>
    <w:rsid w:val="003D2AC7"/>
    <w:rsid w:val="003D2DD4"/>
    <w:rsid w:val="003D37C1"/>
    <w:rsid w:val="003D37E5"/>
    <w:rsid w:val="003D385D"/>
    <w:rsid w:val="003D3A7C"/>
    <w:rsid w:val="003D3D36"/>
    <w:rsid w:val="003D3DD0"/>
    <w:rsid w:val="003D4081"/>
    <w:rsid w:val="003D4234"/>
    <w:rsid w:val="003D43D1"/>
    <w:rsid w:val="003D44B1"/>
    <w:rsid w:val="003D5047"/>
    <w:rsid w:val="003D537D"/>
    <w:rsid w:val="003D54E7"/>
    <w:rsid w:val="003D5648"/>
    <w:rsid w:val="003D596E"/>
    <w:rsid w:val="003D6108"/>
    <w:rsid w:val="003D63F7"/>
    <w:rsid w:val="003D6706"/>
    <w:rsid w:val="003D7DC1"/>
    <w:rsid w:val="003D7FB6"/>
    <w:rsid w:val="003E06B8"/>
    <w:rsid w:val="003E1757"/>
    <w:rsid w:val="003E1AC6"/>
    <w:rsid w:val="003E22C8"/>
    <w:rsid w:val="003E2801"/>
    <w:rsid w:val="003E2AE4"/>
    <w:rsid w:val="003E2E57"/>
    <w:rsid w:val="003E30DF"/>
    <w:rsid w:val="003E34F3"/>
    <w:rsid w:val="003E3540"/>
    <w:rsid w:val="003E3568"/>
    <w:rsid w:val="003E38B4"/>
    <w:rsid w:val="003E42B3"/>
    <w:rsid w:val="003E521F"/>
    <w:rsid w:val="003E5B22"/>
    <w:rsid w:val="003E60F3"/>
    <w:rsid w:val="003E6166"/>
    <w:rsid w:val="003E62CE"/>
    <w:rsid w:val="003E678A"/>
    <w:rsid w:val="003E7135"/>
    <w:rsid w:val="003E758A"/>
    <w:rsid w:val="003E7B23"/>
    <w:rsid w:val="003F131B"/>
    <w:rsid w:val="003F1334"/>
    <w:rsid w:val="003F1931"/>
    <w:rsid w:val="003F1E8B"/>
    <w:rsid w:val="003F20A9"/>
    <w:rsid w:val="003F22F0"/>
    <w:rsid w:val="003F2500"/>
    <w:rsid w:val="003F2934"/>
    <w:rsid w:val="003F2DCF"/>
    <w:rsid w:val="003F2E3A"/>
    <w:rsid w:val="003F2EE4"/>
    <w:rsid w:val="003F304A"/>
    <w:rsid w:val="003F3707"/>
    <w:rsid w:val="003F3A18"/>
    <w:rsid w:val="003F3FD9"/>
    <w:rsid w:val="003F4080"/>
    <w:rsid w:val="003F42A3"/>
    <w:rsid w:val="003F492B"/>
    <w:rsid w:val="003F4C67"/>
    <w:rsid w:val="003F4E10"/>
    <w:rsid w:val="003F5A89"/>
    <w:rsid w:val="003F5F1A"/>
    <w:rsid w:val="003F6906"/>
    <w:rsid w:val="003F6B74"/>
    <w:rsid w:val="003F70A4"/>
    <w:rsid w:val="003F7923"/>
    <w:rsid w:val="003F7DA6"/>
    <w:rsid w:val="003F7FC0"/>
    <w:rsid w:val="00400384"/>
    <w:rsid w:val="004011CB"/>
    <w:rsid w:val="00401629"/>
    <w:rsid w:val="00401ED4"/>
    <w:rsid w:val="00402BE1"/>
    <w:rsid w:val="00402C40"/>
    <w:rsid w:val="0040355E"/>
    <w:rsid w:val="004039B2"/>
    <w:rsid w:val="00403AC5"/>
    <w:rsid w:val="00403CDB"/>
    <w:rsid w:val="00403F71"/>
    <w:rsid w:val="00404579"/>
    <w:rsid w:val="00404924"/>
    <w:rsid w:val="00404DC8"/>
    <w:rsid w:val="00404EE0"/>
    <w:rsid w:val="00404FAD"/>
    <w:rsid w:val="004053C0"/>
    <w:rsid w:val="00405478"/>
    <w:rsid w:val="00406679"/>
    <w:rsid w:val="00406A1D"/>
    <w:rsid w:val="00406AFD"/>
    <w:rsid w:val="00406BEA"/>
    <w:rsid w:val="00406CD0"/>
    <w:rsid w:val="00406F4C"/>
    <w:rsid w:val="00406FE8"/>
    <w:rsid w:val="00407482"/>
    <w:rsid w:val="00407B6D"/>
    <w:rsid w:val="00407C16"/>
    <w:rsid w:val="00407DD1"/>
    <w:rsid w:val="00410103"/>
    <w:rsid w:val="0041026E"/>
    <w:rsid w:val="004105DA"/>
    <w:rsid w:val="00411885"/>
    <w:rsid w:val="00411D53"/>
    <w:rsid w:val="004120F8"/>
    <w:rsid w:val="00412302"/>
    <w:rsid w:val="004129D4"/>
    <w:rsid w:val="00412ABC"/>
    <w:rsid w:val="00412CD7"/>
    <w:rsid w:val="00413383"/>
    <w:rsid w:val="004133BE"/>
    <w:rsid w:val="004133CC"/>
    <w:rsid w:val="00413A98"/>
    <w:rsid w:val="00414165"/>
    <w:rsid w:val="004141FE"/>
    <w:rsid w:val="004143F4"/>
    <w:rsid w:val="00414AE3"/>
    <w:rsid w:val="00414B0F"/>
    <w:rsid w:val="00414B8D"/>
    <w:rsid w:val="00415429"/>
    <w:rsid w:val="004157AE"/>
    <w:rsid w:val="00415836"/>
    <w:rsid w:val="00415CDC"/>
    <w:rsid w:val="00415E79"/>
    <w:rsid w:val="0041608C"/>
    <w:rsid w:val="004164FF"/>
    <w:rsid w:val="004170D5"/>
    <w:rsid w:val="00417EAA"/>
    <w:rsid w:val="004202DE"/>
    <w:rsid w:val="00420E68"/>
    <w:rsid w:val="00421241"/>
    <w:rsid w:val="00421661"/>
    <w:rsid w:val="00421A6D"/>
    <w:rsid w:val="00421BAE"/>
    <w:rsid w:val="0042229C"/>
    <w:rsid w:val="00422B1F"/>
    <w:rsid w:val="00422C0A"/>
    <w:rsid w:val="0042309F"/>
    <w:rsid w:val="00423E0A"/>
    <w:rsid w:val="00424484"/>
    <w:rsid w:val="004245BE"/>
    <w:rsid w:val="00424851"/>
    <w:rsid w:val="00424887"/>
    <w:rsid w:val="00424E53"/>
    <w:rsid w:val="00424F09"/>
    <w:rsid w:val="00425A1B"/>
    <w:rsid w:val="00425DA6"/>
    <w:rsid w:val="00425DDE"/>
    <w:rsid w:val="00425E35"/>
    <w:rsid w:val="00426003"/>
    <w:rsid w:val="00426668"/>
    <w:rsid w:val="004269DB"/>
    <w:rsid w:val="00427103"/>
    <w:rsid w:val="004272F6"/>
    <w:rsid w:val="00427489"/>
    <w:rsid w:val="004275B8"/>
    <w:rsid w:val="00427797"/>
    <w:rsid w:val="00427994"/>
    <w:rsid w:val="00427B84"/>
    <w:rsid w:val="0043020A"/>
    <w:rsid w:val="00430414"/>
    <w:rsid w:val="004305FC"/>
    <w:rsid w:val="004306A0"/>
    <w:rsid w:val="00430780"/>
    <w:rsid w:val="00430F4F"/>
    <w:rsid w:val="0043121B"/>
    <w:rsid w:val="00431665"/>
    <w:rsid w:val="00431925"/>
    <w:rsid w:val="00431A19"/>
    <w:rsid w:val="00431A89"/>
    <w:rsid w:val="0043278F"/>
    <w:rsid w:val="004329EF"/>
    <w:rsid w:val="00432CA2"/>
    <w:rsid w:val="00433327"/>
    <w:rsid w:val="004335A4"/>
    <w:rsid w:val="004337A2"/>
    <w:rsid w:val="0043393C"/>
    <w:rsid w:val="00433CDD"/>
    <w:rsid w:val="00433CF4"/>
    <w:rsid w:val="00434383"/>
    <w:rsid w:val="00434EC3"/>
    <w:rsid w:val="00435239"/>
    <w:rsid w:val="00435DF6"/>
    <w:rsid w:val="00436B46"/>
    <w:rsid w:val="00436C25"/>
    <w:rsid w:val="00436EF9"/>
    <w:rsid w:val="004371AD"/>
    <w:rsid w:val="004372F9"/>
    <w:rsid w:val="00437550"/>
    <w:rsid w:val="0043780A"/>
    <w:rsid w:val="00437F72"/>
    <w:rsid w:val="004405C5"/>
    <w:rsid w:val="00440C58"/>
    <w:rsid w:val="00440E4E"/>
    <w:rsid w:val="004414A7"/>
    <w:rsid w:val="00441526"/>
    <w:rsid w:val="00441768"/>
    <w:rsid w:val="004417E3"/>
    <w:rsid w:val="00442391"/>
    <w:rsid w:val="00442E35"/>
    <w:rsid w:val="00443A22"/>
    <w:rsid w:val="00443D77"/>
    <w:rsid w:val="004441EE"/>
    <w:rsid w:val="004444BF"/>
    <w:rsid w:val="004447A4"/>
    <w:rsid w:val="004447F0"/>
    <w:rsid w:val="00444986"/>
    <w:rsid w:val="00444C6A"/>
    <w:rsid w:val="0044509A"/>
    <w:rsid w:val="004450C2"/>
    <w:rsid w:val="0044519B"/>
    <w:rsid w:val="004452FE"/>
    <w:rsid w:val="00445302"/>
    <w:rsid w:val="00445746"/>
    <w:rsid w:val="004461DF"/>
    <w:rsid w:val="004461E8"/>
    <w:rsid w:val="004463E9"/>
    <w:rsid w:val="00446558"/>
    <w:rsid w:val="00446876"/>
    <w:rsid w:val="00446E26"/>
    <w:rsid w:val="00447734"/>
    <w:rsid w:val="00447783"/>
    <w:rsid w:val="00447988"/>
    <w:rsid w:val="004504D3"/>
    <w:rsid w:val="00451735"/>
    <w:rsid w:val="00451C10"/>
    <w:rsid w:val="004522D0"/>
    <w:rsid w:val="0045276E"/>
    <w:rsid w:val="00452E30"/>
    <w:rsid w:val="0045320F"/>
    <w:rsid w:val="00453294"/>
    <w:rsid w:val="00453543"/>
    <w:rsid w:val="004535C8"/>
    <w:rsid w:val="004535FA"/>
    <w:rsid w:val="0045478B"/>
    <w:rsid w:val="0045483A"/>
    <w:rsid w:val="0045499A"/>
    <w:rsid w:val="00454A5B"/>
    <w:rsid w:val="004562B5"/>
    <w:rsid w:val="00456568"/>
    <w:rsid w:val="004565BC"/>
    <w:rsid w:val="004565DE"/>
    <w:rsid w:val="00456BEF"/>
    <w:rsid w:val="00456FC9"/>
    <w:rsid w:val="00457309"/>
    <w:rsid w:val="00457800"/>
    <w:rsid w:val="004602FC"/>
    <w:rsid w:val="004603F6"/>
    <w:rsid w:val="00460E43"/>
    <w:rsid w:val="00461144"/>
    <w:rsid w:val="0046149F"/>
    <w:rsid w:val="0046160F"/>
    <w:rsid w:val="0046197B"/>
    <w:rsid w:val="0046198B"/>
    <w:rsid w:val="00461B5E"/>
    <w:rsid w:val="00461C23"/>
    <w:rsid w:val="00462D1C"/>
    <w:rsid w:val="00463384"/>
    <w:rsid w:val="00464173"/>
    <w:rsid w:val="00464680"/>
    <w:rsid w:val="004649A1"/>
    <w:rsid w:val="00464DA6"/>
    <w:rsid w:val="0046560F"/>
    <w:rsid w:val="0046579F"/>
    <w:rsid w:val="004657E4"/>
    <w:rsid w:val="004657F0"/>
    <w:rsid w:val="00465DA6"/>
    <w:rsid w:val="00465E0F"/>
    <w:rsid w:val="0046605A"/>
    <w:rsid w:val="004664FD"/>
    <w:rsid w:val="0046674F"/>
    <w:rsid w:val="004670A2"/>
    <w:rsid w:val="0046719D"/>
    <w:rsid w:val="004672B9"/>
    <w:rsid w:val="004674F6"/>
    <w:rsid w:val="00467AD3"/>
    <w:rsid w:val="00467B30"/>
    <w:rsid w:val="00467E3E"/>
    <w:rsid w:val="004705D3"/>
    <w:rsid w:val="00470778"/>
    <w:rsid w:val="0047149B"/>
    <w:rsid w:val="00471653"/>
    <w:rsid w:val="00471A25"/>
    <w:rsid w:val="00472209"/>
    <w:rsid w:val="00472805"/>
    <w:rsid w:val="004728E0"/>
    <w:rsid w:val="00472DA0"/>
    <w:rsid w:val="00472FFC"/>
    <w:rsid w:val="0047323A"/>
    <w:rsid w:val="0047375C"/>
    <w:rsid w:val="004737D8"/>
    <w:rsid w:val="004738C3"/>
    <w:rsid w:val="00473A96"/>
    <w:rsid w:val="00473F73"/>
    <w:rsid w:val="004743E0"/>
    <w:rsid w:val="004745F3"/>
    <w:rsid w:val="00474708"/>
    <w:rsid w:val="00474761"/>
    <w:rsid w:val="004748D9"/>
    <w:rsid w:val="004753E0"/>
    <w:rsid w:val="004758A2"/>
    <w:rsid w:val="00475A45"/>
    <w:rsid w:val="00475EE1"/>
    <w:rsid w:val="00475F5A"/>
    <w:rsid w:val="004766A0"/>
    <w:rsid w:val="00476B44"/>
    <w:rsid w:val="00476CE0"/>
    <w:rsid w:val="004776D3"/>
    <w:rsid w:val="00477F24"/>
    <w:rsid w:val="00480BE0"/>
    <w:rsid w:val="00481651"/>
    <w:rsid w:val="004816D2"/>
    <w:rsid w:val="00481827"/>
    <w:rsid w:val="004826F2"/>
    <w:rsid w:val="004827EA"/>
    <w:rsid w:val="00482A3D"/>
    <w:rsid w:val="00482E82"/>
    <w:rsid w:val="00482F90"/>
    <w:rsid w:val="00483046"/>
    <w:rsid w:val="0048349C"/>
    <w:rsid w:val="004834BB"/>
    <w:rsid w:val="004837A9"/>
    <w:rsid w:val="004842C5"/>
    <w:rsid w:val="0048516F"/>
    <w:rsid w:val="004856C5"/>
    <w:rsid w:val="00485A59"/>
    <w:rsid w:val="00485B04"/>
    <w:rsid w:val="00485E82"/>
    <w:rsid w:val="00486060"/>
    <w:rsid w:val="00486630"/>
    <w:rsid w:val="004869CE"/>
    <w:rsid w:val="00486F23"/>
    <w:rsid w:val="00487036"/>
    <w:rsid w:val="00487111"/>
    <w:rsid w:val="00487130"/>
    <w:rsid w:val="004874D5"/>
    <w:rsid w:val="00487DBC"/>
    <w:rsid w:val="00487F55"/>
    <w:rsid w:val="0049016C"/>
    <w:rsid w:val="00490278"/>
    <w:rsid w:val="004902E2"/>
    <w:rsid w:val="00490939"/>
    <w:rsid w:val="00490950"/>
    <w:rsid w:val="00490B0C"/>
    <w:rsid w:val="004910D6"/>
    <w:rsid w:val="004911CD"/>
    <w:rsid w:val="0049132B"/>
    <w:rsid w:val="004916BB"/>
    <w:rsid w:val="0049173F"/>
    <w:rsid w:val="004917C1"/>
    <w:rsid w:val="00491C79"/>
    <w:rsid w:val="00491C7B"/>
    <w:rsid w:val="00491FDC"/>
    <w:rsid w:val="004923A4"/>
    <w:rsid w:val="00492DA4"/>
    <w:rsid w:val="00492E11"/>
    <w:rsid w:val="004930E6"/>
    <w:rsid w:val="00494CBB"/>
    <w:rsid w:val="00494FBF"/>
    <w:rsid w:val="004950F8"/>
    <w:rsid w:val="00495170"/>
    <w:rsid w:val="00495B43"/>
    <w:rsid w:val="00495CE7"/>
    <w:rsid w:val="00495E4C"/>
    <w:rsid w:val="0049618D"/>
    <w:rsid w:val="004963CE"/>
    <w:rsid w:val="0049733F"/>
    <w:rsid w:val="00497558"/>
    <w:rsid w:val="00497B20"/>
    <w:rsid w:val="004A00F6"/>
    <w:rsid w:val="004A0E56"/>
    <w:rsid w:val="004A1004"/>
    <w:rsid w:val="004A141B"/>
    <w:rsid w:val="004A1C8F"/>
    <w:rsid w:val="004A1CA8"/>
    <w:rsid w:val="004A26CB"/>
    <w:rsid w:val="004A2874"/>
    <w:rsid w:val="004A3237"/>
    <w:rsid w:val="004A3B23"/>
    <w:rsid w:val="004A3ED6"/>
    <w:rsid w:val="004A40D7"/>
    <w:rsid w:val="004A423B"/>
    <w:rsid w:val="004A4462"/>
    <w:rsid w:val="004A44A6"/>
    <w:rsid w:val="004A4593"/>
    <w:rsid w:val="004A46B5"/>
    <w:rsid w:val="004A5858"/>
    <w:rsid w:val="004A6229"/>
    <w:rsid w:val="004A63D9"/>
    <w:rsid w:val="004A6B18"/>
    <w:rsid w:val="004A7151"/>
    <w:rsid w:val="004B0821"/>
    <w:rsid w:val="004B1113"/>
    <w:rsid w:val="004B16FE"/>
    <w:rsid w:val="004B17BF"/>
    <w:rsid w:val="004B18A5"/>
    <w:rsid w:val="004B1A2D"/>
    <w:rsid w:val="004B203D"/>
    <w:rsid w:val="004B21BB"/>
    <w:rsid w:val="004B26EF"/>
    <w:rsid w:val="004B285F"/>
    <w:rsid w:val="004B28DF"/>
    <w:rsid w:val="004B2AA8"/>
    <w:rsid w:val="004B2BB1"/>
    <w:rsid w:val="004B2E71"/>
    <w:rsid w:val="004B34D7"/>
    <w:rsid w:val="004B413B"/>
    <w:rsid w:val="004B61CF"/>
    <w:rsid w:val="004B6559"/>
    <w:rsid w:val="004B688B"/>
    <w:rsid w:val="004B6A48"/>
    <w:rsid w:val="004B6A63"/>
    <w:rsid w:val="004B6D10"/>
    <w:rsid w:val="004B6DC2"/>
    <w:rsid w:val="004B7049"/>
    <w:rsid w:val="004B7317"/>
    <w:rsid w:val="004B78A7"/>
    <w:rsid w:val="004C0884"/>
    <w:rsid w:val="004C1446"/>
    <w:rsid w:val="004C18E3"/>
    <w:rsid w:val="004C1B4A"/>
    <w:rsid w:val="004C222A"/>
    <w:rsid w:val="004C24D7"/>
    <w:rsid w:val="004C2947"/>
    <w:rsid w:val="004C29A9"/>
    <w:rsid w:val="004C2EEC"/>
    <w:rsid w:val="004C3140"/>
    <w:rsid w:val="004C384C"/>
    <w:rsid w:val="004C3934"/>
    <w:rsid w:val="004C399D"/>
    <w:rsid w:val="004C3BE9"/>
    <w:rsid w:val="004C3C6C"/>
    <w:rsid w:val="004C3C6D"/>
    <w:rsid w:val="004C3EFF"/>
    <w:rsid w:val="004C4490"/>
    <w:rsid w:val="004C4996"/>
    <w:rsid w:val="004C509E"/>
    <w:rsid w:val="004C5317"/>
    <w:rsid w:val="004C596E"/>
    <w:rsid w:val="004C5C9E"/>
    <w:rsid w:val="004C5D4E"/>
    <w:rsid w:val="004C5D6E"/>
    <w:rsid w:val="004C6578"/>
    <w:rsid w:val="004C6991"/>
    <w:rsid w:val="004C6CE7"/>
    <w:rsid w:val="004C6D09"/>
    <w:rsid w:val="004C7347"/>
    <w:rsid w:val="004C788E"/>
    <w:rsid w:val="004C7D81"/>
    <w:rsid w:val="004C7F94"/>
    <w:rsid w:val="004C7FE3"/>
    <w:rsid w:val="004D0789"/>
    <w:rsid w:val="004D0893"/>
    <w:rsid w:val="004D0AC1"/>
    <w:rsid w:val="004D0B6C"/>
    <w:rsid w:val="004D0E98"/>
    <w:rsid w:val="004D1282"/>
    <w:rsid w:val="004D173F"/>
    <w:rsid w:val="004D1758"/>
    <w:rsid w:val="004D189C"/>
    <w:rsid w:val="004D1B18"/>
    <w:rsid w:val="004D1E7C"/>
    <w:rsid w:val="004D2190"/>
    <w:rsid w:val="004D2A7D"/>
    <w:rsid w:val="004D2C02"/>
    <w:rsid w:val="004D3400"/>
    <w:rsid w:val="004D35C6"/>
    <w:rsid w:val="004D3B49"/>
    <w:rsid w:val="004D3F83"/>
    <w:rsid w:val="004D4041"/>
    <w:rsid w:val="004D4066"/>
    <w:rsid w:val="004D45C0"/>
    <w:rsid w:val="004D466C"/>
    <w:rsid w:val="004D4CD6"/>
    <w:rsid w:val="004D5036"/>
    <w:rsid w:val="004D5309"/>
    <w:rsid w:val="004D5528"/>
    <w:rsid w:val="004D5BFD"/>
    <w:rsid w:val="004D62D5"/>
    <w:rsid w:val="004D6B74"/>
    <w:rsid w:val="004D6C7D"/>
    <w:rsid w:val="004D6E0F"/>
    <w:rsid w:val="004D7073"/>
    <w:rsid w:val="004D7E68"/>
    <w:rsid w:val="004E05BC"/>
    <w:rsid w:val="004E06B1"/>
    <w:rsid w:val="004E0C38"/>
    <w:rsid w:val="004E1021"/>
    <w:rsid w:val="004E10EE"/>
    <w:rsid w:val="004E1460"/>
    <w:rsid w:val="004E150E"/>
    <w:rsid w:val="004E1D49"/>
    <w:rsid w:val="004E2C7A"/>
    <w:rsid w:val="004E2FB8"/>
    <w:rsid w:val="004E359C"/>
    <w:rsid w:val="004E378F"/>
    <w:rsid w:val="004E3A79"/>
    <w:rsid w:val="004E3FE2"/>
    <w:rsid w:val="004E406B"/>
    <w:rsid w:val="004E46AF"/>
    <w:rsid w:val="004E5A63"/>
    <w:rsid w:val="004E5DDB"/>
    <w:rsid w:val="004E5E42"/>
    <w:rsid w:val="004E6272"/>
    <w:rsid w:val="004E62B8"/>
    <w:rsid w:val="004E6A72"/>
    <w:rsid w:val="004E7750"/>
    <w:rsid w:val="004E789F"/>
    <w:rsid w:val="004F0788"/>
    <w:rsid w:val="004F0918"/>
    <w:rsid w:val="004F1074"/>
    <w:rsid w:val="004F1409"/>
    <w:rsid w:val="004F15D8"/>
    <w:rsid w:val="004F1984"/>
    <w:rsid w:val="004F1B28"/>
    <w:rsid w:val="004F1E0A"/>
    <w:rsid w:val="004F1E8E"/>
    <w:rsid w:val="004F27A2"/>
    <w:rsid w:val="004F3799"/>
    <w:rsid w:val="004F3963"/>
    <w:rsid w:val="004F3C96"/>
    <w:rsid w:val="004F3EA6"/>
    <w:rsid w:val="004F3F41"/>
    <w:rsid w:val="004F40C2"/>
    <w:rsid w:val="004F4365"/>
    <w:rsid w:val="004F465E"/>
    <w:rsid w:val="004F497E"/>
    <w:rsid w:val="004F4AF0"/>
    <w:rsid w:val="004F4D3D"/>
    <w:rsid w:val="004F4FF1"/>
    <w:rsid w:val="004F5FE1"/>
    <w:rsid w:val="004F6218"/>
    <w:rsid w:val="004F74E7"/>
    <w:rsid w:val="004F76B3"/>
    <w:rsid w:val="004F7A33"/>
    <w:rsid w:val="004F7B4D"/>
    <w:rsid w:val="004F7DDE"/>
    <w:rsid w:val="005005D9"/>
    <w:rsid w:val="005008F8"/>
    <w:rsid w:val="00500903"/>
    <w:rsid w:val="00500C85"/>
    <w:rsid w:val="00500C99"/>
    <w:rsid w:val="005017CB"/>
    <w:rsid w:val="00501E65"/>
    <w:rsid w:val="00502110"/>
    <w:rsid w:val="005021E0"/>
    <w:rsid w:val="00502565"/>
    <w:rsid w:val="00502575"/>
    <w:rsid w:val="005025C6"/>
    <w:rsid w:val="005027EF"/>
    <w:rsid w:val="00502A6F"/>
    <w:rsid w:val="00503AE3"/>
    <w:rsid w:val="00503CE6"/>
    <w:rsid w:val="005043E8"/>
    <w:rsid w:val="00505041"/>
    <w:rsid w:val="0050554D"/>
    <w:rsid w:val="005057F2"/>
    <w:rsid w:val="005058DB"/>
    <w:rsid w:val="00505BB5"/>
    <w:rsid w:val="0050652B"/>
    <w:rsid w:val="0050685F"/>
    <w:rsid w:val="00506904"/>
    <w:rsid w:val="00506ECD"/>
    <w:rsid w:val="005072CE"/>
    <w:rsid w:val="005076FC"/>
    <w:rsid w:val="0051002F"/>
    <w:rsid w:val="005105D5"/>
    <w:rsid w:val="00510835"/>
    <w:rsid w:val="00510896"/>
    <w:rsid w:val="0051094E"/>
    <w:rsid w:val="00510B68"/>
    <w:rsid w:val="005115E1"/>
    <w:rsid w:val="00511F1A"/>
    <w:rsid w:val="0051231D"/>
    <w:rsid w:val="005128ED"/>
    <w:rsid w:val="005131CE"/>
    <w:rsid w:val="005132FF"/>
    <w:rsid w:val="005134CE"/>
    <w:rsid w:val="0051355E"/>
    <w:rsid w:val="005136A9"/>
    <w:rsid w:val="005139FF"/>
    <w:rsid w:val="00513A72"/>
    <w:rsid w:val="005140C5"/>
    <w:rsid w:val="00514531"/>
    <w:rsid w:val="005147E5"/>
    <w:rsid w:val="00514F0B"/>
    <w:rsid w:val="0051502B"/>
    <w:rsid w:val="00515131"/>
    <w:rsid w:val="00515D46"/>
    <w:rsid w:val="00515DF9"/>
    <w:rsid w:val="00515FB4"/>
    <w:rsid w:val="00516278"/>
    <w:rsid w:val="005165A9"/>
    <w:rsid w:val="005166B7"/>
    <w:rsid w:val="005172C0"/>
    <w:rsid w:val="00517569"/>
    <w:rsid w:val="00517C6D"/>
    <w:rsid w:val="005202C9"/>
    <w:rsid w:val="0052031F"/>
    <w:rsid w:val="005209DD"/>
    <w:rsid w:val="005211A1"/>
    <w:rsid w:val="00521666"/>
    <w:rsid w:val="0052285B"/>
    <w:rsid w:val="00522959"/>
    <w:rsid w:val="00522978"/>
    <w:rsid w:val="0052366E"/>
    <w:rsid w:val="00523983"/>
    <w:rsid w:val="005241AF"/>
    <w:rsid w:val="005246BA"/>
    <w:rsid w:val="0052485C"/>
    <w:rsid w:val="00524BAB"/>
    <w:rsid w:val="005251CB"/>
    <w:rsid w:val="005260CE"/>
    <w:rsid w:val="00526164"/>
    <w:rsid w:val="00526236"/>
    <w:rsid w:val="00526F4F"/>
    <w:rsid w:val="00527693"/>
    <w:rsid w:val="0052779B"/>
    <w:rsid w:val="00527EAB"/>
    <w:rsid w:val="0053002A"/>
    <w:rsid w:val="0053010E"/>
    <w:rsid w:val="0053034F"/>
    <w:rsid w:val="005310ED"/>
    <w:rsid w:val="0053118F"/>
    <w:rsid w:val="00531409"/>
    <w:rsid w:val="00531B33"/>
    <w:rsid w:val="00531B68"/>
    <w:rsid w:val="00532070"/>
    <w:rsid w:val="005320D9"/>
    <w:rsid w:val="00532158"/>
    <w:rsid w:val="0053219B"/>
    <w:rsid w:val="0053234E"/>
    <w:rsid w:val="00532FBA"/>
    <w:rsid w:val="005332CF"/>
    <w:rsid w:val="00533307"/>
    <w:rsid w:val="005334FC"/>
    <w:rsid w:val="005336B5"/>
    <w:rsid w:val="00533E3D"/>
    <w:rsid w:val="00534767"/>
    <w:rsid w:val="00534AEA"/>
    <w:rsid w:val="00534AF7"/>
    <w:rsid w:val="00534C30"/>
    <w:rsid w:val="0053571F"/>
    <w:rsid w:val="005358C8"/>
    <w:rsid w:val="00535AA9"/>
    <w:rsid w:val="00535B01"/>
    <w:rsid w:val="00535D50"/>
    <w:rsid w:val="00535EE6"/>
    <w:rsid w:val="00536058"/>
    <w:rsid w:val="0053687D"/>
    <w:rsid w:val="005369D1"/>
    <w:rsid w:val="005369EE"/>
    <w:rsid w:val="00536C7A"/>
    <w:rsid w:val="00537131"/>
    <w:rsid w:val="00537681"/>
    <w:rsid w:val="00537F7F"/>
    <w:rsid w:val="0054090F"/>
    <w:rsid w:val="0054104F"/>
    <w:rsid w:val="00541488"/>
    <w:rsid w:val="005417A8"/>
    <w:rsid w:val="00541FA0"/>
    <w:rsid w:val="00542285"/>
    <w:rsid w:val="00542E80"/>
    <w:rsid w:val="0054318A"/>
    <w:rsid w:val="00543E72"/>
    <w:rsid w:val="00543F69"/>
    <w:rsid w:val="00544432"/>
    <w:rsid w:val="005447A7"/>
    <w:rsid w:val="00544F2B"/>
    <w:rsid w:val="00546466"/>
    <w:rsid w:val="005465D6"/>
    <w:rsid w:val="0054688C"/>
    <w:rsid w:val="005468D6"/>
    <w:rsid w:val="0054757D"/>
    <w:rsid w:val="005509C5"/>
    <w:rsid w:val="0055191B"/>
    <w:rsid w:val="00551BC9"/>
    <w:rsid w:val="00551E06"/>
    <w:rsid w:val="005528B7"/>
    <w:rsid w:val="00552F6A"/>
    <w:rsid w:val="00553056"/>
    <w:rsid w:val="0055386F"/>
    <w:rsid w:val="00553946"/>
    <w:rsid w:val="00553BDB"/>
    <w:rsid w:val="00554326"/>
    <w:rsid w:val="005545FC"/>
    <w:rsid w:val="00554B13"/>
    <w:rsid w:val="00554E3D"/>
    <w:rsid w:val="00554F3B"/>
    <w:rsid w:val="005551E4"/>
    <w:rsid w:val="00555404"/>
    <w:rsid w:val="005558F7"/>
    <w:rsid w:val="005567D6"/>
    <w:rsid w:val="005567F5"/>
    <w:rsid w:val="00556EC0"/>
    <w:rsid w:val="00556F9A"/>
    <w:rsid w:val="0055735F"/>
    <w:rsid w:val="00557457"/>
    <w:rsid w:val="00557D7A"/>
    <w:rsid w:val="0056050C"/>
    <w:rsid w:val="005607B9"/>
    <w:rsid w:val="00560A75"/>
    <w:rsid w:val="00561146"/>
    <w:rsid w:val="005612E3"/>
    <w:rsid w:val="00561846"/>
    <w:rsid w:val="00561D51"/>
    <w:rsid w:val="00561DE4"/>
    <w:rsid w:val="00561E71"/>
    <w:rsid w:val="00562278"/>
    <w:rsid w:val="00564885"/>
    <w:rsid w:val="00564B1C"/>
    <w:rsid w:val="0056578A"/>
    <w:rsid w:val="00565994"/>
    <w:rsid w:val="00565E1B"/>
    <w:rsid w:val="00566100"/>
    <w:rsid w:val="00567398"/>
    <w:rsid w:val="0056769E"/>
    <w:rsid w:val="00567BAC"/>
    <w:rsid w:val="00567E06"/>
    <w:rsid w:val="00567ED1"/>
    <w:rsid w:val="00567F37"/>
    <w:rsid w:val="00570260"/>
    <w:rsid w:val="00570A34"/>
    <w:rsid w:val="00570C5E"/>
    <w:rsid w:val="00570DD4"/>
    <w:rsid w:val="00570FEF"/>
    <w:rsid w:val="0057103F"/>
    <w:rsid w:val="005712E9"/>
    <w:rsid w:val="0057130F"/>
    <w:rsid w:val="00571EF9"/>
    <w:rsid w:val="005721F8"/>
    <w:rsid w:val="005722AD"/>
    <w:rsid w:val="00572C02"/>
    <w:rsid w:val="00573134"/>
    <w:rsid w:val="0057327D"/>
    <w:rsid w:val="00573900"/>
    <w:rsid w:val="00573D6F"/>
    <w:rsid w:val="00573DBB"/>
    <w:rsid w:val="0057415C"/>
    <w:rsid w:val="00575491"/>
    <w:rsid w:val="00575E64"/>
    <w:rsid w:val="00575FD9"/>
    <w:rsid w:val="0057658F"/>
    <w:rsid w:val="00576737"/>
    <w:rsid w:val="0057692E"/>
    <w:rsid w:val="00576CF9"/>
    <w:rsid w:val="00577D17"/>
    <w:rsid w:val="0058047D"/>
    <w:rsid w:val="00580569"/>
    <w:rsid w:val="00580810"/>
    <w:rsid w:val="00580ADC"/>
    <w:rsid w:val="00580AEF"/>
    <w:rsid w:val="00580B16"/>
    <w:rsid w:val="00580C9B"/>
    <w:rsid w:val="0058166F"/>
    <w:rsid w:val="00581797"/>
    <w:rsid w:val="00581C5F"/>
    <w:rsid w:val="00581C98"/>
    <w:rsid w:val="00582A01"/>
    <w:rsid w:val="00582D51"/>
    <w:rsid w:val="00582F14"/>
    <w:rsid w:val="005830F3"/>
    <w:rsid w:val="005831BF"/>
    <w:rsid w:val="0058327D"/>
    <w:rsid w:val="005837A0"/>
    <w:rsid w:val="00583A52"/>
    <w:rsid w:val="00585B78"/>
    <w:rsid w:val="00585DA5"/>
    <w:rsid w:val="00586540"/>
    <w:rsid w:val="00586CBB"/>
    <w:rsid w:val="00587BE0"/>
    <w:rsid w:val="00587C1F"/>
    <w:rsid w:val="0059016E"/>
    <w:rsid w:val="00591BF6"/>
    <w:rsid w:val="00592060"/>
    <w:rsid w:val="005922C2"/>
    <w:rsid w:val="005926FD"/>
    <w:rsid w:val="00592C25"/>
    <w:rsid w:val="0059376D"/>
    <w:rsid w:val="00593926"/>
    <w:rsid w:val="0059396C"/>
    <w:rsid w:val="00593BF3"/>
    <w:rsid w:val="00593CD6"/>
    <w:rsid w:val="00593ECD"/>
    <w:rsid w:val="0059488F"/>
    <w:rsid w:val="005948F7"/>
    <w:rsid w:val="00594AAF"/>
    <w:rsid w:val="00594DC3"/>
    <w:rsid w:val="005953A4"/>
    <w:rsid w:val="005953CF"/>
    <w:rsid w:val="00595440"/>
    <w:rsid w:val="00595803"/>
    <w:rsid w:val="00596009"/>
    <w:rsid w:val="0059664E"/>
    <w:rsid w:val="005967E5"/>
    <w:rsid w:val="00597A75"/>
    <w:rsid w:val="00597D1C"/>
    <w:rsid w:val="00597E8F"/>
    <w:rsid w:val="005A013D"/>
    <w:rsid w:val="005A0497"/>
    <w:rsid w:val="005A0814"/>
    <w:rsid w:val="005A0B56"/>
    <w:rsid w:val="005A11B5"/>
    <w:rsid w:val="005A1582"/>
    <w:rsid w:val="005A296C"/>
    <w:rsid w:val="005A2D0A"/>
    <w:rsid w:val="005A3891"/>
    <w:rsid w:val="005A3DB0"/>
    <w:rsid w:val="005A447A"/>
    <w:rsid w:val="005A44C3"/>
    <w:rsid w:val="005A4B2E"/>
    <w:rsid w:val="005A54E2"/>
    <w:rsid w:val="005A567A"/>
    <w:rsid w:val="005A59F4"/>
    <w:rsid w:val="005A5A4B"/>
    <w:rsid w:val="005A5F9F"/>
    <w:rsid w:val="005A6718"/>
    <w:rsid w:val="005A6754"/>
    <w:rsid w:val="005A6DB0"/>
    <w:rsid w:val="005A794E"/>
    <w:rsid w:val="005A7D77"/>
    <w:rsid w:val="005B0583"/>
    <w:rsid w:val="005B05FF"/>
    <w:rsid w:val="005B0F75"/>
    <w:rsid w:val="005B0FC2"/>
    <w:rsid w:val="005B11B2"/>
    <w:rsid w:val="005B12B3"/>
    <w:rsid w:val="005B205F"/>
    <w:rsid w:val="005B261D"/>
    <w:rsid w:val="005B2819"/>
    <w:rsid w:val="005B2A0A"/>
    <w:rsid w:val="005B3182"/>
    <w:rsid w:val="005B339E"/>
    <w:rsid w:val="005B34F5"/>
    <w:rsid w:val="005B36BE"/>
    <w:rsid w:val="005B3C2F"/>
    <w:rsid w:val="005B3EF4"/>
    <w:rsid w:val="005B473C"/>
    <w:rsid w:val="005B4945"/>
    <w:rsid w:val="005B4F53"/>
    <w:rsid w:val="005B593D"/>
    <w:rsid w:val="005B5E52"/>
    <w:rsid w:val="005B6491"/>
    <w:rsid w:val="005B6F1C"/>
    <w:rsid w:val="005B70BA"/>
    <w:rsid w:val="005B733E"/>
    <w:rsid w:val="005B7C8D"/>
    <w:rsid w:val="005B7FAC"/>
    <w:rsid w:val="005C001B"/>
    <w:rsid w:val="005C071C"/>
    <w:rsid w:val="005C08C0"/>
    <w:rsid w:val="005C09F1"/>
    <w:rsid w:val="005C0BB3"/>
    <w:rsid w:val="005C0FA6"/>
    <w:rsid w:val="005C1D64"/>
    <w:rsid w:val="005C1F87"/>
    <w:rsid w:val="005C2804"/>
    <w:rsid w:val="005C2E9F"/>
    <w:rsid w:val="005C333F"/>
    <w:rsid w:val="005C339D"/>
    <w:rsid w:val="005C344B"/>
    <w:rsid w:val="005C3672"/>
    <w:rsid w:val="005C36B9"/>
    <w:rsid w:val="005C3D57"/>
    <w:rsid w:val="005C48A3"/>
    <w:rsid w:val="005C5CAA"/>
    <w:rsid w:val="005C5EFF"/>
    <w:rsid w:val="005C5F37"/>
    <w:rsid w:val="005C5FA1"/>
    <w:rsid w:val="005C65B2"/>
    <w:rsid w:val="005C695D"/>
    <w:rsid w:val="005C7517"/>
    <w:rsid w:val="005C7876"/>
    <w:rsid w:val="005C7B28"/>
    <w:rsid w:val="005C7B7D"/>
    <w:rsid w:val="005C7E69"/>
    <w:rsid w:val="005D026B"/>
    <w:rsid w:val="005D081D"/>
    <w:rsid w:val="005D0901"/>
    <w:rsid w:val="005D13D6"/>
    <w:rsid w:val="005D19D2"/>
    <w:rsid w:val="005D19F2"/>
    <w:rsid w:val="005D1B7F"/>
    <w:rsid w:val="005D2623"/>
    <w:rsid w:val="005D27B1"/>
    <w:rsid w:val="005D3012"/>
    <w:rsid w:val="005D383C"/>
    <w:rsid w:val="005D3D3E"/>
    <w:rsid w:val="005D3E73"/>
    <w:rsid w:val="005D41E4"/>
    <w:rsid w:val="005D4F16"/>
    <w:rsid w:val="005D4FD1"/>
    <w:rsid w:val="005D5956"/>
    <w:rsid w:val="005D6093"/>
    <w:rsid w:val="005D70CD"/>
    <w:rsid w:val="005D725D"/>
    <w:rsid w:val="005D7891"/>
    <w:rsid w:val="005D7EEF"/>
    <w:rsid w:val="005E07DC"/>
    <w:rsid w:val="005E0B9E"/>
    <w:rsid w:val="005E0D24"/>
    <w:rsid w:val="005E0DF5"/>
    <w:rsid w:val="005E11C0"/>
    <w:rsid w:val="005E1826"/>
    <w:rsid w:val="005E1918"/>
    <w:rsid w:val="005E1D7E"/>
    <w:rsid w:val="005E2696"/>
    <w:rsid w:val="005E27A2"/>
    <w:rsid w:val="005E29B9"/>
    <w:rsid w:val="005E2C9D"/>
    <w:rsid w:val="005E37BA"/>
    <w:rsid w:val="005E3C4C"/>
    <w:rsid w:val="005E3F2F"/>
    <w:rsid w:val="005E3FDE"/>
    <w:rsid w:val="005E4083"/>
    <w:rsid w:val="005E432A"/>
    <w:rsid w:val="005E44E4"/>
    <w:rsid w:val="005E4A87"/>
    <w:rsid w:val="005E4BF3"/>
    <w:rsid w:val="005E588C"/>
    <w:rsid w:val="005E58A8"/>
    <w:rsid w:val="005E616A"/>
    <w:rsid w:val="005E64C6"/>
    <w:rsid w:val="005E6578"/>
    <w:rsid w:val="005E6CCF"/>
    <w:rsid w:val="005E7894"/>
    <w:rsid w:val="005E7BA7"/>
    <w:rsid w:val="005F0271"/>
    <w:rsid w:val="005F0EEA"/>
    <w:rsid w:val="005F0EFE"/>
    <w:rsid w:val="005F17A4"/>
    <w:rsid w:val="005F2427"/>
    <w:rsid w:val="005F2C49"/>
    <w:rsid w:val="005F2D62"/>
    <w:rsid w:val="005F43FD"/>
    <w:rsid w:val="005F44C9"/>
    <w:rsid w:val="005F460D"/>
    <w:rsid w:val="005F4EB8"/>
    <w:rsid w:val="005F5201"/>
    <w:rsid w:val="005F53FC"/>
    <w:rsid w:val="005F58D2"/>
    <w:rsid w:val="005F5D20"/>
    <w:rsid w:val="005F5FD6"/>
    <w:rsid w:val="005F6502"/>
    <w:rsid w:val="005F6B34"/>
    <w:rsid w:val="005F6F02"/>
    <w:rsid w:val="005F714D"/>
    <w:rsid w:val="005F72FA"/>
    <w:rsid w:val="005F7547"/>
    <w:rsid w:val="005F7764"/>
    <w:rsid w:val="005F7B24"/>
    <w:rsid w:val="00600518"/>
    <w:rsid w:val="006008B4"/>
    <w:rsid w:val="00600B42"/>
    <w:rsid w:val="00600EC9"/>
    <w:rsid w:val="00600FE9"/>
    <w:rsid w:val="00602173"/>
    <w:rsid w:val="006022C3"/>
    <w:rsid w:val="00602357"/>
    <w:rsid w:val="0060282D"/>
    <w:rsid w:val="00602852"/>
    <w:rsid w:val="00602A26"/>
    <w:rsid w:val="00602B89"/>
    <w:rsid w:val="006035C8"/>
    <w:rsid w:val="006037C4"/>
    <w:rsid w:val="00603A51"/>
    <w:rsid w:val="0060416A"/>
    <w:rsid w:val="00604708"/>
    <w:rsid w:val="006047E2"/>
    <w:rsid w:val="006048F7"/>
    <w:rsid w:val="00604D62"/>
    <w:rsid w:val="00604ED2"/>
    <w:rsid w:val="00604F52"/>
    <w:rsid w:val="00605CB7"/>
    <w:rsid w:val="00605CC7"/>
    <w:rsid w:val="00605E94"/>
    <w:rsid w:val="006062C0"/>
    <w:rsid w:val="006068AF"/>
    <w:rsid w:val="00606D61"/>
    <w:rsid w:val="00607096"/>
    <w:rsid w:val="006078E6"/>
    <w:rsid w:val="0060790F"/>
    <w:rsid w:val="00607DFB"/>
    <w:rsid w:val="00607E75"/>
    <w:rsid w:val="00607FD5"/>
    <w:rsid w:val="00610240"/>
    <w:rsid w:val="006102C6"/>
    <w:rsid w:val="006108F4"/>
    <w:rsid w:val="00610A7A"/>
    <w:rsid w:val="0061130F"/>
    <w:rsid w:val="00611A3E"/>
    <w:rsid w:val="00611D9C"/>
    <w:rsid w:val="00611FC7"/>
    <w:rsid w:val="0061267A"/>
    <w:rsid w:val="00612AA2"/>
    <w:rsid w:val="006132C2"/>
    <w:rsid w:val="00614403"/>
    <w:rsid w:val="00614737"/>
    <w:rsid w:val="00614822"/>
    <w:rsid w:val="00614A58"/>
    <w:rsid w:val="00614D62"/>
    <w:rsid w:val="00614F43"/>
    <w:rsid w:val="006156CA"/>
    <w:rsid w:val="0061583D"/>
    <w:rsid w:val="00617092"/>
    <w:rsid w:val="00617629"/>
    <w:rsid w:val="00617AB1"/>
    <w:rsid w:val="00620089"/>
    <w:rsid w:val="006203FD"/>
    <w:rsid w:val="00620A2A"/>
    <w:rsid w:val="00620C6C"/>
    <w:rsid w:val="00620D6A"/>
    <w:rsid w:val="00621B31"/>
    <w:rsid w:val="00621D6C"/>
    <w:rsid w:val="00622D85"/>
    <w:rsid w:val="00622E14"/>
    <w:rsid w:val="00622FBC"/>
    <w:rsid w:val="00623548"/>
    <w:rsid w:val="00623736"/>
    <w:rsid w:val="006239E9"/>
    <w:rsid w:val="00623BE8"/>
    <w:rsid w:val="0062417B"/>
    <w:rsid w:val="006248A6"/>
    <w:rsid w:val="00624943"/>
    <w:rsid w:val="00624A22"/>
    <w:rsid w:val="00624D4D"/>
    <w:rsid w:val="00626565"/>
    <w:rsid w:val="0062698B"/>
    <w:rsid w:val="00626A09"/>
    <w:rsid w:val="00626AAC"/>
    <w:rsid w:val="00626B7D"/>
    <w:rsid w:val="00626C74"/>
    <w:rsid w:val="00627101"/>
    <w:rsid w:val="00627253"/>
    <w:rsid w:val="00627E6B"/>
    <w:rsid w:val="006304A0"/>
    <w:rsid w:val="00630E33"/>
    <w:rsid w:val="00630F1A"/>
    <w:rsid w:val="00631077"/>
    <w:rsid w:val="00631086"/>
    <w:rsid w:val="00631476"/>
    <w:rsid w:val="00632BB9"/>
    <w:rsid w:val="00632CBA"/>
    <w:rsid w:val="00632D30"/>
    <w:rsid w:val="00632D5D"/>
    <w:rsid w:val="00633232"/>
    <w:rsid w:val="00633247"/>
    <w:rsid w:val="00633927"/>
    <w:rsid w:val="006339EE"/>
    <w:rsid w:val="00633D1A"/>
    <w:rsid w:val="00634161"/>
    <w:rsid w:val="00634E39"/>
    <w:rsid w:val="00635E73"/>
    <w:rsid w:val="006361A6"/>
    <w:rsid w:val="00636666"/>
    <w:rsid w:val="006366E2"/>
    <w:rsid w:val="00636A31"/>
    <w:rsid w:val="00636DFD"/>
    <w:rsid w:val="006371C7"/>
    <w:rsid w:val="006375CC"/>
    <w:rsid w:val="00637648"/>
    <w:rsid w:val="00637BC3"/>
    <w:rsid w:val="00637E03"/>
    <w:rsid w:val="00637E7A"/>
    <w:rsid w:val="0064009C"/>
    <w:rsid w:val="00640167"/>
    <w:rsid w:val="00640B39"/>
    <w:rsid w:val="00641B11"/>
    <w:rsid w:val="00641ED3"/>
    <w:rsid w:val="006421FE"/>
    <w:rsid w:val="00642520"/>
    <w:rsid w:val="006428F8"/>
    <w:rsid w:val="00642AD9"/>
    <w:rsid w:val="0064336D"/>
    <w:rsid w:val="006438DC"/>
    <w:rsid w:val="006439CC"/>
    <w:rsid w:val="00643B14"/>
    <w:rsid w:val="00643C8E"/>
    <w:rsid w:val="00643D81"/>
    <w:rsid w:val="00644537"/>
    <w:rsid w:val="00644BA7"/>
    <w:rsid w:val="00644D6E"/>
    <w:rsid w:val="006453F4"/>
    <w:rsid w:val="0064574D"/>
    <w:rsid w:val="00645C09"/>
    <w:rsid w:val="006467F8"/>
    <w:rsid w:val="00646958"/>
    <w:rsid w:val="006469BA"/>
    <w:rsid w:val="006469F2"/>
    <w:rsid w:val="00646BDC"/>
    <w:rsid w:val="00646EBF"/>
    <w:rsid w:val="00647112"/>
    <w:rsid w:val="006474FC"/>
    <w:rsid w:val="006476CA"/>
    <w:rsid w:val="00647755"/>
    <w:rsid w:val="0065010E"/>
    <w:rsid w:val="0065027F"/>
    <w:rsid w:val="00650647"/>
    <w:rsid w:val="00650755"/>
    <w:rsid w:val="00650F59"/>
    <w:rsid w:val="0065114D"/>
    <w:rsid w:val="0065137E"/>
    <w:rsid w:val="00651917"/>
    <w:rsid w:val="00651918"/>
    <w:rsid w:val="0065198C"/>
    <w:rsid w:val="00651EBD"/>
    <w:rsid w:val="006525AD"/>
    <w:rsid w:val="00652698"/>
    <w:rsid w:val="006526A2"/>
    <w:rsid w:val="0065277D"/>
    <w:rsid w:val="00652888"/>
    <w:rsid w:val="00652F59"/>
    <w:rsid w:val="0065390E"/>
    <w:rsid w:val="00654094"/>
    <w:rsid w:val="006540B9"/>
    <w:rsid w:val="00654665"/>
    <w:rsid w:val="0065488B"/>
    <w:rsid w:val="006549C1"/>
    <w:rsid w:val="006550C8"/>
    <w:rsid w:val="00655229"/>
    <w:rsid w:val="006558A2"/>
    <w:rsid w:val="00655A00"/>
    <w:rsid w:val="00655B1F"/>
    <w:rsid w:val="00656202"/>
    <w:rsid w:val="00656612"/>
    <w:rsid w:val="006569C7"/>
    <w:rsid w:val="00656A9A"/>
    <w:rsid w:val="00656DAA"/>
    <w:rsid w:val="00656EDF"/>
    <w:rsid w:val="00657A73"/>
    <w:rsid w:val="00657AF9"/>
    <w:rsid w:val="00657F63"/>
    <w:rsid w:val="00660613"/>
    <w:rsid w:val="00660697"/>
    <w:rsid w:val="006609AC"/>
    <w:rsid w:val="00660D53"/>
    <w:rsid w:val="00660E00"/>
    <w:rsid w:val="00660EB1"/>
    <w:rsid w:val="00660FE8"/>
    <w:rsid w:val="00661042"/>
    <w:rsid w:val="006611C9"/>
    <w:rsid w:val="006618AD"/>
    <w:rsid w:val="00662443"/>
    <w:rsid w:val="00662B86"/>
    <w:rsid w:val="00662CC2"/>
    <w:rsid w:val="0066350B"/>
    <w:rsid w:val="00663990"/>
    <w:rsid w:val="006642FC"/>
    <w:rsid w:val="006646A8"/>
    <w:rsid w:val="00664732"/>
    <w:rsid w:val="006649A1"/>
    <w:rsid w:val="00664B4D"/>
    <w:rsid w:val="00664C5C"/>
    <w:rsid w:val="006657C8"/>
    <w:rsid w:val="006657D8"/>
    <w:rsid w:val="00666C56"/>
    <w:rsid w:val="00666DD3"/>
    <w:rsid w:val="00667838"/>
    <w:rsid w:val="00670086"/>
    <w:rsid w:val="00670254"/>
    <w:rsid w:val="00670561"/>
    <w:rsid w:val="0067056D"/>
    <w:rsid w:val="006705C7"/>
    <w:rsid w:val="006709CF"/>
    <w:rsid w:val="00670EDF"/>
    <w:rsid w:val="00671838"/>
    <w:rsid w:val="00671E59"/>
    <w:rsid w:val="00671EB3"/>
    <w:rsid w:val="0067283A"/>
    <w:rsid w:val="00672D01"/>
    <w:rsid w:val="006736D9"/>
    <w:rsid w:val="00673817"/>
    <w:rsid w:val="006742E8"/>
    <w:rsid w:val="00674885"/>
    <w:rsid w:val="00674FD2"/>
    <w:rsid w:val="006751B4"/>
    <w:rsid w:val="0067539A"/>
    <w:rsid w:val="00676185"/>
    <w:rsid w:val="006764DC"/>
    <w:rsid w:val="006764FA"/>
    <w:rsid w:val="006771D1"/>
    <w:rsid w:val="00677CAA"/>
    <w:rsid w:val="00680520"/>
    <w:rsid w:val="0068076C"/>
    <w:rsid w:val="0068089C"/>
    <w:rsid w:val="0068167D"/>
    <w:rsid w:val="00681806"/>
    <w:rsid w:val="00681AAB"/>
    <w:rsid w:val="00681D78"/>
    <w:rsid w:val="00681FD9"/>
    <w:rsid w:val="0068256B"/>
    <w:rsid w:val="0068265B"/>
    <w:rsid w:val="006826D1"/>
    <w:rsid w:val="00682CFE"/>
    <w:rsid w:val="00682DCB"/>
    <w:rsid w:val="00682EFD"/>
    <w:rsid w:val="00682FEA"/>
    <w:rsid w:val="00683445"/>
    <w:rsid w:val="006835AB"/>
    <w:rsid w:val="006838E4"/>
    <w:rsid w:val="0068399D"/>
    <w:rsid w:val="00683E75"/>
    <w:rsid w:val="006842AA"/>
    <w:rsid w:val="006845AB"/>
    <w:rsid w:val="006848DF"/>
    <w:rsid w:val="00684C96"/>
    <w:rsid w:val="00684C9D"/>
    <w:rsid w:val="00685318"/>
    <w:rsid w:val="006861AE"/>
    <w:rsid w:val="00686311"/>
    <w:rsid w:val="0068694B"/>
    <w:rsid w:val="006869A9"/>
    <w:rsid w:val="00686A17"/>
    <w:rsid w:val="00686C0B"/>
    <w:rsid w:val="00686CD7"/>
    <w:rsid w:val="00686F5C"/>
    <w:rsid w:val="00690768"/>
    <w:rsid w:val="00690A9B"/>
    <w:rsid w:val="00690D6D"/>
    <w:rsid w:val="00690DB7"/>
    <w:rsid w:val="00691013"/>
    <w:rsid w:val="0069101B"/>
    <w:rsid w:val="006910A1"/>
    <w:rsid w:val="0069198A"/>
    <w:rsid w:val="00691A0C"/>
    <w:rsid w:val="00691BC2"/>
    <w:rsid w:val="006926A3"/>
    <w:rsid w:val="006928E6"/>
    <w:rsid w:val="006931BA"/>
    <w:rsid w:val="006932E4"/>
    <w:rsid w:val="0069330C"/>
    <w:rsid w:val="00693381"/>
    <w:rsid w:val="006934C4"/>
    <w:rsid w:val="0069365B"/>
    <w:rsid w:val="00693B8B"/>
    <w:rsid w:val="00693CD8"/>
    <w:rsid w:val="00693D10"/>
    <w:rsid w:val="00693E48"/>
    <w:rsid w:val="006941A7"/>
    <w:rsid w:val="006947F4"/>
    <w:rsid w:val="00694830"/>
    <w:rsid w:val="00694C57"/>
    <w:rsid w:val="00694D2D"/>
    <w:rsid w:val="00694F4D"/>
    <w:rsid w:val="00694F4F"/>
    <w:rsid w:val="006951D1"/>
    <w:rsid w:val="006955CD"/>
    <w:rsid w:val="006958A1"/>
    <w:rsid w:val="0069617B"/>
    <w:rsid w:val="0069648B"/>
    <w:rsid w:val="006968D2"/>
    <w:rsid w:val="00696D63"/>
    <w:rsid w:val="00696ED4"/>
    <w:rsid w:val="006971AA"/>
    <w:rsid w:val="006979D6"/>
    <w:rsid w:val="00697FCF"/>
    <w:rsid w:val="006A04D0"/>
    <w:rsid w:val="006A04EC"/>
    <w:rsid w:val="006A0527"/>
    <w:rsid w:val="006A0A43"/>
    <w:rsid w:val="006A0BD0"/>
    <w:rsid w:val="006A0D07"/>
    <w:rsid w:val="006A0F9A"/>
    <w:rsid w:val="006A12C8"/>
    <w:rsid w:val="006A1477"/>
    <w:rsid w:val="006A168C"/>
    <w:rsid w:val="006A1AF7"/>
    <w:rsid w:val="006A1D66"/>
    <w:rsid w:val="006A2193"/>
    <w:rsid w:val="006A26AB"/>
    <w:rsid w:val="006A26F0"/>
    <w:rsid w:val="006A38EF"/>
    <w:rsid w:val="006A4EA8"/>
    <w:rsid w:val="006A506D"/>
    <w:rsid w:val="006A50F4"/>
    <w:rsid w:val="006A5363"/>
    <w:rsid w:val="006A5F51"/>
    <w:rsid w:val="006A60D8"/>
    <w:rsid w:val="006A69D4"/>
    <w:rsid w:val="006A6CCB"/>
    <w:rsid w:val="006A7512"/>
    <w:rsid w:val="006A7B7E"/>
    <w:rsid w:val="006A7FA1"/>
    <w:rsid w:val="006B0039"/>
    <w:rsid w:val="006B0895"/>
    <w:rsid w:val="006B0A5C"/>
    <w:rsid w:val="006B0C42"/>
    <w:rsid w:val="006B0FBA"/>
    <w:rsid w:val="006B164E"/>
    <w:rsid w:val="006B16E6"/>
    <w:rsid w:val="006B1B18"/>
    <w:rsid w:val="006B1B37"/>
    <w:rsid w:val="006B1D65"/>
    <w:rsid w:val="006B1DD1"/>
    <w:rsid w:val="006B1F63"/>
    <w:rsid w:val="006B223A"/>
    <w:rsid w:val="006B2322"/>
    <w:rsid w:val="006B2481"/>
    <w:rsid w:val="006B3074"/>
    <w:rsid w:val="006B31CF"/>
    <w:rsid w:val="006B3487"/>
    <w:rsid w:val="006B3D63"/>
    <w:rsid w:val="006B4280"/>
    <w:rsid w:val="006B437E"/>
    <w:rsid w:val="006B48A2"/>
    <w:rsid w:val="006B52FE"/>
    <w:rsid w:val="006B5CA4"/>
    <w:rsid w:val="006B628E"/>
    <w:rsid w:val="006B6A7F"/>
    <w:rsid w:val="006B6AFC"/>
    <w:rsid w:val="006B701E"/>
    <w:rsid w:val="006B75E6"/>
    <w:rsid w:val="006B774C"/>
    <w:rsid w:val="006B7FDB"/>
    <w:rsid w:val="006C01F8"/>
    <w:rsid w:val="006C0DA7"/>
    <w:rsid w:val="006C0E50"/>
    <w:rsid w:val="006C0EF8"/>
    <w:rsid w:val="006C1177"/>
    <w:rsid w:val="006C162E"/>
    <w:rsid w:val="006C24BD"/>
    <w:rsid w:val="006C2ABF"/>
    <w:rsid w:val="006C33F0"/>
    <w:rsid w:val="006C3826"/>
    <w:rsid w:val="006C3C2B"/>
    <w:rsid w:val="006C45D0"/>
    <w:rsid w:val="006C48A8"/>
    <w:rsid w:val="006C4DBB"/>
    <w:rsid w:val="006C4E69"/>
    <w:rsid w:val="006C58F3"/>
    <w:rsid w:val="006C5E91"/>
    <w:rsid w:val="006C61A0"/>
    <w:rsid w:val="006C6281"/>
    <w:rsid w:val="006C66A3"/>
    <w:rsid w:val="006C6880"/>
    <w:rsid w:val="006C7126"/>
    <w:rsid w:val="006C7136"/>
    <w:rsid w:val="006C7293"/>
    <w:rsid w:val="006D07EA"/>
    <w:rsid w:val="006D0CBC"/>
    <w:rsid w:val="006D0F1C"/>
    <w:rsid w:val="006D11A8"/>
    <w:rsid w:val="006D14AE"/>
    <w:rsid w:val="006D1B44"/>
    <w:rsid w:val="006D1D1E"/>
    <w:rsid w:val="006D1E58"/>
    <w:rsid w:val="006D26B6"/>
    <w:rsid w:val="006D277A"/>
    <w:rsid w:val="006D2A65"/>
    <w:rsid w:val="006D2D7B"/>
    <w:rsid w:val="006D3364"/>
    <w:rsid w:val="006D3BB3"/>
    <w:rsid w:val="006D473D"/>
    <w:rsid w:val="006D5818"/>
    <w:rsid w:val="006D583F"/>
    <w:rsid w:val="006D5A94"/>
    <w:rsid w:val="006D5D8D"/>
    <w:rsid w:val="006D6199"/>
    <w:rsid w:val="006D620C"/>
    <w:rsid w:val="006D647C"/>
    <w:rsid w:val="006D6523"/>
    <w:rsid w:val="006D6713"/>
    <w:rsid w:val="006D69C9"/>
    <w:rsid w:val="006D6ABC"/>
    <w:rsid w:val="006D70EA"/>
    <w:rsid w:val="006D7B7A"/>
    <w:rsid w:val="006E0814"/>
    <w:rsid w:val="006E0977"/>
    <w:rsid w:val="006E0E38"/>
    <w:rsid w:val="006E0EA7"/>
    <w:rsid w:val="006E0F9A"/>
    <w:rsid w:val="006E1294"/>
    <w:rsid w:val="006E12A9"/>
    <w:rsid w:val="006E19F1"/>
    <w:rsid w:val="006E1B81"/>
    <w:rsid w:val="006E2058"/>
    <w:rsid w:val="006E2486"/>
    <w:rsid w:val="006E2DB2"/>
    <w:rsid w:val="006E30CE"/>
    <w:rsid w:val="006E3306"/>
    <w:rsid w:val="006E36AD"/>
    <w:rsid w:val="006E3823"/>
    <w:rsid w:val="006E4536"/>
    <w:rsid w:val="006E4588"/>
    <w:rsid w:val="006E4990"/>
    <w:rsid w:val="006E4FEB"/>
    <w:rsid w:val="006E50DF"/>
    <w:rsid w:val="006E5CAB"/>
    <w:rsid w:val="006E5DAF"/>
    <w:rsid w:val="006E742A"/>
    <w:rsid w:val="006E79F5"/>
    <w:rsid w:val="006E7CD4"/>
    <w:rsid w:val="006E7F03"/>
    <w:rsid w:val="006E7F50"/>
    <w:rsid w:val="006F05C3"/>
    <w:rsid w:val="006F0759"/>
    <w:rsid w:val="006F0779"/>
    <w:rsid w:val="006F12CD"/>
    <w:rsid w:val="006F12DE"/>
    <w:rsid w:val="006F1D77"/>
    <w:rsid w:val="006F1F60"/>
    <w:rsid w:val="006F2A55"/>
    <w:rsid w:val="006F2A83"/>
    <w:rsid w:val="006F3342"/>
    <w:rsid w:val="006F3A02"/>
    <w:rsid w:val="006F3F75"/>
    <w:rsid w:val="006F585C"/>
    <w:rsid w:val="006F5937"/>
    <w:rsid w:val="006F5CAF"/>
    <w:rsid w:val="006F5E63"/>
    <w:rsid w:val="006F6304"/>
    <w:rsid w:val="006F6404"/>
    <w:rsid w:val="006F6434"/>
    <w:rsid w:val="006F658C"/>
    <w:rsid w:val="006F66B9"/>
    <w:rsid w:val="006F6792"/>
    <w:rsid w:val="006F6814"/>
    <w:rsid w:val="006F6EA6"/>
    <w:rsid w:val="006F77D0"/>
    <w:rsid w:val="006F7948"/>
    <w:rsid w:val="006F7A2E"/>
    <w:rsid w:val="0070019A"/>
    <w:rsid w:val="0070027C"/>
    <w:rsid w:val="007003D2"/>
    <w:rsid w:val="00700579"/>
    <w:rsid w:val="007009C8"/>
    <w:rsid w:val="00700AEA"/>
    <w:rsid w:val="00700BBF"/>
    <w:rsid w:val="00700FA7"/>
    <w:rsid w:val="00701725"/>
    <w:rsid w:val="007017B1"/>
    <w:rsid w:val="0070181C"/>
    <w:rsid w:val="00701F3C"/>
    <w:rsid w:val="0070212F"/>
    <w:rsid w:val="007021DE"/>
    <w:rsid w:val="0070251C"/>
    <w:rsid w:val="00702588"/>
    <w:rsid w:val="007037E9"/>
    <w:rsid w:val="00703B19"/>
    <w:rsid w:val="007040C5"/>
    <w:rsid w:val="00704211"/>
    <w:rsid w:val="00704280"/>
    <w:rsid w:val="007045BA"/>
    <w:rsid w:val="0070484B"/>
    <w:rsid w:val="00704A0C"/>
    <w:rsid w:val="0070521A"/>
    <w:rsid w:val="0070537E"/>
    <w:rsid w:val="007056EC"/>
    <w:rsid w:val="007057AE"/>
    <w:rsid w:val="007057E6"/>
    <w:rsid w:val="00705AB7"/>
    <w:rsid w:val="007061EB"/>
    <w:rsid w:val="00706243"/>
    <w:rsid w:val="0070633D"/>
    <w:rsid w:val="00706849"/>
    <w:rsid w:val="00706EC7"/>
    <w:rsid w:val="007070F2"/>
    <w:rsid w:val="007072CB"/>
    <w:rsid w:val="00707793"/>
    <w:rsid w:val="00710597"/>
    <w:rsid w:val="007109F2"/>
    <w:rsid w:val="00710C85"/>
    <w:rsid w:val="00711057"/>
    <w:rsid w:val="0071134D"/>
    <w:rsid w:val="00711F2B"/>
    <w:rsid w:val="0071267F"/>
    <w:rsid w:val="00712922"/>
    <w:rsid w:val="00712B0A"/>
    <w:rsid w:val="00712E5E"/>
    <w:rsid w:val="007130F4"/>
    <w:rsid w:val="007131C3"/>
    <w:rsid w:val="0071336A"/>
    <w:rsid w:val="00713471"/>
    <w:rsid w:val="00713D31"/>
    <w:rsid w:val="00714399"/>
    <w:rsid w:val="00714A42"/>
    <w:rsid w:val="00714ADE"/>
    <w:rsid w:val="00714C20"/>
    <w:rsid w:val="0071530F"/>
    <w:rsid w:val="007154AD"/>
    <w:rsid w:val="007156D3"/>
    <w:rsid w:val="00715C85"/>
    <w:rsid w:val="00716080"/>
    <w:rsid w:val="00716614"/>
    <w:rsid w:val="00716717"/>
    <w:rsid w:val="0071721C"/>
    <w:rsid w:val="007172D6"/>
    <w:rsid w:val="00720675"/>
    <w:rsid w:val="00720708"/>
    <w:rsid w:val="00720CB3"/>
    <w:rsid w:val="00720E35"/>
    <w:rsid w:val="00720F65"/>
    <w:rsid w:val="00721360"/>
    <w:rsid w:val="00721A15"/>
    <w:rsid w:val="00721FB5"/>
    <w:rsid w:val="00722694"/>
    <w:rsid w:val="007226EC"/>
    <w:rsid w:val="00722990"/>
    <w:rsid w:val="00722B2D"/>
    <w:rsid w:val="00722EB6"/>
    <w:rsid w:val="0072368D"/>
    <w:rsid w:val="00724845"/>
    <w:rsid w:val="00724C9F"/>
    <w:rsid w:val="00724CDA"/>
    <w:rsid w:val="007251C3"/>
    <w:rsid w:val="00725518"/>
    <w:rsid w:val="0072598D"/>
    <w:rsid w:val="00725ADB"/>
    <w:rsid w:val="00725CA1"/>
    <w:rsid w:val="007264D4"/>
    <w:rsid w:val="00726503"/>
    <w:rsid w:val="00726564"/>
    <w:rsid w:val="00727848"/>
    <w:rsid w:val="007279EB"/>
    <w:rsid w:val="00727BF9"/>
    <w:rsid w:val="00727E26"/>
    <w:rsid w:val="00730213"/>
    <w:rsid w:val="00731902"/>
    <w:rsid w:val="00731C1E"/>
    <w:rsid w:val="00731D9B"/>
    <w:rsid w:val="00732BCC"/>
    <w:rsid w:val="00732C56"/>
    <w:rsid w:val="00732C9E"/>
    <w:rsid w:val="00732F89"/>
    <w:rsid w:val="007331A9"/>
    <w:rsid w:val="00733296"/>
    <w:rsid w:val="00733844"/>
    <w:rsid w:val="00733918"/>
    <w:rsid w:val="007341BF"/>
    <w:rsid w:val="00734214"/>
    <w:rsid w:val="007348E1"/>
    <w:rsid w:val="00735BE8"/>
    <w:rsid w:val="00735F21"/>
    <w:rsid w:val="007362F7"/>
    <w:rsid w:val="007364CC"/>
    <w:rsid w:val="00736556"/>
    <w:rsid w:val="00736590"/>
    <w:rsid w:val="00736B5B"/>
    <w:rsid w:val="0073721E"/>
    <w:rsid w:val="00737A0D"/>
    <w:rsid w:val="00737B8F"/>
    <w:rsid w:val="007400FE"/>
    <w:rsid w:val="00740410"/>
    <w:rsid w:val="00740550"/>
    <w:rsid w:val="00740BD9"/>
    <w:rsid w:val="00740FDA"/>
    <w:rsid w:val="00741164"/>
    <w:rsid w:val="00741289"/>
    <w:rsid w:val="00741945"/>
    <w:rsid w:val="00741AB0"/>
    <w:rsid w:val="0074263A"/>
    <w:rsid w:val="00742972"/>
    <w:rsid w:val="00743C2A"/>
    <w:rsid w:val="00744087"/>
    <w:rsid w:val="0074411A"/>
    <w:rsid w:val="007445E5"/>
    <w:rsid w:val="00744871"/>
    <w:rsid w:val="00744873"/>
    <w:rsid w:val="00744E33"/>
    <w:rsid w:val="0074522B"/>
    <w:rsid w:val="007452AF"/>
    <w:rsid w:val="00745357"/>
    <w:rsid w:val="00745659"/>
    <w:rsid w:val="007458C1"/>
    <w:rsid w:val="00745E5C"/>
    <w:rsid w:val="007465EA"/>
    <w:rsid w:val="007466CB"/>
    <w:rsid w:val="00746C84"/>
    <w:rsid w:val="00746E59"/>
    <w:rsid w:val="007473E9"/>
    <w:rsid w:val="00747F1B"/>
    <w:rsid w:val="0075041F"/>
    <w:rsid w:val="007504FD"/>
    <w:rsid w:val="00750791"/>
    <w:rsid w:val="00750A7F"/>
    <w:rsid w:val="00750A9A"/>
    <w:rsid w:val="0075144A"/>
    <w:rsid w:val="00751DBE"/>
    <w:rsid w:val="00751E6D"/>
    <w:rsid w:val="0075299E"/>
    <w:rsid w:val="00752A5F"/>
    <w:rsid w:val="00752C77"/>
    <w:rsid w:val="00752E84"/>
    <w:rsid w:val="00752EB2"/>
    <w:rsid w:val="00752F6A"/>
    <w:rsid w:val="0075313C"/>
    <w:rsid w:val="00753214"/>
    <w:rsid w:val="007532F9"/>
    <w:rsid w:val="00753B67"/>
    <w:rsid w:val="00754030"/>
    <w:rsid w:val="00754299"/>
    <w:rsid w:val="00754985"/>
    <w:rsid w:val="00754C3E"/>
    <w:rsid w:val="0075534D"/>
    <w:rsid w:val="00755DF0"/>
    <w:rsid w:val="00755F16"/>
    <w:rsid w:val="0075612E"/>
    <w:rsid w:val="007568B9"/>
    <w:rsid w:val="00756F14"/>
    <w:rsid w:val="007572CE"/>
    <w:rsid w:val="00757384"/>
    <w:rsid w:val="0075754E"/>
    <w:rsid w:val="00757F90"/>
    <w:rsid w:val="00757FA4"/>
    <w:rsid w:val="00757FB5"/>
    <w:rsid w:val="0076076E"/>
    <w:rsid w:val="0076125E"/>
    <w:rsid w:val="00761CEF"/>
    <w:rsid w:val="0076232E"/>
    <w:rsid w:val="00762452"/>
    <w:rsid w:val="00762618"/>
    <w:rsid w:val="00762855"/>
    <w:rsid w:val="00762BF3"/>
    <w:rsid w:val="00762C5C"/>
    <w:rsid w:val="00763609"/>
    <w:rsid w:val="007638F4"/>
    <w:rsid w:val="00763973"/>
    <w:rsid w:val="00763F45"/>
    <w:rsid w:val="007651BD"/>
    <w:rsid w:val="007653DD"/>
    <w:rsid w:val="0076542D"/>
    <w:rsid w:val="007658DB"/>
    <w:rsid w:val="00765E49"/>
    <w:rsid w:val="007667DD"/>
    <w:rsid w:val="007667FC"/>
    <w:rsid w:val="00766810"/>
    <w:rsid w:val="007669A0"/>
    <w:rsid w:val="00766BCF"/>
    <w:rsid w:val="00766BF4"/>
    <w:rsid w:val="00766DD2"/>
    <w:rsid w:val="00766FC4"/>
    <w:rsid w:val="00766FDF"/>
    <w:rsid w:val="00767844"/>
    <w:rsid w:val="00767ACB"/>
    <w:rsid w:val="00767C34"/>
    <w:rsid w:val="00767D32"/>
    <w:rsid w:val="007705A6"/>
    <w:rsid w:val="007708C4"/>
    <w:rsid w:val="0077092D"/>
    <w:rsid w:val="00770953"/>
    <w:rsid w:val="00770CF3"/>
    <w:rsid w:val="00770EB2"/>
    <w:rsid w:val="007710A5"/>
    <w:rsid w:val="007710CD"/>
    <w:rsid w:val="00771292"/>
    <w:rsid w:val="0077157D"/>
    <w:rsid w:val="0077162E"/>
    <w:rsid w:val="007719F5"/>
    <w:rsid w:val="00771A18"/>
    <w:rsid w:val="00772202"/>
    <w:rsid w:val="00772479"/>
    <w:rsid w:val="007729EC"/>
    <w:rsid w:val="007737A0"/>
    <w:rsid w:val="00773C55"/>
    <w:rsid w:val="00773E7F"/>
    <w:rsid w:val="0077441D"/>
    <w:rsid w:val="00774CB0"/>
    <w:rsid w:val="00774ED6"/>
    <w:rsid w:val="007750D1"/>
    <w:rsid w:val="00776506"/>
    <w:rsid w:val="00776E9F"/>
    <w:rsid w:val="00777318"/>
    <w:rsid w:val="00777ADD"/>
    <w:rsid w:val="00777AE9"/>
    <w:rsid w:val="0078011C"/>
    <w:rsid w:val="0078098C"/>
    <w:rsid w:val="00780C20"/>
    <w:rsid w:val="00781DD8"/>
    <w:rsid w:val="00782242"/>
    <w:rsid w:val="0078267A"/>
    <w:rsid w:val="00782A96"/>
    <w:rsid w:val="00783064"/>
    <w:rsid w:val="00783AAE"/>
    <w:rsid w:val="00783B7C"/>
    <w:rsid w:val="00783D92"/>
    <w:rsid w:val="0078423D"/>
    <w:rsid w:val="00784C1B"/>
    <w:rsid w:val="00784D7F"/>
    <w:rsid w:val="0078531B"/>
    <w:rsid w:val="00785830"/>
    <w:rsid w:val="00786112"/>
    <w:rsid w:val="0078628E"/>
    <w:rsid w:val="00786A1A"/>
    <w:rsid w:val="00786C67"/>
    <w:rsid w:val="00786FEE"/>
    <w:rsid w:val="0078768E"/>
    <w:rsid w:val="007879CA"/>
    <w:rsid w:val="00787A5C"/>
    <w:rsid w:val="00790236"/>
    <w:rsid w:val="00790624"/>
    <w:rsid w:val="00790C19"/>
    <w:rsid w:val="007917AB"/>
    <w:rsid w:val="00792087"/>
    <w:rsid w:val="007922D1"/>
    <w:rsid w:val="0079294F"/>
    <w:rsid w:val="00792C36"/>
    <w:rsid w:val="00792CD4"/>
    <w:rsid w:val="00793711"/>
    <w:rsid w:val="007939F2"/>
    <w:rsid w:val="00793C48"/>
    <w:rsid w:val="00793E5A"/>
    <w:rsid w:val="00794158"/>
    <w:rsid w:val="007942BC"/>
    <w:rsid w:val="00794531"/>
    <w:rsid w:val="00794885"/>
    <w:rsid w:val="007951C2"/>
    <w:rsid w:val="00795C83"/>
    <w:rsid w:val="00795C92"/>
    <w:rsid w:val="00795DC9"/>
    <w:rsid w:val="00795E21"/>
    <w:rsid w:val="00796253"/>
    <w:rsid w:val="00796BB6"/>
    <w:rsid w:val="007A038E"/>
    <w:rsid w:val="007A0785"/>
    <w:rsid w:val="007A080A"/>
    <w:rsid w:val="007A0BFC"/>
    <w:rsid w:val="007A0D00"/>
    <w:rsid w:val="007A0F8A"/>
    <w:rsid w:val="007A19D6"/>
    <w:rsid w:val="007A1BCE"/>
    <w:rsid w:val="007A1DD3"/>
    <w:rsid w:val="007A255A"/>
    <w:rsid w:val="007A2BF4"/>
    <w:rsid w:val="007A2C29"/>
    <w:rsid w:val="007A325B"/>
    <w:rsid w:val="007A33D7"/>
    <w:rsid w:val="007A3F5C"/>
    <w:rsid w:val="007A4641"/>
    <w:rsid w:val="007A4BF4"/>
    <w:rsid w:val="007A4E2C"/>
    <w:rsid w:val="007A4FF2"/>
    <w:rsid w:val="007A579C"/>
    <w:rsid w:val="007A58CF"/>
    <w:rsid w:val="007A597C"/>
    <w:rsid w:val="007A5AFB"/>
    <w:rsid w:val="007A5C62"/>
    <w:rsid w:val="007A662B"/>
    <w:rsid w:val="007A669E"/>
    <w:rsid w:val="007A692C"/>
    <w:rsid w:val="007A6B44"/>
    <w:rsid w:val="007A70CD"/>
    <w:rsid w:val="007A73A8"/>
    <w:rsid w:val="007A743C"/>
    <w:rsid w:val="007A7689"/>
    <w:rsid w:val="007A7986"/>
    <w:rsid w:val="007B012C"/>
    <w:rsid w:val="007B04AB"/>
    <w:rsid w:val="007B0E91"/>
    <w:rsid w:val="007B101F"/>
    <w:rsid w:val="007B1173"/>
    <w:rsid w:val="007B133B"/>
    <w:rsid w:val="007B19E7"/>
    <w:rsid w:val="007B1C99"/>
    <w:rsid w:val="007B21BF"/>
    <w:rsid w:val="007B230C"/>
    <w:rsid w:val="007B2F2F"/>
    <w:rsid w:val="007B3043"/>
    <w:rsid w:val="007B3624"/>
    <w:rsid w:val="007B4F82"/>
    <w:rsid w:val="007B539C"/>
    <w:rsid w:val="007B5575"/>
    <w:rsid w:val="007B5701"/>
    <w:rsid w:val="007B5E6D"/>
    <w:rsid w:val="007B627F"/>
    <w:rsid w:val="007B649E"/>
    <w:rsid w:val="007B6BF9"/>
    <w:rsid w:val="007B6E0F"/>
    <w:rsid w:val="007B7693"/>
    <w:rsid w:val="007B776F"/>
    <w:rsid w:val="007C03F4"/>
    <w:rsid w:val="007C040A"/>
    <w:rsid w:val="007C0C21"/>
    <w:rsid w:val="007C0CBB"/>
    <w:rsid w:val="007C1129"/>
    <w:rsid w:val="007C122D"/>
    <w:rsid w:val="007C13EB"/>
    <w:rsid w:val="007C1818"/>
    <w:rsid w:val="007C1A05"/>
    <w:rsid w:val="007C1A3B"/>
    <w:rsid w:val="007C1CAB"/>
    <w:rsid w:val="007C1DD6"/>
    <w:rsid w:val="007C2B5A"/>
    <w:rsid w:val="007C2B65"/>
    <w:rsid w:val="007C2CA6"/>
    <w:rsid w:val="007C2CB8"/>
    <w:rsid w:val="007C2F9C"/>
    <w:rsid w:val="007C3266"/>
    <w:rsid w:val="007C3948"/>
    <w:rsid w:val="007C3A50"/>
    <w:rsid w:val="007C3A66"/>
    <w:rsid w:val="007C3AD4"/>
    <w:rsid w:val="007C4000"/>
    <w:rsid w:val="007C46B5"/>
    <w:rsid w:val="007C46DC"/>
    <w:rsid w:val="007C48ED"/>
    <w:rsid w:val="007C4C30"/>
    <w:rsid w:val="007C503A"/>
    <w:rsid w:val="007C56D4"/>
    <w:rsid w:val="007C572E"/>
    <w:rsid w:val="007C5871"/>
    <w:rsid w:val="007C5D5E"/>
    <w:rsid w:val="007C7E80"/>
    <w:rsid w:val="007D05D8"/>
    <w:rsid w:val="007D0725"/>
    <w:rsid w:val="007D145F"/>
    <w:rsid w:val="007D14E9"/>
    <w:rsid w:val="007D1650"/>
    <w:rsid w:val="007D2A63"/>
    <w:rsid w:val="007D2F90"/>
    <w:rsid w:val="007D4A0C"/>
    <w:rsid w:val="007D4D96"/>
    <w:rsid w:val="007D4EEF"/>
    <w:rsid w:val="007D50EA"/>
    <w:rsid w:val="007D51DB"/>
    <w:rsid w:val="007D65A0"/>
    <w:rsid w:val="007D682C"/>
    <w:rsid w:val="007D7449"/>
    <w:rsid w:val="007D7465"/>
    <w:rsid w:val="007D77CF"/>
    <w:rsid w:val="007D7CA6"/>
    <w:rsid w:val="007D7CF4"/>
    <w:rsid w:val="007D7FAF"/>
    <w:rsid w:val="007E002A"/>
    <w:rsid w:val="007E01C1"/>
    <w:rsid w:val="007E044C"/>
    <w:rsid w:val="007E0455"/>
    <w:rsid w:val="007E065B"/>
    <w:rsid w:val="007E0670"/>
    <w:rsid w:val="007E11F0"/>
    <w:rsid w:val="007E124E"/>
    <w:rsid w:val="007E20C7"/>
    <w:rsid w:val="007E26DE"/>
    <w:rsid w:val="007E28B0"/>
    <w:rsid w:val="007E2D77"/>
    <w:rsid w:val="007E2DC1"/>
    <w:rsid w:val="007E2E4D"/>
    <w:rsid w:val="007E30F1"/>
    <w:rsid w:val="007E36FA"/>
    <w:rsid w:val="007E3C01"/>
    <w:rsid w:val="007E3EAF"/>
    <w:rsid w:val="007E40E3"/>
    <w:rsid w:val="007E415C"/>
    <w:rsid w:val="007E4611"/>
    <w:rsid w:val="007E4E00"/>
    <w:rsid w:val="007E5419"/>
    <w:rsid w:val="007E5AD2"/>
    <w:rsid w:val="007E6144"/>
    <w:rsid w:val="007E61AD"/>
    <w:rsid w:val="007E6521"/>
    <w:rsid w:val="007E6F71"/>
    <w:rsid w:val="007E7014"/>
    <w:rsid w:val="007E7DE6"/>
    <w:rsid w:val="007F0186"/>
    <w:rsid w:val="007F02A0"/>
    <w:rsid w:val="007F0B02"/>
    <w:rsid w:val="007F0B45"/>
    <w:rsid w:val="007F0C02"/>
    <w:rsid w:val="007F0F3B"/>
    <w:rsid w:val="007F1742"/>
    <w:rsid w:val="007F197B"/>
    <w:rsid w:val="007F19B5"/>
    <w:rsid w:val="007F1F17"/>
    <w:rsid w:val="007F235F"/>
    <w:rsid w:val="007F27CB"/>
    <w:rsid w:val="007F28BF"/>
    <w:rsid w:val="007F314C"/>
    <w:rsid w:val="007F35AA"/>
    <w:rsid w:val="007F3D7C"/>
    <w:rsid w:val="007F4367"/>
    <w:rsid w:val="007F4376"/>
    <w:rsid w:val="007F44AF"/>
    <w:rsid w:val="007F47A0"/>
    <w:rsid w:val="007F5B14"/>
    <w:rsid w:val="007F6131"/>
    <w:rsid w:val="007F6243"/>
    <w:rsid w:val="007F64F4"/>
    <w:rsid w:val="007F6864"/>
    <w:rsid w:val="007F688C"/>
    <w:rsid w:val="007F6CC2"/>
    <w:rsid w:val="007F6F04"/>
    <w:rsid w:val="007F721C"/>
    <w:rsid w:val="007F7D85"/>
    <w:rsid w:val="00800EAE"/>
    <w:rsid w:val="00800F1E"/>
    <w:rsid w:val="008015D5"/>
    <w:rsid w:val="00801750"/>
    <w:rsid w:val="00801933"/>
    <w:rsid w:val="008020FF"/>
    <w:rsid w:val="00802643"/>
    <w:rsid w:val="00802C86"/>
    <w:rsid w:val="008031B7"/>
    <w:rsid w:val="00803390"/>
    <w:rsid w:val="00803BF1"/>
    <w:rsid w:val="00803CAB"/>
    <w:rsid w:val="00803E22"/>
    <w:rsid w:val="00803EC4"/>
    <w:rsid w:val="00803F6D"/>
    <w:rsid w:val="0080418E"/>
    <w:rsid w:val="0080561D"/>
    <w:rsid w:val="00805CB5"/>
    <w:rsid w:val="00805DD7"/>
    <w:rsid w:val="00805ECF"/>
    <w:rsid w:val="0080611D"/>
    <w:rsid w:val="008062C0"/>
    <w:rsid w:val="00806350"/>
    <w:rsid w:val="008064EA"/>
    <w:rsid w:val="008065F4"/>
    <w:rsid w:val="008104E5"/>
    <w:rsid w:val="00810919"/>
    <w:rsid w:val="008111E0"/>
    <w:rsid w:val="00811218"/>
    <w:rsid w:val="0081135C"/>
    <w:rsid w:val="00811454"/>
    <w:rsid w:val="00811ACE"/>
    <w:rsid w:val="00811CD3"/>
    <w:rsid w:val="00812A66"/>
    <w:rsid w:val="00813AC7"/>
    <w:rsid w:val="00814455"/>
    <w:rsid w:val="00814641"/>
    <w:rsid w:val="008147F4"/>
    <w:rsid w:val="008147F6"/>
    <w:rsid w:val="00814838"/>
    <w:rsid w:val="00814BD4"/>
    <w:rsid w:val="00814DCA"/>
    <w:rsid w:val="00814F08"/>
    <w:rsid w:val="00815109"/>
    <w:rsid w:val="0081596C"/>
    <w:rsid w:val="00815A67"/>
    <w:rsid w:val="008160DF"/>
    <w:rsid w:val="008160FA"/>
    <w:rsid w:val="00816BB6"/>
    <w:rsid w:val="0081727F"/>
    <w:rsid w:val="008177B6"/>
    <w:rsid w:val="00817F6F"/>
    <w:rsid w:val="0082045E"/>
    <w:rsid w:val="00820999"/>
    <w:rsid w:val="00820DCA"/>
    <w:rsid w:val="00821307"/>
    <w:rsid w:val="0082130B"/>
    <w:rsid w:val="00821796"/>
    <w:rsid w:val="0082181E"/>
    <w:rsid w:val="008224B1"/>
    <w:rsid w:val="00822527"/>
    <w:rsid w:val="0082269F"/>
    <w:rsid w:val="00822800"/>
    <w:rsid w:val="00822E2F"/>
    <w:rsid w:val="00823623"/>
    <w:rsid w:val="00824039"/>
    <w:rsid w:val="0082472E"/>
    <w:rsid w:val="00824756"/>
    <w:rsid w:val="00825245"/>
    <w:rsid w:val="00825354"/>
    <w:rsid w:val="0082701E"/>
    <w:rsid w:val="008272A5"/>
    <w:rsid w:val="00827523"/>
    <w:rsid w:val="00827758"/>
    <w:rsid w:val="00827984"/>
    <w:rsid w:val="00827F49"/>
    <w:rsid w:val="008306A8"/>
    <w:rsid w:val="00830707"/>
    <w:rsid w:val="00830FA6"/>
    <w:rsid w:val="00831056"/>
    <w:rsid w:val="00831C04"/>
    <w:rsid w:val="0083216A"/>
    <w:rsid w:val="008327CC"/>
    <w:rsid w:val="008333D1"/>
    <w:rsid w:val="00833A02"/>
    <w:rsid w:val="00833CC5"/>
    <w:rsid w:val="00833DA2"/>
    <w:rsid w:val="00834002"/>
    <w:rsid w:val="00834D7B"/>
    <w:rsid w:val="008350E9"/>
    <w:rsid w:val="008353BC"/>
    <w:rsid w:val="0083561D"/>
    <w:rsid w:val="0083571B"/>
    <w:rsid w:val="00835BEC"/>
    <w:rsid w:val="00835CAB"/>
    <w:rsid w:val="008361ED"/>
    <w:rsid w:val="00836763"/>
    <w:rsid w:val="00836CB7"/>
    <w:rsid w:val="0083720B"/>
    <w:rsid w:val="008377CE"/>
    <w:rsid w:val="00837A20"/>
    <w:rsid w:val="0084065E"/>
    <w:rsid w:val="008408A4"/>
    <w:rsid w:val="008409E2"/>
    <w:rsid w:val="00840D86"/>
    <w:rsid w:val="008410FD"/>
    <w:rsid w:val="008415AF"/>
    <w:rsid w:val="008416CA"/>
    <w:rsid w:val="00842116"/>
    <w:rsid w:val="0084224C"/>
    <w:rsid w:val="00842280"/>
    <w:rsid w:val="0084265F"/>
    <w:rsid w:val="008426D2"/>
    <w:rsid w:val="0084273D"/>
    <w:rsid w:val="00842798"/>
    <w:rsid w:val="00843755"/>
    <w:rsid w:val="00843B5B"/>
    <w:rsid w:val="00844301"/>
    <w:rsid w:val="0084455A"/>
    <w:rsid w:val="00844802"/>
    <w:rsid w:val="0084532A"/>
    <w:rsid w:val="008454E7"/>
    <w:rsid w:val="00845C01"/>
    <w:rsid w:val="00845C80"/>
    <w:rsid w:val="00845DDA"/>
    <w:rsid w:val="0084636D"/>
    <w:rsid w:val="008471D8"/>
    <w:rsid w:val="00847A8E"/>
    <w:rsid w:val="00850D6C"/>
    <w:rsid w:val="008510CC"/>
    <w:rsid w:val="0085143E"/>
    <w:rsid w:val="00851570"/>
    <w:rsid w:val="008518D0"/>
    <w:rsid w:val="00851A64"/>
    <w:rsid w:val="00851B87"/>
    <w:rsid w:val="00851DD5"/>
    <w:rsid w:val="00851FEB"/>
    <w:rsid w:val="00852163"/>
    <w:rsid w:val="00852CDE"/>
    <w:rsid w:val="00852E01"/>
    <w:rsid w:val="00853064"/>
    <w:rsid w:val="008532CA"/>
    <w:rsid w:val="0085365B"/>
    <w:rsid w:val="0085371F"/>
    <w:rsid w:val="00853C66"/>
    <w:rsid w:val="00853DE6"/>
    <w:rsid w:val="00854608"/>
    <w:rsid w:val="008548C6"/>
    <w:rsid w:val="00854A70"/>
    <w:rsid w:val="008557E5"/>
    <w:rsid w:val="00855A8A"/>
    <w:rsid w:val="00856601"/>
    <w:rsid w:val="00856E8A"/>
    <w:rsid w:val="008570F1"/>
    <w:rsid w:val="008575BC"/>
    <w:rsid w:val="0085761B"/>
    <w:rsid w:val="0085779A"/>
    <w:rsid w:val="00857ECD"/>
    <w:rsid w:val="00857FF8"/>
    <w:rsid w:val="00860339"/>
    <w:rsid w:val="008604C3"/>
    <w:rsid w:val="0086056E"/>
    <w:rsid w:val="0086077D"/>
    <w:rsid w:val="00860EAE"/>
    <w:rsid w:val="00860F2A"/>
    <w:rsid w:val="008618E1"/>
    <w:rsid w:val="00862211"/>
    <w:rsid w:val="00862526"/>
    <w:rsid w:val="00862CC1"/>
    <w:rsid w:val="008636E2"/>
    <w:rsid w:val="00863D7F"/>
    <w:rsid w:val="008640BC"/>
    <w:rsid w:val="0086464B"/>
    <w:rsid w:val="008647FF"/>
    <w:rsid w:val="00864966"/>
    <w:rsid w:val="00864D2F"/>
    <w:rsid w:val="00865221"/>
    <w:rsid w:val="00865268"/>
    <w:rsid w:val="00865735"/>
    <w:rsid w:val="008658EC"/>
    <w:rsid w:val="0086593D"/>
    <w:rsid w:val="00865A1B"/>
    <w:rsid w:val="00865A46"/>
    <w:rsid w:val="00866017"/>
    <w:rsid w:val="00866329"/>
    <w:rsid w:val="008664CD"/>
    <w:rsid w:val="008665EA"/>
    <w:rsid w:val="00866F92"/>
    <w:rsid w:val="008670C2"/>
    <w:rsid w:val="008672A8"/>
    <w:rsid w:val="00867806"/>
    <w:rsid w:val="00867FF1"/>
    <w:rsid w:val="0087054E"/>
    <w:rsid w:val="00872150"/>
    <w:rsid w:val="0087239A"/>
    <w:rsid w:val="00872DBE"/>
    <w:rsid w:val="00872F63"/>
    <w:rsid w:val="00873518"/>
    <w:rsid w:val="0087386E"/>
    <w:rsid w:val="008744CF"/>
    <w:rsid w:val="008745B5"/>
    <w:rsid w:val="008747D7"/>
    <w:rsid w:val="00874995"/>
    <w:rsid w:val="00874ED8"/>
    <w:rsid w:val="008751B1"/>
    <w:rsid w:val="008755B9"/>
    <w:rsid w:val="0087568D"/>
    <w:rsid w:val="00875B3B"/>
    <w:rsid w:val="00875D5C"/>
    <w:rsid w:val="00875D8B"/>
    <w:rsid w:val="008763D6"/>
    <w:rsid w:val="00876505"/>
    <w:rsid w:val="00876963"/>
    <w:rsid w:val="00876E5A"/>
    <w:rsid w:val="008774DC"/>
    <w:rsid w:val="00877711"/>
    <w:rsid w:val="00877CE9"/>
    <w:rsid w:val="00880128"/>
    <w:rsid w:val="00880567"/>
    <w:rsid w:val="0088056E"/>
    <w:rsid w:val="00880DE7"/>
    <w:rsid w:val="00880F68"/>
    <w:rsid w:val="008819B8"/>
    <w:rsid w:val="00881AFF"/>
    <w:rsid w:val="0088275E"/>
    <w:rsid w:val="008829A9"/>
    <w:rsid w:val="00882C1C"/>
    <w:rsid w:val="00882DDE"/>
    <w:rsid w:val="00882F57"/>
    <w:rsid w:val="00882F8F"/>
    <w:rsid w:val="008831DD"/>
    <w:rsid w:val="00883993"/>
    <w:rsid w:val="00883ABA"/>
    <w:rsid w:val="00883B92"/>
    <w:rsid w:val="00883CBB"/>
    <w:rsid w:val="008841AB"/>
    <w:rsid w:val="008841B8"/>
    <w:rsid w:val="00884662"/>
    <w:rsid w:val="00884888"/>
    <w:rsid w:val="00884CFC"/>
    <w:rsid w:val="0088530B"/>
    <w:rsid w:val="008854CE"/>
    <w:rsid w:val="00885686"/>
    <w:rsid w:val="00885E83"/>
    <w:rsid w:val="008863F0"/>
    <w:rsid w:val="00886808"/>
    <w:rsid w:val="00886898"/>
    <w:rsid w:val="00886C73"/>
    <w:rsid w:val="00886F2F"/>
    <w:rsid w:val="00886FEF"/>
    <w:rsid w:val="008871D2"/>
    <w:rsid w:val="008876D2"/>
    <w:rsid w:val="00887E3D"/>
    <w:rsid w:val="00890051"/>
    <w:rsid w:val="008900C4"/>
    <w:rsid w:val="0089048F"/>
    <w:rsid w:val="0089052F"/>
    <w:rsid w:val="00890714"/>
    <w:rsid w:val="00890AA3"/>
    <w:rsid w:val="00890BBF"/>
    <w:rsid w:val="00890DBA"/>
    <w:rsid w:val="00890E0E"/>
    <w:rsid w:val="00891B96"/>
    <w:rsid w:val="00891C8D"/>
    <w:rsid w:val="00891E7F"/>
    <w:rsid w:val="00892132"/>
    <w:rsid w:val="008927A4"/>
    <w:rsid w:val="00892817"/>
    <w:rsid w:val="00893374"/>
    <w:rsid w:val="00893D2A"/>
    <w:rsid w:val="00893EF0"/>
    <w:rsid w:val="0089410C"/>
    <w:rsid w:val="008944D8"/>
    <w:rsid w:val="0089458D"/>
    <w:rsid w:val="00894C8F"/>
    <w:rsid w:val="00894D93"/>
    <w:rsid w:val="00894FBC"/>
    <w:rsid w:val="00895712"/>
    <w:rsid w:val="0089596D"/>
    <w:rsid w:val="008960D9"/>
    <w:rsid w:val="00896842"/>
    <w:rsid w:val="00896E0A"/>
    <w:rsid w:val="00896F7A"/>
    <w:rsid w:val="00897219"/>
    <w:rsid w:val="00897481"/>
    <w:rsid w:val="00897C4E"/>
    <w:rsid w:val="00897C78"/>
    <w:rsid w:val="00897D3C"/>
    <w:rsid w:val="00897D53"/>
    <w:rsid w:val="00897D8E"/>
    <w:rsid w:val="00897E47"/>
    <w:rsid w:val="008A02A1"/>
    <w:rsid w:val="008A1594"/>
    <w:rsid w:val="008A1C43"/>
    <w:rsid w:val="008A1C85"/>
    <w:rsid w:val="008A1D4F"/>
    <w:rsid w:val="008A1D5F"/>
    <w:rsid w:val="008A1E84"/>
    <w:rsid w:val="008A2216"/>
    <w:rsid w:val="008A2421"/>
    <w:rsid w:val="008A24A6"/>
    <w:rsid w:val="008A2531"/>
    <w:rsid w:val="008A25F0"/>
    <w:rsid w:val="008A274D"/>
    <w:rsid w:val="008A28C9"/>
    <w:rsid w:val="008A2C9A"/>
    <w:rsid w:val="008A2EF4"/>
    <w:rsid w:val="008A3230"/>
    <w:rsid w:val="008A35C4"/>
    <w:rsid w:val="008A3951"/>
    <w:rsid w:val="008A3BEC"/>
    <w:rsid w:val="008A3DA6"/>
    <w:rsid w:val="008A4356"/>
    <w:rsid w:val="008A49EB"/>
    <w:rsid w:val="008A4A31"/>
    <w:rsid w:val="008A4FBB"/>
    <w:rsid w:val="008A4FEA"/>
    <w:rsid w:val="008A5CF7"/>
    <w:rsid w:val="008A6035"/>
    <w:rsid w:val="008A60B5"/>
    <w:rsid w:val="008A6708"/>
    <w:rsid w:val="008A70C6"/>
    <w:rsid w:val="008A77B5"/>
    <w:rsid w:val="008A7D19"/>
    <w:rsid w:val="008A7ED5"/>
    <w:rsid w:val="008B05A2"/>
    <w:rsid w:val="008B0C3D"/>
    <w:rsid w:val="008B0E3D"/>
    <w:rsid w:val="008B17E5"/>
    <w:rsid w:val="008B18B3"/>
    <w:rsid w:val="008B1E22"/>
    <w:rsid w:val="008B1FAC"/>
    <w:rsid w:val="008B2106"/>
    <w:rsid w:val="008B23B2"/>
    <w:rsid w:val="008B2938"/>
    <w:rsid w:val="008B2CAE"/>
    <w:rsid w:val="008B3112"/>
    <w:rsid w:val="008B3914"/>
    <w:rsid w:val="008B3CF1"/>
    <w:rsid w:val="008B3D3D"/>
    <w:rsid w:val="008B3EAD"/>
    <w:rsid w:val="008B4398"/>
    <w:rsid w:val="008B44C5"/>
    <w:rsid w:val="008B4FA9"/>
    <w:rsid w:val="008B509A"/>
    <w:rsid w:val="008B5614"/>
    <w:rsid w:val="008B5B61"/>
    <w:rsid w:val="008B5C11"/>
    <w:rsid w:val="008B5FAE"/>
    <w:rsid w:val="008B633A"/>
    <w:rsid w:val="008B63FD"/>
    <w:rsid w:val="008B6457"/>
    <w:rsid w:val="008B6BC6"/>
    <w:rsid w:val="008B6F9F"/>
    <w:rsid w:val="008B74FE"/>
    <w:rsid w:val="008B7AC4"/>
    <w:rsid w:val="008B7F20"/>
    <w:rsid w:val="008C00E5"/>
    <w:rsid w:val="008C07E1"/>
    <w:rsid w:val="008C0AA7"/>
    <w:rsid w:val="008C0C50"/>
    <w:rsid w:val="008C0FCE"/>
    <w:rsid w:val="008C1251"/>
    <w:rsid w:val="008C127E"/>
    <w:rsid w:val="008C1534"/>
    <w:rsid w:val="008C16D6"/>
    <w:rsid w:val="008C1742"/>
    <w:rsid w:val="008C23CE"/>
    <w:rsid w:val="008C255E"/>
    <w:rsid w:val="008C2B58"/>
    <w:rsid w:val="008C2BC8"/>
    <w:rsid w:val="008C34C9"/>
    <w:rsid w:val="008C38FA"/>
    <w:rsid w:val="008C39F4"/>
    <w:rsid w:val="008C3E69"/>
    <w:rsid w:val="008C3F73"/>
    <w:rsid w:val="008C44C2"/>
    <w:rsid w:val="008C4633"/>
    <w:rsid w:val="008C4B29"/>
    <w:rsid w:val="008C5066"/>
    <w:rsid w:val="008C56C9"/>
    <w:rsid w:val="008C5AD5"/>
    <w:rsid w:val="008C5CD7"/>
    <w:rsid w:val="008C5D1C"/>
    <w:rsid w:val="008C64C4"/>
    <w:rsid w:val="008C660A"/>
    <w:rsid w:val="008C679C"/>
    <w:rsid w:val="008C7247"/>
    <w:rsid w:val="008C73FA"/>
    <w:rsid w:val="008C742C"/>
    <w:rsid w:val="008C748A"/>
    <w:rsid w:val="008C7F58"/>
    <w:rsid w:val="008D0210"/>
    <w:rsid w:val="008D069D"/>
    <w:rsid w:val="008D076C"/>
    <w:rsid w:val="008D0EF2"/>
    <w:rsid w:val="008D1531"/>
    <w:rsid w:val="008D184F"/>
    <w:rsid w:val="008D192D"/>
    <w:rsid w:val="008D1AD1"/>
    <w:rsid w:val="008D1C00"/>
    <w:rsid w:val="008D1CC2"/>
    <w:rsid w:val="008D2008"/>
    <w:rsid w:val="008D24E4"/>
    <w:rsid w:val="008D41BB"/>
    <w:rsid w:val="008D4410"/>
    <w:rsid w:val="008D46B5"/>
    <w:rsid w:val="008D49EA"/>
    <w:rsid w:val="008D4A22"/>
    <w:rsid w:val="008D4FAD"/>
    <w:rsid w:val="008D529C"/>
    <w:rsid w:val="008D559A"/>
    <w:rsid w:val="008D5DD8"/>
    <w:rsid w:val="008D602C"/>
    <w:rsid w:val="008D6116"/>
    <w:rsid w:val="008D6AE7"/>
    <w:rsid w:val="008D6BE6"/>
    <w:rsid w:val="008D6EBD"/>
    <w:rsid w:val="008D777E"/>
    <w:rsid w:val="008D7C47"/>
    <w:rsid w:val="008E0531"/>
    <w:rsid w:val="008E0651"/>
    <w:rsid w:val="008E111B"/>
    <w:rsid w:val="008E11FB"/>
    <w:rsid w:val="008E14EB"/>
    <w:rsid w:val="008E237B"/>
    <w:rsid w:val="008E32A7"/>
    <w:rsid w:val="008E3913"/>
    <w:rsid w:val="008E397B"/>
    <w:rsid w:val="008E4350"/>
    <w:rsid w:val="008E4642"/>
    <w:rsid w:val="008E464F"/>
    <w:rsid w:val="008E4968"/>
    <w:rsid w:val="008E4EDC"/>
    <w:rsid w:val="008E4FB0"/>
    <w:rsid w:val="008E5122"/>
    <w:rsid w:val="008E5347"/>
    <w:rsid w:val="008E5446"/>
    <w:rsid w:val="008E5695"/>
    <w:rsid w:val="008E5862"/>
    <w:rsid w:val="008E5A00"/>
    <w:rsid w:val="008E5BFD"/>
    <w:rsid w:val="008E6985"/>
    <w:rsid w:val="008E6A0B"/>
    <w:rsid w:val="008E6A1F"/>
    <w:rsid w:val="008E6AF1"/>
    <w:rsid w:val="008E6BEB"/>
    <w:rsid w:val="008E6EC5"/>
    <w:rsid w:val="008E765D"/>
    <w:rsid w:val="008E7B10"/>
    <w:rsid w:val="008E7BF3"/>
    <w:rsid w:val="008E7E84"/>
    <w:rsid w:val="008F00E5"/>
    <w:rsid w:val="008F0429"/>
    <w:rsid w:val="008F0C28"/>
    <w:rsid w:val="008F0F79"/>
    <w:rsid w:val="008F16DA"/>
    <w:rsid w:val="008F1742"/>
    <w:rsid w:val="008F181C"/>
    <w:rsid w:val="008F1C7D"/>
    <w:rsid w:val="008F1D5D"/>
    <w:rsid w:val="008F1EA9"/>
    <w:rsid w:val="008F2060"/>
    <w:rsid w:val="008F2189"/>
    <w:rsid w:val="008F2816"/>
    <w:rsid w:val="008F2968"/>
    <w:rsid w:val="008F29C9"/>
    <w:rsid w:val="008F2D8F"/>
    <w:rsid w:val="008F2D9F"/>
    <w:rsid w:val="008F3715"/>
    <w:rsid w:val="008F3771"/>
    <w:rsid w:val="008F3D20"/>
    <w:rsid w:val="008F3F2E"/>
    <w:rsid w:val="008F42C9"/>
    <w:rsid w:val="008F44D4"/>
    <w:rsid w:val="008F471E"/>
    <w:rsid w:val="008F4A5D"/>
    <w:rsid w:val="008F4CA5"/>
    <w:rsid w:val="008F4DAF"/>
    <w:rsid w:val="008F52EC"/>
    <w:rsid w:val="008F611C"/>
    <w:rsid w:val="008F6393"/>
    <w:rsid w:val="008F6DBE"/>
    <w:rsid w:val="008F753B"/>
    <w:rsid w:val="008F7BA1"/>
    <w:rsid w:val="00900D8D"/>
    <w:rsid w:val="0090136F"/>
    <w:rsid w:val="00901650"/>
    <w:rsid w:val="0090165F"/>
    <w:rsid w:val="00902214"/>
    <w:rsid w:val="009022D0"/>
    <w:rsid w:val="0090244F"/>
    <w:rsid w:val="009027C4"/>
    <w:rsid w:val="009030EC"/>
    <w:rsid w:val="0090359C"/>
    <w:rsid w:val="00903C1F"/>
    <w:rsid w:val="00903D6F"/>
    <w:rsid w:val="00904691"/>
    <w:rsid w:val="009046A9"/>
    <w:rsid w:val="00904828"/>
    <w:rsid w:val="00904840"/>
    <w:rsid w:val="00904F66"/>
    <w:rsid w:val="009055F4"/>
    <w:rsid w:val="009056FF"/>
    <w:rsid w:val="00905C29"/>
    <w:rsid w:val="009061CB"/>
    <w:rsid w:val="0090676C"/>
    <w:rsid w:val="00907096"/>
    <w:rsid w:val="00907599"/>
    <w:rsid w:val="009078C3"/>
    <w:rsid w:val="009079FC"/>
    <w:rsid w:val="00907CCC"/>
    <w:rsid w:val="00907F94"/>
    <w:rsid w:val="00910BAA"/>
    <w:rsid w:val="00910E53"/>
    <w:rsid w:val="00911245"/>
    <w:rsid w:val="00911595"/>
    <w:rsid w:val="0091165E"/>
    <w:rsid w:val="00912412"/>
    <w:rsid w:val="00912709"/>
    <w:rsid w:val="00912969"/>
    <w:rsid w:val="00912974"/>
    <w:rsid w:val="00912A9B"/>
    <w:rsid w:val="00913098"/>
    <w:rsid w:val="00913363"/>
    <w:rsid w:val="009136F9"/>
    <w:rsid w:val="00913946"/>
    <w:rsid w:val="00913985"/>
    <w:rsid w:val="009139FD"/>
    <w:rsid w:val="00914114"/>
    <w:rsid w:val="00914B3E"/>
    <w:rsid w:val="00914D79"/>
    <w:rsid w:val="0091523E"/>
    <w:rsid w:val="009157C5"/>
    <w:rsid w:val="00915939"/>
    <w:rsid w:val="00915B81"/>
    <w:rsid w:val="00915E93"/>
    <w:rsid w:val="009160F9"/>
    <w:rsid w:val="0091698A"/>
    <w:rsid w:val="00916FD2"/>
    <w:rsid w:val="00917965"/>
    <w:rsid w:val="009179A3"/>
    <w:rsid w:val="00917B33"/>
    <w:rsid w:val="00917D09"/>
    <w:rsid w:val="009205E1"/>
    <w:rsid w:val="00920D77"/>
    <w:rsid w:val="00921782"/>
    <w:rsid w:val="00921D5F"/>
    <w:rsid w:val="00921D72"/>
    <w:rsid w:val="009227E0"/>
    <w:rsid w:val="009229BF"/>
    <w:rsid w:val="00922DB9"/>
    <w:rsid w:val="0092315C"/>
    <w:rsid w:val="009242C1"/>
    <w:rsid w:val="00924404"/>
    <w:rsid w:val="00924563"/>
    <w:rsid w:val="00924A3D"/>
    <w:rsid w:val="00924A52"/>
    <w:rsid w:val="00924BEE"/>
    <w:rsid w:val="00924FBA"/>
    <w:rsid w:val="009251D7"/>
    <w:rsid w:val="00925391"/>
    <w:rsid w:val="009254F0"/>
    <w:rsid w:val="00925B00"/>
    <w:rsid w:val="00925B05"/>
    <w:rsid w:val="009260F2"/>
    <w:rsid w:val="00926488"/>
    <w:rsid w:val="0092655C"/>
    <w:rsid w:val="00926851"/>
    <w:rsid w:val="009269DE"/>
    <w:rsid w:val="00926AA0"/>
    <w:rsid w:val="009270F9"/>
    <w:rsid w:val="00927294"/>
    <w:rsid w:val="009273F7"/>
    <w:rsid w:val="00927553"/>
    <w:rsid w:val="0092789F"/>
    <w:rsid w:val="00927EDD"/>
    <w:rsid w:val="0093024B"/>
    <w:rsid w:val="0093091B"/>
    <w:rsid w:val="00930977"/>
    <w:rsid w:val="00930C28"/>
    <w:rsid w:val="00930D02"/>
    <w:rsid w:val="0093152B"/>
    <w:rsid w:val="00931F47"/>
    <w:rsid w:val="00932550"/>
    <w:rsid w:val="009325B3"/>
    <w:rsid w:val="00932B31"/>
    <w:rsid w:val="00932D3B"/>
    <w:rsid w:val="009331A7"/>
    <w:rsid w:val="009338E3"/>
    <w:rsid w:val="009339D5"/>
    <w:rsid w:val="009341E2"/>
    <w:rsid w:val="009342C7"/>
    <w:rsid w:val="0093441B"/>
    <w:rsid w:val="00934D50"/>
    <w:rsid w:val="009352F8"/>
    <w:rsid w:val="009358A8"/>
    <w:rsid w:val="00935B92"/>
    <w:rsid w:val="00936631"/>
    <w:rsid w:val="00936761"/>
    <w:rsid w:val="0093683E"/>
    <w:rsid w:val="00936A34"/>
    <w:rsid w:val="00936BD8"/>
    <w:rsid w:val="00936E1B"/>
    <w:rsid w:val="00936E45"/>
    <w:rsid w:val="009376D6"/>
    <w:rsid w:val="00937875"/>
    <w:rsid w:val="0093799C"/>
    <w:rsid w:val="00937B88"/>
    <w:rsid w:val="00940A35"/>
    <w:rsid w:val="00940C18"/>
    <w:rsid w:val="00940F8E"/>
    <w:rsid w:val="00941F7F"/>
    <w:rsid w:val="00942532"/>
    <w:rsid w:val="00944BE1"/>
    <w:rsid w:val="00944F54"/>
    <w:rsid w:val="009456CC"/>
    <w:rsid w:val="00945C5B"/>
    <w:rsid w:val="00945DFA"/>
    <w:rsid w:val="00945FB7"/>
    <w:rsid w:val="00945FC6"/>
    <w:rsid w:val="0094675F"/>
    <w:rsid w:val="00946868"/>
    <w:rsid w:val="009473D5"/>
    <w:rsid w:val="00947754"/>
    <w:rsid w:val="00950240"/>
    <w:rsid w:val="00950769"/>
    <w:rsid w:val="009507B3"/>
    <w:rsid w:val="0095082A"/>
    <w:rsid w:val="00950CB0"/>
    <w:rsid w:val="00950DAC"/>
    <w:rsid w:val="00951191"/>
    <w:rsid w:val="0095127C"/>
    <w:rsid w:val="00951579"/>
    <w:rsid w:val="009516CE"/>
    <w:rsid w:val="009516D4"/>
    <w:rsid w:val="00951B90"/>
    <w:rsid w:val="00951D11"/>
    <w:rsid w:val="00952625"/>
    <w:rsid w:val="0095282F"/>
    <w:rsid w:val="00952886"/>
    <w:rsid w:val="00952B96"/>
    <w:rsid w:val="00952CAD"/>
    <w:rsid w:val="0095360F"/>
    <w:rsid w:val="009539CF"/>
    <w:rsid w:val="00953A22"/>
    <w:rsid w:val="00953C40"/>
    <w:rsid w:val="0095406C"/>
    <w:rsid w:val="00954348"/>
    <w:rsid w:val="0095449C"/>
    <w:rsid w:val="00954F84"/>
    <w:rsid w:val="009552E0"/>
    <w:rsid w:val="00955D5F"/>
    <w:rsid w:val="0095600F"/>
    <w:rsid w:val="009568F8"/>
    <w:rsid w:val="00956E0C"/>
    <w:rsid w:val="00957382"/>
    <w:rsid w:val="00957960"/>
    <w:rsid w:val="00957B7E"/>
    <w:rsid w:val="009605EE"/>
    <w:rsid w:val="00960716"/>
    <w:rsid w:val="009607EF"/>
    <w:rsid w:val="00960F74"/>
    <w:rsid w:val="009617C2"/>
    <w:rsid w:val="00961F26"/>
    <w:rsid w:val="009623AC"/>
    <w:rsid w:val="00962504"/>
    <w:rsid w:val="009625E6"/>
    <w:rsid w:val="00963455"/>
    <w:rsid w:val="0096353F"/>
    <w:rsid w:val="009636EE"/>
    <w:rsid w:val="009645A2"/>
    <w:rsid w:val="00964634"/>
    <w:rsid w:val="00964DBE"/>
    <w:rsid w:val="009651B4"/>
    <w:rsid w:val="009653B3"/>
    <w:rsid w:val="009653E0"/>
    <w:rsid w:val="00965AAD"/>
    <w:rsid w:val="00965CD4"/>
    <w:rsid w:val="00965F3A"/>
    <w:rsid w:val="00965FCD"/>
    <w:rsid w:val="009660C8"/>
    <w:rsid w:val="00966606"/>
    <w:rsid w:val="009666BE"/>
    <w:rsid w:val="00966734"/>
    <w:rsid w:val="00966A46"/>
    <w:rsid w:val="00966BF2"/>
    <w:rsid w:val="0096712B"/>
    <w:rsid w:val="00967202"/>
    <w:rsid w:val="009674B5"/>
    <w:rsid w:val="00967702"/>
    <w:rsid w:val="00967872"/>
    <w:rsid w:val="00967955"/>
    <w:rsid w:val="00967DE8"/>
    <w:rsid w:val="00967F6B"/>
    <w:rsid w:val="00967F84"/>
    <w:rsid w:val="00970C85"/>
    <w:rsid w:val="00970DEC"/>
    <w:rsid w:val="00970E28"/>
    <w:rsid w:val="00970FAE"/>
    <w:rsid w:val="0097106E"/>
    <w:rsid w:val="009718EF"/>
    <w:rsid w:val="00971A04"/>
    <w:rsid w:val="00971B0B"/>
    <w:rsid w:val="00971F9C"/>
    <w:rsid w:val="009728E3"/>
    <w:rsid w:val="00972A99"/>
    <w:rsid w:val="00972CB2"/>
    <w:rsid w:val="00972E74"/>
    <w:rsid w:val="00973406"/>
    <w:rsid w:val="00973445"/>
    <w:rsid w:val="009736CE"/>
    <w:rsid w:val="00973E44"/>
    <w:rsid w:val="00973FE9"/>
    <w:rsid w:val="009745ED"/>
    <w:rsid w:val="00974D09"/>
    <w:rsid w:val="0097544D"/>
    <w:rsid w:val="009758CB"/>
    <w:rsid w:val="00975963"/>
    <w:rsid w:val="00975A2A"/>
    <w:rsid w:val="00975F0F"/>
    <w:rsid w:val="00976694"/>
    <w:rsid w:val="0097678F"/>
    <w:rsid w:val="00976D65"/>
    <w:rsid w:val="00976DF1"/>
    <w:rsid w:val="0097700E"/>
    <w:rsid w:val="009777D7"/>
    <w:rsid w:val="009779A9"/>
    <w:rsid w:val="00977A07"/>
    <w:rsid w:val="00977AC3"/>
    <w:rsid w:val="00980355"/>
    <w:rsid w:val="00980BE2"/>
    <w:rsid w:val="00981001"/>
    <w:rsid w:val="0098189C"/>
    <w:rsid w:val="00981C63"/>
    <w:rsid w:val="009828E8"/>
    <w:rsid w:val="00982BF2"/>
    <w:rsid w:val="009830BB"/>
    <w:rsid w:val="0098338A"/>
    <w:rsid w:val="00983468"/>
    <w:rsid w:val="0098399D"/>
    <w:rsid w:val="00983A64"/>
    <w:rsid w:val="00983D8F"/>
    <w:rsid w:val="009843C9"/>
    <w:rsid w:val="00984640"/>
    <w:rsid w:val="00984907"/>
    <w:rsid w:val="00984A43"/>
    <w:rsid w:val="00984D7C"/>
    <w:rsid w:val="00984DAB"/>
    <w:rsid w:val="00985425"/>
    <w:rsid w:val="00985669"/>
    <w:rsid w:val="00985BB8"/>
    <w:rsid w:val="009866D0"/>
    <w:rsid w:val="0098691F"/>
    <w:rsid w:val="0098775F"/>
    <w:rsid w:val="00987C02"/>
    <w:rsid w:val="00987D17"/>
    <w:rsid w:val="0099125F"/>
    <w:rsid w:val="00992150"/>
    <w:rsid w:val="0099259B"/>
    <w:rsid w:val="00992CB6"/>
    <w:rsid w:val="00992F07"/>
    <w:rsid w:val="009932AD"/>
    <w:rsid w:val="009935BA"/>
    <w:rsid w:val="00993687"/>
    <w:rsid w:val="00993C60"/>
    <w:rsid w:val="00993DB1"/>
    <w:rsid w:val="0099411D"/>
    <w:rsid w:val="00994981"/>
    <w:rsid w:val="00994C4A"/>
    <w:rsid w:val="00994D1D"/>
    <w:rsid w:val="00995323"/>
    <w:rsid w:val="00995649"/>
    <w:rsid w:val="009956D0"/>
    <w:rsid w:val="009967C1"/>
    <w:rsid w:val="009969A6"/>
    <w:rsid w:val="00996B7A"/>
    <w:rsid w:val="00996F31"/>
    <w:rsid w:val="00997126"/>
    <w:rsid w:val="0099727C"/>
    <w:rsid w:val="009975AA"/>
    <w:rsid w:val="00997B94"/>
    <w:rsid w:val="00997CF1"/>
    <w:rsid w:val="00997CFF"/>
    <w:rsid w:val="009A0237"/>
    <w:rsid w:val="009A07B8"/>
    <w:rsid w:val="009A0EE4"/>
    <w:rsid w:val="009A1461"/>
    <w:rsid w:val="009A151D"/>
    <w:rsid w:val="009A1732"/>
    <w:rsid w:val="009A1804"/>
    <w:rsid w:val="009A1A6F"/>
    <w:rsid w:val="009A1F7C"/>
    <w:rsid w:val="009A29E8"/>
    <w:rsid w:val="009A2CC7"/>
    <w:rsid w:val="009A2F30"/>
    <w:rsid w:val="009A308E"/>
    <w:rsid w:val="009A33A6"/>
    <w:rsid w:val="009A437F"/>
    <w:rsid w:val="009A45ED"/>
    <w:rsid w:val="009A490B"/>
    <w:rsid w:val="009A4AD2"/>
    <w:rsid w:val="009A4E36"/>
    <w:rsid w:val="009A550A"/>
    <w:rsid w:val="009A5604"/>
    <w:rsid w:val="009A5931"/>
    <w:rsid w:val="009A5A8D"/>
    <w:rsid w:val="009A61D5"/>
    <w:rsid w:val="009A69D8"/>
    <w:rsid w:val="009A6C55"/>
    <w:rsid w:val="009A7282"/>
    <w:rsid w:val="009A7653"/>
    <w:rsid w:val="009A7901"/>
    <w:rsid w:val="009B016B"/>
    <w:rsid w:val="009B086B"/>
    <w:rsid w:val="009B0E7D"/>
    <w:rsid w:val="009B0FAA"/>
    <w:rsid w:val="009B127C"/>
    <w:rsid w:val="009B12CE"/>
    <w:rsid w:val="009B15B2"/>
    <w:rsid w:val="009B187E"/>
    <w:rsid w:val="009B2124"/>
    <w:rsid w:val="009B224E"/>
    <w:rsid w:val="009B2753"/>
    <w:rsid w:val="009B29EA"/>
    <w:rsid w:val="009B30EB"/>
    <w:rsid w:val="009B4A27"/>
    <w:rsid w:val="009B53A6"/>
    <w:rsid w:val="009B53C2"/>
    <w:rsid w:val="009B53FE"/>
    <w:rsid w:val="009B545E"/>
    <w:rsid w:val="009B56E7"/>
    <w:rsid w:val="009B5916"/>
    <w:rsid w:val="009B5E83"/>
    <w:rsid w:val="009B62BB"/>
    <w:rsid w:val="009B63F7"/>
    <w:rsid w:val="009B6ACA"/>
    <w:rsid w:val="009B6B3A"/>
    <w:rsid w:val="009B6D29"/>
    <w:rsid w:val="009B6DC5"/>
    <w:rsid w:val="009B73E1"/>
    <w:rsid w:val="009B76F7"/>
    <w:rsid w:val="009B77D7"/>
    <w:rsid w:val="009B78E9"/>
    <w:rsid w:val="009B7A20"/>
    <w:rsid w:val="009B7BCC"/>
    <w:rsid w:val="009B7D63"/>
    <w:rsid w:val="009B7F35"/>
    <w:rsid w:val="009C0163"/>
    <w:rsid w:val="009C03A4"/>
    <w:rsid w:val="009C0BC6"/>
    <w:rsid w:val="009C0E96"/>
    <w:rsid w:val="009C17B3"/>
    <w:rsid w:val="009C1AA7"/>
    <w:rsid w:val="009C1DC8"/>
    <w:rsid w:val="009C236F"/>
    <w:rsid w:val="009C283D"/>
    <w:rsid w:val="009C2846"/>
    <w:rsid w:val="009C3416"/>
    <w:rsid w:val="009C3449"/>
    <w:rsid w:val="009C34C5"/>
    <w:rsid w:val="009C4494"/>
    <w:rsid w:val="009C4B07"/>
    <w:rsid w:val="009C4F1C"/>
    <w:rsid w:val="009C5117"/>
    <w:rsid w:val="009C52B0"/>
    <w:rsid w:val="009C54F9"/>
    <w:rsid w:val="009C58A1"/>
    <w:rsid w:val="009C5D16"/>
    <w:rsid w:val="009C656B"/>
    <w:rsid w:val="009C6853"/>
    <w:rsid w:val="009C6E46"/>
    <w:rsid w:val="009C7427"/>
    <w:rsid w:val="009C7502"/>
    <w:rsid w:val="009C76BB"/>
    <w:rsid w:val="009C77DD"/>
    <w:rsid w:val="009C7957"/>
    <w:rsid w:val="009C7B67"/>
    <w:rsid w:val="009C7F7F"/>
    <w:rsid w:val="009D000B"/>
    <w:rsid w:val="009D0959"/>
    <w:rsid w:val="009D0F3C"/>
    <w:rsid w:val="009D0FA8"/>
    <w:rsid w:val="009D1889"/>
    <w:rsid w:val="009D1A5F"/>
    <w:rsid w:val="009D202D"/>
    <w:rsid w:val="009D225B"/>
    <w:rsid w:val="009D252F"/>
    <w:rsid w:val="009D2598"/>
    <w:rsid w:val="009D27BC"/>
    <w:rsid w:val="009D2FCF"/>
    <w:rsid w:val="009D362A"/>
    <w:rsid w:val="009D365B"/>
    <w:rsid w:val="009D418E"/>
    <w:rsid w:val="009D468E"/>
    <w:rsid w:val="009D48AE"/>
    <w:rsid w:val="009D4937"/>
    <w:rsid w:val="009D53DB"/>
    <w:rsid w:val="009D5B6F"/>
    <w:rsid w:val="009D5DE7"/>
    <w:rsid w:val="009D6C85"/>
    <w:rsid w:val="009D6E02"/>
    <w:rsid w:val="009D6F3E"/>
    <w:rsid w:val="009D7037"/>
    <w:rsid w:val="009D7321"/>
    <w:rsid w:val="009D75E9"/>
    <w:rsid w:val="009E00E5"/>
    <w:rsid w:val="009E0C25"/>
    <w:rsid w:val="009E0C99"/>
    <w:rsid w:val="009E1802"/>
    <w:rsid w:val="009E1B13"/>
    <w:rsid w:val="009E21A2"/>
    <w:rsid w:val="009E2489"/>
    <w:rsid w:val="009E26F1"/>
    <w:rsid w:val="009E2A2A"/>
    <w:rsid w:val="009E3164"/>
    <w:rsid w:val="009E35D8"/>
    <w:rsid w:val="009E3901"/>
    <w:rsid w:val="009E3A75"/>
    <w:rsid w:val="009E3A7B"/>
    <w:rsid w:val="009E4768"/>
    <w:rsid w:val="009E4B1F"/>
    <w:rsid w:val="009E5315"/>
    <w:rsid w:val="009E5965"/>
    <w:rsid w:val="009E5983"/>
    <w:rsid w:val="009E5A5B"/>
    <w:rsid w:val="009E5CF9"/>
    <w:rsid w:val="009E6306"/>
    <w:rsid w:val="009E65EF"/>
    <w:rsid w:val="009E7C02"/>
    <w:rsid w:val="009E7EBF"/>
    <w:rsid w:val="009F056F"/>
    <w:rsid w:val="009F0D29"/>
    <w:rsid w:val="009F12AF"/>
    <w:rsid w:val="009F13B2"/>
    <w:rsid w:val="009F1A56"/>
    <w:rsid w:val="009F1E3D"/>
    <w:rsid w:val="009F1E56"/>
    <w:rsid w:val="009F2158"/>
    <w:rsid w:val="009F2352"/>
    <w:rsid w:val="009F2B85"/>
    <w:rsid w:val="009F2BDC"/>
    <w:rsid w:val="009F3A1B"/>
    <w:rsid w:val="009F3F24"/>
    <w:rsid w:val="009F49D0"/>
    <w:rsid w:val="009F49FD"/>
    <w:rsid w:val="009F4EE8"/>
    <w:rsid w:val="009F50D3"/>
    <w:rsid w:val="009F53A6"/>
    <w:rsid w:val="009F5404"/>
    <w:rsid w:val="009F5992"/>
    <w:rsid w:val="009F5C7A"/>
    <w:rsid w:val="009F632A"/>
    <w:rsid w:val="009F670F"/>
    <w:rsid w:val="009F6E16"/>
    <w:rsid w:val="009F6F64"/>
    <w:rsid w:val="009F7E0D"/>
    <w:rsid w:val="009F7EA6"/>
    <w:rsid w:val="009F7FEE"/>
    <w:rsid w:val="00A0008B"/>
    <w:rsid w:val="00A0016F"/>
    <w:rsid w:val="00A00902"/>
    <w:rsid w:val="00A0107B"/>
    <w:rsid w:val="00A013CB"/>
    <w:rsid w:val="00A016A3"/>
    <w:rsid w:val="00A01CA2"/>
    <w:rsid w:val="00A01E7A"/>
    <w:rsid w:val="00A01ED6"/>
    <w:rsid w:val="00A022D7"/>
    <w:rsid w:val="00A0241C"/>
    <w:rsid w:val="00A02A7F"/>
    <w:rsid w:val="00A02AA2"/>
    <w:rsid w:val="00A039C2"/>
    <w:rsid w:val="00A039DD"/>
    <w:rsid w:val="00A03B3E"/>
    <w:rsid w:val="00A03BA7"/>
    <w:rsid w:val="00A03BDC"/>
    <w:rsid w:val="00A04311"/>
    <w:rsid w:val="00A04360"/>
    <w:rsid w:val="00A045A4"/>
    <w:rsid w:val="00A04BAF"/>
    <w:rsid w:val="00A04EB9"/>
    <w:rsid w:val="00A051E6"/>
    <w:rsid w:val="00A05227"/>
    <w:rsid w:val="00A052DF"/>
    <w:rsid w:val="00A056C6"/>
    <w:rsid w:val="00A05773"/>
    <w:rsid w:val="00A05956"/>
    <w:rsid w:val="00A05B42"/>
    <w:rsid w:val="00A05B8C"/>
    <w:rsid w:val="00A05FA0"/>
    <w:rsid w:val="00A06061"/>
    <w:rsid w:val="00A065BA"/>
    <w:rsid w:val="00A06D18"/>
    <w:rsid w:val="00A06E5B"/>
    <w:rsid w:val="00A0786D"/>
    <w:rsid w:val="00A07DCA"/>
    <w:rsid w:val="00A10E55"/>
    <w:rsid w:val="00A115B5"/>
    <w:rsid w:val="00A115ED"/>
    <w:rsid w:val="00A12109"/>
    <w:rsid w:val="00A121C7"/>
    <w:rsid w:val="00A1265F"/>
    <w:rsid w:val="00A12C96"/>
    <w:rsid w:val="00A12D0B"/>
    <w:rsid w:val="00A1339D"/>
    <w:rsid w:val="00A1367C"/>
    <w:rsid w:val="00A13928"/>
    <w:rsid w:val="00A14245"/>
    <w:rsid w:val="00A14563"/>
    <w:rsid w:val="00A145D0"/>
    <w:rsid w:val="00A1481B"/>
    <w:rsid w:val="00A14DED"/>
    <w:rsid w:val="00A15884"/>
    <w:rsid w:val="00A15907"/>
    <w:rsid w:val="00A15FEA"/>
    <w:rsid w:val="00A1610B"/>
    <w:rsid w:val="00A161CB"/>
    <w:rsid w:val="00A1625B"/>
    <w:rsid w:val="00A171B6"/>
    <w:rsid w:val="00A172BB"/>
    <w:rsid w:val="00A17613"/>
    <w:rsid w:val="00A1775D"/>
    <w:rsid w:val="00A2007B"/>
    <w:rsid w:val="00A20448"/>
    <w:rsid w:val="00A20F66"/>
    <w:rsid w:val="00A210F8"/>
    <w:rsid w:val="00A21697"/>
    <w:rsid w:val="00A217EA"/>
    <w:rsid w:val="00A219D7"/>
    <w:rsid w:val="00A227FA"/>
    <w:rsid w:val="00A2309F"/>
    <w:rsid w:val="00A23362"/>
    <w:rsid w:val="00A2435B"/>
    <w:rsid w:val="00A24578"/>
    <w:rsid w:val="00A248EC"/>
    <w:rsid w:val="00A24946"/>
    <w:rsid w:val="00A24FE4"/>
    <w:rsid w:val="00A25097"/>
    <w:rsid w:val="00A2561A"/>
    <w:rsid w:val="00A25785"/>
    <w:rsid w:val="00A26394"/>
    <w:rsid w:val="00A26571"/>
    <w:rsid w:val="00A26824"/>
    <w:rsid w:val="00A26CA4"/>
    <w:rsid w:val="00A26FFF"/>
    <w:rsid w:val="00A27253"/>
    <w:rsid w:val="00A27404"/>
    <w:rsid w:val="00A302C4"/>
    <w:rsid w:val="00A30434"/>
    <w:rsid w:val="00A307F9"/>
    <w:rsid w:val="00A30ECE"/>
    <w:rsid w:val="00A312BA"/>
    <w:rsid w:val="00A31340"/>
    <w:rsid w:val="00A321FE"/>
    <w:rsid w:val="00A3288C"/>
    <w:rsid w:val="00A329EA"/>
    <w:rsid w:val="00A32CCB"/>
    <w:rsid w:val="00A32D5C"/>
    <w:rsid w:val="00A331BA"/>
    <w:rsid w:val="00A3372F"/>
    <w:rsid w:val="00A33863"/>
    <w:rsid w:val="00A344A5"/>
    <w:rsid w:val="00A3456B"/>
    <w:rsid w:val="00A347D8"/>
    <w:rsid w:val="00A349BD"/>
    <w:rsid w:val="00A34E65"/>
    <w:rsid w:val="00A34EF8"/>
    <w:rsid w:val="00A362E0"/>
    <w:rsid w:val="00A36588"/>
    <w:rsid w:val="00A3677C"/>
    <w:rsid w:val="00A36EAE"/>
    <w:rsid w:val="00A376BF"/>
    <w:rsid w:val="00A37A0A"/>
    <w:rsid w:val="00A37A7A"/>
    <w:rsid w:val="00A37E2E"/>
    <w:rsid w:val="00A37E9C"/>
    <w:rsid w:val="00A40F9F"/>
    <w:rsid w:val="00A420BC"/>
    <w:rsid w:val="00A4218A"/>
    <w:rsid w:val="00A42CDF"/>
    <w:rsid w:val="00A430C0"/>
    <w:rsid w:val="00A431BC"/>
    <w:rsid w:val="00A43661"/>
    <w:rsid w:val="00A436F8"/>
    <w:rsid w:val="00A438CC"/>
    <w:rsid w:val="00A43A44"/>
    <w:rsid w:val="00A4433E"/>
    <w:rsid w:val="00A44869"/>
    <w:rsid w:val="00A45E90"/>
    <w:rsid w:val="00A45FE7"/>
    <w:rsid w:val="00A465AB"/>
    <w:rsid w:val="00A465EE"/>
    <w:rsid w:val="00A46671"/>
    <w:rsid w:val="00A46889"/>
    <w:rsid w:val="00A46FDC"/>
    <w:rsid w:val="00A475A4"/>
    <w:rsid w:val="00A476AB"/>
    <w:rsid w:val="00A476AD"/>
    <w:rsid w:val="00A500DF"/>
    <w:rsid w:val="00A50325"/>
    <w:rsid w:val="00A50374"/>
    <w:rsid w:val="00A5048E"/>
    <w:rsid w:val="00A5159D"/>
    <w:rsid w:val="00A5170B"/>
    <w:rsid w:val="00A51D4F"/>
    <w:rsid w:val="00A51E6A"/>
    <w:rsid w:val="00A51F02"/>
    <w:rsid w:val="00A52542"/>
    <w:rsid w:val="00A52CDA"/>
    <w:rsid w:val="00A52E68"/>
    <w:rsid w:val="00A52EE5"/>
    <w:rsid w:val="00A530DB"/>
    <w:rsid w:val="00A531B9"/>
    <w:rsid w:val="00A5344F"/>
    <w:rsid w:val="00A534B3"/>
    <w:rsid w:val="00A53A79"/>
    <w:rsid w:val="00A53BC3"/>
    <w:rsid w:val="00A53EEA"/>
    <w:rsid w:val="00A53F0A"/>
    <w:rsid w:val="00A53FCA"/>
    <w:rsid w:val="00A54170"/>
    <w:rsid w:val="00A5454D"/>
    <w:rsid w:val="00A5549F"/>
    <w:rsid w:val="00A555EF"/>
    <w:rsid w:val="00A5576E"/>
    <w:rsid w:val="00A55BF4"/>
    <w:rsid w:val="00A55EC6"/>
    <w:rsid w:val="00A5625B"/>
    <w:rsid w:val="00A56940"/>
    <w:rsid w:val="00A56E1E"/>
    <w:rsid w:val="00A5711D"/>
    <w:rsid w:val="00A573A9"/>
    <w:rsid w:val="00A57570"/>
    <w:rsid w:val="00A57962"/>
    <w:rsid w:val="00A57B5C"/>
    <w:rsid w:val="00A60050"/>
    <w:rsid w:val="00A60198"/>
    <w:rsid w:val="00A605D5"/>
    <w:rsid w:val="00A61BEA"/>
    <w:rsid w:val="00A61CFE"/>
    <w:rsid w:val="00A6201E"/>
    <w:rsid w:val="00A62A16"/>
    <w:rsid w:val="00A62AC9"/>
    <w:rsid w:val="00A62AD3"/>
    <w:rsid w:val="00A62B2F"/>
    <w:rsid w:val="00A62E52"/>
    <w:rsid w:val="00A62F24"/>
    <w:rsid w:val="00A6307A"/>
    <w:rsid w:val="00A63800"/>
    <w:rsid w:val="00A63AC0"/>
    <w:rsid w:val="00A640F7"/>
    <w:rsid w:val="00A644F2"/>
    <w:rsid w:val="00A647B3"/>
    <w:rsid w:val="00A649B9"/>
    <w:rsid w:val="00A64BA0"/>
    <w:rsid w:val="00A64CC0"/>
    <w:rsid w:val="00A65FDA"/>
    <w:rsid w:val="00A66117"/>
    <w:rsid w:val="00A663FD"/>
    <w:rsid w:val="00A66A6A"/>
    <w:rsid w:val="00A6704C"/>
    <w:rsid w:val="00A67685"/>
    <w:rsid w:val="00A6786B"/>
    <w:rsid w:val="00A67C52"/>
    <w:rsid w:val="00A67D63"/>
    <w:rsid w:val="00A70A68"/>
    <w:rsid w:val="00A70C2F"/>
    <w:rsid w:val="00A71935"/>
    <w:rsid w:val="00A7221B"/>
    <w:rsid w:val="00A724C9"/>
    <w:rsid w:val="00A7273C"/>
    <w:rsid w:val="00A72868"/>
    <w:rsid w:val="00A72872"/>
    <w:rsid w:val="00A72AF4"/>
    <w:rsid w:val="00A72CA6"/>
    <w:rsid w:val="00A72F47"/>
    <w:rsid w:val="00A73016"/>
    <w:rsid w:val="00A7325B"/>
    <w:rsid w:val="00A73B5C"/>
    <w:rsid w:val="00A741DC"/>
    <w:rsid w:val="00A74564"/>
    <w:rsid w:val="00A748B8"/>
    <w:rsid w:val="00A7508C"/>
    <w:rsid w:val="00A751AD"/>
    <w:rsid w:val="00A759BE"/>
    <w:rsid w:val="00A75BC6"/>
    <w:rsid w:val="00A76051"/>
    <w:rsid w:val="00A76DDC"/>
    <w:rsid w:val="00A776A3"/>
    <w:rsid w:val="00A77C74"/>
    <w:rsid w:val="00A77F3D"/>
    <w:rsid w:val="00A77FA3"/>
    <w:rsid w:val="00A80369"/>
    <w:rsid w:val="00A803F7"/>
    <w:rsid w:val="00A80FCB"/>
    <w:rsid w:val="00A81254"/>
    <w:rsid w:val="00A812E3"/>
    <w:rsid w:val="00A8176D"/>
    <w:rsid w:val="00A81C8C"/>
    <w:rsid w:val="00A81E30"/>
    <w:rsid w:val="00A82B42"/>
    <w:rsid w:val="00A82F9A"/>
    <w:rsid w:val="00A832A7"/>
    <w:rsid w:val="00A8346B"/>
    <w:rsid w:val="00A8421F"/>
    <w:rsid w:val="00A846D8"/>
    <w:rsid w:val="00A84A9E"/>
    <w:rsid w:val="00A8538B"/>
    <w:rsid w:val="00A85537"/>
    <w:rsid w:val="00A859AE"/>
    <w:rsid w:val="00A85A05"/>
    <w:rsid w:val="00A86162"/>
    <w:rsid w:val="00A8621F"/>
    <w:rsid w:val="00A86C38"/>
    <w:rsid w:val="00A86D3D"/>
    <w:rsid w:val="00A87448"/>
    <w:rsid w:val="00A87493"/>
    <w:rsid w:val="00A87A98"/>
    <w:rsid w:val="00A87AB5"/>
    <w:rsid w:val="00A87C56"/>
    <w:rsid w:val="00A87E92"/>
    <w:rsid w:val="00A87FA3"/>
    <w:rsid w:val="00A907E6"/>
    <w:rsid w:val="00A90B1F"/>
    <w:rsid w:val="00A90B3F"/>
    <w:rsid w:val="00A90B78"/>
    <w:rsid w:val="00A9109C"/>
    <w:rsid w:val="00A9118E"/>
    <w:rsid w:val="00A9165E"/>
    <w:rsid w:val="00A91871"/>
    <w:rsid w:val="00A918E5"/>
    <w:rsid w:val="00A918F8"/>
    <w:rsid w:val="00A91C5C"/>
    <w:rsid w:val="00A91E59"/>
    <w:rsid w:val="00A91EEB"/>
    <w:rsid w:val="00A92372"/>
    <w:rsid w:val="00A92E17"/>
    <w:rsid w:val="00A935A5"/>
    <w:rsid w:val="00A93F50"/>
    <w:rsid w:val="00A947BE"/>
    <w:rsid w:val="00A94B6C"/>
    <w:rsid w:val="00A94C72"/>
    <w:rsid w:val="00A9585F"/>
    <w:rsid w:val="00A9586E"/>
    <w:rsid w:val="00A95B84"/>
    <w:rsid w:val="00A95C50"/>
    <w:rsid w:val="00A95C7D"/>
    <w:rsid w:val="00A95D9F"/>
    <w:rsid w:val="00A961BE"/>
    <w:rsid w:val="00A962FF"/>
    <w:rsid w:val="00A96425"/>
    <w:rsid w:val="00A9648D"/>
    <w:rsid w:val="00A965C4"/>
    <w:rsid w:val="00A967C5"/>
    <w:rsid w:val="00A96997"/>
    <w:rsid w:val="00A96C8C"/>
    <w:rsid w:val="00A96CD7"/>
    <w:rsid w:val="00A96DEE"/>
    <w:rsid w:val="00A9724B"/>
    <w:rsid w:val="00A97577"/>
    <w:rsid w:val="00A976E6"/>
    <w:rsid w:val="00AA01BB"/>
    <w:rsid w:val="00AA0F1C"/>
    <w:rsid w:val="00AA20C8"/>
    <w:rsid w:val="00AA2484"/>
    <w:rsid w:val="00AA2591"/>
    <w:rsid w:val="00AA28DC"/>
    <w:rsid w:val="00AA2A51"/>
    <w:rsid w:val="00AA3241"/>
    <w:rsid w:val="00AA3FFC"/>
    <w:rsid w:val="00AA4267"/>
    <w:rsid w:val="00AA44A5"/>
    <w:rsid w:val="00AA477A"/>
    <w:rsid w:val="00AA486E"/>
    <w:rsid w:val="00AA4975"/>
    <w:rsid w:val="00AA49E5"/>
    <w:rsid w:val="00AA4F98"/>
    <w:rsid w:val="00AA5103"/>
    <w:rsid w:val="00AA5D7F"/>
    <w:rsid w:val="00AA657C"/>
    <w:rsid w:val="00AA69FA"/>
    <w:rsid w:val="00AA6E4D"/>
    <w:rsid w:val="00AA6FCE"/>
    <w:rsid w:val="00AA720A"/>
    <w:rsid w:val="00AA72C9"/>
    <w:rsid w:val="00AA789D"/>
    <w:rsid w:val="00AA7D59"/>
    <w:rsid w:val="00AB0865"/>
    <w:rsid w:val="00AB097F"/>
    <w:rsid w:val="00AB1182"/>
    <w:rsid w:val="00AB1BD8"/>
    <w:rsid w:val="00AB2161"/>
    <w:rsid w:val="00AB21FD"/>
    <w:rsid w:val="00AB22B8"/>
    <w:rsid w:val="00AB2419"/>
    <w:rsid w:val="00AB2600"/>
    <w:rsid w:val="00AB2702"/>
    <w:rsid w:val="00AB2A31"/>
    <w:rsid w:val="00AB2BDE"/>
    <w:rsid w:val="00AB2D0A"/>
    <w:rsid w:val="00AB323B"/>
    <w:rsid w:val="00AB372A"/>
    <w:rsid w:val="00AB3755"/>
    <w:rsid w:val="00AB4243"/>
    <w:rsid w:val="00AB4325"/>
    <w:rsid w:val="00AB49D1"/>
    <w:rsid w:val="00AB4C80"/>
    <w:rsid w:val="00AB4CF5"/>
    <w:rsid w:val="00AB4FE6"/>
    <w:rsid w:val="00AB5171"/>
    <w:rsid w:val="00AB5DDC"/>
    <w:rsid w:val="00AB5E09"/>
    <w:rsid w:val="00AB633C"/>
    <w:rsid w:val="00AB64C1"/>
    <w:rsid w:val="00AB64D0"/>
    <w:rsid w:val="00AB662C"/>
    <w:rsid w:val="00AB6EF5"/>
    <w:rsid w:val="00AB6F66"/>
    <w:rsid w:val="00AB72C2"/>
    <w:rsid w:val="00AB7966"/>
    <w:rsid w:val="00AB7A9A"/>
    <w:rsid w:val="00AB7AD5"/>
    <w:rsid w:val="00AB7D27"/>
    <w:rsid w:val="00AB7E0C"/>
    <w:rsid w:val="00AC0183"/>
    <w:rsid w:val="00AC01AE"/>
    <w:rsid w:val="00AC02A5"/>
    <w:rsid w:val="00AC0FD2"/>
    <w:rsid w:val="00AC138C"/>
    <w:rsid w:val="00AC151A"/>
    <w:rsid w:val="00AC16E2"/>
    <w:rsid w:val="00AC1D63"/>
    <w:rsid w:val="00AC2017"/>
    <w:rsid w:val="00AC2174"/>
    <w:rsid w:val="00AC21A8"/>
    <w:rsid w:val="00AC2518"/>
    <w:rsid w:val="00AC267D"/>
    <w:rsid w:val="00AC33D1"/>
    <w:rsid w:val="00AC38FD"/>
    <w:rsid w:val="00AC3D8E"/>
    <w:rsid w:val="00AC414B"/>
    <w:rsid w:val="00AC4395"/>
    <w:rsid w:val="00AC4402"/>
    <w:rsid w:val="00AC456A"/>
    <w:rsid w:val="00AC4C98"/>
    <w:rsid w:val="00AC597D"/>
    <w:rsid w:val="00AC5ACD"/>
    <w:rsid w:val="00AC5E96"/>
    <w:rsid w:val="00AC697B"/>
    <w:rsid w:val="00AC6EC6"/>
    <w:rsid w:val="00AC70F8"/>
    <w:rsid w:val="00AC7112"/>
    <w:rsid w:val="00AC7166"/>
    <w:rsid w:val="00AC7ED0"/>
    <w:rsid w:val="00AD090D"/>
    <w:rsid w:val="00AD0C4F"/>
    <w:rsid w:val="00AD115E"/>
    <w:rsid w:val="00AD1299"/>
    <w:rsid w:val="00AD1B0D"/>
    <w:rsid w:val="00AD2379"/>
    <w:rsid w:val="00AD2395"/>
    <w:rsid w:val="00AD283D"/>
    <w:rsid w:val="00AD2A50"/>
    <w:rsid w:val="00AD3121"/>
    <w:rsid w:val="00AD363E"/>
    <w:rsid w:val="00AD3A3A"/>
    <w:rsid w:val="00AD3DBF"/>
    <w:rsid w:val="00AD4189"/>
    <w:rsid w:val="00AD44AF"/>
    <w:rsid w:val="00AD45BA"/>
    <w:rsid w:val="00AD4704"/>
    <w:rsid w:val="00AD483E"/>
    <w:rsid w:val="00AD5038"/>
    <w:rsid w:val="00AD5B4A"/>
    <w:rsid w:val="00AD5B6F"/>
    <w:rsid w:val="00AD5EBE"/>
    <w:rsid w:val="00AD6076"/>
    <w:rsid w:val="00AD6B7E"/>
    <w:rsid w:val="00AD6F90"/>
    <w:rsid w:val="00AD703F"/>
    <w:rsid w:val="00AD7338"/>
    <w:rsid w:val="00AD7391"/>
    <w:rsid w:val="00AD73DF"/>
    <w:rsid w:val="00AD74C4"/>
    <w:rsid w:val="00AD7D0E"/>
    <w:rsid w:val="00AE04C7"/>
    <w:rsid w:val="00AE0D18"/>
    <w:rsid w:val="00AE10F9"/>
    <w:rsid w:val="00AE1209"/>
    <w:rsid w:val="00AE14D4"/>
    <w:rsid w:val="00AE26EB"/>
    <w:rsid w:val="00AE2994"/>
    <w:rsid w:val="00AE2F86"/>
    <w:rsid w:val="00AE312D"/>
    <w:rsid w:val="00AE33BE"/>
    <w:rsid w:val="00AE3470"/>
    <w:rsid w:val="00AE35D0"/>
    <w:rsid w:val="00AE36DF"/>
    <w:rsid w:val="00AE43F0"/>
    <w:rsid w:val="00AE4805"/>
    <w:rsid w:val="00AE4DE6"/>
    <w:rsid w:val="00AE4ECA"/>
    <w:rsid w:val="00AE4ECC"/>
    <w:rsid w:val="00AE56B9"/>
    <w:rsid w:val="00AE5D0D"/>
    <w:rsid w:val="00AE673D"/>
    <w:rsid w:val="00AE68C7"/>
    <w:rsid w:val="00AE6940"/>
    <w:rsid w:val="00AE7171"/>
    <w:rsid w:val="00AE7478"/>
    <w:rsid w:val="00AE76F2"/>
    <w:rsid w:val="00AF046F"/>
    <w:rsid w:val="00AF1055"/>
    <w:rsid w:val="00AF1302"/>
    <w:rsid w:val="00AF1A2F"/>
    <w:rsid w:val="00AF1B82"/>
    <w:rsid w:val="00AF2276"/>
    <w:rsid w:val="00AF2979"/>
    <w:rsid w:val="00AF2D0C"/>
    <w:rsid w:val="00AF3103"/>
    <w:rsid w:val="00AF3EE3"/>
    <w:rsid w:val="00AF3FE3"/>
    <w:rsid w:val="00AF41EC"/>
    <w:rsid w:val="00AF4217"/>
    <w:rsid w:val="00AF43E8"/>
    <w:rsid w:val="00AF4581"/>
    <w:rsid w:val="00AF4792"/>
    <w:rsid w:val="00AF490A"/>
    <w:rsid w:val="00AF4A0A"/>
    <w:rsid w:val="00AF6411"/>
    <w:rsid w:val="00AF6862"/>
    <w:rsid w:val="00AF6DC4"/>
    <w:rsid w:val="00AF72F3"/>
    <w:rsid w:val="00AF759D"/>
    <w:rsid w:val="00AF79EF"/>
    <w:rsid w:val="00AF7E44"/>
    <w:rsid w:val="00AF7F1D"/>
    <w:rsid w:val="00B00070"/>
    <w:rsid w:val="00B00E76"/>
    <w:rsid w:val="00B010AE"/>
    <w:rsid w:val="00B01362"/>
    <w:rsid w:val="00B01430"/>
    <w:rsid w:val="00B01896"/>
    <w:rsid w:val="00B01945"/>
    <w:rsid w:val="00B01A79"/>
    <w:rsid w:val="00B01BB3"/>
    <w:rsid w:val="00B0265F"/>
    <w:rsid w:val="00B029D7"/>
    <w:rsid w:val="00B030B2"/>
    <w:rsid w:val="00B03A9F"/>
    <w:rsid w:val="00B043C6"/>
    <w:rsid w:val="00B04876"/>
    <w:rsid w:val="00B04B03"/>
    <w:rsid w:val="00B05711"/>
    <w:rsid w:val="00B058D2"/>
    <w:rsid w:val="00B06A09"/>
    <w:rsid w:val="00B06D6F"/>
    <w:rsid w:val="00B06E28"/>
    <w:rsid w:val="00B07462"/>
    <w:rsid w:val="00B074A9"/>
    <w:rsid w:val="00B077FF"/>
    <w:rsid w:val="00B108DF"/>
    <w:rsid w:val="00B11096"/>
    <w:rsid w:val="00B11548"/>
    <w:rsid w:val="00B11A38"/>
    <w:rsid w:val="00B1202A"/>
    <w:rsid w:val="00B12639"/>
    <w:rsid w:val="00B137F7"/>
    <w:rsid w:val="00B1427C"/>
    <w:rsid w:val="00B144DE"/>
    <w:rsid w:val="00B14928"/>
    <w:rsid w:val="00B150F1"/>
    <w:rsid w:val="00B1583B"/>
    <w:rsid w:val="00B1598C"/>
    <w:rsid w:val="00B15D36"/>
    <w:rsid w:val="00B15F29"/>
    <w:rsid w:val="00B15F6A"/>
    <w:rsid w:val="00B16550"/>
    <w:rsid w:val="00B16A37"/>
    <w:rsid w:val="00B16DF9"/>
    <w:rsid w:val="00B16F5C"/>
    <w:rsid w:val="00B174A6"/>
    <w:rsid w:val="00B175B5"/>
    <w:rsid w:val="00B1762B"/>
    <w:rsid w:val="00B17C23"/>
    <w:rsid w:val="00B20175"/>
    <w:rsid w:val="00B20A41"/>
    <w:rsid w:val="00B20C8A"/>
    <w:rsid w:val="00B21436"/>
    <w:rsid w:val="00B2153E"/>
    <w:rsid w:val="00B219A3"/>
    <w:rsid w:val="00B22282"/>
    <w:rsid w:val="00B2269C"/>
    <w:rsid w:val="00B229FB"/>
    <w:rsid w:val="00B22D1C"/>
    <w:rsid w:val="00B232FE"/>
    <w:rsid w:val="00B2398E"/>
    <w:rsid w:val="00B23EFA"/>
    <w:rsid w:val="00B244E9"/>
    <w:rsid w:val="00B248BB"/>
    <w:rsid w:val="00B24B86"/>
    <w:rsid w:val="00B24C2E"/>
    <w:rsid w:val="00B25038"/>
    <w:rsid w:val="00B25AB5"/>
    <w:rsid w:val="00B26474"/>
    <w:rsid w:val="00B26A2E"/>
    <w:rsid w:val="00B272A2"/>
    <w:rsid w:val="00B27537"/>
    <w:rsid w:val="00B27BA1"/>
    <w:rsid w:val="00B27F2B"/>
    <w:rsid w:val="00B3012A"/>
    <w:rsid w:val="00B30419"/>
    <w:rsid w:val="00B30531"/>
    <w:rsid w:val="00B30A0C"/>
    <w:rsid w:val="00B30CD8"/>
    <w:rsid w:val="00B30ECA"/>
    <w:rsid w:val="00B31047"/>
    <w:rsid w:val="00B31917"/>
    <w:rsid w:val="00B31B43"/>
    <w:rsid w:val="00B32FCD"/>
    <w:rsid w:val="00B33D27"/>
    <w:rsid w:val="00B34D2E"/>
    <w:rsid w:val="00B34D87"/>
    <w:rsid w:val="00B35E87"/>
    <w:rsid w:val="00B36B44"/>
    <w:rsid w:val="00B36BE2"/>
    <w:rsid w:val="00B373ED"/>
    <w:rsid w:val="00B37461"/>
    <w:rsid w:val="00B37F6B"/>
    <w:rsid w:val="00B40989"/>
    <w:rsid w:val="00B40A39"/>
    <w:rsid w:val="00B40EED"/>
    <w:rsid w:val="00B41BD8"/>
    <w:rsid w:val="00B41C5F"/>
    <w:rsid w:val="00B4253C"/>
    <w:rsid w:val="00B42A90"/>
    <w:rsid w:val="00B43195"/>
    <w:rsid w:val="00B434FF"/>
    <w:rsid w:val="00B43637"/>
    <w:rsid w:val="00B43D8A"/>
    <w:rsid w:val="00B445A6"/>
    <w:rsid w:val="00B44AF0"/>
    <w:rsid w:val="00B457F0"/>
    <w:rsid w:val="00B4589D"/>
    <w:rsid w:val="00B45DF7"/>
    <w:rsid w:val="00B463C2"/>
    <w:rsid w:val="00B46475"/>
    <w:rsid w:val="00B4658C"/>
    <w:rsid w:val="00B46B27"/>
    <w:rsid w:val="00B46D22"/>
    <w:rsid w:val="00B46EBC"/>
    <w:rsid w:val="00B4747D"/>
    <w:rsid w:val="00B474F3"/>
    <w:rsid w:val="00B47DF1"/>
    <w:rsid w:val="00B50632"/>
    <w:rsid w:val="00B5183D"/>
    <w:rsid w:val="00B518B0"/>
    <w:rsid w:val="00B51CC6"/>
    <w:rsid w:val="00B51D5E"/>
    <w:rsid w:val="00B52BAE"/>
    <w:rsid w:val="00B52C20"/>
    <w:rsid w:val="00B52D27"/>
    <w:rsid w:val="00B53671"/>
    <w:rsid w:val="00B537BE"/>
    <w:rsid w:val="00B53AEF"/>
    <w:rsid w:val="00B53E78"/>
    <w:rsid w:val="00B54E14"/>
    <w:rsid w:val="00B54E3A"/>
    <w:rsid w:val="00B54E90"/>
    <w:rsid w:val="00B554DD"/>
    <w:rsid w:val="00B5587B"/>
    <w:rsid w:val="00B55F40"/>
    <w:rsid w:val="00B569CB"/>
    <w:rsid w:val="00B56E47"/>
    <w:rsid w:val="00B56E56"/>
    <w:rsid w:val="00B57278"/>
    <w:rsid w:val="00B576F3"/>
    <w:rsid w:val="00B57921"/>
    <w:rsid w:val="00B57926"/>
    <w:rsid w:val="00B60431"/>
    <w:rsid w:val="00B609B6"/>
    <w:rsid w:val="00B609C2"/>
    <w:rsid w:val="00B609CF"/>
    <w:rsid w:val="00B60CF3"/>
    <w:rsid w:val="00B60D46"/>
    <w:rsid w:val="00B60E7D"/>
    <w:rsid w:val="00B615C0"/>
    <w:rsid w:val="00B61B05"/>
    <w:rsid w:val="00B61DE8"/>
    <w:rsid w:val="00B6227D"/>
    <w:rsid w:val="00B623AE"/>
    <w:rsid w:val="00B62AC3"/>
    <w:rsid w:val="00B62BCC"/>
    <w:rsid w:val="00B6342A"/>
    <w:rsid w:val="00B63AA9"/>
    <w:rsid w:val="00B63D05"/>
    <w:rsid w:val="00B64027"/>
    <w:rsid w:val="00B64533"/>
    <w:rsid w:val="00B646A2"/>
    <w:rsid w:val="00B64AD3"/>
    <w:rsid w:val="00B64BCB"/>
    <w:rsid w:val="00B64D55"/>
    <w:rsid w:val="00B64EF3"/>
    <w:rsid w:val="00B65039"/>
    <w:rsid w:val="00B66171"/>
    <w:rsid w:val="00B66181"/>
    <w:rsid w:val="00B66360"/>
    <w:rsid w:val="00B665BA"/>
    <w:rsid w:val="00B66FDD"/>
    <w:rsid w:val="00B66FEA"/>
    <w:rsid w:val="00B670EA"/>
    <w:rsid w:val="00B67165"/>
    <w:rsid w:val="00B677EA"/>
    <w:rsid w:val="00B70D24"/>
    <w:rsid w:val="00B70FAD"/>
    <w:rsid w:val="00B710DA"/>
    <w:rsid w:val="00B711A3"/>
    <w:rsid w:val="00B711CF"/>
    <w:rsid w:val="00B715DD"/>
    <w:rsid w:val="00B71770"/>
    <w:rsid w:val="00B71BA5"/>
    <w:rsid w:val="00B71E05"/>
    <w:rsid w:val="00B71F29"/>
    <w:rsid w:val="00B71F48"/>
    <w:rsid w:val="00B7213A"/>
    <w:rsid w:val="00B7282C"/>
    <w:rsid w:val="00B72AA3"/>
    <w:rsid w:val="00B72C9B"/>
    <w:rsid w:val="00B735F7"/>
    <w:rsid w:val="00B737AA"/>
    <w:rsid w:val="00B73856"/>
    <w:rsid w:val="00B73A70"/>
    <w:rsid w:val="00B73D4A"/>
    <w:rsid w:val="00B74398"/>
    <w:rsid w:val="00B744D2"/>
    <w:rsid w:val="00B744D8"/>
    <w:rsid w:val="00B749C4"/>
    <w:rsid w:val="00B74AB5"/>
    <w:rsid w:val="00B74F85"/>
    <w:rsid w:val="00B7544C"/>
    <w:rsid w:val="00B75ADA"/>
    <w:rsid w:val="00B76065"/>
    <w:rsid w:val="00B7690E"/>
    <w:rsid w:val="00B76AA2"/>
    <w:rsid w:val="00B76F40"/>
    <w:rsid w:val="00B77766"/>
    <w:rsid w:val="00B778E1"/>
    <w:rsid w:val="00B77B5F"/>
    <w:rsid w:val="00B77BD5"/>
    <w:rsid w:val="00B800C7"/>
    <w:rsid w:val="00B8127E"/>
    <w:rsid w:val="00B818C9"/>
    <w:rsid w:val="00B81A69"/>
    <w:rsid w:val="00B82509"/>
    <w:rsid w:val="00B8260B"/>
    <w:rsid w:val="00B828BD"/>
    <w:rsid w:val="00B828FE"/>
    <w:rsid w:val="00B82BA8"/>
    <w:rsid w:val="00B8338A"/>
    <w:rsid w:val="00B8351C"/>
    <w:rsid w:val="00B83A22"/>
    <w:rsid w:val="00B8415F"/>
    <w:rsid w:val="00B8486A"/>
    <w:rsid w:val="00B8487A"/>
    <w:rsid w:val="00B84ABB"/>
    <w:rsid w:val="00B85074"/>
    <w:rsid w:val="00B857A1"/>
    <w:rsid w:val="00B859F8"/>
    <w:rsid w:val="00B859FE"/>
    <w:rsid w:val="00B862FA"/>
    <w:rsid w:val="00B86366"/>
    <w:rsid w:val="00B864A9"/>
    <w:rsid w:val="00B8666C"/>
    <w:rsid w:val="00B86D42"/>
    <w:rsid w:val="00B86F2D"/>
    <w:rsid w:val="00B87779"/>
    <w:rsid w:val="00B87825"/>
    <w:rsid w:val="00B87A6F"/>
    <w:rsid w:val="00B87A96"/>
    <w:rsid w:val="00B87ACF"/>
    <w:rsid w:val="00B87C29"/>
    <w:rsid w:val="00B87FBA"/>
    <w:rsid w:val="00B904BA"/>
    <w:rsid w:val="00B907AF"/>
    <w:rsid w:val="00B90B26"/>
    <w:rsid w:val="00B91122"/>
    <w:rsid w:val="00B913B0"/>
    <w:rsid w:val="00B91499"/>
    <w:rsid w:val="00B91712"/>
    <w:rsid w:val="00B91A18"/>
    <w:rsid w:val="00B91AFE"/>
    <w:rsid w:val="00B92AB7"/>
    <w:rsid w:val="00B92E60"/>
    <w:rsid w:val="00B92F98"/>
    <w:rsid w:val="00B93959"/>
    <w:rsid w:val="00B93C52"/>
    <w:rsid w:val="00B94214"/>
    <w:rsid w:val="00B9508F"/>
    <w:rsid w:val="00B95993"/>
    <w:rsid w:val="00B95E62"/>
    <w:rsid w:val="00B967D4"/>
    <w:rsid w:val="00B969B9"/>
    <w:rsid w:val="00B970B2"/>
    <w:rsid w:val="00B972B9"/>
    <w:rsid w:val="00BA0653"/>
    <w:rsid w:val="00BA0DBA"/>
    <w:rsid w:val="00BA0FBD"/>
    <w:rsid w:val="00BA1169"/>
    <w:rsid w:val="00BA12AF"/>
    <w:rsid w:val="00BA1821"/>
    <w:rsid w:val="00BA22F6"/>
    <w:rsid w:val="00BA2600"/>
    <w:rsid w:val="00BA2B04"/>
    <w:rsid w:val="00BA2F41"/>
    <w:rsid w:val="00BA2F7F"/>
    <w:rsid w:val="00BA305C"/>
    <w:rsid w:val="00BA33D6"/>
    <w:rsid w:val="00BA352A"/>
    <w:rsid w:val="00BA3929"/>
    <w:rsid w:val="00BA3A6E"/>
    <w:rsid w:val="00BA41E6"/>
    <w:rsid w:val="00BA436B"/>
    <w:rsid w:val="00BA4392"/>
    <w:rsid w:val="00BA46E6"/>
    <w:rsid w:val="00BA47D8"/>
    <w:rsid w:val="00BA4A7F"/>
    <w:rsid w:val="00BA4B40"/>
    <w:rsid w:val="00BA4E9C"/>
    <w:rsid w:val="00BA50D7"/>
    <w:rsid w:val="00BA56D3"/>
    <w:rsid w:val="00BA5C90"/>
    <w:rsid w:val="00BA5D26"/>
    <w:rsid w:val="00BA5E9F"/>
    <w:rsid w:val="00BA61F8"/>
    <w:rsid w:val="00BA6363"/>
    <w:rsid w:val="00BA64C8"/>
    <w:rsid w:val="00BA6C78"/>
    <w:rsid w:val="00BA6F6F"/>
    <w:rsid w:val="00BA7064"/>
    <w:rsid w:val="00BA7371"/>
    <w:rsid w:val="00BB076A"/>
    <w:rsid w:val="00BB1440"/>
    <w:rsid w:val="00BB16A8"/>
    <w:rsid w:val="00BB1BA4"/>
    <w:rsid w:val="00BB1E81"/>
    <w:rsid w:val="00BB216C"/>
    <w:rsid w:val="00BB236D"/>
    <w:rsid w:val="00BB3076"/>
    <w:rsid w:val="00BB34C4"/>
    <w:rsid w:val="00BB3755"/>
    <w:rsid w:val="00BB434E"/>
    <w:rsid w:val="00BB44B8"/>
    <w:rsid w:val="00BB4E69"/>
    <w:rsid w:val="00BB5164"/>
    <w:rsid w:val="00BB5191"/>
    <w:rsid w:val="00BB52CE"/>
    <w:rsid w:val="00BB5384"/>
    <w:rsid w:val="00BB5F1A"/>
    <w:rsid w:val="00BB6526"/>
    <w:rsid w:val="00BB69F3"/>
    <w:rsid w:val="00BB6F20"/>
    <w:rsid w:val="00BB7467"/>
    <w:rsid w:val="00BB7D13"/>
    <w:rsid w:val="00BB7D2C"/>
    <w:rsid w:val="00BC1700"/>
    <w:rsid w:val="00BC1BE9"/>
    <w:rsid w:val="00BC1D31"/>
    <w:rsid w:val="00BC255A"/>
    <w:rsid w:val="00BC25BB"/>
    <w:rsid w:val="00BC2766"/>
    <w:rsid w:val="00BC2B5B"/>
    <w:rsid w:val="00BC328B"/>
    <w:rsid w:val="00BC3409"/>
    <w:rsid w:val="00BC3410"/>
    <w:rsid w:val="00BC3638"/>
    <w:rsid w:val="00BC3FD1"/>
    <w:rsid w:val="00BC40E2"/>
    <w:rsid w:val="00BC4AA2"/>
    <w:rsid w:val="00BC5107"/>
    <w:rsid w:val="00BC5738"/>
    <w:rsid w:val="00BC574A"/>
    <w:rsid w:val="00BC5A98"/>
    <w:rsid w:val="00BC5B32"/>
    <w:rsid w:val="00BC67B4"/>
    <w:rsid w:val="00BC687D"/>
    <w:rsid w:val="00BC6A00"/>
    <w:rsid w:val="00BC70C5"/>
    <w:rsid w:val="00BC7449"/>
    <w:rsid w:val="00BD0176"/>
    <w:rsid w:val="00BD0543"/>
    <w:rsid w:val="00BD06DF"/>
    <w:rsid w:val="00BD09E8"/>
    <w:rsid w:val="00BD0CFB"/>
    <w:rsid w:val="00BD1325"/>
    <w:rsid w:val="00BD13DA"/>
    <w:rsid w:val="00BD1C05"/>
    <w:rsid w:val="00BD1C3D"/>
    <w:rsid w:val="00BD2127"/>
    <w:rsid w:val="00BD212F"/>
    <w:rsid w:val="00BD23D6"/>
    <w:rsid w:val="00BD2595"/>
    <w:rsid w:val="00BD2B10"/>
    <w:rsid w:val="00BD359D"/>
    <w:rsid w:val="00BD38EF"/>
    <w:rsid w:val="00BD3A81"/>
    <w:rsid w:val="00BD421F"/>
    <w:rsid w:val="00BD43FB"/>
    <w:rsid w:val="00BD4448"/>
    <w:rsid w:val="00BD4926"/>
    <w:rsid w:val="00BD4EC5"/>
    <w:rsid w:val="00BD4FD9"/>
    <w:rsid w:val="00BD5252"/>
    <w:rsid w:val="00BD5E12"/>
    <w:rsid w:val="00BD6129"/>
    <w:rsid w:val="00BD6297"/>
    <w:rsid w:val="00BD65A3"/>
    <w:rsid w:val="00BD691E"/>
    <w:rsid w:val="00BD7059"/>
    <w:rsid w:val="00BD7659"/>
    <w:rsid w:val="00BD7A3E"/>
    <w:rsid w:val="00BD7C9E"/>
    <w:rsid w:val="00BE03E6"/>
    <w:rsid w:val="00BE05D4"/>
    <w:rsid w:val="00BE144E"/>
    <w:rsid w:val="00BE216E"/>
    <w:rsid w:val="00BE23E2"/>
    <w:rsid w:val="00BE24EA"/>
    <w:rsid w:val="00BE2657"/>
    <w:rsid w:val="00BE2746"/>
    <w:rsid w:val="00BE2A51"/>
    <w:rsid w:val="00BE2B22"/>
    <w:rsid w:val="00BE2F8A"/>
    <w:rsid w:val="00BE303F"/>
    <w:rsid w:val="00BE36D3"/>
    <w:rsid w:val="00BE3AF4"/>
    <w:rsid w:val="00BE3B7B"/>
    <w:rsid w:val="00BE3E20"/>
    <w:rsid w:val="00BE42B9"/>
    <w:rsid w:val="00BE4619"/>
    <w:rsid w:val="00BE4D49"/>
    <w:rsid w:val="00BE5905"/>
    <w:rsid w:val="00BE5ABD"/>
    <w:rsid w:val="00BE5C28"/>
    <w:rsid w:val="00BE5FFB"/>
    <w:rsid w:val="00BE617E"/>
    <w:rsid w:val="00BE61FF"/>
    <w:rsid w:val="00BE6330"/>
    <w:rsid w:val="00BE6549"/>
    <w:rsid w:val="00BE65AE"/>
    <w:rsid w:val="00BE6902"/>
    <w:rsid w:val="00BE6E7E"/>
    <w:rsid w:val="00BE6EA7"/>
    <w:rsid w:val="00BE73C4"/>
    <w:rsid w:val="00BE7797"/>
    <w:rsid w:val="00BE7C64"/>
    <w:rsid w:val="00BF0155"/>
    <w:rsid w:val="00BF03EF"/>
    <w:rsid w:val="00BF0B4E"/>
    <w:rsid w:val="00BF1AB7"/>
    <w:rsid w:val="00BF2899"/>
    <w:rsid w:val="00BF28D8"/>
    <w:rsid w:val="00BF3286"/>
    <w:rsid w:val="00BF3852"/>
    <w:rsid w:val="00BF3960"/>
    <w:rsid w:val="00BF39B7"/>
    <w:rsid w:val="00BF3D12"/>
    <w:rsid w:val="00BF427C"/>
    <w:rsid w:val="00BF42B3"/>
    <w:rsid w:val="00BF48E8"/>
    <w:rsid w:val="00BF59FF"/>
    <w:rsid w:val="00BF5D91"/>
    <w:rsid w:val="00BF633C"/>
    <w:rsid w:val="00BF6754"/>
    <w:rsid w:val="00BF6A67"/>
    <w:rsid w:val="00BF6BC7"/>
    <w:rsid w:val="00BF74DA"/>
    <w:rsid w:val="00BF7FB3"/>
    <w:rsid w:val="00C00759"/>
    <w:rsid w:val="00C00825"/>
    <w:rsid w:val="00C00B11"/>
    <w:rsid w:val="00C00B4A"/>
    <w:rsid w:val="00C013EE"/>
    <w:rsid w:val="00C017FB"/>
    <w:rsid w:val="00C019DB"/>
    <w:rsid w:val="00C02215"/>
    <w:rsid w:val="00C02283"/>
    <w:rsid w:val="00C02896"/>
    <w:rsid w:val="00C02C66"/>
    <w:rsid w:val="00C02DB0"/>
    <w:rsid w:val="00C03161"/>
    <w:rsid w:val="00C031EA"/>
    <w:rsid w:val="00C0371C"/>
    <w:rsid w:val="00C0388E"/>
    <w:rsid w:val="00C03DB5"/>
    <w:rsid w:val="00C04129"/>
    <w:rsid w:val="00C04191"/>
    <w:rsid w:val="00C04AAC"/>
    <w:rsid w:val="00C055ED"/>
    <w:rsid w:val="00C05830"/>
    <w:rsid w:val="00C0598B"/>
    <w:rsid w:val="00C05D59"/>
    <w:rsid w:val="00C05EFC"/>
    <w:rsid w:val="00C0702D"/>
    <w:rsid w:val="00C0706E"/>
    <w:rsid w:val="00C101D4"/>
    <w:rsid w:val="00C101D9"/>
    <w:rsid w:val="00C10A1C"/>
    <w:rsid w:val="00C10B5F"/>
    <w:rsid w:val="00C1179F"/>
    <w:rsid w:val="00C11F05"/>
    <w:rsid w:val="00C12600"/>
    <w:rsid w:val="00C12B9B"/>
    <w:rsid w:val="00C12C6A"/>
    <w:rsid w:val="00C12DE3"/>
    <w:rsid w:val="00C12FD7"/>
    <w:rsid w:val="00C130C0"/>
    <w:rsid w:val="00C13455"/>
    <w:rsid w:val="00C143DF"/>
    <w:rsid w:val="00C14404"/>
    <w:rsid w:val="00C144A5"/>
    <w:rsid w:val="00C14C29"/>
    <w:rsid w:val="00C152DF"/>
    <w:rsid w:val="00C15912"/>
    <w:rsid w:val="00C15995"/>
    <w:rsid w:val="00C160C5"/>
    <w:rsid w:val="00C16571"/>
    <w:rsid w:val="00C16EDC"/>
    <w:rsid w:val="00C16FDA"/>
    <w:rsid w:val="00C174C8"/>
    <w:rsid w:val="00C17826"/>
    <w:rsid w:val="00C1792C"/>
    <w:rsid w:val="00C17B01"/>
    <w:rsid w:val="00C205EA"/>
    <w:rsid w:val="00C207CB"/>
    <w:rsid w:val="00C210EB"/>
    <w:rsid w:val="00C21BF0"/>
    <w:rsid w:val="00C21C4F"/>
    <w:rsid w:val="00C22036"/>
    <w:rsid w:val="00C221EB"/>
    <w:rsid w:val="00C226CA"/>
    <w:rsid w:val="00C22ECA"/>
    <w:rsid w:val="00C234AC"/>
    <w:rsid w:val="00C23AFD"/>
    <w:rsid w:val="00C23BB6"/>
    <w:rsid w:val="00C23BF9"/>
    <w:rsid w:val="00C24A52"/>
    <w:rsid w:val="00C25973"/>
    <w:rsid w:val="00C25CC1"/>
    <w:rsid w:val="00C26020"/>
    <w:rsid w:val="00C2609F"/>
    <w:rsid w:val="00C26990"/>
    <w:rsid w:val="00C26A0E"/>
    <w:rsid w:val="00C26BB3"/>
    <w:rsid w:val="00C26C56"/>
    <w:rsid w:val="00C270C2"/>
    <w:rsid w:val="00C2736D"/>
    <w:rsid w:val="00C30730"/>
    <w:rsid w:val="00C30E56"/>
    <w:rsid w:val="00C310AD"/>
    <w:rsid w:val="00C312F7"/>
    <w:rsid w:val="00C31CBE"/>
    <w:rsid w:val="00C321A5"/>
    <w:rsid w:val="00C327DD"/>
    <w:rsid w:val="00C32953"/>
    <w:rsid w:val="00C3296F"/>
    <w:rsid w:val="00C33039"/>
    <w:rsid w:val="00C33105"/>
    <w:rsid w:val="00C33119"/>
    <w:rsid w:val="00C333CD"/>
    <w:rsid w:val="00C336D7"/>
    <w:rsid w:val="00C33A3F"/>
    <w:rsid w:val="00C33DC0"/>
    <w:rsid w:val="00C33F2A"/>
    <w:rsid w:val="00C344B2"/>
    <w:rsid w:val="00C34DAD"/>
    <w:rsid w:val="00C350DF"/>
    <w:rsid w:val="00C364A0"/>
    <w:rsid w:val="00C364E6"/>
    <w:rsid w:val="00C36CB3"/>
    <w:rsid w:val="00C36FE6"/>
    <w:rsid w:val="00C371CB"/>
    <w:rsid w:val="00C37433"/>
    <w:rsid w:val="00C3791F"/>
    <w:rsid w:val="00C37EB0"/>
    <w:rsid w:val="00C37EF0"/>
    <w:rsid w:val="00C403FC"/>
    <w:rsid w:val="00C405FD"/>
    <w:rsid w:val="00C408EF"/>
    <w:rsid w:val="00C41185"/>
    <w:rsid w:val="00C41BAA"/>
    <w:rsid w:val="00C41C38"/>
    <w:rsid w:val="00C42102"/>
    <w:rsid w:val="00C422D0"/>
    <w:rsid w:val="00C42A07"/>
    <w:rsid w:val="00C42D45"/>
    <w:rsid w:val="00C4328E"/>
    <w:rsid w:val="00C43491"/>
    <w:rsid w:val="00C43986"/>
    <w:rsid w:val="00C43C7F"/>
    <w:rsid w:val="00C4415B"/>
    <w:rsid w:val="00C4445C"/>
    <w:rsid w:val="00C44A36"/>
    <w:rsid w:val="00C45313"/>
    <w:rsid w:val="00C45578"/>
    <w:rsid w:val="00C456A8"/>
    <w:rsid w:val="00C457D7"/>
    <w:rsid w:val="00C45A3D"/>
    <w:rsid w:val="00C45BDD"/>
    <w:rsid w:val="00C45D15"/>
    <w:rsid w:val="00C46C26"/>
    <w:rsid w:val="00C474DC"/>
    <w:rsid w:val="00C474F9"/>
    <w:rsid w:val="00C47A53"/>
    <w:rsid w:val="00C502B6"/>
    <w:rsid w:val="00C5059F"/>
    <w:rsid w:val="00C509C7"/>
    <w:rsid w:val="00C50E74"/>
    <w:rsid w:val="00C50F99"/>
    <w:rsid w:val="00C50FA8"/>
    <w:rsid w:val="00C5101D"/>
    <w:rsid w:val="00C5174B"/>
    <w:rsid w:val="00C51830"/>
    <w:rsid w:val="00C519A4"/>
    <w:rsid w:val="00C51DAB"/>
    <w:rsid w:val="00C52581"/>
    <w:rsid w:val="00C528BA"/>
    <w:rsid w:val="00C52D89"/>
    <w:rsid w:val="00C53B63"/>
    <w:rsid w:val="00C5487B"/>
    <w:rsid w:val="00C54B2A"/>
    <w:rsid w:val="00C54D0E"/>
    <w:rsid w:val="00C54E64"/>
    <w:rsid w:val="00C55310"/>
    <w:rsid w:val="00C553E6"/>
    <w:rsid w:val="00C555A7"/>
    <w:rsid w:val="00C55989"/>
    <w:rsid w:val="00C56945"/>
    <w:rsid w:val="00C56FEE"/>
    <w:rsid w:val="00C57877"/>
    <w:rsid w:val="00C57D82"/>
    <w:rsid w:val="00C600DD"/>
    <w:rsid w:val="00C60291"/>
    <w:rsid w:val="00C60337"/>
    <w:rsid w:val="00C60368"/>
    <w:rsid w:val="00C6038D"/>
    <w:rsid w:val="00C60597"/>
    <w:rsid w:val="00C60A36"/>
    <w:rsid w:val="00C60BA1"/>
    <w:rsid w:val="00C60E18"/>
    <w:rsid w:val="00C6118A"/>
    <w:rsid w:val="00C61606"/>
    <w:rsid w:val="00C618A1"/>
    <w:rsid w:val="00C61B76"/>
    <w:rsid w:val="00C62CA9"/>
    <w:rsid w:val="00C63521"/>
    <w:rsid w:val="00C64068"/>
    <w:rsid w:val="00C64232"/>
    <w:rsid w:val="00C6471E"/>
    <w:rsid w:val="00C651E2"/>
    <w:rsid w:val="00C65CFC"/>
    <w:rsid w:val="00C6622E"/>
    <w:rsid w:val="00C664D4"/>
    <w:rsid w:val="00C66704"/>
    <w:rsid w:val="00C66E41"/>
    <w:rsid w:val="00C66F11"/>
    <w:rsid w:val="00C67E4A"/>
    <w:rsid w:val="00C705D5"/>
    <w:rsid w:val="00C7062C"/>
    <w:rsid w:val="00C70B0A"/>
    <w:rsid w:val="00C70B6E"/>
    <w:rsid w:val="00C70D30"/>
    <w:rsid w:val="00C70D6C"/>
    <w:rsid w:val="00C71A26"/>
    <w:rsid w:val="00C71A2B"/>
    <w:rsid w:val="00C71D6E"/>
    <w:rsid w:val="00C72B94"/>
    <w:rsid w:val="00C72E56"/>
    <w:rsid w:val="00C7356A"/>
    <w:rsid w:val="00C737A1"/>
    <w:rsid w:val="00C7380A"/>
    <w:rsid w:val="00C738A9"/>
    <w:rsid w:val="00C73AED"/>
    <w:rsid w:val="00C741C7"/>
    <w:rsid w:val="00C744B4"/>
    <w:rsid w:val="00C74AA3"/>
    <w:rsid w:val="00C74DF6"/>
    <w:rsid w:val="00C7513B"/>
    <w:rsid w:val="00C75286"/>
    <w:rsid w:val="00C7551E"/>
    <w:rsid w:val="00C7613D"/>
    <w:rsid w:val="00C763FA"/>
    <w:rsid w:val="00C76B9B"/>
    <w:rsid w:val="00C76C9D"/>
    <w:rsid w:val="00C77731"/>
    <w:rsid w:val="00C804C0"/>
    <w:rsid w:val="00C80C14"/>
    <w:rsid w:val="00C80CCC"/>
    <w:rsid w:val="00C80D6F"/>
    <w:rsid w:val="00C81376"/>
    <w:rsid w:val="00C81389"/>
    <w:rsid w:val="00C818BD"/>
    <w:rsid w:val="00C81B19"/>
    <w:rsid w:val="00C81C38"/>
    <w:rsid w:val="00C82B6D"/>
    <w:rsid w:val="00C82BC7"/>
    <w:rsid w:val="00C82F46"/>
    <w:rsid w:val="00C83704"/>
    <w:rsid w:val="00C83B9E"/>
    <w:rsid w:val="00C83C7C"/>
    <w:rsid w:val="00C83E6D"/>
    <w:rsid w:val="00C84099"/>
    <w:rsid w:val="00C84165"/>
    <w:rsid w:val="00C845D4"/>
    <w:rsid w:val="00C8461C"/>
    <w:rsid w:val="00C84AFE"/>
    <w:rsid w:val="00C855DB"/>
    <w:rsid w:val="00C85608"/>
    <w:rsid w:val="00C856CF"/>
    <w:rsid w:val="00C85C35"/>
    <w:rsid w:val="00C8679E"/>
    <w:rsid w:val="00C8696B"/>
    <w:rsid w:val="00C8698C"/>
    <w:rsid w:val="00C86BE1"/>
    <w:rsid w:val="00C86E8F"/>
    <w:rsid w:val="00C87036"/>
    <w:rsid w:val="00C8788D"/>
    <w:rsid w:val="00C87CFB"/>
    <w:rsid w:val="00C87E3E"/>
    <w:rsid w:val="00C87ED8"/>
    <w:rsid w:val="00C87EFD"/>
    <w:rsid w:val="00C87F30"/>
    <w:rsid w:val="00C9098E"/>
    <w:rsid w:val="00C90E06"/>
    <w:rsid w:val="00C90F0A"/>
    <w:rsid w:val="00C91201"/>
    <w:rsid w:val="00C913E4"/>
    <w:rsid w:val="00C91D1D"/>
    <w:rsid w:val="00C91ED9"/>
    <w:rsid w:val="00C9216D"/>
    <w:rsid w:val="00C92466"/>
    <w:rsid w:val="00C92BA7"/>
    <w:rsid w:val="00C92EC9"/>
    <w:rsid w:val="00C93562"/>
    <w:rsid w:val="00C93B8A"/>
    <w:rsid w:val="00C9425A"/>
    <w:rsid w:val="00C94465"/>
    <w:rsid w:val="00C94F86"/>
    <w:rsid w:val="00C95124"/>
    <w:rsid w:val="00C95439"/>
    <w:rsid w:val="00C954F8"/>
    <w:rsid w:val="00C956A0"/>
    <w:rsid w:val="00C96359"/>
    <w:rsid w:val="00C96510"/>
    <w:rsid w:val="00C966DB"/>
    <w:rsid w:val="00C96A5E"/>
    <w:rsid w:val="00C96BDD"/>
    <w:rsid w:val="00C970C5"/>
    <w:rsid w:val="00C97420"/>
    <w:rsid w:val="00C97AEB"/>
    <w:rsid w:val="00CA01A7"/>
    <w:rsid w:val="00CA0459"/>
    <w:rsid w:val="00CA0542"/>
    <w:rsid w:val="00CA0589"/>
    <w:rsid w:val="00CA1777"/>
    <w:rsid w:val="00CA1A28"/>
    <w:rsid w:val="00CA1C5B"/>
    <w:rsid w:val="00CA24EC"/>
    <w:rsid w:val="00CA25F6"/>
    <w:rsid w:val="00CA2B76"/>
    <w:rsid w:val="00CA2D98"/>
    <w:rsid w:val="00CA2DEC"/>
    <w:rsid w:val="00CA3BD0"/>
    <w:rsid w:val="00CA3E98"/>
    <w:rsid w:val="00CA3EE9"/>
    <w:rsid w:val="00CA469B"/>
    <w:rsid w:val="00CA49CC"/>
    <w:rsid w:val="00CA49EE"/>
    <w:rsid w:val="00CA519A"/>
    <w:rsid w:val="00CA524C"/>
    <w:rsid w:val="00CA527B"/>
    <w:rsid w:val="00CA5713"/>
    <w:rsid w:val="00CA5899"/>
    <w:rsid w:val="00CA5B3E"/>
    <w:rsid w:val="00CA5C0A"/>
    <w:rsid w:val="00CA5D68"/>
    <w:rsid w:val="00CA6A96"/>
    <w:rsid w:val="00CA6D57"/>
    <w:rsid w:val="00CA6E2D"/>
    <w:rsid w:val="00CA7083"/>
    <w:rsid w:val="00CA7585"/>
    <w:rsid w:val="00CA7924"/>
    <w:rsid w:val="00CA7997"/>
    <w:rsid w:val="00CA79FB"/>
    <w:rsid w:val="00CA7C69"/>
    <w:rsid w:val="00CA7D07"/>
    <w:rsid w:val="00CB044F"/>
    <w:rsid w:val="00CB0882"/>
    <w:rsid w:val="00CB14EF"/>
    <w:rsid w:val="00CB1861"/>
    <w:rsid w:val="00CB1A97"/>
    <w:rsid w:val="00CB23D8"/>
    <w:rsid w:val="00CB250A"/>
    <w:rsid w:val="00CB25B8"/>
    <w:rsid w:val="00CB261C"/>
    <w:rsid w:val="00CB2E9B"/>
    <w:rsid w:val="00CB309F"/>
    <w:rsid w:val="00CB348A"/>
    <w:rsid w:val="00CB3901"/>
    <w:rsid w:val="00CB39F0"/>
    <w:rsid w:val="00CB3AAB"/>
    <w:rsid w:val="00CB3D14"/>
    <w:rsid w:val="00CB3D33"/>
    <w:rsid w:val="00CB3DD1"/>
    <w:rsid w:val="00CB418D"/>
    <w:rsid w:val="00CB5118"/>
    <w:rsid w:val="00CB5143"/>
    <w:rsid w:val="00CB576B"/>
    <w:rsid w:val="00CB5801"/>
    <w:rsid w:val="00CB5815"/>
    <w:rsid w:val="00CB5E1B"/>
    <w:rsid w:val="00CB5E80"/>
    <w:rsid w:val="00CB63C0"/>
    <w:rsid w:val="00CB6A1D"/>
    <w:rsid w:val="00CB7ADF"/>
    <w:rsid w:val="00CC0278"/>
    <w:rsid w:val="00CC03A3"/>
    <w:rsid w:val="00CC0419"/>
    <w:rsid w:val="00CC0D33"/>
    <w:rsid w:val="00CC10F2"/>
    <w:rsid w:val="00CC19BC"/>
    <w:rsid w:val="00CC2316"/>
    <w:rsid w:val="00CC2462"/>
    <w:rsid w:val="00CC26B1"/>
    <w:rsid w:val="00CC2A4F"/>
    <w:rsid w:val="00CC2D89"/>
    <w:rsid w:val="00CC2E64"/>
    <w:rsid w:val="00CC2FB1"/>
    <w:rsid w:val="00CC330E"/>
    <w:rsid w:val="00CC37E4"/>
    <w:rsid w:val="00CC4080"/>
    <w:rsid w:val="00CC41A0"/>
    <w:rsid w:val="00CC43B0"/>
    <w:rsid w:val="00CC55E2"/>
    <w:rsid w:val="00CC5816"/>
    <w:rsid w:val="00CC5B01"/>
    <w:rsid w:val="00CC5B4F"/>
    <w:rsid w:val="00CC60E8"/>
    <w:rsid w:val="00CC611A"/>
    <w:rsid w:val="00CC633B"/>
    <w:rsid w:val="00CC720B"/>
    <w:rsid w:val="00CC7A6C"/>
    <w:rsid w:val="00CC7A8E"/>
    <w:rsid w:val="00CC7BD0"/>
    <w:rsid w:val="00CC7BF2"/>
    <w:rsid w:val="00CC7C7A"/>
    <w:rsid w:val="00CD0491"/>
    <w:rsid w:val="00CD1AAB"/>
    <w:rsid w:val="00CD1DAA"/>
    <w:rsid w:val="00CD1E2B"/>
    <w:rsid w:val="00CD220F"/>
    <w:rsid w:val="00CD25BE"/>
    <w:rsid w:val="00CD268A"/>
    <w:rsid w:val="00CD2798"/>
    <w:rsid w:val="00CD2A10"/>
    <w:rsid w:val="00CD2DC5"/>
    <w:rsid w:val="00CD31DB"/>
    <w:rsid w:val="00CD3ED3"/>
    <w:rsid w:val="00CD4C62"/>
    <w:rsid w:val="00CD4E5E"/>
    <w:rsid w:val="00CD55B4"/>
    <w:rsid w:val="00CD5C5D"/>
    <w:rsid w:val="00CD6091"/>
    <w:rsid w:val="00CD6106"/>
    <w:rsid w:val="00CD662F"/>
    <w:rsid w:val="00CD68E1"/>
    <w:rsid w:val="00CD762B"/>
    <w:rsid w:val="00CD79F2"/>
    <w:rsid w:val="00CD7BBA"/>
    <w:rsid w:val="00CD7DF6"/>
    <w:rsid w:val="00CE0012"/>
    <w:rsid w:val="00CE00F7"/>
    <w:rsid w:val="00CE1242"/>
    <w:rsid w:val="00CE1457"/>
    <w:rsid w:val="00CE1695"/>
    <w:rsid w:val="00CE1B57"/>
    <w:rsid w:val="00CE1DA6"/>
    <w:rsid w:val="00CE2089"/>
    <w:rsid w:val="00CE2234"/>
    <w:rsid w:val="00CE223F"/>
    <w:rsid w:val="00CE267F"/>
    <w:rsid w:val="00CE3452"/>
    <w:rsid w:val="00CE4204"/>
    <w:rsid w:val="00CE458F"/>
    <w:rsid w:val="00CE4609"/>
    <w:rsid w:val="00CE48F3"/>
    <w:rsid w:val="00CE550A"/>
    <w:rsid w:val="00CE56D8"/>
    <w:rsid w:val="00CE5BEE"/>
    <w:rsid w:val="00CE5C74"/>
    <w:rsid w:val="00CE6039"/>
    <w:rsid w:val="00CE6459"/>
    <w:rsid w:val="00CE681E"/>
    <w:rsid w:val="00CE722E"/>
    <w:rsid w:val="00CE796A"/>
    <w:rsid w:val="00CE7F87"/>
    <w:rsid w:val="00CF0235"/>
    <w:rsid w:val="00CF0494"/>
    <w:rsid w:val="00CF052F"/>
    <w:rsid w:val="00CF09C4"/>
    <w:rsid w:val="00CF0A15"/>
    <w:rsid w:val="00CF14F1"/>
    <w:rsid w:val="00CF1554"/>
    <w:rsid w:val="00CF1AEC"/>
    <w:rsid w:val="00CF20AA"/>
    <w:rsid w:val="00CF24BF"/>
    <w:rsid w:val="00CF2759"/>
    <w:rsid w:val="00CF27D2"/>
    <w:rsid w:val="00CF2A7F"/>
    <w:rsid w:val="00CF3512"/>
    <w:rsid w:val="00CF3622"/>
    <w:rsid w:val="00CF3682"/>
    <w:rsid w:val="00CF370F"/>
    <w:rsid w:val="00CF4366"/>
    <w:rsid w:val="00CF4390"/>
    <w:rsid w:val="00CF43E2"/>
    <w:rsid w:val="00CF4A0B"/>
    <w:rsid w:val="00CF4DB7"/>
    <w:rsid w:val="00CF52EE"/>
    <w:rsid w:val="00CF547B"/>
    <w:rsid w:val="00CF5A21"/>
    <w:rsid w:val="00CF6441"/>
    <w:rsid w:val="00CF691D"/>
    <w:rsid w:val="00CF7550"/>
    <w:rsid w:val="00CF78EF"/>
    <w:rsid w:val="00CF79A6"/>
    <w:rsid w:val="00D0006F"/>
    <w:rsid w:val="00D0030C"/>
    <w:rsid w:val="00D00518"/>
    <w:rsid w:val="00D009E8"/>
    <w:rsid w:val="00D011DA"/>
    <w:rsid w:val="00D0121F"/>
    <w:rsid w:val="00D01263"/>
    <w:rsid w:val="00D0164D"/>
    <w:rsid w:val="00D01D4C"/>
    <w:rsid w:val="00D0210F"/>
    <w:rsid w:val="00D021C3"/>
    <w:rsid w:val="00D02BA2"/>
    <w:rsid w:val="00D02CB3"/>
    <w:rsid w:val="00D02E95"/>
    <w:rsid w:val="00D03BDB"/>
    <w:rsid w:val="00D045F2"/>
    <w:rsid w:val="00D048AB"/>
    <w:rsid w:val="00D04B16"/>
    <w:rsid w:val="00D04D1E"/>
    <w:rsid w:val="00D04D99"/>
    <w:rsid w:val="00D054DB"/>
    <w:rsid w:val="00D05555"/>
    <w:rsid w:val="00D055CD"/>
    <w:rsid w:val="00D0581B"/>
    <w:rsid w:val="00D059E2"/>
    <w:rsid w:val="00D05A19"/>
    <w:rsid w:val="00D05CB9"/>
    <w:rsid w:val="00D05CBE"/>
    <w:rsid w:val="00D06817"/>
    <w:rsid w:val="00D0720E"/>
    <w:rsid w:val="00D104C5"/>
    <w:rsid w:val="00D10F07"/>
    <w:rsid w:val="00D113C7"/>
    <w:rsid w:val="00D113E7"/>
    <w:rsid w:val="00D1151B"/>
    <w:rsid w:val="00D1182B"/>
    <w:rsid w:val="00D11F74"/>
    <w:rsid w:val="00D12028"/>
    <w:rsid w:val="00D12D38"/>
    <w:rsid w:val="00D13258"/>
    <w:rsid w:val="00D136FB"/>
    <w:rsid w:val="00D1446E"/>
    <w:rsid w:val="00D146E2"/>
    <w:rsid w:val="00D14C55"/>
    <w:rsid w:val="00D15436"/>
    <w:rsid w:val="00D15A3A"/>
    <w:rsid w:val="00D15A9D"/>
    <w:rsid w:val="00D15F46"/>
    <w:rsid w:val="00D15F75"/>
    <w:rsid w:val="00D162D6"/>
    <w:rsid w:val="00D16961"/>
    <w:rsid w:val="00D16A3D"/>
    <w:rsid w:val="00D16BC4"/>
    <w:rsid w:val="00D16FEA"/>
    <w:rsid w:val="00D1710A"/>
    <w:rsid w:val="00D1771F"/>
    <w:rsid w:val="00D17842"/>
    <w:rsid w:val="00D1785D"/>
    <w:rsid w:val="00D179CE"/>
    <w:rsid w:val="00D17D8F"/>
    <w:rsid w:val="00D17EF4"/>
    <w:rsid w:val="00D17F9B"/>
    <w:rsid w:val="00D2043F"/>
    <w:rsid w:val="00D20443"/>
    <w:rsid w:val="00D20B19"/>
    <w:rsid w:val="00D2144E"/>
    <w:rsid w:val="00D217D7"/>
    <w:rsid w:val="00D22042"/>
    <w:rsid w:val="00D225F3"/>
    <w:rsid w:val="00D22A02"/>
    <w:rsid w:val="00D23720"/>
    <w:rsid w:val="00D23996"/>
    <w:rsid w:val="00D23FFB"/>
    <w:rsid w:val="00D2402C"/>
    <w:rsid w:val="00D2491A"/>
    <w:rsid w:val="00D2503A"/>
    <w:rsid w:val="00D251BE"/>
    <w:rsid w:val="00D2543F"/>
    <w:rsid w:val="00D25848"/>
    <w:rsid w:val="00D25DD9"/>
    <w:rsid w:val="00D264AB"/>
    <w:rsid w:val="00D26F22"/>
    <w:rsid w:val="00D274C2"/>
    <w:rsid w:val="00D27526"/>
    <w:rsid w:val="00D277A6"/>
    <w:rsid w:val="00D30507"/>
    <w:rsid w:val="00D31371"/>
    <w:rsid w:val="00D3178A"/>
    <w:rsid w:val="00D31D4C"/>
    <w:rsid w:val="00D320A3"/>
    <w:rsid w:val="00D3242D"/>
    <w:rsid w:val="00D3262D"/>
    <w:rsid w:val="00D32AD8"/>
    <w:rsid w:val="00D32DE2"/>
    <w:rsid w:val="00D32EA9"/>
    <w:rsid w:val="00D3348C"/>
    <w:rsid w:val="00D33568"/>
    <w:rsid w:val="00D338C2"/>
    <w:rsid w:val="00D339F1"/>
    <w:rsid w:val="00D33E5E"/>
    <w:rsid w:val="00D343EE"/>
    <w:rsid w:val="00D34583"/>
    <w:rsid w:val="00D347D7"/>
    <w:rsid w:val="00D34A09"/>
    <w:rsid w:val="00D34D00"/>
    <w:rsid w:val="00D34F7F"/>
    <w:rsid w:val="00D350A9"/>
    <w:rsid w:val="00D356AD"/>
    <w:rsid w:val="00D35C59"/>
    <w:rsid w:val="00D36095"/>
    <w:rsid w:val="00D3631C"/>
    <w:rsid w:val="00D36596"/>
    <w:rsid w:val="00D36916"/>
    <w:rsid w:val="00D3708C"/>
    <w:rsid w:val="00D3708E"/>
    <w:rsid w:val="00D37158"/>
    <w:rsid w:val="00D37512"/>
    <w:rsid w:val="00D37876"/>
    <w:rsid w:val="00D40185"/>
    <w:rsid w:val="00D406DC"/>
    <w:rsid w:val="00D40E66"/>
    <w:rsid w:val="00D411EA"/>
    <w:rsid w:val="00D41423"/>
    <w:rsid w:val="00D41C8E"/>
    <w:rsid w:val="00D41DB6"/>
    <w:rsid w:val="00D424F4"/>
    <w:rsid w:val="00D42A62"/>
    <w:rsid w:val="00D42AFB"/>
    <w:rsid w:val="00D4317C"/>
    <w:rsid w:val="00D434F6"/>
    <w:rsid w:val="00D4377C"/>
    <w:rsid w:val="00D43C3F"/>
    <w:rsid w:val="00D44276"/>
    <w:rsid w:val="00D44587"/>
    <w:rsid w:val="00D44F8A"/>
    <w:rsid w:val="00D452A2"/>
    <w:rsid w:val="00D45417"/>
    <w:rsid w:val="00D4580A"/>
    <w:rsid w:val="00D45AB6"/>
    <w:rsid w:val="00D45BC1"/>
    <w:rsid w:val="00D45E73"/>
    <w:rsid w:val="00D461C2"/>
    <w:rsid w:val="00D46ABD"/>
    <w:rsid w:val="00D4746B"/>
    <w:rsid w:val="00D47550"/>
    <w:rsid w:val="00D478ED"/>
    <w:rsid w:val="00D47BCF"/>
    <w:rsid w:val="00D504F4"/>
    <w:rsid w:val="00D50A8C"/>
    <w:rsid w:val="00D50E5B"/>
    <w:rsid w:val="00D50FF0"/>
    <w:rsid w:val="00D5107F"/>
    <w:rsid w:val="00D51927"/>
    <w:rsid w:val="00D51A34"/>
    <w:rsid w:val="00D51AD2"/>
    <w:rsid w:val="00D52113"/>
    <w:rsid w:val="00D53019"/>
    <w:rsid w:val="00D5438C"/>
    <w:rsid w:val="00D545E0"/>
    <w:rsid w:val="00D547CC"/>
    <w:rsid w:val="00D55187"/>
    <w:rsid w:val="00D55225"/>
    <w:rsid w:val="00D55347"/>
    <w:rsid w:val="00D553B8"/>
    <w:rsid w:val="00D553EE"/>
    <w:rsid w:val="00D558EC"/>
    <w:rsid w:val="00D55BA0"/>
    <w:rsid w:val="00D560F6"/>
    <w:rsid w:val="00D56283"/>
    <w:rsid w:val="00D56428"/>
    <w:rsid w:val="00D56A51"/>
    <w:rsid w:val="00D56E54"/>
    <w:rsid w:val="00D571AE"/>
    <w:rsid w:val="00D57EFC"/>
    <w:rsid w:val="00D6009A"/>
    <w:rsid w:val="00D60DEA"/>
    <w:rsid w:val="00D61221"/>
    <w:rsid w:val="00D61E1C"/>
    <w:rsid w:val="00D6270B"/>
    <w:rsid w:val="00D628BD"/>
    <w:rsid w:val="00D62B0D"/>
    <w:rsid w:val="00D62DA5"/>
    <w:rsid w:val="00D6324B"/>
    <w:rsid w:val="00D632C9"/>
    <w:rsid w:val="00D63952"/>
    <w:rsid w:val="00D63B5C"/>
    <w:rsid w:val="00D64549"/>
    <w:rsid w:val="00D65899"/>
    <w:rsid w:val="00D65B43"/>
    <w:rsid w:val="00D65E90"/>
    <w:rsid w:val="00D65EC0"/>
    <w:rsid w:val="00D66AC7"/>
    <w:rsid w:val="00D672CF"/>
    <w:rsid w:val="00D701F1"/>
    <w:rsid w:val="00D7028F"/>
    <w:rsid w:val="00D702FA"/>
    <w:rsid w:val="00D706F9"/>
    <w:rsid w:val="00D70BE9"/>
    <w:rsid w:val="00D71005"/>
    <w:rsid w:val="00D7174C"/>
    <w:rsid w:val="00D71CF4"/>
    <w:rsid w:val="00D71E06"/>
    <w:rsid w:val="00D72265"/>
    <w:rsid w:val="00D7242A"/>
    <w:rsid w:val="00D72627"/>
    <w:rsid w:val="00D72BC0"/>
    <w:rsid w:val="00D72C72"/>
    <w:rsid w:val="00D72E56"/>
    <w:rsid w:val="00D72FD2"/>
    <w:rsid w:val="00D73343"/>
    <w:rsid w:val="00D736DE"/>
    <w:rsid w:val="00D7439C"/>
    <w:rsid w:val="00D743B5"/>
    <w:rsid w:val="00D74598"/>
    <w:rsid w:val="00D74FB6"/>
    <w:rsid w:val="00D7542E"/>
    <w:rsid w:val="00D7555F"/>
    <w:rsid w:val="00D757B4"/>
    <w:rsid w:val="00D757E3"/>
    <w:rsid w:val="00D7598F"/>
    <w:rsid w:val="00D75CB1"/>
    <w:rsid w:val="00D764F5"/>
    <w:rsid w:val="00D76CEB"/>
    <w:rsid w:val="00D76F22"/>
    <w:rsid w:val="00D77148"/>
    <w:rsid w:val="00D7717F"/>
    <w:rsid w:val="00D772BF"/>
    <w:rsid w:val="00D779BA"/>
    <w:rsid w:val="00D779BE"/>
    <w:rsid w:val="00D77CF2"/>
    <w:rsid w:val="00D77F94"/>
    <w:rsid w:val="00D80A4C"/>
    <w:rsid w:val="00D80ABB"/>
    <w:rsid w:val="00D80BB0"/>
    <w:rsid w:val="00D80CED"/>
    <w:rsid w:val="00D80EE1"/>
    <w:rsid w:val="00D816E1"/>
    <w:rsid w:val="00D81B2C"/>
    <w:rsid w:val="00D8224A"/>
    <w:rsid w:val="00D82433"/>
    <w:rsid w:val="00D82BEC"/>
    <w:rsid w:val="00D82E05"/>
    <w:rsid w:val="00D82E5F"/>
    <w:rsid w:val="00D82EB7"/>
    <w:rsid w:val="00D82F4C"/>
    <w:rsid w:val="00D830E9"/>
    <w:rsid w:val="00D83541"/>
    <w:rsid w:val="00D838C1"/>
    <w:rsid w:val="00D83D89"/>
    <w:rsid w:val="00D841D5"/>
    <w:rsid w:val="00D842EF"/>
    <w:rsid w:val="00D847BD"/>
    <w:rsid w:val="00D85936"/>
    <w:rsid w:val="00D860C6"/>
    <w:rsid w:val="00D8674B"/>
    <w:rsid w:val="00D87458"/>
    <w:rsid w:val="00D8756A"/>
    <w:rsid w:val="00D877C6"/>
    <w:rsid w:val="00D87B59"/>
    <w:rsid w:val="00D90155"/>
    <w:rsid w:val="00D90259"/>
    <w:rsid w:val="00D9063C"/>
    <w:rsid w:val="00D90790"/>
    <w:rsid w:val="00D90FFF"/>
    <w:rsid w:val="00D9126E"/>
    <w:rsid w:val="00D9131C"/>
    <w:rsid w:val="00D91484"/>
    <w:rsid w:val="00D91D58"/>
    <w:rsid w:val="00D91E1F"/>
    <w:rsid w:val="00D92453"/>
    <w:rsid w:val="00D92F75"/>
    <w:rsid w:val="00D930A9"/>
    <w:rsid w:val="00D9357D"/>
    <w:rsid w:val="00D93DD3"/>
    <w:rsid w:val="00D94362"/>
    <w:rsid w:val="00D944D5"/>
    <w:rsid w:val="00D94848"/>
    <w:rsid w:val="00D94947"/>
    <w:rsid w:val="00D949E4"/>
    <w:rsid w:val="00D94A66"/>
    <w:rsid w:val="00D95217"/>
    <w:rsid w:val="00D95703"/>
    <w:rsid w:val="00D9575F"/>
    <w:rsid w:val="00D95B02"/>
    <w:rsid w:val="00D95CE8"/>
    <w:rsid w:val="00D96014"/>
    <w:rsid w:val="00D96A8B"/>
    <w:rsid w:val="00D9761E"/>
    <w:rsid w:val="00D97691"/>
    <w:rsid w:val="00D97981"/>
    <w:rsid w:val="00DA004D"/>
    <w:rsid w:val="00DA0093"/>
    <w:rsid w:val="00DA0158"/>
    <w:rsid w:val="00DA0D64"/>
    <w:rsid w:val="00DA134C"/>
    <w:rsid w:val="00DA1430"/>
    <w:rsid w:val="00DA15EB"/>
    <w:rsid w:val="00DA16A1"/>
    <w:rsid w:val="00DA1A9D"/>
    <w:rsid w:val="00DA1F4A"/>
    <w:rsid w:val="00DA2195"/>
    <w:rsid w:val="00DA2CDF"/>
    <w:rsid w:val="00DA2F78"/>
    <w:rsid w:val="00DA31FB"/>
    <w:rsid w:val="00DA33E4"/>
    <w:rsid w:val="00DA3FAE"/>
    <w:rsid w:val="00DA4B38"/>
    <w:rsid w:val="00DA4D41"/>
    <w:rsid w:val="00DA4EB3"/>
    <w:rsid w:val="00DA4EBD"/>
    <w:rsid w:val="00DA4FEE"/>
    <w:rsid w:val="00DA5217"/>
    <w:rsid w:val="00DA558B"/>
    <w:rsid w:val="00DA5C53"/>
    <w:rsid w:val="00DA6298"/>
    <w:rsid w:val="00DA63EC"/>
    <w:rsid w:val="00DA6A74"/>
    <w:rsid w:val="00DA6B9F"/>
    <w:rsid w:val="00DA6DBB"/>
    <w:rsid w:val="00DA723A"/>
    <w:rsid w:val="00DA7D6B"/>
    <w:rsid w:val="00DA7FE3"/>
    <w:rsid w:val="00DB1191"/>
    <w:rsid w:val="00DB12E1"/>
    <w:rsid w:val="00DB1DB9"/>
    <w:rsid w:val="00DB201C"/>
    <w:rsid w:val="00DB216E"/>
    <w:rsid w:val="00DB28D7"/>
    <w:rsid w:val="00DB3098"/>
    <w:rsid w:val="00DB3D1A"/>
    <w:rsid w:val="00DB4597"/>
    <w:rsid w:val="00DB468B"/>
    <w:rsid w:val="00DB4C73"/>
    <w:rsid w:val="00DB4C76"/>
    <w:rsid w:val="00DB54A0"/>
    <w:rsid w:val="00DB5E3A"/>
    <w:rsid w:val="00DB5E71"/>
    <w:rsid w:val="00DB5FDC"/>
    <w:rsid w:val="00DB64E6"/>
    <w:rsid w:val="00DB660D"/>
    <w:rsid w:val="00DB67C5"/>
    <w:rsid w:val="00DB6CD4"/>
    <w:rsid w:val="00DB7026"/>
    <w:rsid w:val="00DB7472"/>
    <w:rsid w:val="00DB764D"/>
    <w:rsid w:val="00DB77FA"/>
    <w:rsid w:val="00DB7933"/>
    <w:rsid w:val="00DB7E2B"/>
    <w:rsid w:val="00DC081D"/>
    <w:rsid w:val="00DC0DD3"/>
    <w:rsid w:val="00DC132C"/>
    <w:rsid w:val="00DC1AF6"/>
    <w:rsid w:val="00DC1B85"/>
    <w:rsid w:val="00DC1F9A"/>
    <w:rsid w:val="00DC2CC4"/>
    <w:rsid w:val="00DC2F19"/>
    <w:rsid w:val="00DC2FDE"/>
    <w:rsid w:val="00DC32E5"/>
    <w:rsid w:val="00DC3B14"/>
    <w:rsid w:val="00DC3D35"/>
    <w:rsid w:val="00DC4697"/>
    <w:rsid w:val="00DC4BEB"/>
    <w:rsid w:val="00DC4CCC"/>
    <w:rsid w:val="00DC4E95"/>
    <w:rsid w:val="00DC54FD"/>
    <w:rsid w:val="00DC670D"/>
    <w:rsid w:val="00DC6B6D"/>
    <w:rsid w:val="00DD06E0"/>
    <w:rsid w:val="00DD0C88"/>
    <w:rsid w:val="00DD0F0A"/>
    <w:rsid w:val="00DD31D0"/>
    <w:rsid w:val="00DD322C"/>
    <w:rsid w:val="00DD3448"/>
    <w:rsid w:val="00DD38DB"/>
    <w:rsid w:val="00DD4358"/>
    <w:rsid w:val="00DD475A"/>
    <w:rsid w:val="00DD478D"/>
    <w:rsid w:val="00DD48A8"/>
    <w:rsid w:val="00DD49F8"/>
    <w:rsid w:val="00DD4DAD"/>
    <w:rsid w:val="00DD4F5E"/>
    <w:rsid w:val="00DD518B"/>
    <w:rsid w:val="00DD56D1"/>
    <w:rsid w:val="00DD574D"/>
    <w:rsid w:val="00DD576E"/>
    <w:rsid w:val="00DD576F"/>
    <w:rsid w:val="00DD5779"/>
    <w:rsid w:val="00DD654F"/>
    <w:rsid w:val="00DD68D2"/>
    <w:rsid w:val="00DE029F"/>
    <w:rsid w:val="00DE04CE"/>
    <w:rsid w:val="00DE0883"/>
    <w:rsid w:val="00DE0A04"/>
    <w:rsid w:val="00DE1457"/>
    <w:rsid w:val="00DE158C"/>
    <w:rsid w:val="00DE1F4B"/>
    <w:rsid w:val="00DE2073"/>
    <w:rsid w:val="00DE229C"/>
    <w:rsid w:val="00DE272D"/>
    <w:rsid w:val="00DE305E"/>
    <w:rsid w:val="00DE30AD"/>
    <w:rsid w:val="00DE30B3"/>
    <w:rsid w:val="00DE3195"/>
    <w:rsid w:val="00DE4326"/>
    <w:rsid w:val="00DE4418"/>
    <w:rsid w:val="00DE45BC"/>
    <w:rsid w:val="00DE46A9"/>
    <w:rsid w:val="00DE4702"/>
    <w:rsid w:val="00DE492A"/>
    <w:rsid w:val="00DE4FB2"/>
    <w:rsid w:val="00DE5342"/>
    <w:rsid w:val="00DE5547"/>
    <w:rsid w:val="00DE5743"/>
    <w:rsid w:val="00DE5A03"/>
    <w:rsid w:val="00DE5C8E"/>
    <w:rsid w:val="00DE5F38"/>
    <w:rsid w:val="00DE608E"/>
    <w:rsid w:val="00DE6111"/>
    <w:rsid w:val="00DE62EC"/>
    <w:rsid w:val="00DE66A9"/>
    <w:rsid w:val="00DE69B7"/>
    <w:rsid w:val="00DE6CEC"/>
    <w:rsid w:val="00DE7035"/>
    <w:rsid w:val="00DE74AC"/>
    <w:rsid w:val="00DE760E"/>
    <w:rsid w:val="00DE7701"/>
    <w:rsid w:val="00DE7A52"/>
    <w:rsid w:val="00DE7FBA"/>
    <w:rsid w:val="00DF01B9"/>
    <w:rsid w:val="00DF035D"/>
    <w:rsid w:val="00DF039D"/>
    <w:rsid w:val="00DF0738"/>
    <w:rsid w:val="00DF0A96"/>
    <w:rsid w:val="00DF12C9"/>
    <w:rsid w:val="00DF147B"/>
    <w:rsid w:val="00DF1E70"/>
    <w:rsid w:val="00DF3368"/>
    <w:rsid w:val="00DF3401"/>
    <w:rsid w:val="00DF37A9"/>
    <w:rsid w:val="00DF3D2F"/>
    <w:rsid w:val="00DF3D8D"/>
    <w:rsid w:val="00DF3E0B"/>
    <w:rsid w:val="00DF3F96"/>
    <w:rsid w:val="00DF497E"/>
    <w:rsid w:val="00DF4BA9"/>
    <w:rsid w:val="00DF4D01"/>
    <w:rsid w:val="00DF4D5E"/>
    <w:rsid w:val="00DF4E96"/>
    <w:rsid w:val="00DF5056"/>
    <w:rsid w:val="00DF5265"/>
    <w:rsid w:val="00DF53C6"/>
    <w:rsid w:val="00DF59ED"/>
    <w:rsid w:val="00DF5A24"/>
    <w:rsid w:val="00DF6159"/>
    <w:rsid w:val="00DF6AC0"/>
    <w:rsid w:val="00DF6FA0"/>
    <w:rsid w:val="00DF70D1"/>
    <w:rsid w:val="00DF7451"/>
    <w:rsid w:val="00DF76AD"/>
    <w:rsid w:val="00DF778D"/>
    <w:rsid w:val="00DF7A6E"/>
    <w:rsid w:val="00E00029"/>
    <w:rsid w:val="00E0008D"/>
    <w:rsid w:val="00E006CA"/>
    <w:rsid w:val="00E00B01"/>
    <w:rsid w:val="00E00FE7"/>
    <w:rsid w:val="00E01103"/>
    <w:rsid w:val="00E012BD"/>
    <w:rsid w:val="00E01638"/>
    <w:rsid w:val="00E02187"/>
    <w:rsid w:val="00E022D7"/>
    <w:rsid w:val="00E02A81"/>
    <w:rsid w:val="00E02EC9"/>
    <w:rsid w:val="00E03128"/>
    <w:rsid w:val="00E03C2D"/>
    <w:rsid w:val="00E03EC4"/>
    <w:rsid w:val="00E043EF"/>
    <w:rsid w:val="00E04C45"/>
    <w:rsid w:val="00E04F8D"/>
    <w:rsid w:val="00E0529B"/>
    <w:rsid w:val="00E05973"/>
    <w:rsid w:val="00E05DCC"/>
    <w:rsid w:val="00E06C25"/>
    <w:rsid w:val="00E06C31"/>
    <w:rsid w:val="00E06D5F"/>
    <w:rsid w:val="00E06F22"/>
    <w:rsid w:val="00E074C0"/>
    <w:rsid w:val="00E07EA8"/>
    <w:rsid w:val="00E1011A"/>
    <w:rsid w:val="00E107B5"/>
    <w:rsid w:val="00E10A7C"/>
    <w:rsid w:val="00E10BBE"/>
    <w:rsid w:val="00E11142"/>
    <w:rsid w:val="00E115B6"/>
    <w:rsid w:val="00E12129"/>
    <w:rsid w:val="00E1284B"/>
    <w:rsid w:val="00E12937"/>
    <w:rsid w:val="00E13288"/>
    <w:rsid w:val="00E132D7"/>
    <w:rsid w:val="00E13546"/>
    <w:rsid w:val="00E13B15"/>
    <w:rsid w:val="00E13B96"/>
    <w:rsid w:val="00E145B3"/>
    <w:rsid w:val="00E14E66"/>
    <w:rsid w:val="00E14F66"/>
    <w:rsid w:val="00E15160"/>
    <w:rsid w:val="00E15FE0"/>
    <w:rsid w:val="00E16182"/>
    <w:rsid w:val="00E1631A"/>
    <w:rsid w:val="00E16B9F"/>
    <w:rsid w:val="00E171A8"/>
    <w:rsid w:val="00E17A06"/>
    <w:rsid w:val="00E17AAD"/>
    <w:rsid w:val="00E17D2D"/>
    <w:rsid w:val="00E206F9"/>
    <w:rsid w:val="00E208B2"/>
    <w:rsid w:val="00E20A0B"/>
    <w:rsid w:val="00E20E31"/>
    <w:rsid w:val="00E21E10"/>
    <w:rsid w:val="00E226F5"/>
    <w:rsid w:val="00E228FB"/>
    <w:rsid w:val="00E22981"/>
    <w:rsid w:val="00E22AD3"/>
    <w:rsid w:val="00E22F33"/>
    <w:rsid w:val="00E23144"/>
    <w:rsid w:val="00E232BC"/>
    <w:rsid w:val="00E23572"/>
    <w:rsid w:val="00E2367A"/>
    <w:rsid w:val="00E23762"/>
    <w:rsid w:val="00E23CF0"/>
    <w:rsid w:val="00E23EE9"/>
    <w:rsid w:val="00E24000"/>
    <w:rsid w:val="00E240A1"/>
    <w:rsid w:val="00E2426A"/>
    <w:rsid w:val="00E243BB"/>
    <w:rsid w:val="00E244B4"/>
    <w:rsid w:val="00E247F3"/>
    <w:rsid w:val="00E24D63"/>
    <w:rsid w:val="00E24E98"/>
    <w:rsid w:val="00E2544E"/>
    <w:rsid w:val="00E26608"/>
    <w:rsid w:val="00E269BE"/>
    <w:rsid w:val="00E272E6"/>
    <w:rsid w:val="00E27F94"/>
    <w:rsid w:val="00E3001F"/>
    <w:rsid w:val="00E303CE"/>
    <w:rsid w:val="00E303F4"/>
    <w:rsid w:val="00E30BB4"/>
    <w:rsid w:val="00E31070"/>
    <w:rsid w:val="00E31359"/>
    <w:rsid w:val="00E31744"/>
    <w:rsid w:val="00E318D8"/>
    <w:rsid w:val="00E31D57"/>
    <w:rsid w:val="00E31D72"/>
    <w:rsid w:val="00E31E53"/>
    <w:rsid w:val="00E31E7E"/>
    <w:rsid w:val="00E320B4"/>
    <w:rsid w:val="00E32121"/>
    <w:rsid w:val="00E32D5A"/>
    <w:rsid w:val="00E32E0D"/>
    <w:rsid w:val="00E334BC"/>
    <w:rsid w:val="00E338F6"/>
    <w:rsid w:val="00E33A42"/>
    <w:rsid w:val="00E34343"/>
    <w:rsid w:val="00E34727"/>
    <w:rsid w:val="00E34F73"/>
    <w:rsid w:val="00E3541E"/>
    <w:rsid w:val="00E35591"/>
    <w:rsid w:val="00E35ABF"/>
    <w:rsid w:val="00E35B6B"/>
    <w:rsid w:val="00E363F4"/>
    <w:rsid w:val="00E365D0"/>
    <w:rsid w:val="00E36851"/>
    <w:rsid w:val="00E36A99"/>
    <w:rsid w:val="00E37079"/>
    <w:rsid w:val="00E3783D"/>
    <w:rsid w:val="00E37C32"/>
    <w:rsid w:val="00E400E7"/>
    <w:rsid w:val="00E400F3"/>
    <w:rsid w:val="00E403B9"/>
    <w:rsid w:val="00E41131"/>
    <w:rsid w:val="00E41330"/>
    <w:rsid w:val="00E418B3"/>
    <w:rsid w:val="00E41B56"/>
    <w:rsid w:val="00E41B79"/>
    <w:rsid w:val="00E423FA"/>
    <w:rsid w:val="00E42422"/>
    <w:rsid w:val="00E42557"/>
    <w:rsid w:val="00E42795"/>
    <w:rsid w:val="00E428E6"/>
    <w:rsid w:val="00E42CF0"/>
    <w:rsid w:val="00E42F15"/>
    <w:rsid w:val="00E43BC0"/>
    <w:rsid w:val="00E43D61"/>
    <w:rsid w:val="00E43EF7"/>
    <w:rsid w:val="00E440BF"/>
    <w:rsid w:val="00E44831"/>
    <w:rsid w:val="00E449A2"/>
    <w:rsid w:val="00E44D45"/>
    <w:rsid w:val="00E453B8"/>
    <w:rsid w:val="00E460C4"/>
    <w:rsid w:val="00E461C9"/>
    <w:rsid w:val="00E4644A"/>
    <w:rsid w:val="00E46C1C"/>
    <w:rsid w:val="00E46C31"/>
    <w:rsid w:val="00E47548"/>
    <w:rsid w:val="00E5004F"/>
    <w:rsid w:val="00E5025A"/>
    <w:rsid w:val="00E50843"/>
    <w:rsid w:val="00E508BA"/>
    <w:rsid w:val="00E50CBD"/>
    <w:rsid w:val="00E50F2D"/>
    <w:rsid w:val="00E516E7"/>
    <w:rsid w:val="00E51A6B"/>
    <w:rsid w:val="00E521F6"/>
    <w:rsid w:val="00E52F55"/>
    <w:rsid w:val="00E533E3"/>
    <w:rsid w:val="00E534E5"/>
    <w:rsid w:val="00E53C88"/>
    <w:rsid w:val="00E54637"/>
    <w:rsid w:val="00E54680"/>
    <w:rsid w:val="00E54EFF"/>
    <w:rsid w:val="00E5513A"/>
    <w:rsid w:val="00E55307"/>
    <w:rsid w:val="00E55542"/>
    <w:rsid w:val="00E55C27"/>
    <w:rsid w:val="00E55EC3"/>
    <w:rsid w:val="00E56732"/>
    <w:rsid w:val="00E56C42"/>
    <w:rsid w:val="00E573C7"/>
    <w:rsid w:val="00E57CF8"/>
    <w:rsid w:val="00E57DA0"/>
    <w:rsid w:val="00E57E20"/>
    <w:rsid w:val="00E57FF1"/>
    <w:rsid w:val="00E602A6"/>
    <w:rsid w:val="00E60528"/>
    <w:rsid w:val="00E60853"/>
    <w:rsid w:val="00E60FD9"/>
    <w:rsid w:val="00E61A06"/>
    <w:rsid w:val="00E61ABA"/>
    <w:rsid w:val="00E61ACB"/>
    <w:rsid w:val="00E61C42"/>
    <w:rsid w:val="00E62C94"/>
    <w:rsid w:val="00E638FF"/>
    <w:rsid w:val="00E63BF1"/>
    <w:rsid w:val="00E63F88"/>
    <w:rsid w:val="00E64783"/>
    <w:rsid w:val="00E6504F"/>
    <w:rsid w:val="00E651AB"/>
    <w:rsid w:val="00E654AE"/>
    <w:rsid w:val="00E6555C"/>
    <w:rsid w:val="00E65930"/>
    <w:rsid w:val="00E65938"/>
    <w:rsid w:val="00E65D34"/>
    <w:rsid w:val="00E65F09"/>
    <w:rsid w:val="00E65FF1"/>
    <w:rsid w:val="00E67085"/>
    <w:rsid w:val="00E67125"/>
    <w:rsid w:val="00E67D5C"/>
    <w:rsid w:val="00E706D5"/>
    <w:rsid w:val="00E70D6E"/>
    <w:rsid w:val="00E70E98"/>
    <w:rsid w:val="00E71285"/>
    <w:rsid w:val="00E714E0"/>
    <w:rsid w:val="00E71763"/>
    <w:rsid w:val="00E71F58"/>
    <w:rsid w:val="00E724BD"/>
    <w:rsid w:val="00E728C4"/>
    <w:rsid w:val="00E72A0B"/>
    <w:rsid w:val="00E72E24"/>
    <w:rsid w:val="00E73EFF"/>
    <w:rsid w:val="00E7450A"/>
    <w:rsid w:val="00E74D41"/>
    <w:rsid w:val="00E756AF"/>
    <w:rsid w:val="00E75F6B"/>
    <w:rsid w:val="00E763E1"/>
    <w:rsid w:val="00E763F2"/>
    <w:rsid w:val="00E76563"/>
    <w:rsid w:val="00E7661F"/>
    <w:rsid w:val="00E76B63"/>
    <w:rsid w:val="00E76B98"/>
    <w:rsid w:val="00E76C63"/>
    <w:rsid w:val="00E7711B"/>
    <w:rsid w:val="00E775FA"/>
    <w:rsid w:val="00E8013F"/>
    <w:rsid w:val="00E80CE0"/>
    <w:rsid w:val="00E80ECF"/>
    <w:rsid w:val="00E8100C"/>
    <w:rsid w:val="00E8124B"/>
    <w:rsid w:val="00E8144C"/>
    <w:rsid w:val="00E814C6"/>
    <w:rsid w:val="00E81CC5"/>
    <w:rsid w:val="00E81D0D"/>
    <w:rsid w:val="00E81EC8"/>
    <w:rsid w:val="00E81F59"/>
    <w:rsid w:val="00E82CDB"/>
    <w:rsid w:val="00E835E0"/>
    <w:rsid w:val="00E83647"/>
    <w:rsid w:val="00E83A16"/>
    <w:rsid w:val="00E83B0F"/>
    <w:rsid w:val="00E83FBC"/>
    <w:rsid w:val="00E84079"/>
    <w:rsid w:val="00E84199"/>
    <w:rsid w:val="00E8435B"/>
    <w:rsid w:val="00E84368"/>
    <w:rsid w:val="00E847FA"/>
    <w:rsid w:val="00E851FF"/>
    <w:rsid w:val="00E85298"/>
    <w:rsid w:val="00E8593F"/>
    <w:rsid w:val="00E85CD6"/>
    <w:rsid w:val="00E860D1"/>
    <w:rsid w:val="00E86576"/>
    <w:rsid w:val="00E8674B"/>
    <w:rsid w:val="00E86FE0"/>
    <w:rsid w:val="00E87343"/>
    <w:rsid w:val="00E874B9"/>
    <w:rsid w:val="00E87A84"/>
    <w:rsid w:val="00E90321"/>
    <w:rsid w:val="00E903B3"/>
    <w:rsid w:val="00E90B1D"/>
    <w:rsid w:val="00E90C4B"/>
    <w:rsid w:val="00E90E29"/>
    <w:rsid w:val="00E91413"/>
    <w:rsid w:val="00E9162C"/>
    <w:rsid w:val="00E91793"/>
    <w:rsid w:val="00E91BDF"/>
    <w:rsid w:val="00E92062"/>
    <w:rsid w:val="00E92414"/>
    <w:rsid w:val="00E92999"/>
    <w:rsid w:val="00E929C3"/>
    <w:rsid w:val="00E92A25"/>
    <w:rsid w:val="00E92BAE"/>
    <w:rsid w:val="00E92E3D"/>
    <w:rsid w:val="00E92F7A"/>
    <w:rsid w:val="00E934EF"/>
    <w:rsid w:val="00E937FE"/>
    <w:rsid w:val="00E939A5"/>
    <w:rsid w:val="00E93CC1"/>
    <w:rsid w:val="00E94066"/>
    <w:rsid w:val="00E94142"/>
    <w:rsid w:val="00E9486E"/>
    <w:rsid w:val="00E94884"/>
    <w:rsid w:val="00E94A45"/>
    <w:rsid w:val="00E94AEF"/>
    <w:rsid w:val="00E94B44"/>
    <w:rsid w:val="00E95816"/>
    <w:rsid w:val="00E958A6"/>
    <w:rsid w:val="00E95A2F"/>
    <w:rsid w:val="00E95A3D"/>
    <w:rsid w:val="00E95B87"/>
    <w:rsid w:val="00E960F8"/>
    <w:rsid w:val="00E96574"/>
    <w:rsid w:val="00E96777"/>
    <w:rsid w:val="00E97288"/>
    <w:rsid w:val="00E97373"/>
    <w:rsid w:val="00E9764B"/>
    <w:rsid w:val="00E9771E"/>
    <w:rsid w:val="00E9772C"/>
    <w:rsid w:val="00E9775B"/>
    <w:rsid w:val="00EA0D7E"/>
    <w:rsid w:val="00EA1186"/>
    <w:rsid w:val="00EA142E"/>
    <w:rsid w:val="00EA1904"/>
    <w:rsid w:val="00EA1DF0"/>
    <w:rsid w:val="00EA22A7"/>
    <w:rsid w:val="00EA22B7"/>
    <w:rsid w:val="00EA233A"/>
    <w:rsid w:val="00EA24C6"/>
    <w:rsid w:val="00EA312E"/>
    <w:rsid w:val="00EA317A"/>
    <w:rsid w:val="00EA3301"/>
    <w:rsid w:val="00EA3ACA"/>
    <w:rsid w:val="00EA3C8C"/>
    <w:rsid w:val="00EA4103"/>
    <w:rsid w:val="00EA437B"/>
    <w:rsid w:val="00EA47C3"/>
    <w:rsid w:val="00EA47EA"/>
    <w:rsid w:val="00EA48F9"/>
    <w:rsid w:val="00EA4CDA"/>
    <w:rsid w:val="00EA5055"/>
    <w:rsid w:val="00EA51AE"/>
    <w:rsid w:val="00EA57F9"/>
    <w:rsid w:val="00EA59EA"/>
    <w:rsid w:val="00EA61E6"/>
    <w:rsid w:val="00EA663B"/>
    <w:rsid w:val="00EA6A48"/>
    <w:rsid w:val="00EA6FD6"/>
    <w:rsid w:val="00EA6FDA"/>
    <w:rsid w:val="00EA7612"/>
    <w:rsid w:val="00EA7B5F"/>
    <w:rsid w:val="00EA7C90"/>
    <w:rsid w:val="00EA7CE5"/>
    <w:rsid w:val="00EB043E"/>
    <w:rsid w:val="00EB0BB7"/>
    <w:rsid w:val="00EB1413"/>
    <w:rsid w:val="00EB190A"/>
    <w:rsid w:val="00EB1B92"/>
    <w:rsid w:val="00EB1E62"/>
    <w:rsid w:val="00EB27DB"/>
    <w:rsid w:val="00EB28A3"/>
    <w:rsid w:val="00EB2D53"/>
    <w:rsid w:val="00EB2DFC"/>
    <w:rsid w:val="00EB2E09"/>
    <w:rsid w:val="00EB31F7"/>
    <w:rsid w:val="00EB3780"/>
    <w:rsid w:val="00EB3F3E"/>
    <w:rsid w:val="00EB44CB"/>
    <w:rsid w:val="00EB476B"/>
    <w:rsid w:val="00EB4B43"/>
    <w:rsid w:val="00EB4F2D"/>
    <w:rsid w:val="00EB5126"/>
    <w:rsid w:val="00EB5267"/>
    <w:rsid w:val="00EB60B2"/>
    <w:rsid w:val="00EB6105"/>
    <w:rsid w:val="00EB623A"/>
    <w:rsid w:val="00EB6FDB"/>
    <w:rsid w:val="00EB7611"/>
    <w:rsid w:val="00EB76E2"/>
    <w:rsid w:val="00EB771B"/>
    <w:rsid w:val="00EB790C"/>
    <w:rsid w:val="00EB7A8D"/>
    <w:rsid w:val="00EB7DCD"/>
    <w:rsid w:val="00EC00AA"/>
    <w:rsid w:val="00EC0828"/>
    <w:rsid w:val="00EC0A4F"/>
    <w:rsid w:val="00EC0C24"/>
    <w:rsid w:val="00EC0FB2"/>
    <w:rsid w:val="00EC1458"/>
    <w:rsid w:val="00EC1794"/>
    <w:rsid w:val="00EC1CE1"/>
    <w:rsid w:val="00EC1DEC"/>
    <w:rsid w:val="00EC1E47"/>
    <w:rsid w:val="00EC2485"/>
    <w:rsid w:val="00EC25B5"/>
    <w:rsid w:val="00EC2686"/>
    <w:rsid w:val="00EC2868"/>
    <w:rsid w:val="00EC2D25"/>
    <w:rsid w:val="00EC2E78"/>
    <w:rsid w:val="00EC41E6"/>
    <w:rsid w:val="00EC442B"/>
    <w:rsid w:val="00EC4D6C"/>
    <w:rsid w:val="00EC525B"/>
    <w:rsid w:val="00EC562D"/>
    <w:rsid w:val="00EC5691"/>
    <w:rsid w:val="00EC5CD3"/>
    <w:rsid w:val="00EC5DD0"/>
    <w:rsid w:val="00EC634F"/>
    <w:rsid w:val="00EC639A"/>
    <w:rsid w:val="00EC68A5"/>
    <w:rsid w:val="00EC74E3"/>
    <w:rsid w:val="00EC78C9"/>
    <w:rsid w:val="00EC7C9F"/>
    <w:rsid w:val="00EC7DD6"/>
    <w:rsid w:val="00ED07AA"/>
    <w:rsid w:val="00ED0800"/>
    <w:rsid w:val="00ED0EE1"/>
    <w:rsid w:val="00ED113B"/>
    <w:rsid w:val="00ED1158"/>
    <w:rsid w:val="00ED1223"/>
    <w:rsid w:val="00ED19B5"/>
    <w:rsid w:val="00ED208E"/>
    <w:rsid w:val="00ED2874"/>
    <w:rsid w:val="00ED2AB6"/>
    <w:rsid w:val="00ED328B"/>
    <w:rsid w:val="00ED34C3"/>
    <w:rsid w:val="00ED36BA"/>
    <w:rsid w:val="00ED387E"/>
    <w:rsid w:val="00ED39CC"/>
    <w:rsid w:val="00ED3E79"/>
    <w:rsid w:val="00ED3FDC"/>
    <w:rsid w:val="00ED4321"/>
    <w:rsid w:val="00ED4413"/>
    <w:rsid w:val="00ED46FE"/>
    <w:rsid w:val="00ED59F5"/>
    <w:rsid w:val="00ED5A7B"/>
    <w:rsid w:val="00ED5CCB"/>
    <w:rsid w:val="00ED5EC1"/>
    <w:rsid w:val="00ED611C"/>
    <w:rsid w:val="00ED66D5"/>
    <w:rsid w:val="00ED6815"/>
    <w:rsid w:val="00ED74DA"/>
    <w:rsid w:val="00EE0327"/>
    <w:rsid w:val="00EE04A8"/>
    <w:rsid w:val="00EE0BD4"/>
    <w:rsid w:val="00EE0BE5"/>
    <w:rsid w:val="00EE0D9B"/>
    <w:rsid w:val="00EE10E3"/>
    <w:rsid w:val="00EE111D"/>
    <w:rsid w:val="00EE1A6D"/>
    <w:rsid w:val="00EE1E6C"/>
    <w:rsid w:val="00EE2260"/>
    <w:rsid w:val="00EE2DCC"/>
    <w:rsid w:val="00EE2FB4"/>
    <w:rsid w:val="00EE34C7"/>
    <w:rsid w:val="00EE39A5"/>
    <w:rsid w:val="00EE39BF"/>
    <w:rsid w:val="00EE446D"/>
    <w:rsid w:val="00EE45EC"/>
    <w:rsid w:val="00EE45F9"/>
    <w:rsid w:val="00EE479B"/>
    <w:rsid w:val="00EE4895"/>
    <w:rsid w:val="00EE4CDC"/>
    <w:rsid w:val="00EE555E"/>
    <w:rsid w:val="00EE573A"/>
    <w:rsid w:val="00EE5D70"/>
    <w:rsid w:val="00EE5FD9"/>
    <w:rsid w:val="00EE6DC9"/>
    <w:rsid w:val="00EE7362"/>
    <w:rsid w:val="00EE75C6"/>
    <w:rsid w:val="00EE78DA"/>
    <w:rsid w:val="00EE7C2D"/>
    <w:rsid w:val="00EE7CBB"/>
    <w:rsid w:val="00EF0227"/>
    <w:rsid w:val="00EF0776"/>
    <w:rsid w:val="00EF0814"/>
    <w:rsid w:val="00EF1558"/>
    <w:rsid w:val="00EF1578"/>
    <w:rsid w:val="00EF1D9C"/>
    <w:rsid w:val="00EF1E59"/>
    <w:rsid w:val="00EF2951"/>
    <w:rsid w:val="00EF2E24"/>
    <w:rsid w:val="00EF357A"/>
    <w:rsid w:val="00EF39E3"/>
    <w:rsid w:val="00EF5132"/>
    <w:rsid w:val="00EF5462"/>
    <w:rsid w:val="00EF5C79"/>
    <w:rsid w:val="00EF5F4A"/>
    <w:rsid w:val="00EF6244"/>
    <w:rsid w:val="00EF6831"/>
    <w:rsid w:val="00EF71DA"/>
    <w:rsid w:val="00EF73C1"/>
    <w:rsid w:val="00EF75D0"/>
    <w:rsid w:val="00EF7E0D"/>
    <w:rsid w:val="00F00401"/>
    <w:rsid w:val="00F004CB"/>
    <w:rsid w:val="00F00729"/>
    <w:rsid w:val="00F00E24"/>
    <w:rsid w:val="00F00E98"/>
    <w:rsid w:val="00F00FC2"/>
    <w:rsid w:val="00F00FD5"/>
    <w:rsid w:val="00F010BA"/>
    <w:rsid w:val="00F01139"/>
    <w:rsid w:val="00F01167"/>
    <w:rsid w:val="00F01458"/>
    <w:rsid w:val="00F01523"/>
    <w:rsid w:val="00F0202B"/>
    <w:rsid w:val="00F02133"/>
    <w:rsid w:val="00F02311"/>
    <w:rsid w:val="00F03379"/>
    <w:rsid w:val="00F03415"/>
    <w:rsid w:val="00F03676"/>
    <w:rsid w:val="00F039A2"/>
    <w:rsid w:val="00F03C75"/>
    <w:rsid w:val="00F04095"/>
    <w:rsid w:val="00F0414F"/>
    <w:rsid w:val="00F04193"/>
    <w:rsid w:val="00F053AF"/>
    <w:rsid w:val="00F05A1A"/>
    <w:rsid w:val="00F05F68"/>
    <w:rsid w:val="00F06B0A"/>
    <w:rsid w:val="00F06B95"/>
    <w:rsid w:val="00F06E88"/>
    <w:rsid w:val="00F071B1"/>
    <w:rsid w:val="00F0744C"/>
    <w:rsid w:val="00F07ACF"/>
    <w:rsid w:val="00F07B27"/>
    <w:rsid w:val="00F07F62"/>
    <w:rsid w:val="00F07FCA"/>
    <w:rsid w:val="00F1023F"/>
    <w:rsid w:val="00F1040B"/>
    <w:rsid w:val="00F10534"/>
    <w:rsid w:val="00F10740"/>
    <w:rsid w:val="00F10884"/>
    <w:rsid w:val="00F10B70"/>
    <w:rsid w:val="00F10D44"/>
    <w:rsid w:val="00F110C1"/>
    <w:rsid w:val="00F115F9"/>
    <w:rsid w:val="00F11818"/>
    <w:rsid w:val="00F11890"/>
    <w:rsid w:val="00F1194F"/>
    <w:rsid w:val="00F11B8A"/>
    <w:rsid w:val="00F11E04"/>
    <w:rsid w:val="00F12AF7"/>
    <w:rsid w:val="00F12F9F"/>
    <w:rsid w:val="00F1336B"/>
    <w:rsid w:val="00F1370F"/>
    <w:rsid w:val="00F137AF"/>
    <w:rsid w:val="00F14388"/>
    <w:rsid w:val="00F146C5"/>
    <w:rsid w:val="00F15147"/>
    <w:rsid w:val="00F15D0B"/>
    <w:rsid w:val="00F15D0C"/>
    <w:rsid w:val="00F15D24"/>
    <w:rsid w:val="00F1600C"/>
    <w:rsid w:val="00F16462"/>
    <w:rsid w:val="00F16A43"/>
    <w:rsid w:val="00F172AC"/>
    <w:rsid w:val="00F17525"/>
    <w:rsid w:val="00F176EE"/>
    <w:rsid w:val="00F17AAF"/>
    <w:rsid w:val="00F17E86"/>
    <w:rsid w:val="00F2042E"/>
    <w:rsid w:val="00F20770"/>
    <w:rsid w:val="00F20B78"/>
    <w:rsid w:val="00F20BF0"/>
    <w:rsid w:val="00F20E10"/>
    <w:rsid w:val="00F21024"/>
    <w:rsid w:val="00F2144C"/>
    <w:rsid w:val="00F214ED"/>
    <w:rsid w:val="00F21811"/>
    <w:rsid w:val="00F218F3"/>
    <w:rsid w:val="00F21CFE"/>
    <w:rsid w:val="00F21D9D"/>
    <w:rsid w:val="00F21E6F"/>
    <w:rsid w:val="00F22603"/>
    <w:rsid w:val="00F2286F"/>
    <w:rsid w:val="00F234CB"/>
    <w:rsid w:val="00F236AB"/>
    <w:rsid w:val="00F23B33"/>
    <w:rsid w:val="00F23CB7"/>
    <w:rsid w:val="00F23F2A"/>
    <w:rsid w:val="00F24468"/>
    <w:rsid w:val="00F249A4"/>
    <w:rsid w:val="00F25766"/>
    <w:rsid w:val="00F2581F"/>
    <w:rsid w:val="00F25955"/>
    <w:rsid w:val="00F25ABF"/>
    <w:rsid w:val="00F25BB2"/>
    <w:rsid w:val="00F25E40"/>
    <w:rsid w:val="00F26236"/>
    <w:rsid w:val="00F2663B"/>
    <w:rsid w:val="00F26DC7"/>
    <w:rsid w:val="00F26F43"/>
    <w:rsid w:val="00F271C1"/>
    <w:rsid w:val="00F279DA"/>
    <w:rsid w:val="00F30094"/>
    <w:rsid w:val="00F30440"/>
    <w:rsid w:val="00F3051C"/>
    <w:rsid w:val="00F305F0"/>
    <w:rsid w:val="00F30F1F"/>
    <w:rsid w:val="00F31585"/>
    <w:rsid w:val="00F32915"/>
    <w:rsid w:val="00F32A7C"/>
    <w:rsid w:val="00F33080"/>
    <w:rsid w:val="00F334D2"/>
    <w:rsid w:val="00F33BDB"/>
    <w:rsid w:val="00F33FD9"/>
    <w:rsid w:val="00F34DBF"/>
    <w:rsid w:val="00F352CA"/>
    <w:rsid w:val="00F36321"/>
    <w:rsid w:val="00F364A5"/>
    <w:rsid w:val="00F36956"/>
    <w:rsid w:val="00F36BE5"/>
    <w:rsid w:val="00F36FC9"/>
    <w:rsid w:val="00F37A5C"/>
    <w:rsid w:val="00F37DB0"/>
    <w:rsid w:val="00F37DF2"/>
    <w:rsid w:val="00F40520"/>
    <w:rsid w:val="00F410E1"/>
    <w:rsid w:val="00F414E2"/>
    <w:rsid w:val="00F41A42"/>
    <w:rsid w:val="00F41BB2"/>
    <w:rsid w:val="00F41BCA"/>
    <w:rsid w:val="00F42B97"/>
    <w:rsid w:val="00F42FF1"/>
    <w:rsid w:val="00F4317D"/>
    <w:rsid w:val="00F432D8"/>
    <w:rsid w:val="00F43B75"/>
    <w:rsid w:val="00F43EC8"/>
    <w:rsid w:val="00F440E5"/>
    <w:rsid w:val="00F44122"/>
    <w:rsid w:val="00F44A37"/>
    <w:rsid w:val="00F44A46"/>
    <w:rsid w:val="00F44C48"/>
    <w:rsid w:val="00F44C5F"/>
    <w:rsid w:val="00F45A91"/>
    <w:rsid w:val="00F4676D"/>
    <w:rsid w:val="00F46CCB"/>
    <w:rsid w:val="00F46CD2"/>
    <w:rsid w:val="00F46EF0"/>
    <w:rsid w:val="00F47309"/>
    <w:rsid w:val="00F47796"/>
    <w:rsid w:val="00F5018E"/>
    <w:rsid w:val="00F50432"/>
    <w:rsid w:val="00F50582"/>
    <w:rsid w:val="00F50C05"/>
    <w:rsid w:val="00F50F48"/>
    <w:rsid w:val="00F51707"/>
    <w:rsid w:val="00F51750"/>
    <w:rsid w:val="00F51E7A"/>
    <w:rsid w:val="00F51EA5"/>
    <w:rsid w:val="00F52339"/>
    <w:rsid w:val="00F529DF"/>
    <w:rsid w:val="00F52B2F"/>
    <w:rsid w:val="00F52C5B"/>
    <w:rsid w:val="00F52DA5"/>
    <w:rsid w:val="00F53626"/>
    <w:rsid w:val="00F536B9"/>
    <w:rsid w:val="00F536C2"/>
    <w:rsid w:val="00F536D8"/>
    <w:rsid w:val="00F53C71"/>
    <w:rsid w:val="00F53D7D"/>
    <w:rsid w:val="00F5447D"/>
    <w:rsid w:val="00F549E8"/>
    <w:rsid w:val="00F54C74"/>
    <w:rsid w:val="00F54F1B"/>
    <w:rsid w:val="00F551DA"/>
    <w:rsid w:val="00F555E2"/>
    <w:rsid w:val="00F55BDB"/>
    <w:rsid w:val="00F55CF2"/>
    <w:rsid w:val="00F56025"/>
    <w:rsid w:val="00F561E9"/>
    <w:rsid w:val="00F565F1"/>
    <w:rsid w:val="00F56B18"/>
    <w:rsid w:val="00F571ED"/>
    <w:rsid w:val="00F5745C"/>
    <w:rsid w:val="00F576D0"/>
    <w:rsid w:val="00F57740"/>
    <w:rsid w:val="00F57B73"/>
    <w:rsid w:val="00F57B89"/>
    <w:rsid w:val="00F57ED0"/>
    <w:rsid w:val="00F6045A"/>
    <w:rsid w:val="00F60E31"/>
    <w:rsid w:val="00F613D1"/>
    <w:rsid w:val="00F619F0"/>
    <w:rsid w:val="00F621D1"/>
    <w:rsid w:val="00F6252A"/>
    <w:rsid w:val="00F629DF"/>
    <w:rsid w:val="00F62A23"/>
    <w:rsid w:val="00F62C15"/>
    <w:rsid w:val="00F62FDE"/>
    <w:rsid w:val="00F630A5"/>
    <w:rsid w:val="00F6456A"/>
    <w:rsid w:val="00F6518A"/>
    <w:rsid w:val="00F65403"/>
    <w:rsid w:val="00F654DA"/>
    <w:rsid w:val="00F65959"/>
    <w:rsid w:val="00F65F57"/>
    <w:rsid w:val="00F66159"/>
    <w:rsid w:val="00F66EEC"/>
    <w:rsid w:val="00F671C8"/>
    <w:rsid w:val="00F67439"/>
    <w:rsid w:val="00F67756"/>
    <w:rsid w:val="00F70928"/>
    <w:rsid w:val="00F71037"/>
    <w:rsid w:val="00F71096"/>
    <w:rsid w:val="00F71CE4"/>
    <w:rsid w:val="00F720BF"/>
    <w:rsid w:val="00F726D9"/>
    <w:rsid w:val="00F72B57"/>
    <w:rsid w:val="00F73B85"/>
    <w:rsid w:val="00F73FBB"/>
    <w:rsid w:val="00F7403E"/>
    <w:rsid w:val="00F74562"/>
    <w:rsid w:val="00F749D2"/>
    <w:rsid w:val="00F75DDD"/>
    <w:rsid w:val="00F75EFF"/>
    <w:rsid w:val="00F75F8F"/>
    <w:rsid w:val="00F761F6"/>
    <w:rsid w:val="00F76412"/>
    <w:rsid w:val="00F76BBA"/>
    <w:rsid w:val="00F776E4"/>
    <w:rsid w:val="00F77780"/>
    <w:rsid w:val="00F807C0"/>
    <w:rsid w:val="00F807E8"/>
    <w:rsid w:val="00F8083C"/>
    <w:rsid w:val="00F81234"/>
    <w:rsid w:val="00F814B0"/>
    <w:rsid w:val="00F82039"/>
    <w:rsid w:val="00F82107"/>
    <w:rsid w:val="00F82341"/>
    <w:rsid w:val="00F824EC"/>
    <w:rsid w:val="00F8265E"/>
    <w:rsid w:val="00F829D9"/>
    <w:rsid w:val="00F82C53"/>
    <w:rsid w:val="00F82D73"/>
    <w:rsid w:val="00F8362F"/>
    <w:rsid w:val="00F83B67"/>
    <w:rsid w:val="00F83D9E"/>
    <w:rsid w:val="00F8414B"/>
    <w:rsid w:val="00F84173"/>
    <w:rsid w:val="00F846A8"/>
    <w:rsid w:val="00F856D7"/>
    <w:rsid w:val="00F85D57"/>
    <w:rsid w:val="00F85DE5"/>
    <w:rsid w:val="00F866A8"/>
    <w:rsid w:val="00F86EC5"/>
    <w:rsid w:val="00F87632"/>
    <w:rsid w:val="00F87DC6"/>
    <w:rsid w:val="00F87FE4"/>
    <w:rsid w:val="00F90074"/>
    <w:rsid w:val="00F903F0"/>
    <w:rsid w:val="00F90B57"/>
    <w:rsid w:val="00F9122B"/>
    <w:rsid w:val="00F9188F"/>
    <w:rsid w:val="00F91FCE"/>
    <w:rsid w:val="00F92467"/>
    <w:rsid w:val="00F925E3"/>
    <w:rsid w:val="00F931AD"/>
    <w:rsid w:val="00F9344A"/>
    <w:rsid w:val="00F93498"/>
    <w:rsid w:val="00F935B5"/>
    <w:rsid w:val="00F93CFD"/>
    <w:rsid w:val="00F93DC1"/>
    <w:rsid w:val="00F9409D"/>
    <w:rsid w:val="00F94989"/>
    <w:rsid w:val="00F94C66"/>
    <w:rsid w:val="00F95462"/>
    <w:rsid w:val="00F959E3"/>
    <w:rsid w:val="00F9634B"/>
    <w:rsid w:val="00F965C5"/>
    <w:rsid w:val="00F96BF0"/>
    <w:rsid w:val="00F972A2"/>
    <w:rsid w:val="00F975FB"/>
    <w:rsid w:val="00F9798E"/>
    <w:rsid w:val="00F97C80"/>
    <w:rsid w:val="00F97E13"/>
    <w:rsid w:val="00F97FD9"/>
    <w:rsid w:val="00FA01E7"/>
    <w:rsid w:val="00FA023F"/>
    <w:rsid w:val="00FA02D9"/>
    <w:rsid w:val="00FA03FF"/>
    <w:rsid w:val="00FA07BC"/>
    <w:rsid w:val="00FA0B5E"/>
    <w:rsid w:val="00FA146D"/>
    <w:rsid w:val="00FA162B"/>
    <w:rsid w:val="00FA1C04"/>
    <w:rsid w:val="00FA1D7F"/>
    <w:rsid w:val="00FA20A4"/>
    <w:rsid w:val="00FA2BE9"/>
    <w:rsid w:val="00FA2FAA"/>
    <w:rsid w:val="00FA36E6"/>
    <w:rsid w:val="00FA39DB"/>
    <w:rsid w:val="00FA3BCA"/>
    <w:rsid w:val="00FA4328"/>
    <w:rsid w:val="00FA45C0"/>
    <w:rsid w:val="00FA49AF"/>
    <w:rsid w:val="00FA54FF"/>
    <w:rsid w:val="00FA65FD"/>
    <w:rsid w:val="00FA6614"/>
    <w:rsid w:val="00FA73E5"/>
    <w:rsid w:val="00FA7C50"/>
    <w:rsid w:val="00FB0370"/>
    <w:rsid w:val="00FB079C"/>
    <w:rsid w:val="00FB094D"/>
    <w:rsid w:val="00FB1638"/>
    <w:rsid w:val="00FB1B8E"/>
    <w:rsid w:val="00FB1E06"/>
    <w:rsid w:val="00FB2064"/>
    <w:rsid w:val="00FB2196"/>
    <w:rsid w:val="00FB23E6"/>
    <w:rsid w:val="00FB2ADA"/>
    <w:rsid w:val="00FB2B74"/>
    <w:rsid w:val="00FB2E6C"/>
    <w:rsid w:val="00FB3371"/>
    <w:rsid w:val="00FB3BB6"/>
    <w:rsid w:val="00FB3C46"/>
    <w:rsid w:val="00FB44A1"/>
    <w:rsid w:val="00FB458D"/>
    <w:rsid w:val="00FB4762"/>
    <w:rsid w:val="00FB4944"/>
    <w:rsid w:val="00FB4A4B"/>
    <w:rsid w:val="00FB4CE0"/>
    <w:rsid w:val="00FB4EAF"/>
    <w:rsid w:val="00FB5A93"/>
    <w:rsid w:val="00FB5C5B"/>
    <w:rsid w:val="00FB5E88"/>
    <w:rsid w:val="00FB5FD8"/>
    <w:rsid w:val="00FB61AE"/>
    <w:rsid w:val="00FB62F5"/>
    <w:rsid w:val="00FB638B"/>
    <w:rsid w:val="00FB6E66"/>
    <w:rsid w:val="00FB6FB5"/>
    <w:rsid w:val="00FB787F"/>
    <w:rsid w:val="00FB796B"/>
    <w:rsid w:val="00FB7C0C"/>
    <w:rsid w:val="00FC095E"/>
    <w:rsid w:val="00FC1367"/>
    <w:rsid w:val="00FC13BE"/>
    <w:rsid w:val="00FC14C6"/>
    <w:rsid w:val="00FC19AE"/>
    <w:rsid w:val="00FC2EE9"/>
    <w:rsid w:val="00FC31B8"/>
    <w:rsid w:val="00FC3525"/>
    <w:rsid w:val="00FC36F0"/>
    <w:rsid w:val="00FC373E"/>
    <w:rsid w:val="00FC37F9"/>
    <w:rsid w:val="00FC3906"/>
    <w:rsid w:val="00FC48D5"/>
    <w:rsid w:val="00FC4EC9"/>
    <w:rsid w:val="00FC4F0F"/>
    <w:rsid w:val="00FC5046"/>
    <w:rsid w:val="00FC5496"/>
    <w:rsid w:val="00FC5CDC"/>
    <w:rsid w:val="00FC5E08"/>
    <w:rsid w:val="00FC60C3"/>
    <w:rsid w:val="00FC68E9"/>
    <w:rsid w:val="00FC692C"/>
    <w:rsid w:val="00FC6AC9"/>
    <w:rsid w:val="00FC6C1A"/>
    <w:rsid w:val="00FC7155"/>
    <w:rsid w:val="00FC71F3"/>
    <w:rsid w:val="00FC7213"/>
    <w:rsid w:val="00FC75E9"/>
    <w:rsid w:val="00FC7DA9"/>
    <w:rsid w:val="00FC7EFF"/>
    <w:rsid w:val="00FD06E9"/>
    <w:rsid w:val="00FD170A"/>
    <w:rsid w:val="00FD1CF9"/>
    <w:rsid w:val="00FD273C"/>
    <w:rsid w:val="00FD28A4"/>
    <w:rsid w:val="00FD2BBC"/>
    <w:rsid w:val="00FD2C4D"/>
    <w:rsid w:val="00FD3613"/>
    <w:rsid w:val="00FD3F61"/>
    <w:rsid w:val="00FD4098"/>
    <w:rsid w:val="00FD43B0"/>
    <w:rsid w:val="00FD4BEC"/>
    <w:rsid w:val="00FD4C06"/>
    <w:rsid w:val="00FD4DF1"/>
    <w:rsid w:val="00FD4E3C"/>
    <w:rsid w:val="00FD4E61"/>
    <w:rsid w:val="00FD5666"/>
    <w:rsid w:val="00FD621B"/>
    <w:rsid w:val="00FD66C9"/>
    <w:rsid w:val="00FD77F3"/>
    <w:rsid w:val="00FD7B51"/>
    <w:rsid w:val="00FD7E89"/>
    <w:rsid w:val="00FE0B0F"/>
    <w:rsid w:val="00FE0B16"/>
    <w:rsid w:val="00FE0D3F"/>
    <w:rsid w:val="00FE0E8C"/>
    <w:rsid w:val="00FE16DA"/>
    <w:rsid w:val="00FE1CEC"/>
    <w:rsid w:val="00FE1EF6"/>
    <w:rsid w:val="00FE2007"/>
    <w:rsid w:val="00FE22AA"/>
    <w:rsid w:val="00FE25E2"/>
    <w:rsid w:val="00FE2876"/>
    <w:rsid w:val="00FE358B"/>
    <w:rsid w:val="00FE3594"/>
    <w:rsid w:val="00FE39D9"/>
    <w:rsid w:val="00FE3D4A"/>
    <w:rsid w:val="00FE3F0D"/>
    <w:rsid w:val="00FE3F17"/>
    <w:rsid w:val="00FE41CA"/>
    <w:rsid w:val="00FE454C"/>
    <w:rsid w:val="00FE4B6D"/>
    <w:rsid w:val="00FE4EFE"/>
    <w:rsid w:val="00FE5ABA"/>
    <w:rsid w:val="00FE6183"/>
    <w:rsid w:val="00FE6778"/>
    <w:rsid w:val="00FE699E"/>
    <w:rsid w:val="00FE7049"/>
    <w:rsid w:val="00FE722B"/>
    <w:rsid w:val="00FE7578"/>
    <w:rsid w:val="00FE7B2F"/>
    <w:rsid w:val="00FE7D2D"/>
    <w:rsid w:val="00FF0185"/>
    <w:rsid w:val="00FF1460"/>
    <w:rsid w:val="00FF187F"/>
    <w:rsid w:val="00FF1E71"/>
    <w:rsid w:val="00FF20AD"/>
    <w:rsid w:val="00FF27F8"/>
    <w:rsid w:val="00FF29A4"/>
    <w:rsid w:val="00FF2A06"/>
    <w:rsid w:val="00FF3AFC"/>
    <w:rsid w:val="00FF3D8F"/>
    <w:rsid w:val="00FF4536"/>
    <w:rsid w:val="00FF4565"/>
    <w:rsid w:val="00FF4970"/>
    <w:rsid w:val="00FF4BE6"/>
    <w:rsid w:val="00FF4C32"/>
    <w:rsid w:val="00FF4F58"/>
    <w:rsid w:val="00FF57B2"/>
    <w:rsid w:val="00FF5CC5"/>
    <w:rsid w:val="00FF5D5C"/>
    <w:rsid w:val="00FF5DF9"/>
    <w:rsid w:val="00FF6A97"/>
    <w:rsid w:val="00FF6C4D"/>
    <w:rsid w:val="00FF6CE5"/>
    <w:rsid w:val="00FF786D"/>
    <w:rsid w:val="00FF7BCB"/>
    <w:rsid w:val="010E56B3"/>
    <w:rsid w:val="01101675"/>
    <w:rsid w:val="01152820"/>
    <w:rsid w:val="011614FB"/>
    <w:rsid w:val="01205D5C"/>
    <w:rsid w:val="01295ABC"/>
    <w:rsid w:val="012D2791"/>
    <w:rsid w:val="01341807"/>
    <w:rsid w:val="01361A2B"/>
    <w:rsid w:val="0136557F"/>
    <w:rsid w:val="01365594"/>
    <w:rsid w:val="013805A3"/>
    <w:rsid w:val="013C06BC"/>
    <w:rsid w:val="013D698F"/>
    <w:rsid w:val="013E139D"/>
    <w:rsid w:val="013E65B3"/>
    <w:rsid w:val="013F3C5D"/>
    <w:rsid w:val="014063FE"/>
    <w:rsid w:val="01415CD2"/>
    <w:rsid w:val="01426AE8"/>
    <w:rsid w:val="01450FBB"/>
    <w:rsid w:val="014D4677"/>
    <w:rsid w:val="014E45D9"/>
    <w:rsid w:val="01521C8D"/>
    <w:rsid w:val="01527E42"/>
    <w:rsid w:val="01536A94"/>
    <w:rsid w:val="015B624E"/>
    <w:rsid w:val="015D7DFD"/>
    <w:rsid w:val="015E614A"/>
    <w:rsid w:val="016539DF"/>
    <w:rsid w:val="01677E80"/>
    <w:rsid w:val="016A7234"/>
    <w:rsid w:val="016C0263"/>
    <w:rsid w:val="01744734"/>
    <w:rsid w:val="01764D60"/>
    <w:rsid w:val="017C6D0A"/>
    <w:rsid w:val="017D31AE"/>
    <w:rsid w:val="017E0CD4"/>
    <w:rsid w:val="0183453D"/>
    <w:rsid w:val="018D319B"/>
    <w:rsid w:val="018E702B"/>
    <w:rsid w:val="018E7169"/>
    <w:rsid w:val="019006AD"/>
    <w:rsid w:val="01907573"/>
    <w:rsid w:val="01944054"/>
    <w:rsid w:val="01967DCC"/>
    <w:rsid w:val="019978BC"/>
    <w:rsid w:val="019D2F90"/>
    <w:rsid w:val="01A15505"/>
    <w:rsid w:val="01A3659A"/>
    <w:rsid w:val="01A52705"/>
    <w:rsid w:val="01A63326"/>
    <w:rsid w:val="01A63C95"/>
    <w:rsid w:val="01AB161E"/>
    <w:rsid w:val="01B36BD0"/>
    <w:rsid w:val="01B446F6"/>
    <w:rsid w:val="01B84373"/>
    <w:rsid w:val="01B91D0C"/>
    <w:rsid w:val="01BB1483"/>
    <w:rsid w:val="01BE4777"/>
    <w:rsid w:val="01BF0A3A"/>
    <w:rsid w:val="01CB1D56"/>
    <w:rsid w:val="01CE57B8"/>
    <w:rsid w:val="01D104AD"/>
    <w:rsid w:val="01D2372C"/>
    <w:rsid w:val="01D408F4"/>
    <w:rsid w:val="01D43195"/>
    <w:rsid w:val="01DA35A1"/>
    <w:rsid w:val="01DA508E"/>
    <w:rsid w:val="01E25A65"/>
    <w:rsid w:val="01E41B1F"/>
    <w:rsid w:val="01EA11DF"/>
    <w:rsid w:val="01EB5317"/>
    <w:rsid w:val="01EE5E5A"/>
    <w:rsid w:val="01EE7C08"/>
    <w:rsid w:val="01F33470"/>
    <w:rsid w:val="01F44DBD"/>
    <w:rsid w:val="01F50B4C"/>
    <w:rsid w:val="01F571E8"/>
    <w:rsid w:val="01F64D0F"/>
    <w:rsid w:val="01F9035B"/>
    <w:rsid w:val="01FB2325"/>
    <w:rsid w:val="01FF7FF5"/>
    <w:rsid w:val="0200324D"/>
    <w:rsid w:val="020035C0"/>
    <w:rsid w:val="02025461"/>
    <w:rsid w:val="02032456"/>
    <w:rsid w:val="02033711"/>
    <w:rsid w:val="020424E5"/>
    <w:rsid w:val="02044DB1"/>
    <w:rsid w:val="02063210"/>
    <w:rsid w:val="02082A56"/>
    <w:rsid w:val="020C13B1"/>
    <w:rsid w:val="02103E11"/>
    <w:rsid w:val="021320BD"/>
    <w:rsid w:val="021533E7"/>
    <w:rsid w:val="021E1B74"/>
    <w:rsid w:val="02226777"/>
    <w:rsid w:val="02293D79"/>
    <w:rsid w:val="022C6982"/>
    <w:rsid w:val="02306473"/>
    <w:rsid w:val="0235117B"/>
    <w:rsid w:val="02355C85"/>
    <w:rsid w:val="02385327"/>
    <w:rsid w:val="023D0B8F"/>
    <w:rsid w:val="023D66C9"/>
    <w:rsid w:val="023F2212"/>
    <w:rsid w:val="02477318"/>
    <w:rsid w:val="02494C6C"/>
    <w:rsid w:val="024E06A7"/>
    <w:rsid w:val="024F29D6"/>
    <w:rsid w:val="02520C69"/>
    <w:rsid w:val="02550996"/>
    <w:rsid w:val="02571C51"/>
    <w:rsid w:val="02580207"/>
    <w:rsid w:val="025C7268"/>
    <w:rsid w:val="0262160F"/>
    <w:rsid w:val="026259A2"/>
    <w:rsid w:val="02661A12"/>
    <w:rsid w:val="026779BA"/>
    <w:rsid w:val="02691984"/>
    <w:rsid w:val="026B3007"/>
    <w:rsid w:val="026D7B17"/>
    <w:rsid w:val="026F0DAF"/>
    <w:rsid w:val="02704AC1"/>
    <w:rsid w:val="0273635F"/>
    <w:rsid w:val="02753C88"/>
    <w:rsid w:val="02755C49"/>
    <w:rsid w:val="027A5751"/>
    <w:rsid w:val="027C5214"/>
    <w:rsid w:val="027E647B"/>
    <w:rsid w:val="0281282A"/>
    <w:rsid w:val="02836B0F"/>
    <w:rsid w:val="028440C8"/>
    <w:rsid w:val="028A018C"/>
    <w:rsid w:val="028C3C65"/>
    <w:rsid w:val="028E13EB"/>
    <w:rsid w:val="028E2C4A"/>
    <w:rsid w:val="028E4F47"/>
    <w:rsid w:val="028F6340"/>
    <w:rsid w:val="02985592"/>
    <w:rsid w:val="029B0DCF"/>
    <w:rsid w:val="029D33DC"/>
    <w:rsid w:val="029E7927"/>
    <w:rsid w:val="02A12ECC"/>
    <w:rsid w:val="02A14C7A"/>
    <w:rsid w:val="02AA4B10"/>
    <w:rsid w:val="02AB78A7"/>
    <w:rsid w:val="02AE1145"/>
    <w:rsid w:val="02AE45B7"/>
    <w:rsid w:val="02B109C7"/>
    <w:rsid w:val="02B11911"/>
    <w:rsid w:val="02B250DA"/>
    <w:rsid w:val="02B26E88"/>
    <w:rsid w:val="02B62DA2"/>
    <w:rsid w:val="02B7449E"/>
    <w:rsid w:val="02BC6FBF"/>
    <w:rsid w:val="02BE3A7E"/>
    <w:rsid w:val="02C10E79"/>
    <w:rsid w:val="02C24CE8"/>
    <w:rsid w:val="02C924A5"/>
    <w:rsid w:val="02C95F7F"/>
    <w:rsid w:val="02CE3596"/>
    <w:rsid w:val="02D52B00"/>
    <w:rsid w:val="02D768EE"/>
    <w:rsid w:val="02D8783E"/>
    <w:rsid w:val="02D947F4"/>
    <w:rsid w:val="02DA19A6"/>
    <w:rsid w:val="02DD029C"/>
    <w:rsid w:val="02DD1A2B"/>
    <w:rsid w:val="02E01C47"/>
    <w:rsid w:val="02E01C88"/>
    <w:rsid w:val="02E3131A"/>
    <w:rsid w:val="02E4100B"/>
    <w:rsid w:val="02E66D4B"/>
    <w:rsid w:val="02EA4873"/>
    <w:rsid w:val="02F2197A"/>
    <w:rsid w:val="02F367E1"/>
    <w:rsid w:val="02F60FAD"/>
    <w:rsid w:val="02F70D3E"/>
    <w:rsid w:val="02F81956"/>
    <w:rsid w:val="02FA438B"/>
    <w:rsid w:val="02FC7141"/>
    <w:rsid w:val="02FD2173"/>
    <w:rsid w:val="03004097"/>
    <w:rsid w:val="03031491"/>
    <w:rsid w:val="0304524E"/>
    <w:rsid w:val="03061EB2"/>
    <w:rsid w:val="03065F31"/>
    <w:rsid w:val="03084CFA"/>
    <w:rsid w:val="030B6598"/>
    <w:rsid w:val="030C0B64"/>
    <w:rsid w:val="030C175D"/>
    <w:rsid w:val="030D3B7D"/>
    <w:rsid w:val="030E5CC5"/>
    <w:rsid w:val="030F0414"/>
    <w:rsid w:val="03101E00"/>
    <w:rsid w:val="03142F12"/>
    <w:rsid w:val="03166582"/>
    <w:rsid w:val="03184805"/>
    <w:rsid w:val="031C2553"/>
    <w:rsid w:val="03201783"/>
    <w:rsid w:val="03226D0C"/>
    <w:rsid w:val="03226F55"/>
    <w:rsid w:val="032402A4"/>
    <w:rsid w:val="032B09E8"/>
    <w:rsid w:val="032D29B2"/>
    <w:rsid w:val="033279FF"/>
    <w:rsid w:val="03337D64"/>
    <w:rsid w:val="033B6E7D"/>
    <w:rsid w:val="034026E5"/>
    <w:rsid w:val="03444BEC"/>
    <w:rsid w:val="03470F03"/>
    <w:rsid w:val="034A40E0"/>
    <w:rsid w:val="034A5312"/>
    <w:rsid w:val="03555A65"/>
    <w:rsid w:val="035644BB"/>
    <w:rsid w:val="03595555"/>
    <w:rsid w:val="035B4F7E"/>
    <w:rsid w:val="035F6CAE"/>
    <w:rsid w:val="03620CDD"/>
    <w:rsid w:val="03634626"/>
    <w:rsid w:val="03635001"/>
    <w:rsid w:val="03655CA8"/>
    <w:rsid w:val="03662324"/>
    <w:rsid w:val="03675EC4"/>
    <w:rsid w:val="036902F4"/>
    <w:rsid w:val="036A795F"/>
    <w:rsid w:val="0370518D"/>
    <w:rsid w:val="03711704"/>
    <w:rsid w:val="03720E25"/>
    <w:rsid w:val="03726617"/>
    <w:rsid w:val="03757E97"/>
    <w:rsid w:val="03760287"/>
    <w:rsid w:val="037638EE"/>
    <w:rsid w:val="03766107"/>
    <w:rsid w:val="037737F4"/>
    <w:rsid w:val="037B760F"/>
    <w:rsid w:val="037F2ECD"/>
    <w:rsid w:val="03800D34"/>
    <w:rsid w:val="038127E6"/>
    <w:rsid w:val="038129D8"/>
    <w:rsid w:val="03847C3F"/>
    <w:rsid w:val="038547FD"/>
    <w:rsid w:val="038720C2"/>
    <w:rsid w:val="03884C34"/>
    <w:rsid w:val="038959A5"/>
    <w:rsid w:val="03912F41"/>
    <w:rsid w:val="03944DF9"/>
    <w:rsid w:val="03960557"/>
    <w:rsid w:val="039667A9"/>
    <w:rsid w:val="03984408"/>
    <w:rsid w:val="03993BA4"/>
    <w:rsid w:val="039E565E"/>
    <w:rsid w:val="03A0540E"/>
    <w:rsid w:val="03A20BD9"/>
    <w:rsid w:val="03A219EA"/>
    <w:rsid w:val="03A35208"/>
    <w:rsid w:val="03A37958"/>
    <w:rsid w:val="03A621D8"/>
    <w:rsid w:val="03A73143"/>
    <w:rsid w:val="03AA4003"/>
    <w:rsid w:val="03AB4EA1"/>
    <w:rsid w:val="03AE1FD2"/>
    <w:rsid w:val="03B22EB7"/>
    <w:rsid w:val="03B804CE"/>
    <w:rsid w:val="03C028C2"/>
    <w:rsid w:val="03C11FDA"/>
    <w:rsid w:val="03C30C20"/>
    <w:rsid w:val="03C47FB5"/>
    <w:rsid w:val="03C52BEB"/>
    <w:rsid w:val="03C62463"/>
    <w:rsid w:val="03CC3388"/>
    <w:rsid w:val="03CC5D27"/>
    <w:rsid w:val="03CD2000"/>
    <w:rsid w:val="03D1158F"/>
    <w:rsid w:val="03D1333D"/>
    <w:rsid w:val="03D60BBC"/>
    <w:rsid w:val="03D80B70"/>
    <w:rsid w:val="03D87AEE"/>
    <w:rsid w:val="03E017D2"/>
    <w:rsid w:val="03E01D7D"/>
    <w:rsid w:val="03E3042A"/>
    <w:rsid w:val="03E77005"/>
    <w:rsid w:val="03E925A0"/>
    <w:rsid w:val="03EC63C9"/>
    <w:rsid w:val="03F31506"/>
    <w:rsid w:val="03F51A05"/>
    <w:rsid w:val="03FB329D"/>
    <w:rsid w:val="03FB660C"/>
    <w:rsid w:val="03FD05D6"/>
    <w:rsid w:val="03FD42A4"/>
    <w:rsid w:val="0400397D"/>
    <w:rsid w:val="04022A03"/>
    <w:rsid w:val="04093CAF"/>
    <w:rsid w:val="040B4A35"/>
    <w:rsid w:val="040C733F"/>
    <w:rsid w:val="04100401"/>
    <w:rsid w:val="04113619"/>
    <w:rsid w:val="04121ECF"/>
    <w:rsid w:val="04152757"/>
    <w:rsid w:val="04183B22"/>
    <w:rsid w:val="041B6CAE"/>
    <w:rsid w:val="041E1E80"/>
    <w:rsid w:val="041F3E95"/>
    <w:rsid w:val="04223B99"/>
    <w:rsid w:val="04231BA5"/>
    <w:rsid w:val="042376F1"/>
    <w:rsid w:val="042518DB"/>
    <w:rsid w:val="042D44C1"/>
    <w:rsid w:val="042F4508"/>
    <w:rsid w:val="04312700"/>
    <w:rsid w:val="043C0DBA"/>
    <w:rsid w:val="043F474B"/>
    <w:rsid w:val="04437524"/>
    <w:rsid w:val="04485ED3"/>
    <w:rsid w:val="04487945"/>
    <w:rsid w:val="044A4F10"/>
    <w:rsid w:val="044B1342"/>
    <w:rsid w:val="044C38EF"/>
    <w:rsid w:val="04506958"/>
    <w:rsid w:val="04531FA4"/>
    <w:rsid w:val="04545BA2"/>
    <w:rsid w:val="045D2E23"/>
    <w:rsid w:val="045D4B55"/>
    <w:rsid w:val="045D72C7"/>
    <w:rsid w:val="045F303F"/>
    <w:rsid w:val="045F4DED"/>
    <w:rsid w:val="046118B2"/>
    <w:rsid w:val="046425C9"/>
    <w:rsid w:val="046442CB"/>
    <w:rsid w:val="046B0554"/>
    <w:rsid w:val="046B7FE6"/>
    <w:rsid w:val="046C3066"/>
    <w:rsid w:val="046D5C0C"/>
    <w:rsid w:val="046E2C6F"/>
    <w:rsid w:val="046F76DC"/>
    <w:rsid w:val="04730C2E"/>
    <w:rsid w:val="047654C5"/>
    <w:rsid w:val="04770389"/>
    <w:rsid w:val="047D071B"/>
    <w:rsid w:val="047F1AA0"/>
    <w:rsid w:val="04830338"/>
    <w:rsid w:val="0483283A"/>
    <w:rsid w:val="04842AA6"/>
    <w:rsid w:val="04887F07"/>
    <w:rsid w:val="0489140E"/>
    <w:rsid w:val="048A214D"/>
    <w:rsid w:val="048B3E34"/>
    <w:rsid w:val="048C54B6"/>
    <w:rsid w:val="048D1DB8"/>
    <w:rsid w:val="048D4179"/>
    <w:rsid w:val="048E56D2"/>
    <w:rsid w:val="048F44A4"/>
    <w:rsid w:val="049031F8"/>
    <w:rsid w:val="04966335"/>
    <w:rsid w:val="049820AD"/>
    <w:rsid w:val="049A1E8E"/>
    <w:rsid w:val="049C7DEF"/>
    <w:rsid w:val="04A171B4"/>
    <w:rsid w:val="04A87321"/>
    <w:rsid w:val="04AB649F"/>
    <w:rsid w:val="04AC7907"/>
    <w:rsid w:val="04AE18D1"/>
    <w:rsid w:val="04B36EE7"/>
    <w:rsid w:val="04BE5FB8"/>
    <w:rsid w:val="04C42EA2"/>
    <w:rsid w:val="04C6380B"/>
    <w:rsid w:val="04CE13BF"/>
    <w:rsid w:val="04D22ADA"/>
    <w:rsid w:val="04D330E5"/>
    <w:rsid w:val="04D4049D"/>
    <w:rsid w:val="04D4606A"/>
    <w:rsid w:val="04D53301"/>
    <w:rsid w:val="04D63E99"/>
    <w:rsid w:val="04D72BD5"/>
    <w:rsid w:val="04DA6B4D"/>
    <w:rsid w:val="04DD5D12"/>
    <w:rsid w:val="04E14131"/>
    <w:rsid w:val="04E35A1E"/>
    <w:rsid w:val="04E76EEB"/>
    <w:rsid w:val="04E86B91"/>
    <w:rsid w:val="04E90364"/>
    <w:rsid w:val="04E92909"/>
    <w:rsid w:val="04EA4042"/>
    <w:rsid w:val="04EA6DAD"/>
    <w:rsid w:val="04EB4710"/>
    <w:rsid w:val="04EB6681"/>
    <w:rsid w:val="04EB7D01"/>
    <w:rsid w:val="04F35535"/>
    <w:rsid w:val="04F8558C"/>
    <w:rsid w:val="04FC5457"/>
    <w:rsid w:val="04FC6AE0"/>
    <w:rsid w:val="04FE63B4"/>
    <w:rsid w:val="04FF212C"/>
    <w:rsid w:val="05010DB9"/>
    <w:rsid w:val="05015EA4"/>
    <w:rsid w:val="05045994"/>
    <w:rsid w:val="05050856"/>
    <w:rsid w:val="05087233"/>
    <w:rsid w:val="050B48D4"/>
    <w:rsid w:val="05133BA4"/>
    <w:rsid w:val="05140A30"/>
    <w:rsid w:val="051A51B8"/>
    <w:rsid w:val="051B12D0"/>
    <w:rsid w:val="051C3007"/>
    <w:rsid w:val="051C34DF"/>
    <w:rsid w:val="051C683A"/>
    <w:rsid w:val="05237BC9"/>
    <w:rsid w:val="05283431"/>
    <w:rsid w:val="052E5778"/>
    <w:rsid w:val="05337473"/>
    <w:rsid w:val="05353DA0"/>
    <w:rsid w:val="05355B4E"/>
    <w:rsid w:val="05373674"/>
    <w:rsid w:val="05383D19"/>
    <w:rsid w:val="053A13B6"/>
    <w:rsid w:val="053B5070"/>
    <w:rsid w:val="053C1881"/>
    <w:rsid w:val="053C7612"/>
    <w:rsid w:val="05443A50"/>
    <w:rsid w:val="05453FE3"/>
    <w:rsid w:val="05467A92"/>
    <w:rsid w:val="054838F8"/>
    <w:rsid w:val="054B168A"/>
    <w:rsid w:val="054E09BE"/>
    <w:rsid w:val="05500BDA"/>
    <w:rsid w:val="05537D0A"/>
    <w:rsid w:val="05551447"/>
    <w:rsid w:val="055702D4"/>
    <w:rsid w:val="05575EE0"/>
    <w:rsid w:val="055B5A90"/>
    <w:rsid w:val="056106F1"/>
    <w:rsid w:val="056120BB"/>
    <w:rsid w:val="05656433"/>
    <w:rsid w:val="056621AB"/>
    <w:rsid w:val="05673485"/>
    <w:rsid w:val="05676E89"/>
    <w:rsid w:val="05681A7F"/>
    <w:rsid w:val="056C5A14"/>
    <w:rsid w:val="05704DD8"/>
    <w:rsid w:val="057523EE"/>
    <w:rsid w:val="057540F8"/>
    <w:rsid w:val="05781120"/>
    <w:rsid w:val="057B1CE0"/>
    <w:rsid w:val="057C377D"/>
    <w:rsid w:val="057E7581"/>
    <w:rsid w:val="057F32C4"/>
    <w:rsid w:val="05810CD6"/>
    <w:rsid w:val="05810D93"/>
    <w:rsid w:val="058311BB"/>
    <w:rsid w:val="05887005"/>
    <w:rsid w:val="058D32AA"/>
    <w:rsid w:val="058E4A85"/>
    <w:rsid w:val="058F7FE6"/>
    <w:rsid w:val="059046BA"/>
    <w:rsid w:val="05915B61"/>
    <w:rsid w:val="059162B8"/>
    <w:rsid w:val="05921B3D"/>
    <w:rsid w:val="05932C61"/>
    <w:rsid w:val="05961171"/>
    <w:rsid w:val="05971575"/>
    <w:rsid w:val="05974759"/>
    <w:rsid w:val="059B1E55"/>
    <w:rsid w:val="059C10C6"/>
    <w:rsid w:val="05A52CD4"/>
    <w:rsid w:val="05A607FA"/>
    <w:rsid w:val="05AB7BBE"/>
    <w:rsid w:val="05AD3936"/>
    <w:rsid w:val="05B04059"/>
    <w:rsid w:val="05B24088"/>
    <w:rsid w:val="05B863DD"/>
    <w:rsid w:val="05B9677F"/>
    <w:rsid w:val="05C173E2"/>
    <w:rsid w:val="05C50C80"/>
    <w:rsid w:val="05C7245F"/>
    <w:rsid w:val="05C72725"/>
    <w:rsid w:val="05C80770"/>
    <w:rsid w:val="05C824B6"/>
    <w:rsid w:val="05C95532"/>
    <w:rsid w:val="05CA2B6A"/>
    <w:rsid w:val="05CD3FD8"/>
    <w:rsid w:val="05CE287A"/>
    <w:rsid w:val="05CE7D2A"/>
    <w:rsid w:val="05CF5FA2"/>
    <w:rsid w:val="05D06302"/>
    <w:rsid w:val="05D0637A"/>
    <w:rsid w:val="05D11D1B"/>
    <w:rsid w:val="05D13AC9"/>
    <w:rsid w:val="05D20A7A"/>
    <w:rsid w:val="05D22AF3"/>
    <w:rsid w:val="05D53AD5"/>
    <w:rsid w:val="05D667DF"/>
    <w:rsid w:val="05E2524B"/>
    <w:rsid w:val="05E35962"/>
    <w:rsid w:val="05E66088"/>
    <w:rsid w:val="05E953E0"/>
    <w:rsid w:val="05E97064"/>
    <w:rsid w:val="05F250AD"/>
    <w:rsid w:val="05F740DE"/>
    <w:rsid w:val="05FC4B31"/>
    <w:rsid w:val="05FC5579"/>
    <w:rsid w:val="05FE0636"/>
    <w:rsid w:val="06035C4C"/>
    <w:rsid w:val="06073230"/>
    <w:rsid w:val="06085010"/>
    <w:rsid w:val="06085BEA"/>
    <w:rsid w:val="060A6F52"/>
    <w:rsid w:val="060B52E5"/>
    <w:rsid w:val="060B6A3A"/>
    <w:rsid w:val="060E2A38"/>
    <w:rsid w:val="060E6ACB"/>
    <w:rsid w:val="060F627C"/>
    <w:rsid w:val="0615527A"/>
    <w:rsid w:val="0616772D"/>
    <w:rsid w:val="06174FC9"/>
    <w:rsid w:val="06177D1B"/>
    <w:rsid w:val="061816F7"/>
    <w:rsid w:val="061B4D44"/>
    <w:rsid w:val="061D4AE9"/>
    <w:rsid w:val="06213F95"/>
    <w:rsid w:val="06215189"/>
    <w:rsid w:val="06222CA8"/>
    <w:rsid w:val="06253E14"/>
    <w:rsid w:val="06293905"/>
    <w:rsid w:val="062A142B"/>
    <w:rsid w:val="062E0DF4"/>
    <w:rsid w:val="062F07EF"/>
    <w:rsid w:val="063220AE"/>
    <w:rsid w:val="063276C3"/>
    <w:rsid w:val="06330B89"/>
    <w:rsid w:val="06334096"/>
    <w:rsid w:val="063400E4"/>
    <w:rsid w:val="06366C60"/>
    <w:rsid w:val="06380A36"/>
    <w:rsid w:val="06395792"/>
    <w:rsid w:val="063E0A32"/>
    <w:rsid w:val="06410201"/>
    <w:rsid w:val="06471FDD"/>
    <w:rsid w:val="064918B1"/>
    <w:rsid w:val="06497B2A"/>
    <w:rsid w:val="064A5F93"/>
    <w:rsid w:val="06502C30"/>
    <w:rsid w:val="065564A8"/>
    <w:rsid w:val="0658777D"/>
    <w:rsid w:val="065B5827"/>
    <w:rsid w:val="065E2A0C"/>
    <w:rsid w:val="065F10D4"/>
    <w:rsid w:val="065F7326"/>
    <w:rsid w:val="06602A58"/>
    <w:rsid w:val="06631469"/>
    <w:rsid w:val="066606B5"/>
    <w:rsid w:val="066623C4"/>
    <w:rsid w:val="067032E2"/>
    <w:rsid w:val="067277C8"/>
    <w:rsid w:val="06737E13"/>
    <w:rsid w:val="0677604B"/>
    <w:rsid w:val="067C2FE4"/>
    <w:rsid w:val="067C50E0"/>
    <w:rsid w:val="067F52D3"/>
    <w:rsid w:val="067F5B13"/>
    <w:rsid w:val="068333A4"/>
    <w:rsid w:val="0684067E"/>
    <w:rsid w:val="06854250"/>
    <w:rsid w:val="068C1D2C"/>
    <w:rsid w:val="068C5353"/>
    <w:rsid w:val="069131EB"/>
    <w:rsid w:val="069227DA"/>
    <w:rsid w:val="069461E6"/>
    <w:rsid w:val="06950CBD"/>
    <w:rsid w:val="06952D48"/>
    <w:rsid w:val="0697190B"/>
    <w:rsid w:val="069D39AB"/>
    <w:rsid w:val="069D4828"/>
    <w:rsid w:val="06AA444A"/>
    <w:rsid w:val="06AC0092"/>
    <w:rsid w:val="06AF4460"/>
    <w:rsid w:val="06B01930"/>
    <w:rsid w:val="06B31420"/>
    <w:rsid w:val="06B539A9"/>
    <w:rsid w:val="06B9606E"/>
    <w:rsid w:val="06BA27AF"/>
    <w:rsid w:val="06BC55A9"/>
    <w:rsid w:val="06C50692"/>
    <w:rsid w:val="06C54CB0"/>
    <w:rsid w:val="06C57E6F"/>
    <w:rsid w:val="06CD24E2"/>
    <w:rsid w:val="06D068DA"/>
    <w:rsid w:val="06D271EA"/>
    <w:rsid w:val="06D56C36"/>
    <w:rsid w:val="06D849E3"/>
    <w:rsid w:val="06DC604B"/>
    <w:rsid w:val="06E00D4C"/>
    <w:rsid w:val="06E47CFA"/>
    <w:rsid w:val="06E92E40"/>
    <w:rsid w:val="06EC5B17"/>
    <w:rsid w:val="06EE2458"/>
    <w:rsid w:val="06F03CE5"/>
    <w:rsid w:val="06F23CF7"/>
    <w:rsid w:val="06F37B09"/>
    <w:rsid w:val="06F54B94"/>
    <w:rsid w:val="06F91D55"/>
    <w:rsid w:val="06FC2DC7"/>
    <w:rsid w:val="06FD269B"/>
    <w:rsid w:val="07013F3A"/>
    <w:rsid w:val="07016A2E"/>
    <w:rsid w:val="07023F74"/>
    <w:rsid w:val="07043A2A"/>
    <w:rsid w:val="07047ECE"/>
    <w:rsid w:val="07061B14"/>
    <w:rsid w:val="07091040"/>
    <w:rsid w:val="070C4389"/>
    <w:rsid w:val="07131E95"/>
    <w:rsid w:val="07133C6D"/>
    <w:rsid w:val="071C5A8E"/>
    <w:rsid w:val="071D09FF"/>
    <w:rsid w:val="071D5765"/>
    <w:rsid w:val="07202092"/>
    <w:rsid w:val="072639A0"/>
    <w:rsid w:val="0728596A"/>
    <w:rsid w:val="072F035E"/>
    <w:rsid w:val="073065CD"/>
    <w:rsid w:val="07320597"/>
    <w:rsid w:val="07340E6C"/>
    <w:rsid w:val="07373869"/>
    <w:rsid w:val="0737795B"/>
    <w:rsid w:val="07391925"/>
    <w:rsid w:val="073B3C23"/>
    <w:rsid w:val="073D23CB"/>
    <w:rsid w:val="0741414F"/>
    <w:rsid w:val="07425B41"/>
    <w:rsid w:val="07463945"/>
    <w:rsid w:val="074F739B"/>
    <w:rsid w:val="07504EC1"/>
    <w:rsid w:val="07505522"/>
    <w:rsid w:val="075077D4"/>
    <w:rsid w:val="07520C39"/>
    <w:rsid w:val="075A74AF"/>
    <w:rsid w:val="075E4B30"/>
    <w:rsid w:val="075F5058"/>
    <w:rsid w:val="075F64B8"/>
    <w:rsid w:val="07617422"/>
    <w:rsid w:val="07641DB7"/>
    <w:rsid w:val="07660241"/>
    <w:rsid w:val="07677B15"/>
    <w:rsid w:val="0768220B"/>
    <w:rsid w:val="07703098"/>
    <w:rsid w:val="077342E3"/>
    <w:rsid w:val="07740BAF"/>
    <w:rsid w:val="0774295E"/>
    <w:rsid w:val="07755594"/>
    <w:rsid w:val="07797F74"/>
    <w:rsid w:val="077A1F3E"/>
    <w:rsid w:val="077A4DF6"/>
    <w:rsid w:val="07825BA3"/>
    <w:rsid w:val="07833AF3"/>
    <w:rsid w:val="07853B29"/>
    <w:rsid w:val="07857B54"/>
    <w:rsid w:val="07862E01"/>
    <w:rsid w:val="078A6D7E"/>
    <w:rsid w:val="078B24C0"/>
    <w:rsid w:val="078B5EF9"/>
    <w:rsid w:val="078C7F48"/>
    <w:rsid w:val="078D1C71"/>
    <w:rsid w:val="078D7EC3"/>
    <w:rsid w:val="07941252"/>
    <w:rsid w:val="079563CA"/>
    <w:rsid w:val="07990616"/>
    <w:rsid w:val="079A2C82"/>
    <w:rsid w:val="079A523F"/>
    <w:rsid w:val="07A07BF6"/>
    <w:rsid w:val="07A16546"/>
    <w:rsid w:val="07A16BE7"/>
    <w:rsid w:val="07AA0EFE"/>
    <w:rsid w:val="07AB7150"/>
    <w:rsid w:val="07AC659B"/>
    <w:rsid w:val="07AD3016"/>
    <w:rsid w:val="07B0770E"/>
    <w:rsid w:val="07B40FAC"/>
    <w:rsid w:val="07B77553"/>
    <w:rsid w:val="07B9416A"/>
    <w:rsid w:val="07BF4A23"/>
    <w:rsid w:val="07C0610A"/>
    <w:rsid w:val="07C30081"/>
    <w:rsid w:val="07C74031"/>
    <w:rsid w:val="07CD36DD"/>
    <w:rsid w:val="07CD3779"/>
    <w:rsid w:val="07D2392A"/>
    <w:rsid w:val="07D71FE0"/>
    <w:rsid w:val="07D75CBB"/>
    <w:rsid w:val="07D9452C"/>
    <w:rsid w:val="07DB2AAF"/>
    <w:rsid w:val="07DB47E0"/>
    <w:rsid w:val="07DE0659"/>
    <w:rsid w:val="07DF7E70"/>
    <w:rsid w:val="07E01BEF"/>
    <w:rsid w:val="07E04497"/>
    <w:rsid w:val="07E07FF3"/>
    <w:rsid w:val="07E62177"/>
    <w:rsid w:val="07E8524C"/>
    <w:rsid w:val="07EA535A"/>
    <w:rsid w:val="07EF0236"/>
    <w:rsid w:val="07F13FAE"/>
    <w:rsid w:val="07F57D52"/>
    <w:rsid w:val="07F721CB"/>
    <w:rsid w:val="07FC49BB"/>
    <w:rsid w:val="08017F69"/>
    <w:rsid w:val="08071A24"/>
    <w:rsid w:val="08090BA2"/>
    <w:rsid w:val="0809662B"/>
    <w:rsid w:val="080B07D9"/>
    <w:rsid w:val="08125054"/>
    <w:rsid w:val="08157B45"/>
    <w:rsid w:val="08161C67"/>
    <w:rsid w:val="08163A15"/>
    <w:rsid w:val="08192736"/>
    <w:rsid w:val="081A3E22"/>
    <w:rsid w:val="081D2FF5"/>
    <w:rsid w:val="081F18E0"/>
    <w:rsid w:val="08230F87"/>
    <w:rsid w:val="08245805"/>
    <w:rsid w:val="082B2A54"/>
    <w:rsid w:val="082D1A17"/>
    <w:rsid w:val="082F6601"/>
    <w:rsid w:val="0831161B"/>
    <w:rsid w:val="083245C7"/>
    <w:rsid w:val="0837398B"/>
    <w:rsid w:val="08393BA7"/>
    <w:rsid w:val="083A10B9"/>
    <w:rsid w:val="083B6B0B"/>
    <w:rsid w:val="083B791F"/>
    <w:rsid w:val="083C4A8F"/>
    <w:rsid w:val="083E0902"/>
    <w:rsid w:val="083E11BD"/>
    <w:rsid w:val="08444A26"/>
    <w:rsid w:val="0845035A"/>
    <w:rsid w:val="08474C67"/>
    <w:rsid w:val="084E1CE6"/>
    <w:rsid w:val="08545B61"/>
    <w:rsid w:val="085524BA"/>
    <w:rsid w:val="085530EF"/>
    <w:rsid w:val="08557E3A"/>
    <w:rsid w:val="085A5228"/>
    <w:rsid w:val="085C3EA8"/>
    <w:rsid w:val="085D4604"/>
    <w:rsid w:val="086302C4"/>
    <w:rsid w:val="086700A1"/>
    <w:rsid w:val="086724C2"/>
    <w:rsid w:val="086851C5"/>
    <w:rsid w:val="086C129F"/>
    <w:rsid w:val="086C43F4"/>
    <w:rsid w:val="086E55FF"/>
    <w:rsid w:val="087105B2"/>
    <w:rsid w:val="08757642"/>
    <w:rsid w:val="08760957"/>
    <w:rsid w:val="08763A7E"/>
    <w:rsid w:val="087D1CE6"/>
    <w:rsid w:val="087D3E5F"/>
    <w:rsid w:val="087E731E"/>
    <w:rsid w:val="087F559D"/>
    <w:rsid w:val="08844E22"/>
    <w:rsid w:val="088621FE"/>
    <w:rsid w:val="088B6211"/>
    <w:rsid w:val="088C1F29"/>
    <w:rsid w:val="088E7A4F"/>
    <w:rsid w:val="08974B03"/>
    <w:rsid w:val="08991AD4"/>
    <w:rsid w:val="089D158D"/>
    <w:rsid w:val="089E1380"/>
    <w:rsid w:val="08A323CB"/>
    <w:rsid w:val="08A52048"/>
    <w:rsid w:val="08AC25CB"/>
    <w:rsid w:val="08B9073E"/>
    <w:rsid w:val="08B91276"/>
    <w:rsid w:val="08BA4425"/>
    <w:rsid w:val="08BD0D0A"/>
    <w:rsid w:val="08C040E2"/>
    <w:rsid w:val="08C43471"/>
    <w:rsid w:val="08C60D64"/>
    <w:rsid w:val="08C6368D"/>
    <w:rsid w:val="08CA4DCB"/>
    <w:rsid w:val="08D42C9C"/>
    <w:rsid w:val="08D4742C"/>
    <w:rsid w:val="08D55229"/>
    <w:rsid w:val="08D5567E"/>
    <w:rsid w:val="08D8516E"/>
    <w:rsid w:val="08DE5BA8"/>
    <w:rsid w:val="08E04BE6"/>
    <w:rsid w:val="08E25FED"/>
    <w:rsid w:val="08E91129"/>
    <w:rsid w:val="08EA1C9D"/>
    <w:rsid w:val="08EB4EA1"/>
    <w:rsid w:val="08EC540F"/>
    <w:rsid w:val="08F0070A"/>
    <w:rsid w:val="08F655F4"/>
    <w:rsid w:val="08FF094D"/>
    <w:rsid w:val="08FF26FB"/>
    <w:rsid w:val="09023F99"/>
    <w:rsid w:val="090B4EFE"/>
    <w:rsid w:val="09150170"/>
    <w:rsid w:val="09153CCC"/>
    <w:rsid w:val="091741BB"/>
    <w:rsid w:val="091B2D51"/>
    <w:rsid w:val="091E2B22"/>
    <w:rsid w:val="091E6F4E"/>
    <w:rsid w:val="091F3655"/>
    <w:rsid w:val="09206E58"/>
    <w:rsid w:val="09212671"/>
    <w:rsid w:val="0923693C"/>
    <w:rsid w:val="0932487E"/>
    <w:rsid w:val="0933345C"/>
    <w:rsid w:val="0935611C"/>
    <w:rsid w:val="09384548"/>
    <w:rsid w:val="09385C0D"/>
    <w:rsid w:val="09391199"/>
    <w:rsid w:val="09391BDB"/>
    <w:rsid w:val="093B4928"/>
    <w:rsid w:val="093C07E0"/>
    <w:rsid w:val="093C396A"/>
    <w:rsid w:val="093D1475"/>
    <w:rsid w:val="093D3223"/>
    <w:rsid w:val="093E76C7"/>
    <w:rsid w:val="09420533"/>
    <w:rsid w:val="09437B3A"/>
    <w:rsid w:val="0944018B"/>
    <w:rsid w:val="09463FB2"/>
    <w:rsid w:val="094871EF"/>
    <w:rsid w:val="094D4E6D"/>
    <w:rsid w:val="094E7C8D"/>
    <w:rsid w:val="09504385"/>
    <w:rsid w:val="09556B95"/>
    <w:rsid w:val="09572537"/>
    <w:rsid w:val="09576113"/>
    <w:rsid w:val="095953E8"/>
    <w:rsid w:val="095C40F1"/>
    <w:rsid w:val="0961654D"/>
    <w:rsid w:val="096D3B08"/>
    <w:rsid w:val="0970184A"/>
    <w:rsid w:val="09710090"/>
    <w:rsid w:val="09717ADB"/>
    <w:rsid w:val="09785729"/>
    <w:rsid w:val="097874D0"/>
    <w:rsid w:val="097F1859"/>
    <w:rsid w:val="09842C00"/>
    <w:rsid w:val="09854FB0"/>
    <w:rsid w:val="098837B8"/>
    <w:rsid w:val="098D5F59"/>
    <w:rsid w:val="098E2387"/>
    <w:rsid w:val="0990783C"/>
    <w:rsid w:val="09911938"/>
    <w:rsid w:val="099136D3"/>
    <w:rsid w:val="0995039F"/>
    <w:rsid w:val="0995305F"/>
    <w:rsid w:val="09972878"/>
    <w:rsid w:val="099A2423"/>
    <w:rsid w:val="099F7A3A"/>
    <w:rsid w:val="09A031B5"/>
    <w:rsid w:val="09A3752A"/>
    <w:rsid w:val="09A514F4"/>
    <w:rsid w:val="09A744D3"/>
    <w:rsid w:val="09A87B9D"/>
    <w:rsid w:val="09AF2373"/>
    <w:rsid w:val="09B1625C"/>
    <w:rsid w:val="09B7295F"/>
    <w:rsid w:val="09B75781"/>
    <w:rsid w:val="09B92C33"/>
    <w:rsid w:val="09BA75E6"/>
    <w:rsid w:val="09BC692F"/>
    <w:rsid w:val="09BE4364"/>
    <w:rsid w:val="09C1666D"/>
    <w:rsid w:val="09C20F36"/>
    <w:rsid w:val="09C405C2"/>
    <w:rsid w:val="09C41731"/>
    <w:rsid w:val="09C81511"/>
    <w:rsid w:val="09C92F11"/>
    <w:rsid w:val="09CB6A81"/>
    <w:rsid w:val="09CC2792"/>
    <w:rsid w:val="09CF6571"/>
    <w:rsid w:val="09D5345C"/>
    <w:rsid w:val="09D84349"/>
    <w:rsid w:val="09E143A1"/>
    <w:rsid w:val="09E27DEE"/>
    <w:rsid w:val="09E518F1"/>
    <w:rsid w:val="09E572C0"/>
    <w:rsid w:val="09EE3F05"/>
    <w:rsid w:val="09F41B3F"/>
    <w:rsid w:val="09F47D86"/>
    <w:rsid w:val="09F52C4D"/>
    <w:rsid w:val="09F91840"/>
    <w:rsid w:val="09FB5C39"/>
    <w:rsid w:val="09FE0C04"/>
    <w:rsid w:val="0A067BFA"/>
    <w:rsid w:val="0A0A5105"/>
    <w:rsid w:val="0A0B0840"/>
    <w:rsid w:val="0A0D6D90"/>
    <w:rsid w:val="0A0E6D8C"/>
    <w:rsid w:val="0A1160B7"/>
    <w:rsid w:val="0A116BA1"/>
    <w:rsid w:val="0A140428"/>
    <w:rsid w:val="0A145B35"/>
    <w:rsid w:val="0A146CF1"/>
    <w:rsid w:val="0A165461"/>
    <w:rsid w:val="0A1A64AA"/>
    <w:rsid w:val="0A200374"/>
    <w:rsid w:val="0A200B7B"/>
    <w:rsid w:val="0A232419"/>
    <w:rsid w:val="0A261F09"/>
    <w:rsid w:val="0A27015B"/>
    <w:rsid w:val="0A2732E6"/>
    <w:rsid w:val="0A285C81"/>
    <w:rsid w:val="0A2905F9"/>
    <w:rsid w:val="0A2979F9"/>
    <w:rsid w:val="0A2B5735"/>
    <w:rsid w:val="0A300921"/>
    <w:rsid w:val="0A342878"/>
    <w:rsid w:val="0A355F10"/>
    <w:rsid w:val="0A3C34DB"/>
    <w:rsid w:val="0A404AFB"/>
    <w:rsid w:val="0A40729B"/>
    <w:rsid w:val="0A410AF1"/>
    <w:rsid w:val="0A422813"/>
    <w:rsid w:val="0A434D56"/>
    <w:rsid w:val="0A474B53"/>
    <w:rsid w:val="0A4F520B"/>
    <w:rsid w:val="0A541B4B"/>
    <w:rsid w:val="0A5446D8"/>
    <w:rsid w:val="0A593013"/>
    <w:rsid w:val="0A595D5E"/>
    <w:rsid w:val="0A5B6057"/>
    <w:rsid w:val="0A5C517D"/>
    <w:rsid w:val="0A5F1974"/>
    <w:rsid w:val="0A5F4CC6"/>
    <w:rsid w:val="0A6854E5"/>
    <w:rsid w:val="0A741588"/>
    <w:rsid w:val="0A763666"/>
    <w:rsid w:val="0A7D53C7"/>
    <w:rsid w:val="0A7D5BFE"/>
    <w:rsid w:val="0A7F5B6E"/>
    <w:rsid w:val="0A837374"/>
    <w:rsid w:val="0A84735B"/>
    <w:rsid w:val="0A852578"/>
    <w:rsid w:val="0A860446"/>
    <w:rsid w:val="0A872FB0"/>
    <w:rsid w:val="0A884AC2"/>
    <w:rsid w:val="0A9133AF"/>
    <w:rsid w:val="0A9711D7"/>
    <w:rsid w:val="0A9E08BB"/>
    <w:rsid w:val="0AA277E2"/>
    <w:rsid w:val="0AA27E70"/>
    <w:rsid w:val="0AA3501D"/>
    <w:rsid w:val="0AA77B5F"/>
    <w:rsid w:val="0AA9041C"/>
    <w:rsid w:val="0AB03BF9"/>
    <w:rsid w:val="0AB15DED"/>
    <w:rsid w:val="0AB310E4"/>
    <w:rsid w:val="0AB734AE"/>
    <w:rsid w:val="0ABA1AE1"/>
    <w:rsid w:val="0ABF6422"/>
    <w:rsid w:val="0AC0235E"/>
    <w:rsid w:val="0AC05EBA"/>
    <w:rsid w:val="0AC26803"/>
    <w:rsid w:val="0AC41E4E"/>
    <w:rsid w:val="0AC51C88"/>
    <w:rsid w:val="0AC72CD7"/>
    <w:rsid w:val="0ACA0773"/>
    <w:rsid w:val="0ACA0AE6"/>
    <w:rsid w:val="0ACA6D38"/>
    <w:rsid w:val="0ACB616E"/>
    <w:rsid w:val="0ACC485F"/>
    <w:rsid w:val="0ACD50D9"/>
    <w:rsid w:val="0AD00026"/>
    <w:rsid w:val="0AD1245E"/>
    <w:rsid w:val="0ADA0A7B"/>
    <w:rsid w:val="0AE179D8"/>
    <w:rsid w:val="0AE20526"/>
    <w:rsid w:val="0AE56260"/>
    <w:rsid w:val="0AE95411"/>
    <w:rsid w:val="0AF0430E"/>
    <w:rsid w:val="0AF14803"/>
    <w:rsid w:val="0AF22EF3"/>
    <w:rsid w:val="0AFB349F"/>
    <w:rsid w:val="0AFD0EBC"/>
    <w:rsid w:val="0B024724"/>
    <w:rsid w:val="0B177C5F"/>
    <w:rsid w:val="0B282BC9"/>
    <w:rsid w:val="0B2A712F"/>
    <w:rsid w:val="0B302A87"/>
    <w:rsid w:val="0B381131"/>
    <w:rsid w:val="0B381EF4"/>
    <w:rsid w:val="0B3A146E"/>
    <w:rsid w:val="0B3A3EBE"/>
    <w:rsid w:val="0B3F74E9"/>
    <w:rsid w:val="0B4474F0"/>
    <w:rsid w:val="0B480BA4"/>
    <w:rsid w:val="0B4C599F"/>
    <w:rsid w:val="0B53243F"/>
    <w:rsid w:val="0B5359F2"/>
    <w:rsid w:val="0B586581"/>
    <w:rsid w:val="0B5E2329"/>
    <w:rsid w:val="0B5F1461"/>
    <w:rsid w:val="0B61144B"/>
    <w:rsid w:val="0B666A61"/>
    <w:rsid w:val="0B687DEC"/>
    <w:rsid w:val="0B6A6843"/>
    <w:rsid w:val="0B6B4077"/>
    <w:rsid w:val="0B6E3B33"/>
    <w:rsid w:val="0B710692"/>
    <w:rsid w:val="0B7B6709"/>
    <w:rsid w:val="0B7E1DF4"/>
    <w:rsid w:val="0B7E3BA0"/>
    <w:rsid w:val="0B846A84"/>
    <w:rsid w:val="0B870B9C"/>
    <w:rsid w:val="0B8B0495"/>
    <w:rsid w:val="0B8C0927"/>
    <w:rsid w:val="0B8C2821"/>
    <w:rsid w:val="0B907065"/>
    <w:rsid w:val="0B9279B8"/>
    <w:rsid w:val="0B942E6D"/>
    <w:rsid w:val="0B9510F4"/>
    <w:rsid w:val="0B954A79"/>
    <w:rsid w:val="0BA002B2"/>
    <w:rsid w:val="0BA27697"/>
    <w:rsid w:val="0BA51291"/>
    <w:rsid w:val="0BA852CC"/>
    <w:rsid w:val="0BAB72B9"/>
    <w:rsid w:val="0BAB742C"/>
    <w:rsid w:val="0BB04180"/>
    <w:rsid w:val="0BB06E9A"/>
    <w:rsid w:val="0BB7550F"/>
    <w:rsid w:val="0BB84642"/>
    <w:rsid w:val="0BB9775D"/>
    <w:rsid w:val="0BBC2B25"/>
    <w:rsid w:val="0BBF7B5F"/>
    <w:rsid w:val="0BC076EB"/>
    <w:rsid w:val="0BC219D6"/>
    <w:rsid w:val="0BCA3494"/>
    <w:rsid w:val="0BCB7811"/>
    <w:rsid w:val="0BCC764B"/>
    <w:rsid w:val="0BCE4606"/>
    <w:rsid w:val="0BDA2FAB"/>
    <w:rsid w:val="0BDE7642"/>
    <w:rsid w:val="0BDF4884"/>
    <w:rsid w:val="0BE12940"/>
    <w:rsid w:val="0BE17265"/>
    <w:rsid w:val="0BE34556"/>
    <w:rsid w:val="0BE856C8"/>
    <w:rsid w:val="0BEA58E4"/>
    <w:rsid w:val="0BEC3D65"/>
    <w:rsid w:val="0BED35B4"/>
    <w:rsid w:val="0BF12085"/>
    <w:rsid w:val="0BF16C73"/>
    <w:rsid w:val="0BF64289"/>
    <w:rsid w:val="0BF66911"/>
    <w:rsid w:val="0BF670F3"/>
    <w:rsid w:val="0BF70001"/>
    <w:rsid w:val="0BF91AFE"/>
    <w:rsid w:val="0BFB0FAB"/>
    <w:rsid w:val="0BFE39DA"/>
    <w:rsid w:val="0C0149DC"/>
    <w:rsid w:val="0C060244"/>
    <w:rsid w:val="0C0652C4"/>
    <w:rsid w:val="0C0A408A"/>
    <w:rsid w:val="0C0E7959"/>
    <w:rsid w:val="0C0F7FD6"/>
    <w:rsid w:val="0C126DC0"/>
    <w:rsid w:val="0C1D0C5F"/>
    <w:rsid w:val="0C1E21AC"/>
    <w:rsid w:val="0C231A50"/>
    <w:rsid w:val="0C246494"/>
    <w:rsid w:val="0C25691C"/>
    <w:rsid w:val="0C257CD6"/>
    <w:rsid w:val="0C267E57"/>
    <w:rsid w:val="0C286ADE"/>
    <w:rsid w:val="0C2A1D8E"/>
    <w:rsid w:val="0C2B3ED1"/>
    <w:rsid w:val="0C30294C"/>
    <w:rsid w:val="0C322347"/>
    <w:rsid w:val="0C32678B"/>
    <w:rsid w:val="0C332F42"/>
    <w:rsid w:val="0C345B51"/>
    <w:rsid w:val="0C4012BB"/>
    <w:rsid w:val="0C491976"/>
    <w:rsid w:val="0C4C174B"/>
    <w:rsid w:val="0C4C3AE9"/>
    <w:rsid w:val="0C4D7C21"/>
    <w:rsid w:val="0C4F3557"/>
    <w:rsid w:val="0C4F6449"/>
    <w:rsid w:val="0C5114BF"/>
    <w:rsid w:val="0C542D5E"/>
    <w:rsid w:val="0C5701CA"/>
    <w:rsid w:val="0C5827F4"/>
    <w:rsid w:val="0C5965C6"/>
    <w:rsid w:val="0C5C523A"/>
    <w:rsid w:val="0C647985"/>
    <w:rsid w:val="0C671A47"/>
    <w:rsid w:val="0C6742EC"/>
    <w:rsid w:val="0C6853C5"/>
    <w:rsid w:val="0C6A7C86"/>
    <w:rsid w:val="0C6C184A"/>
    <w:rsid w:val="0C6C49EE"/>
    <w:rsid w:val="0C6F7B97"/>
    <w:rsid w:val="0C727688"/>
    <w:rsid w:val="0C727D3B"/>
    <w:rsid w:val="0C730594"/>
    <w:rsid w:val="0C7327A0"/>
    <w:rsid w:val="0C743400"/>
    <w:rsid w:val="0C772780"/>
    <w:rsid w:val="0C7777C5"/>
    <w:rsid w:val="0C784205"/>
    <w:rsid w:val="0C7B478E"/>
    <w:rsid w:val="0C803B53"/>
    <w:rsid w:val="0C811679"/>
    <w:rsid w:val="0C81761F"/>
    <w:rsid w:val="0C823427"/>
    <w:rsid w:val="0C84322A"/>
    <w:rsid w:val="0C8573BB"/>
    <w:rsid w:val="0C8E494C"/>
    <w:rsid w:val="0C8F0EF0"/>
    <w:rsid w:val="0C9022D9"/>
    <w:rsid w:val="0C911144"/>
    <w:rsid w:val="0C9366E6"/>
    <w:rsid w:val="0C940A7A"/>
    <w:rsid w:val="0C945AC7"/>
    <w:rsid w:val="0C946351"/>
    <w:rsid w:val="0C961DA3"/>
    <w:rsid w:val="0C971A52"/>
    <w:rsid w:val="0C980C60"/>
    <w:rsid w:val="0C9906E6"/>
    <w:rsid w:val="0C9B6C3C"/>
    <w:rsid w:val="0C9D3858"/>
    <w:rsid w:val="0C9E1B4C"/>
    <w:rsid w:val="0C9F0263"/>
    <w:rsid w:val="0CA02447"/>
    <w:rsid w:val="0CA05CB1"/>
    <w:rsid w:val="0CA21D1B"/>
    <w:rsid w:val="0CA4345A"/>
    <w:rsid w:val="0CA57D4E"/>
    <w:rsid w:val="0CAD65BA"/>
    <w:rsid w:val="0CB3217A"/>
    <w:rsid w:val="0CB34126"/>
    <w:rsid w:val="0CB57830"/>
    <w:rsid w:val="0CB60892"/>
    <w:rsid w:val="0CB657C6"/>
    <w:rsid w:val="0CB81F92"/>
    <w:rsid w:val="0CB97065"/>
    <w:rsid w:val="0CBF52DA"/>
    <w:rsid w:val="0CC021A1"/>
    <w:rsid w:val="0CC2653F"/>
    <w:rsid w:val="0CC46135"/>
    <w:rsid w:val="0CC63D57"/>
    <w:rsid w:val="0CC71781"/>
    <w:rsid w:val="0CC8184F"/>
    <w:rsid w:val="0CC864D7"/>
    <w:rsid w:val="0CCA2C70"/>
    <w:rsid w:val="0CCC6D98"/>
    <w:rsid w:val="0CCD48BE"/>
    <w:rsid w:val="0CCD550F"/>
    <w:rsid w:val="0CCF0636"/>
    <w:rsid w:val="0CD14A79"/>
    <w:rsid w:val="0CD345CA"/>
    <w:rsid w:val="0CD65E68"/>
    <w:rsid w:val="0CDB2626"/>
    <w:rsid w:val="0CE139B6"/>
    <w:rsid w:val="0CE17FA4"/>
    <w:rsid w:val="0CE20369"/>
    <w:rsid w:val="0CE40D90"/>
    <w:rsid w:val="0CE844A6"/>
    <w:rsid w:val="0CE95B9C"/>
    <w:rsid w:val="0CE964D1"/>
    <w:rsid w:val="0CEA36C2"/>
    <w:rsid w:val="0CEC743A"/>
    <w:rsid w:val="0CEF2A86"/>
    <w:rsid w:val="0CEF4F2D"/>
    <w:rsid w:val="0CF2312E"/>
    <w:rsid w:val="0CF837EB"/>
    <w:rsid w:val="0CF85DDF"/>
    <w:rsid w:val="0CFA3334"/>
    <w:rsid w:val="0D002EE5"/>
    <w:rsid w:val="0D004786"/>
    <w:rsid w:val="0D0261B4"/>
    <w:rsid w:val="0D026C5D"/>
    <w:rsid w:val="0D0512FE"/>
    <w:rsid w:val="0D07035E"/>
    <w:rsid w:val="0D076022"/>
    <w:rsid w:val="0D093B48"/>
    <w:rsid w:val="0D120418"/>
    <w:rsid w:val="0D137611"/>
    <w:rsid w:val="0D157F91"/>
    <w:rsid w:val="0D166265"/>
    <w:rsid w:val="0D172FF8"/>
    <w:rsid w:val="0D1904D8"/>
    <w:rsid w:val="0D19235B"/>
    <w:rsid w:val="0D215336"/>
    <w:rsid w:val="0D22138C"/>
    <w:rsid w:val="0D224637"/>
    <w:rsid w:val="0D246BD4"/>
    <w:rsid w:val="0D2746A1"/>
    <w:rsid w:val="0D2800CF"/>
    <w:rsid w:val="0D2A3ABE"/>
    <w:rsid w:val="0D2C4D6C"/>
    <w:rsid w:val="0D371389"/>
    <w:rsid w:val="0D3776AD"/>
    <w:rsid w:val="0D3779DA"/>
    <w:rsid w:val="0D377E0D"/>
    <w:rsid w:val="0D38267F"/>
    <w:rsid w:val="0D385CC9"/>
    <w:rsid w:val="0D386EBC"/>
    <w:rsid w:val="0D3F07C8"/>
    <w:rsid w:val="0D3F3B1E"/>
    <w:rsid w:val="0D3F57BC"/>
    <w:rsid w:val="0D407BD1"/>
    <w:rsid w:val="0D411534"/>
    <w:rsid w:val="0D4350B1"/>
    <w:rsid w:val="0D470EA5"/>
    <w:rsid w:val="0D490ACA"/>
    <w:rsid w:val="0D4B1547"/>
    <w:rsid w:val="0D4C577C"/>
    <w:rsid w:val="0D4C7ED9"/>
    <w:rsid w:val="0D4E1EA3"/>
    <w:rsid w:val="0D503BE8"/>
    <w:rsid w:val="0D5079C9"/>
    <w:rsid w:val="0D561745"/>
    <w:rsid w:val="0D5F5E5E"/>
    <w:rsid w:val="0D6151BA"/>
    <w:rsid w:val="0D63594E"/>
    <w:rsid w:val="0D6613E9"/>
    <w:rsid w:val="0D690915"/>
    <w:rsid w:val="0D6A5E37"/>
    <w:rsid w:val="0D6C5EEC"/>
    <w:rsid w:val="0D6D38CF"/>
    <w:rsid w:val="0D7018B9"/>
    <w:rsid w:val="0D703BC7"/>
    <w:rsid w:val="0D710CA8"/>
    <w:rsid w:val="0D735465"/>
    <w:rsid w:val="0D7C41B5"/>
    <w:rsid w:val="0D800D49"/>
    <w:rsid w:val="0D8032E3"/>
    <w:rsid w:val="0D837D9E"/>
    <w:rsid w:val="0D841421"/>
    <w:rsid w:val="0D8458C4"/>
    <w:rsid w:val="0D893576"/>
    <w:rsid w:val="0D894A4E"/>
    <w:rsid w:val="0D91446E"/>
    <w:rsid w:val="0D921D8F"/>
    <w:rsid w:val="0D991370"/>
    <w:rsid w:val="0D9A50E8"/>
    <w:rsid w:val="0D9A6E96"/>
    <w:rsid w:val="0DA17267"/>
    <w:rsid w:val="0DA25D4B"/>
    <w:rsid w:val="0DA47D15"/>
    <w:rsid w:val="0DA70FB5"/>
    <w:rsid w:val="0DAD0977"/>
    <w:rsid w:val="0DAF7E31"/>
    <w:rsid w:val="0DB717F6"/>
    <w:rsid w:val="0DBB4A03"/>
    <w:rsid w:val="0DBC1100"/>
    <w:rsid w:val="0DBC505E"/>
    <w:rsid w:val="0DBE7E14"/>
    <w:rsid w:val="0DBF4B4E"/>
    <w:rsid w:val="0DD71E98"/>
    <w:rsid w:val="0DD92CC7"/>
    <w:rsid w:val="0DDC3BD8"/>
    <w:rsid w:val="0DDC4759"/>
    <w:rsid w:val="0DE255F7"/>
    <w:rsid w:val="0DE358C9"/>
    <w:rsid w:val="0DE60DCF"/>
    <w:rsid w:val="0DEB14A0"/>
    <w:rsid w:val="0DEB1BC5"/>
    <w:rsid w:val="0DED6FC6"/>
    <w:rsid w:val="0DEE2D3E"/>
    <w:rsid w:val="0DEF68B1"/>
    <w:rsid w:val="0DF35375"/>
    <w:rsid w:val="0DF465A6"/>
    <w:rsid w:val="0DF95042"/>
    <w:rsid w:val="0DF978B0"/>
    <w:rsid w:val="0DFC36AD"/>
    <w:rsid w:val="0DFC67AA"/>
    <w:rsid w:val="0DFE5677"/>
    <w:rsid w:val="0DFF42CC"/>
    <w:rsid w:val="0E010CC3"/>
    <w:rsid w:val="0E013AA6"/>
    <w:rsid w:val="0E023FD9"/>
    <w:rsid w:val="0E0849CA"/>
    <w:rsid w:val="0E100F06"/>
    <w:rsid w:val="0E107158"/>
    <w:rsid w:val="0E1409F6"/>
    <w:rsid w:val="0E14327B"/>
    <w:rsid w:val="0E1479AF"/>
    <w:rsid w:val="0E15651D"/>
    <w:rsid w:val="0E19425F"/>
    <w:rsid w:val="0E221DF9"/>
    <w:rsid w:val="0E2350DD"/>
    <w:rsid w:val="0E252C04"/>
    <w:rsid w:val="0E2624D8"/>
    <w:rsid w:val="0E280969"/>
    <w:rsid w:val="0E283FB3"/>
    <w:rsid w:val="0E2D3866"/>
    <w:rsid w:val="0E2D61F6"/>
    <w:rsid w:val="0E2F4C4F"/>
    <w:rsid w:val="0E31302D"/>
    <w:rsid w:val="0E3177FA"/>
    <w:rsid w:val="0E324BAC"/>
    <w:rsid w:val="0E325320"/>
    <w:rsid w:val="0E417FAD"/>
    <w:rsid w:val="0E42067D"/>
    <w:rsid w:val="0E465E3F"/>
    <w:rsid w:val="0E4809A2"/>
    <w:rsid w:val="0E4C4A29"/>
    <w:rsid w:val="0E5232CD"/>
    <w:rsid w:val="0E57246B"/>
    <w:rsid w:val="0E5E1C72"/>
    <w:rsid w:val="0E5E4367"/>
    <w:rsid w:val="0E5F1AC3"/>
    <w:rsid w:val="0E61590B"/>
    <w:rsid w:val="0E6179B4"/>
    <w:rsid w:val="0E6365CF"/>
    <w:rsid w:val="0E67321C"/>
    <w:rsid w:val="0E6A4470"/>
    <w:rsid w:val="0E6B152D"/>
    <w:rsid w:val="0E6B3B61"/>
    <w:rsid w:val="0E6F20D1"/>
    <w:rsid w:val="0E6F3E7F"/>
    <w:rsid w:val="0E72571D"/>
    <w:rsid w:val="0E727756"/>
    <w:rsid w:val="0E770F85"/>
    <w:rsid w:val="0E7A6C6A"/>
    <w:rsid w:val="0E7E660C"/>
    <w:rsid w:val="0E804F97"/>
    <w:rsid w:val="0E813BB2"/>
    <w:rsid w:val="0E880A30"/>
    <w:rsid w:val="0E884F40"/>
    <w:rsid w:val="0E8975C2"/>
    <w:rsid w:val="0E8A61B1"/>
    <w:rsid w:val="0E901459"/>
    <w:rsid w:val="0E9130FB"/>
    <w:rsid w:val="0E922F72"/>
    <w:rsid w:val="0E9438E5"/>
    <w:rsid w:val="0E9C033A"/>
    <w:rsid w:val="0E9C09EC"/>
    <w:rsid w:val="0E9C279A"/>
    <w:rsid w:val="0E9C4510"/>
    <w:rsid w:val="0E9D6C3E"/>
    <w:rsid w:val="0E9F2DA4"/>
    <w:rsid w:val="0EA60EEB"/>
    <w:rsid w:val="0EA83D08"/>
    <w:rsid w:val="0EAC0C2F"/>
    <w:rsid w:val="0EAD49A7"/>
    <w:rsid w:val="0EB126E9"/>
    <w:rsid w:val="0EB14497"/>
    <w:rsid w:val="0EB2255C"/>
    <w:rsid w:val="0EB6385C"/>
    <w:rsid w:val="0EB837FD"/>
    <w:rsid w:val="0EB9159E"/>
    <w:rsid w:val="0EBE057B"/>
    <w:rsid w:val="0EC017CA"/>
    <w:rsid w:val="0EC95C85"/>
    <w:rsid w:val="0ECE1FF2"/>
    <w:rsid w:val="0ECE329B"/>
    <w:rsid w:val="0ED2440E"/>
    <w:rsid w:val="0ED35683"/>
    <w:rsid w:val="0ED505A8"/>
    <w:rsid w:val="0ED85EC8"/>
    <w:rsid w:val="0EDB32C2"/>
    <w:rsid w:val="0EDB6E3C"/>
    <w:rsid w:val="0EDF694A"/>
    <w:rsid w:val="0EDF749E"/>
    <w:rsid w:val="0EE20797"/>
    <w:rsid w:val="0EE20AF5"/>
    <w:rsid w:val="0EE43A79"/>
    <w:rsid w:val="0EEA5BFB"/>
    <w:rsid w:val="0EEE2F62"/>
    <w:rsid w:val="0EF334C0"/>
    <w:rsid w:val="0EF36D83"/>
    <w:rsid w:val="0EF424D9"/>
    <w:rsid w:val="0EF64B3C"/>
    <w:rsid w:val="0EF83E74"/>
    <w:rsid w:val="0EFA766A"/>
    <w:rsid w:val="0EFB30EF"/>
    <w:rsid w:val="0EFB3F74"/>
    <w:rsid w:val="0EFE7BF5"/>
    <w:rsid w:val="0F024CF3"/>
    <w:rsid w:val="0F053294"/>
    <w:rsid w:val="0F067F6D"/>
    <w:rsid w:val="0F0A3BA7"/>
    <w:rsid w:val="0F112EC6"/>
    <w:rsid w:val="0F114F36"/>
    <w:rsid w:val="0F153448"/>
    <w:rsid w:val="0F184516"/>
    <w:rsid w:val="0F19718C"/>
    <w:rsid w:val="0F1E0228"/>
    <w:rsid w:val="0F1E7653"/>
    <w:rsid w:val="0F203DE2"/>
    <w:rsid w:val="0F237DDC"/>
    <w:rsid w:val="0F247CAD"/>
    <w:rsid w:val="0F29227F"/>
    <w:rsid w:val="0F297ABE"/>
    <w:rsid w:val="0F2A25A4"/>
    <w:rsid w:val="0F2A5FF8"/>
    <w:rsid w:val="0F326941"/>
    <w:rsid w:val="0F342FD0"/>
    <w:rsid w:val="0F352373"/>
    <w:rsid w:val="0F3D2575"/>
    <w:rsid w:val="0F3E4514"/>
    <w:rsid w:val="0F403A6D"/>
    <w:rsid w:val="0F4224B9"/>
    <w:rsid w:val="0F4672D5"/>
    <w:rsid w:val="0F4B77E8"/>
    <w:rsid w:val="0F4C2412"/>
    <w:rsid w:val="0F4C2EA3"/>
    <w:rsid w:val="0F5117D6"/>
    <w:rsid w:val="0F52108C"/>
    <w:rsid w:val="0F525953"/>
    <w:rsid w:val="0F566347"/>
    <w:rsid w:val="0F580DB7"/>
    <w:rsid w:val="0F5D4958"/>
    <w:rsid w:val="0F6459AD"/>
    <w:rsid w:val="0F664811"/>
    <w:rsid w:val="0F6B5573"/>
    <w:rsid w:val="0F6D34C7"/>
    <w:rsid w:val="0F6E40C6"/>
    <w:rsid w:val="0F6E444C"/>
    <w:rsid w:val="0F6F5FE2"/>
    <w:rsid w:val="0F711E78"/>
    <w:rsid w:val="0F722BEA"/>
    <w:rsid w:val="0F7410E6"/>
    <w:rsid w:val="0F750D17"/>
    <w:rsid w:val="0F780106"/>
    <w:rsid w:val="0F781923"/>
    <w:rsid w:val="0F783207"/>
    <w:rsid w:val="0F7A6F7F"/>
    <w:rsid w:val="0F825A89"/>
    <w:rsid w:val="0F827BE2"/>
    <w:rsid w:val="0F8370B3"/>
    <w:rsid w:val="0F8434B3"/>
    <w:rsid w:val="0F871430"/>
    <w:rsid w:val="0F893F4E"/>
    <w:rsid w:val="0F8B2F3A"/>
    <w:rsid w:val="0F8B53FA"/>
    <w:rsid w:val="0F8C280E"/>
    <w:rsid w:val="0F96368D"/>
    <w:rsid w:val="0F997115"/>
    <w:rsid w:val="0F9A0A63"/>
    <w:rsid w:val="0F9A13CF"/>
    <w:rsid w:val="0F9D1E15"/>
    <w:rsid w:val="0FA57C09"/>
    <w:rsid w:val="0FA67ED2"/>
    <w:rsid w:val="0FAC0D64"/>
    <w:rsid w:val="0FB00BF3"/>
    <w:rsid w:val="0FBD55BE"/>
    <w:rsid w:val="0FBF6D8B"/>
    <w:rsid w:val="0FC3072C"/>
    <w:rsid w:val="0FC361E9"/>
    <w:rsid w:val="0FCB77DB"/>
    <w:rsid w:val="0FCE4ADB"/>
    <w:rsid w:val="0FCF4880"/>
    <w:rsid w:val="0FCF76A4"/>
    <w:rsid w:val="0FD12EE2"/>
    <w:rsid w:val="0FD15B7E"/>
    <w:rsid w:val="0FD70EFD"/>
    <w:rsid w:val="0FDC34BA"/>
    <w:rsid w:val="0FDE2508"/>
    <w:rsid w:val="0FDE4E9E"/>
    <w:rsid w:val="0FE223BF"/>
    <w:rsid w:val="0FE4089C"/>
    <w:rsid w:val="0FEA1995"/>
    <w:rsid w:val="0FEF6A5D"/>
    <w:rsid w:val="0FF20643"/>
    <w:rsid w:val="0FF7412C"/>
    <w:rsid w:val="0FF94348"/>
    <w:rsid w:val="0FFC3E38"/>
    <w:rsid w:val="0FFF7FBD"/>
    <w:rsid w:val="10046849"/>
    <w:rsid w:val="100859D0"/>
    <w:rsid w:val="100F45F9"/>
    <w:rsid w:val="100F4C68"/>
    <w:rsid w:val="10125409"/>
    <w:rsid w:val="10141182"/>
    <w:rsid w:val="10190546"/>
    <w:rsid w:val="10205D2E"/>
    <w:rsid w:val="102313C5"/>
    <w:rsid w:val="102559E9"/>
    <w:rsid w:val="1028084A"/>
    <w:rsid w:val="10340523"/>
    <w:rsid w:val="1038363A"/>
    <w:rsid w:val="10390BE8"/>
    <w:rsid w:val="10394744"/>
    <w:rsid w:val="103A04BC"/>
    <w:rsid w:val="103A670E"/>
    <w:rsid w:val="103C519C"/>
    <w:rsid w:val="103F1AE1"/>
    <w:rsid w:val="10423BF8"/>
    <w:rsid w:val="104430E9"/>
    <w:rsid w:val="10452D92"/>
    <w:rsid w:val="104B1889"/>
    <w:rsid w:val="104B4477"/>
    <w:rsid w:val="104C344F"/>
    <w:rsid w:val="104C541E"/>
    <w:rsid w:val="10505F32"/>
    <w:rsid w:val="105152E1"/>
    <w:rsid w:val="10522ACC"/>
    <w:rsid w:val="1053170F"/>
    <w:rsid w:val="1053255D"/>
    <w:rsid w:val="1058082F"/>
    <w:rsid w:val="10594DE6"/>
    <w:rsid w:val="105C584D"/>
    <w:rsid w:val="105D5114"/>
    <w:rsid w:val="105E41AB"/>
    <w:rsid w:val="106043C7"/>
    <w:rsid w:val="10635C65"/>
    <w:rsid w:val="10650BAA"/>
    <w:rsid w:val="106A101D"/>
    <w:rsid w:val="106B768D"/>
    <w:rsid w:val="106D2640"/>
    <w:rsid w:val="10702130"/>
    <w:rsid w:val="10707088"/>
    <w:rsid w:val="107240FA"/>
    <w:rsid w:val="10762425"/>
    <w:rsid w:val="10795489"/>
    <w:rsid w:val="107C2883"/>
    <w:rsid w:val="107C6D27"/>
    <w:rsid w:val="107E289C"/>
    <w:rsid w:val="10800EB1"/>
    <w:rsid w:val="10817E99"/>
    <w:rsid w:val="10833933"/>
    <w:rsid w:val="10854CBB"/>
    <w:rsid w:val="1086011D"/>
    <w:rsid w:val="10864A10"/>
    <w:rsid w:val="10897D96"/>
    <w:rsid w:val="10897F83"/>
    <w:rsid w:val="108B0D18"/>
    <w:rsid w:val="108B6F31"/>
    <w:rsid w:val="108C51BC"/>
    <w:rsid w:val="108D4A90"/>
    <w:rsid w:val="108F6596"/>
    <w:rsid w:val="109127D2"/>
    <w:rsid w:val="10920EE4"/>
    <w:rsid w:val="109511BB"/>
    <w:rsid w:val="10967331"/>
    <w:rsid w:val="109727A2"/>
    <w:rsid w:val="109776BD"/>
    <w:rsid w:val="109850F7"/>
    <w:rsid w:val="10991687"/>
    <w:rsid w:val="109B53FF"/>
    <w:rsid w:val="109B59A3"/>
    <w:rsid w:val="109C2F25"/>
    <w:rsid w:val="10A122E9"/>
    <w:rsid w:val="10A50CAE"/>
    <w:rsid w:val="10A62B93"/>
    <w:rsid w:val="10A67900"/>
    <w:rsid w:val="10AA5642"/>
    <w:rsid w:val="10AD6EE0"/>
    <w:rsid w:val="10AE4FAE"/>
    <w:rsid w:val="10B04957"/>
    <w:rsid w:val="10BA1785"/>
    <w:rsid w:val="10BE4C49"/>
    <w:rsid w:val="10BF7DA9"/>
    <w:rsid w:val="10C04E65"/>
    <w:rsid w:val="10C32586"/>
    <w:rsid w:val="10C34747"/>
    <w:rsid w:val="10C71ED8"/>
    <w:rsid w:val="10CD776E"/>
    <w:rsid w:val="10CF6E57"/>
    <w:rsid w:val="10D73F5D"/>
    <w:rsid w:val="10D83B3D"/>
    <w:rsid w:val="10D95F27"/>
    <w:rsid w:val="10DA3000"/>
    <w:rsid w:val="10DD651F"/>
    <w:rsid w:val="10ED3781"/>
    <w:rsid w:val="10EF12A7"/>
    <w:rsid w:val="10FA4933"/>
    <w:rsid w:val="11007D07"/>
    <w:rsid w:val="110411F6"/>
    <w:rsid w:val="1106597F"/>
    <w:rsid w:val="110765F0"/>
    <w:rsid w:val="11103928"/>
    <w:rsid w:val="111331E7"/>
    <w:rsid w:val="111568C0"/>
    <w:rsid w:val="11173A55"/>
    <w:rsid w:val="111B02EE"/>
    <w:rsid w:val="111B1349"/>
    <w:rsid w:val="111B1D8E"/>
    <w:rsid w:val="111E1B8C"/>
    <w:rsid w:val="111F7DDE"/>
    <w:rsid w:val="112024AC"/>
    <w:rsid w:val="11233C8C"/>
    <w:rsid w:val="112456D8"/>
    <w:rsid w:val="11255AD0"/>
    <w:rsid w:val="11267AD6"/>
    <w:rsid w:val="11270A41"/>
    <w:rsid w:val="11276CEA"/>
    <w:rsid w:val="11292A0B"/>
    <w:rsid w:val="112A2922"/>
    <w:rsid w:val="112C42A9"/>
    <w:rsid w:val="112D098E"/>
    <w:rsid w:val="112F5D7C"/>
    <w:rsid w:val="11324747"/>
    <w:rsid w:val="11324E47"/>
    <w:rsid w:val="11344B11"/>
    <w:rsid w:val="11357B78"/>
    <w:rsid w:val="11380EA0"/>
    <w:rsid w:val="11427629"/>
    <w:rsid w:val="11495C40"/>
    <w:rsid w:val="114A0BD3"/>
    <w:rsid w:val="114A3997"/>
    <w:rsid w:val="114C04A7"/>
    <w:rsid w:val="114F61E9"/>
    <w:rsid w:val="11511F61"/>
    <w:rsid w:val="11553800"/>
    <w:rsid w:val="115911F6"/>
    <w:rsid w:val="115A177E"/>
    <w:rsid w:val="115C4244"/>
    <w:rsid w:val="115D5B37"/>
    <w:rsid w:val="115E01DA"/>
    <w:rsid w:val="115F467E"/>
    <w:rsid w:val="116003F7"/>
    <w:rsid w:val="11603D42"/>
    <w:rsid w:val="11616084"/>
    <w:rsid w:val="11616A7F"/>
    <w:rsid w:val="11665794"/>
    <w:rsid w:val="11665A0D"/>
    <w:rsid w:val="116A0877"/>
    <w:rsid w:val="116F230D"/>
    <w:rsid w:val="11731A8D"/>
    <w:rsid w:val="11733F8E"/>
    <w:rsid w:val="11785740"/>
    <w:rsid w:val="117D2D56"/>
    <w:rsid w:val="117F6ACF"/>
    <w:rsid w:val="11817609"/>
    <w:rsid w:val="118771CC"/>
    <w:rsid w:val="11892C9B"/>
    <w:rsid w:val="118D3C11"/>
    <w:rsid w:val="118D4FA5"/>
    <w:rsid w:val="11904838"/>
    <w:rsid w:val="11912948"/>
    <w:rsid w:val="11927A83"/>
    <w:rsid w:val="119436ED"/>
    <w:rsid w:val="11963E18"/>
    <w:rsid w:val="1198779A"/>
    <w:rsid w:val="119C142F"/>
    <w:rsid w:val="119D6F55"/>
    <w:rsid w:val="119F6463"/>
    <w:rsid w:val="11A025A1"/>
    <w:rsid w:val="11A227BD"/>
    <w:rsid w:val="11A80819"/>
    <w:rsid w:val="11A90CA2"/>
    <w:rsid w:val="11AC285B"/>
    <w:rsid w:val="11B4290F"/>
    <w:rsid w:val="11B50678"/>
    <w:rsid w:val="11B60016"/>
    <w:rsid w:val="11B73A2C"/>
    <w:rsid w:val="11B91666"/>
    <w:rsid w:val="11BE6AD3"/>
    <w:rsid w:val="11C049F1"/>
    <w:rsid w:val="11C20769"/>
    <w:rsid w:val="11C52605"/>
    <w:rsid w:val="11C57453"/>
    <w:rsid w:val="11C662A2"/>
    <w:rsid w:val="11C77E03"/>
    <w:rsid w:val="11CB5256"/>
    <w:rsid w:val="11CC10FB"/>
    <w:rsid w:val="11CE710E"/>
    <w:rsid w:val="11D2048A"/>
    <w:rsid w:val="11D32976"/>
    <w:rsid w:val="11D566EF"/>
    <w:rsid w:val="11D81D3B"/>
    <w:rsid w:val="11D87F8D"/>
    <w:rsid w:val="11D93E82"/>
    <w:rsid w:val="11DF131B"/>
    <w:rsid w:val="11DF30C9"/>
    <w:rsid w:val="11E22BBA"/>
    <w:rsid w:val="11E309FC"/>
    <w:rsid w:val="11E43A9B"/>
    <w:rsid w:val="11E52FBC"/>
    <w:rsid w:val="11E64458"/>
    <w:rsid w:val="11E66D6B"/>
    <w:rsid w:val="11E71B16"/>
    <w:rsid w:val="11E9219A"/>
    <w:rsid w:val="11EB0498"/>
    <w:rsid w:val="11ED1C8A"/>
    <w:rsid w:val="11EE6888"/>
    <w:rsid w:val="11EF0788"/>
    <w:rsid w:val="11EF2762"/>
    <w:rsid w:val="11F1104F"/>
    <w:rsid w:val="11F254F3"/>
    <w:rsid w:val="11F905A9"/>
    <w:rsid w:val="12071515"/>
    <w:rsid w:val="12072620"/>
    <w:rsid w:val="12086AC0"/>
    <w:rsid w:val="120B0365"/>
    <w:rsid w:val="120B617C"/>
    <w:rsid w:val="120D40DA"/>
    <w:rsid w:val="120D5E88"/>
    <w:rsid w:val="120E595B"/>
    <w:rsid w:val="120F735E"/>
    <w:rsid w:val="12107727"/>
    <w:rsid w:val="12135469"/>
    <w:rsid w:val="121429E2"/>
    <w:rsid w:val="12154D3D"/>
    <w:rsid w:val="12174F59"/>
    <w:rsid w:val="12176D07"/>
    <w:rsid w:val="121A05A5"/>
    <w:rsid w:val="121F3E0E"/>
    <w:rsid w:val="122146FC"/>
    <w:rsid w:val="12222684"/>
    <w:rsid w:val="12231C19"/>
    <w:rsid w:val="122616F6"/>
    <w:rsid w:val="12265263"/>
    <w:rsid w:val="122B332B"/>
    <w:rsid w:val="122F18D1"/>
    <w:rsid w:val="122F54BE"/>
    <w:rsid w:val="122F67F7"/>
    <w:rsid w:val="1232769D"/>
    <w:rsid w:val="1234272B"/>
    <w:rsid w:val="12356F93"/>
    <w:rsid w:val="1237792A"/>
    <w:rsid w:val="12405492"/>
    <w:rsid w:val="12427F1D"/>
    <w:rsid w:val="12444F68"/>
    <w:rsid w:val="12454595"/>
    <w:rsid w:val="124A70DD"/>
    <w:rsid w:val="124D2289"/>
    <w:rsid w:val="124F5E1C"/>
    <w:rsid w:val="1256384E"/>
    <w:rsid w:val="125E3A70"/>
    <w:rsid w:val="126209FA"/>
    <w:rsid w:val="126307C1"/>
    <w:rsid w:val="12633CFA"/>
    <w:rsid w:val="12634C87"/>
    <w:rsid w:val="126801B8"/>
    <w:rsid w:val="12681311"/>
    <w:rsid w:val="126F6B01"/>
    <w:rsid w:val="12706417"/>
    <w:rsid w:val="12751BDA"/>
    <w:rsid w:val="1278488D"/>
    <w:rsid w:val="127A3101"/>
    <w:rsid w:val="127C1AA9"/>
    <w:rsid w:val="127E28E2"/>
    <w:rsid w:val="127E2C02"/>
    <w:rsid w:val="12854213"/>
    <w:rsid w:val="12922832"/>
    <w:rsid w:val="12993BC0"/>
    <w:rsid w:val="129B7938"/>
    <w:rsid w:val="129F6386"/>
    <w:rsid w:val="12A22D09"/>
    <w:rsid w:val="12A54313"/>
    <w:rsid w:val="12A604AE"/>
    <w:rsid w:val="12A83E03"/>
    <w:rsid w:val="12A84E8F"/>
    <w:rsid w:val="12AF6F40"/>
    <w:rsid w:val="12B04A66"/>
    <w:rsid w:val="12B75DF4"/>
    <w:rsid w:val="12B91D4C"/>
    <w:rsid w:val="12BA6C22"/>
    <w:rsid w:val="12BF4B6F"/>
    <w:rsid w:val="12CE32F0"/>
    <w:rsid w:val="12CF62B2"/>
    <w:rsid w:val="12D14261"/>
    <w:rsid w:val="12D335F1"/>
    <w:rsid w:val="12D460AD"/>
    <w:rsid w:val="12E0534B"/>
    <w:rsid w:val="12E070F9"/>
    <w:rsid w:val="12E15BF5"/>
    <w:rsid w:val="12E3669F"/>
    <w:rsid w:val="12E7318B"/>
    <w:rsid w:val="12EA61CA"/>
    <w:rsid w:val="12EC0194"/>
    <w:rsid w:val="12ED7A68"/>
    <w:rsid w:val="12EE0384"/>
    <w:rsid w:val="12F13FA9"/>
    <w:rsid w:val="12F47048"/>
    <w:rsid w:val="12F62DC0"/>
    <w:rsid w:val="12F708E7"/>
    <w:rsid w:val="12F7375B"/>
    <w:rsid w:val="12F86B39"/>
    <w:rsid w:val="12FD1012"/>
    <w:rsid w:val="12FE572C"/>
    <w:rsid w:val="1302261D"/>
    <w:rsid w:val="13070B2A"/>
    <w:rsid w:val="13076D7C"/>
    <w:rsid w:val="130A686C"/>
    <w:rsid w:val="13117BFA"/>
    <w:rsid w:val="13172421"/>
    <w:rsid w:val="131A2F56"/>
    <w:rsid w:val="131B45D5"/>
    <w:rsid w:val="131D659F"/>
    <w:rsid w:val="131E6243"/>
    <w:rsid w:val="131E7A49"/>
    <w:rsid w:val="131F2A58"/>
    <w:rsid w:val="132154E7"/>
    <w:rsid w:val="13223BB5"/>
    <w:rsid w:val="1323348A"/>
    <w:rsid w:val="13272BE8"/>
    <w:rsid w:val="132D4308"/>
    <w:rsid w:val="1332191F"/>
    <w:rsid w:val="13347445"/>
    <w:rsid w:val="1337725E"/>
    <w:rsid w:val="133A4369"/>
    <w:rsid w:val="133E62E0"/>
    <w:rsid w:val="13414AEB"/>
    <w:rsid w:val="13421557"/>
    <w:rsid w:val="13451652"/>
    <w:rsid w:val="134578A4"/>
    <w:rsid w:val="13463B67"/>
    <w:rsid w:val="13491142"/>
    <w:rsid w:val="134B7D96"/>
    <w:rsid w:val="134C478E"/>
    <w:rsid w:val="135060C2"/>
    <w:rsid w:val="1352002D"/>
    <w:rsid w:val="135845E7"/>
    <w:rsid w:val="135928D6"/>
    <w:rsid w:val="135D699C"/>
    <w:rsid w:val="136415FC"/>
    <w:rsid w:val="13651CF4"/>
    <w:rsid w:val="136702B4"/>
    <w:rsid w:val="13683243"/>
    <w:rsid w:val="137363F8"/>
    <w:rsid w:val="13745ABC"/>
    <w:rsid w:val="1375571D"/>
    <w:rsid w:val="137912FC"/>
    <w:rsid w:val="138228A6"/>
    <w:rsid w:val="13851A6C"/>
    <w:rsid w:val="138B10E0"/>
    <w:rsid w:val="138C54D3"/>
    <w:rsid w:val="138D2966"/>
    <w:rsid w:val="138D30E9"/>
    <w:rsid w:val="138E2FF9"/>
    <w:rsid w:val="13914897"/>
    <w:rsid w:val="13921BEA"/>
    <w:rsid w:val="139229D8"/>
    <w:rsid w:val="13940C77"/>
    <w:rsid w:val="13961DA5"/>
    <w:rsid w:val="13977400"/>
    <w:rsid w:val="13991AB1"/>
    <w:rsid w:val="139B0B7E"/>
    <w:rsid w:val="139B3968"/>
    <w:rsid w:val="139D6155"/>
    <w:rsid w:val="13A1426D"/>
    <w:rsid w:val="13A27CA3"/>
    <w:rsid w:val="13A419F6"/>
    <w:rsid w:val="13A4275D"/>
    <w:rsid w:val="13A82611"/>
    <w:rsid w:val="13AC16D1"/>
    <w:rsid w:val="13AE085B"/>
    <w:rsid w:val="13AE5449"/>
    <w:rsid w:val="13B028D2"/>
    <w:rsid w:val="13B42264"/>
    <w:rsid w:val="13B54A2A"/>
    <w:rsid w:val="13BA0DB6"/>
    <w:rsid w:val="13BB4DEC"/>
    <w:rsid w:val="13BE4ED6"/>
    <w:rsid w:val="13BF1C93"/>
    <w:rsid w:val="13BF36D6"/>
    <w:rsid w:val="13C50286"/>
    <w:rsid w:val="13C71106"/>
    <w:rsid w:val="13C7475D"/>
    <w:rsid w:val="13C82D75"/>
    <w:rsid w:val="13D027D0"/>
    <w:rsid w:val="13D10253"/>
    <w:rsid w:val="13DF08B6"/>
    <w:rsid w:val="13DF3855"/>
    <w:rsid w:val="13E76168"/>
    <w:rsid w:val="13E965DA"/>
    <w:rsid w:val="13EB57AE"/>
    <w:rsid w:val="13ED0B6F"/>
    <w:rsid w:val="13F015BE"/>
    <w:rsid w:val="13F02EB7"/>
    <w:rsid w:val="13F82455"/>
    <w:rsid w:val="13FA68E0"/>
    <w:rsid w:val="13FB22A7"/>
    <w:rsid w:val="140068A4"/>
    <w:rsid w:val="14013A66"/>
    <w:rsid w:val="14022538"/>
    <w:rsid w:val="14023429"/>
    <w:rsid w:val="14027E1A"/>
    <w:rsid w:val="14044BC7"/>
    <w:rsid w:val="14053897"/>
    <w:rsid w:val="14061086"/>
    <w:rsid w:val="14065285"/>
    <w:rsid w:val="14096B23"/>
    <w:rsid w:val="140B464A"/>
    <w:rsid w:val="1411239E"/>
    <w:rsid w:val="141161D6"/>
    <w:rsid w:val="14155A1E"/>
    <w:rsid w:val="141842A6"/>
    <w:rsid w:val="141C0605"/>
    <w:rsid w:val="14213E6D"/>
    <w:rsid w:val="14290F74"/>
    <w:rsid w:val="142D7DDA"/>
    <w:rsid w:val="142E3D3C"/>
    <w:rsid w:val="14321BD6"/>
    <w:rsid w:val="14342A15"/>
    <w:rsid w:val="143C4803"/>
    <w:rsid w:val="143D1F5C"/>
    <w:rsid w:val="143D524C"/>
    <w:rsid w:val="14474FA8"/>
    <w:rsid w:val="14495172"/>
    <w:rsid w:val="144E0BF3"/>
    <w:rsid w:val="144E2788"/>
    <w:rsid w:val="14531B4D"/>
    <w:rsid w:val="145923C5"/>
    <w:rsid w:val="145A197A"/>
    <w:rsid w:val="145F6743"/>
    <w:rsid w:val="14626D6D"/>
    <w:rsid w:val="14663E36"/>
    <w:rsid w:val="146835FB"/>
    <w:rsid w:val="146A5814"/>
    <w:rsid w:val="146B507F"/>
    <w:rsid w:val="146B50E8"/>
    <w:rsid w:val="146C2418"/>
    <w:rsid w:val="146E428C"/>
    <w:rsid w:val="147148B8"/>
    <w:rsid w:val="147158AD"/>
    <w:rsid w:val="147527BF"/>
    <w:rsid w:val="147541B9"/>
    <w:rsid w:val="147954B1"/>
    <w:rsid w:val="14795AC0"/>
    <w:rsid w:val="147B684E"/>
    <w:rsid w:val="147C5547"/>
    <w:rsid w:val="14853449"/>
    <w:rsid w:val="14863CD0"/>
    <w:rsid w:val="1488219B"/>
    <w:rsid w:val="148C41A4"/>
    <w:rsid w:val="148D32B1"/>
    <w:rsid w:val="14942891"/>
    <w:rsid w:val="14975EDD"/>
    <w:rsid w:val="14994441"/>
    <w:rsid w:val="149C1746"/>
    <w:rsid w:val="14A5684C"/>
    <w:rsid w:val="14AB3737"/>
    <w:rsid w:val="14B26F05"/>
    <w:rsid w:val="14B626B1"/>
    <w:rsid w:val="14B95003"/>
    <w:rsid w:val="14BC1DE8"/>
    <w:rsid w:val="14BC5944"/>
    <w:rsid w:val="14BC76AF"/>
    <w:rsid w:val="14BE16BC"/>
    <w:rsid w:val="14C15ED1"/>
    <w:rsid w:val="14C23E79"/>
    <w:rsid w:val="14C64A10"/>
    <w:rsid w:val="14C854CA"/>
    <w:rsid w:val="14CB202B"/>
    <w:rsid w:val="14CD097F"/>
    <w:rsid w:val="14D02F5C"/>
    <w:rsid w:val="14D25167"/>
    <w:rsid w:val="14D51756"/>
    <w:rsid w:val="14D61ED0"/>
    <w:rsid w:val="14DE573A"/>
    <w:rsid w:val="14E034EC"/>
    <w:rsid w:val="14E1184E"/>
    <w:rsid w:val="14E54905"/>
    <w:rsid w:val="14E60C13"/>
    <w:rsid w:val="14E629C1"/>
    <w:rsid w:val="14EB2D42"/>
    <w:rsid w:val="14ED1FA1"/>
    <w:rsid w:val="14F3618F"/>
    <w:rsid w:val="14F670A8"/>
    <w:rsid w:val="14FA7677"/>
    <w:rsid w:val="14FB46BE"/>
    <w:rsid w:val="14FF50A5"/>
    <w:rsid w:val="15007F26"/>
    <w:rsid w:val="15022041"/>
    <w:rsid w:val="15035321"/>
    <w:rsid w:val="150854D4"/>
    <w:rsid w:val="150C0679"/>
    <w:rsid w:val="1514752E"/>
    <w:rsid w:val="15202DB9"/>
    <w:rsid w:val="15262041"/>
    <w:rsid w:val="152A6D51"/>
    <w:rsid w:val="152D1D89"/>
    <w:rsid w:val="153171D2"/>
    <w:rsid w:val="15325C06"/>
    <w:rsid w:val="15381DF6"/>
    <w:rsid w:val="153879D6"/>
    <w:rsid w:val="15394114"/>
    <w:rsid w:val="153D5CAA"/>
    <w:rsid w:val="15421C87"/>
    <w:rsid w:val="15461A98"/>
    <w:rsid w:val="15477903"/>
    <w:rsid w:val="154A11A2"/>
    <w:rsid w:val="154C6CD2"/>
    <w:rsid w:val="154F4A0A"/>
    <w:rsid w:val="15507EB4"/>
    <w:rsid w:val="15511BEA"/>
    <w:rsid w:val="15516865"/>
    <w:rsid w:val="155406EB"/>
    <w:rsid w:val="15543DCE"/>
    <w:rsid w:val="15563AF1"/>
    <w:rsid w:val="155A139E"/>
    <w:rsid w:val="155E4C4D"/>
    <w:rsid w:val="155F4AF1"/>
    <w:rsid w:val="1567082B"/>
    <w:rsid w:val="15680536"/>
    <w:rsid w:val="156A53A0"/>
    <w:rsid w:val="156F50C5"/>
    <w:rsid w:val="156F71E9"/>
    <w:rsid w:val="15712BD2"/>
    <w:rsid w:val="157310BD"/>
    <w:rsid w:val="1574012A"/>
    <w:rsid w:val="1574024A"/>
    <w:rsid w:val="1574406E"/>
    <w:rsid w:val="15747D8A"/>
    <w:rsid w:val="15763D45"/>
    <w:rsid w:val="157B156C"/>
    <w:rsid w:val="157C5F0D"/>
    <w:rsid w:val="157F7058"/>
    <w:rsid w:val="15804BC3"/>
    <w:rsid w:val="1582093B"/>
    <w:rsid w:val="1585042C"/>
    <w:rsid w:val="15877D00"/>
    <w:rsid w:val="15890BC6"/>
    <w:rsid w:val="15905C08"/>
    <w:rsid w:val="15920E51"/>
    <w:rsid w:val="15927EE1"/>
    <w:rsid w:val="15943B9D"/>
    <w:rsid w:val="15962639"/>
    <w:rsid w:val="159863B1"/>
    <w:rsid w:val="159C2891"/>
    <w:rsid w:val="159C5B4F"/>
    <w:rsid w:val="159E0850"/>
    <w:rsid w:val="159E329B"/>
    <w:rsid w:val="15A063BE"/>
    <w:rsid w:val="15A46878"/>
    <w:rsid w:val="15A47DD7"/>
    <w:rsid w:val="15A54F00"/>
    <w:rsid w:val="15A56279"/>
    <w:rsid w:val="15A62CFE"/>
    <w:rsid w:val="15A64FDD"/>
    <w:rsid w:val="15A67EF2"/>
    <w:rsid w:val="15B55C69"/>
    <w:rsid w:val="15B8610B"/>
    <w:rsid w:val="15BB28EC"/>
    <w:rsid w:val="15C72391"/>
    <w:rsid w:val="15CE3B81"/>
    <w:rsid w:val="15CF11DB"/>
    <w:rsid w:val="15D171CD"/>
    <w:rsid w:val="15D46CBD"/>
    <w:rsid w:val="15D60C87"/>
    <w:rsid w:val="15D71FAD"/>
    <w:rsid w:val="15DD2016"/>
    <w:rsid w:val="15E275F7"/>
    <w:rsid w:val="15E30A7A"/>
    <w:rsid w:val="15EA028F"/>
    <w:rsid w:val="15EC4007"/>
    <w:rsid w:val="15EF58A5"/>
    <w:rsid w:val="15EF766C"/>
    <w:rsid w:val="15F51A15"/>
    <w:rsid w:val="15F5735F"/>
    <w:rsid w:val="15FA42FE"/>
    <w:rsid w:val="15FC6940"/>
    <w:rsid w:val="15FD4466"/>
    <w:rsid w:val="15FF3D3A"/>
    <w:rsid w:val="15FF6367"/>
    <w:rsid w:val="15FF6FFD"/>
    <w:rsid w:val="1600565C"/>
    <w:rsid w:val="16007382"/>
    <w:rsid w:val="16010412"/>
    <w:rsid w:val="16013F56"/>
    <w:rsid w:val="16022AE9"/>
    <w:rsid w:val="1606331B"/>
    <w:rsid w:val="16142713"/>
    <w:rsid w:val="161B7C78"/>
    <w:rsid w:val="161D68B6"/>
    <w:rsid w:val="161F1D5D"/>
    <w:rsid w:val="162163A6"/>
    <w:rsid w:val="1627475A"/>
    <w:rsid w:val="16290B59"/>
    <w:rsid w:val="162D4D4B"/>
    <w:rsid w:val="16315EBE"/>
    <w:rsid w:val="16330A5C"/>
    <w:rsid w:val="16331C36"/>
    <w:rsid w:val="16351E52"/>
    <w:rsid w:val="163559AE"/>
    <w:rsid w:val="163C139B"/>
    <w:rsid w:val="163C7E80"/>
    <w:rsid w:val="163F50B6"/>
    <w:rsid w:val="164058EC"/>
    <w:rsid w:val="164125A5"/>
    <w:rsid w:val="16420577"/>
    <w:rsid w:val="16421E79"/>
    <w:rsid w:val="1642631D"/>
    <w:rsid w:val="16473933"/>
    <w:rsid w:val="16481B85"/>
    <w:rsid w:val="16491459"/>
    <w:rsid w:val="164A4A71"/>
    <w:rsid w:val="164B0FAC"/>
    <w:rsid w:val="16500773"/>
    <w:rsid w:val="1652128F"/>
    <w:rsid w:val="1658778B"/>
    <w:rsid w:val="165878EE"/>
    <w:rsid w:val="165D5E73"/>
    <w:rsid w:val="16665012"/>
    <w:rsid w:val="166A277F"/>
    <w:rsid w:val="166C5307"/>
    <w:rsid w:val="166F711D"/>
    <w:rsid w:val="16736839"/>
    <w:rsid w:val="16751686"/>
    <w:rsid w:val="1677245A"/>
    <w:rsid w:val="167957B1"/>
    <w:rsid w:val="167D33AF"/>
    <w:rsid w:val="167D4ECC"/>
    <w:rsid w:val="167F4E7B"/>
    <w:rsid w:val="16831DBB"/>
    <w:rsid w:val="1683296D"/>
    <w:rsid w:val="16857E4E"/>
    <w:rsid w:val="16866209"/>
    <w:rsid w:val="16873D30"/>
    <w:rsid w:val="168E2EC8"/>
    <w:rsid w:val="16900E36"/>
    <w:rsid w:val="16943974"/>
    <w:rsid w:val="16990306"/>
    <w:rsid w:val="169A7F07"/>
    <w:rsid w:val="169C3C7F"/>
    <w:rsid w:val="16A86180"/>
    <w:rsid w:val="16AA09A0"/>
    <w:rsid w:val="16AB2114"/>
    <w:rsid w:val="16AD5139"/>
    <w:rsid w:val="16AF16C3"/>
    <w:rsid w:val="16B80F6A"/>
    <w:rsid w:val="16BB7D31"/>
    <w:rsid w:val="16BF34C9"/>
    <w:rsid w:val="16C23328"/>
    <w:rsid w:val="16C32FBA"/>
    <w:rsid w:val="16C46D32"/>
    <w:rsid w:val="16C62185"/>
    <w:rsid w:val="16C93526"/>
    <w:rsid w:val="16CC55AB"/>
    <w:rsid w:val="16CE195E"/>
    <w:rsid w:val="16CE51CA"/>
    <w:rsid w:val="16D01B7A"/>
    <w:rsid w:val="16D46FB9"/>
    <w:rsid w:val="16D87738"/>
    <w:rsid w:val="16DA7D88"/>
    <w:rsid w:val="16DC6770"/>
    <w:rsid w:val="16DD70C0"/>
    <w:rsid w:val="16DF7696"/>
    <w:rsid w:val="16E228C0"/>
    <w:rsid w:val="16E42F30"/>
    <w:rsid w:val="16E573D4"/>
    <w:rsid w:val="16E875E1"/>
    <w:rsid w:val="16E96798"/>
    <w:rsid w:val="16EA2C3C"/>
    <w:rsid w:val="16ED44DA"/>
    <w:rsid w:val="16F05A82"/>
    <w:rsid w:val="16FA2753"/>
    <w:rsid w:val="17011114"/>
    <w:rsid w:val="17081314"/>
    <w:rsid w:val="17084E70"/>
    <w:rsid w:val="170D692B"/>
    <w:rsid w:val="170F729D"/>
    <w:rsid w:val="171262EA"/>
    <w:rsid w:val="17127A9D"/>
    <w:rsid w:val="1713195E"/>
    <w:rsid w:val="17141A67"/>
    <w:rsid w:val="17172D24"/>
    <w:rsid w:val="171B2DF6"/>
    <w:rsid w:val="171B2EF9"/>
    <w:rsid w:val="171F098A"/>
    <w:rsid w:val="17235A7C"/>
    <w:rsid w:val="17285513"/>
    <w:rsid w:val="172A0557"/>
    <w:rsid w:val="172D0D7B"/>
    <w:rsid w:val="172F54B1"/>
    <w:rsid w:val="17321EED"/>
    <w:rsid w:val="17327353"/>
    <w:rsid w:val="17332C3E"/>
    <w:rsid w:val="17345C65"/>
    <w:rsid w:val="17372DC2"/>
    <w:rsid w:val="173C4B1A"/>
    <w:rsid w:val="1743234C"/>
    <w:rsid w:val="17465999"/>
    <w:rsid w:val="17485BB5"/>
    <w:rsid w:val="174D31CB"/>
    <w:rsid w:val="174F2A9F"/>
    <w:rsid w:val="174F6F43"/>
    <w:rsid w:val="175049CD"/>
    <w:rsid w:val="17514FCE"/>
    <w:rsid w:val="175207E1"/>
    <w:rsid w:val="175400B6"/>
    <w:rsid w:val="175579C2"/>
    <w:rsid w:val="1759391E"/>
    <w:rsid w:val="17604D9F"/>
    <w:rsid w:val="176050EF"/>
    <w:rsid w:val="17644F19"/>
    <w:rsid w:val="1765414D"/>
    <w:rsid w:val="176656A9"/>
    <w:rsid w:val="17680005"/>
    <w:rsid w:val="176838A5"/>
    <w:rsid w:val="176D5C4E"/>
    <w:rsid w:val="176F6C9D"/>
    <w:rsid w:val="1774709D"/>
    <w:rsid w:val="17774E5D"/>
    <w:rsid w:val="17797B1C"/>
    <w:rsid w:val="177C760C"/>
    <w:rsid w:val="17877C80"/>
    <w:rsid w:val="178905CA"/>
    <w:rsid w:val="178D7D75"/>
    <w:rsid w:val="17914E66"/>
    <w:rsid w:val="17935082"/>
    <w:rsid w:val="179755EA"/>
    <w:rsid w:val="17984446"/>
    <w:rsid w:val="1799277F"/>
    <w:rsid w:val="179B7586"/>
    <w:rsid w:val="179C32D3"/>
    <w:rsid w:val="179D1A36"/>
    <w:rsid w:val="179D6C26"/>
    <w:rsid w:val="179E3A27"/>
    <w:rsid w:val="179E535D"/>
    <w:rsid w:val="179E7583"/>
    <w:rsid w:val="17A40EEE"/>
    <w:rsid w:val="17A4103D"/>
    <w:rsid w:val="17A4372C"/>
    <w:rsid w:val="17A728DB"/>
    <w:rsid w:val="17A83E93"/>
    <w:rsid w:val="17A91967"/>
    <w:rsid w:val="17AC7EF2"/>
    <w:rsid w:val="17AE5249"/>
    <w:rsid w:val="17B03C95"/>
    <w:rsid w:val="17B332EA"/>
    <w:rsid w:val="17B35C58"/>
    <w:rsid w:val="17BA22F0"/>
    <w:rsid w:val="17BD3EAD"/>
    <w:rsid w:val="17C05709"/>
    <w:rsid w:val="17C101CD"/>
    <w:rsid w:val="17C23271"/>
    <w:rsid w:val="17C349C7"/>
    <w:rsid w:val="17C36FE9"/>
    <w:rsid w:val="17C66754"/>
    <w:rsid w:val="17C84600"/>
    <w:rsid w:val="17CA65CA"/>
    <w:rsid w:val="17CC0594"/>
    <w:rsid w:val="17D26240"/>
    <w:rsid w:val="17D33A25"/>
    <w:rsid w:val="17D425B4"/>
    <w:rsid w:val="17D53E03"/>
    <w:rsid w:val="17D6023F"/>
    <w:rsid w:val="17D631C0"/>
    <w:rsid w:val="17D8035C"/>
    <w:rsid w:val="17D80CE7"/>
    <w:rsid w:val="17DD454F"/>
    <w:rsid w:val="17DD6566"/>
    <w:rsid w:val="17DD6BCE"/>
    <w:rsid w:val="17E458DD"/>
    <w:rsid w:val="17E5520B"/>
    <w:rsid w:val="17E8657F"/>
    <w:rsid w:val="17E86A50"/>
    <w:rsid w:val="17EA7770"/>
    <w:rsid w:val="17EE0EFA"/>
    <w:rsid w:val="17EF6030"/>
    <w:rsid w:val="17F3168A"/>
    <w:rsid w:val="17F453F5"/>
    <w:rsid w:val="17F46F53"/>
    <w:rsid w:val="17F555C0"/>
    <w:rsid w:val="17F673BF"/>
    <w:rsid w:val="17FF6273"/>
    <w:rsid w:val="18023FB5"/>
    <w:rsid w:val="18032795"/>
    <w:rsid w:val="18056BC5"/>
    <w:rsid w:val="180A4C18"/>
    <w:rsid w:val="180C01B6"/>
    <w:rsid w:val="180D2408"/>
    <w:rsid w:val="18100480"/>
    <w:rsid w:val="18146E7C"/>
    <w:rsid w:val="18155A97"/>
    <w:rsid w:val="1816180F"/>
    <w:rsid w:val="181A4F1F"/>
    <w:rsid w:val="181B5077"/>
    <w:rsid w:val="18211F46"/>
    <w:rsid w:val="182201B4"/>
    <w:rsid w:val="18234262"/>
    <w:rsid w:val="18236162"/>
    <w:rsid w:val="1824217E"/>
    <w:rsid w:val="18251A3C"/>
    <w:rsid w:val="182818DF"/>
    <w:rsid w:val="182B5C22"/>
    <w:rsid w:val="182D1A68"/>
    <w:rsid w:val="183121A5"/>
    <w:rsid w:val="18320EF5"/>
    <w:rsid w:val="18360A65"/>
    <w:rsid w:val="18387DB2"/>
    <w:rsid w:val="183A374F"/>
    <w:rsid w:val="183B1275"/>
    <w:rsid w:val="183D00E6"/>
    <w:rsid w:val="183E06CD"/>
    <w:rsid w:val="183E32F0"/>
    <w:rsid w:val="18423CDF"/>
    <w:rsid w:val="18491834"/>
    <w:rsid w:val="184928DF"/>
    <w:rsid w:val="18575457"/>
    <w:rsid w:val="18577359"/>
    <w:rsid w:val="185B5474"/>
    <w:rsid w:val="185F457F"/>
    <w:rsid w:val="18605BBA"/>
    <w:rsid w:val="18652CE4"/>
    <w:rsid w:val="18664544"/>
    <w:rsid w:val="18685D2A"/>
    <w:rsid w:val="186C4DA9"/>
    <w:rsid w:val="186E06F3"/>
    <w:rsid w:val="186F0247"/>
    <w:rsid w:val="18711B38"/>
    <w:rsid w:val="18716A45"/>
    <w:rsid w:val="187A48E5"/>
    <w:rsid w:val="187A4DE1"/>
    <w:rsid w:val="1881137E"/>
    <w:rsid w:val="18897EA7"/>
    <w:rsid w:val="188B5D59"/>
    <w:rsid w:val="188E4B1C"/>
    <w:rsid w:val="189219F1"/>
    <w:rsid w:val="18954E2A"/>
    <w:rsid w:val="18961DEF"/>
    <w:rsid w:val="189C1D14"/>
    <w:rsid w:val="18A10666"/>
    <w:rsid w:val="18A137CE"/>
    <w:rsid w:val="18A16A53"/>
    <w:rsid w:val="18A4506D"/>
    <w:rsid w:val="18A60E53"/>
    <w:rsid w:val="18B13E26"/>
    <w:rsid w:val="18B54B84"/>
    <w:rsid w:val="18B83C69"/>
    <w:rsid w:val="18BA03EC"/>
    <w:rsid w:val="18BB520D"/>
    <w:rsid w:val="18C179CD"/>
    <w:rsid w:val="18C63B73"/>
    <w:rsid w:val="18C64FE3"/>
    <w:rsid w:val="18C91BE7"/>
    <w:rsid w:val="18C96881"/>
    <w:rsid w:val="18CA7B2D"/>
    <w:rsid w:val="18CB25F9"/>
    <w:rsid w:val="18CC56F0"/>
    <w:rsid w:val="18CE3F9E"/>
    <w:rsid w:val="18D05E62"/>
    <w:rsid w:val="18D06A7D"/>
    <w:rsid w:val="18D144BA"/>
    <w:rsid w:val="18D21240"/>
    <w:rsid w:val="18D35D30"/>
    <w:rsid w:val="18D70712"/>
    <w:rsid w:val="18DA6CE0"/>
    <w:rsid w:val="18DE232D"/>
    <w:rsid w:val="18DE6E81"/>
    <w:rsid w:val="18E11E1D"/>
    <w:rsid w:val="18E16A7D"/>
    <w:rsid w:val="18E67433"/>
    <w:rsid w:val="18E728FF"/>
    <w:rsid w:val="18E966A5"/>
    <w:rsid w:val="18EA221C"/>
    <w:rsid w:val="18EB6B88"/>
    <w:rsid w:val="18ED07C2"/>
    <w:rsid w:val="18ED6A14"/>
    <w:rsid w:val="18F2402A"/>
    <w:rsid w:val="18F25DD8"/>
    <w:rsid w:val="18F620A5"/>
    <w:rsid w:val="18F63219"/>
    <w:rsid w:val="18FA2EDF"/>
    <w:rsid w:val="18FC27B3"/>
    <w:rsid w:val="19006747"/>
    <w:rsid w:val="19017DC9"/>
    <w:rsid w:val="19024E0F"/>
    <w:rsid w:val="190653E0"/>
    <w:rsid w:val="190873AA"/>
    <w:rsid w:val="190F460C"/>
    <w:rsid w:val="191044B0"/>
    <w:rsid w:val="19145BDE"/>
    <w:rsid w:val="19153875"/>
    <w:rsid w:val="19157D18"/>
    <w:rsid w:val="191C2E55"/>
    <w:rsid w:val="191C4C03"/>
    <w:rsid w:val="191C723B"/>
    <w:rsid w:val="191E6BCD"/>
    <w:rsid w:val="1920293C"/>
    <w:rsid w:val="19202C15"/>
    <w:rsid w:val="19212219"/>
    <w:rsid w:val="192166BD"/>
    <w:rsid w:val="19232435"/>
    <w:rsid w:val="19265A82"/>
    <w:rsid w:val="19267830"/>
    <w:rsid w:val="192D6E10"/>
    <w:rsid w:val="192E266D"/>
    <w:rsid w:val="19306900"/>
    <w:rsid w:val="1935521A"/>
    <w:rsid w:val="19355BD6"/>
    <w:rsid w:val="193A0F3F"/>
    <w:rsid w:val="193A152D"/>
    <w:rsid w:val="193A5D65"/>
    <w:rsid w:val="19404D95"/>
    <w:rsid w:val="19434185"/>
    <w:rsid w:val="19436634"/>
    <w:rsid w:val="194A5C14"/>
    <w:rsid w:val="194B5024"/>
    <w:rsid w:val="194C67DE"/>
    <w:rsid w:val="194F4FD8"/>
    <w:rsid w:val="19500268"/>
    <w:rsid w:val="19524583"/>
    <w:rsid w:val="19524AC9"/>
    <w:rsid w:val="19530656"/>
    <w:rsid w:val="195425EF"/>
    <w:rsid w:val="19567039"/>
    <w:rsid w:val="19572DB1"/>
    <w:rsid w:val="19595E57"/>
    <w:rsid w:val="195D09F1"/>
    <w:rsid w:val="195F60B9"/>
    <w:rsid w:val="19602F90"/>
    <w:rsid w:val="196F12BF"/>
    <w:rsid w:val="197467ED"/>
    <w:rsid w:val="19805192"/>
    <w:rsid w:val="198253AE"/>
    <w:rsid w:val="19866520"/>
    <w:rsid w:val="19872D91"/>
    <w:rsid w:val="198804EA"/>
    <w:rsid w:val="198A298F"/>
    <w:rsid w:val="198F7215"/>
    <w:rsid w:val="19906060"/>
    <w:rsid w:val="19923117"/>
    <w:rsid w:val="19951659"/>
    <w:rsid w:val="19980027"/>
    <w:rsid w:val="199921DF"/>
    <w:rsid w:val="199926F8"/>
    <w:rsid w:val="199D4507"/>
    <w:rsid w:val="19A277FE"/>
    <w:rsid w:val="19A54BF8"/>
    <w:rsid w:val="19A60971"/>
    <w:rsid w:val="19A846E9"/>
    <w:rsid w:val="19A90B8D"/>
    <w:rsid w:val="19AA220F"/>
    <w:rsid w:val="19AF7825"/>
    <w:rsid w:val="19B117EF"/>
    <w:rsid w:val="19B25567"/>
    <w:rsid w:val="19B72B7E"/>
    <w:rsid w:val="19BB39D5"/>
    <w:rsid w:val="19BD63E6"/>
    <w:rsid w:val="19C16F98"/>
    <w:rsid w:val="19C77265"/>
    <w:rsid w:val="19C84D8B"/>
    <w:rsid w:val="19CA28B1"/>
    <w:rsid w:val="19CF6119"/>
    <w:rsid w:val="19D063D1"/>
    <w:rsid w:val="19D8085F"/>
    <w:rsid w:val="19DA170E"/>
    <w:rsid w:val="19DD17D0"/>
    <w:rsid w:val="19DE635C"/>
    <w:rsid w:val="19E054E5"/>
    <w:rsid w:val="19E31A84"/>
    <w:rsid w:val="19EB0C7A"/>
    <w:rsid w:val="19EB2AC6"/>
    <w:rsid w:val="19EC3234"/>
    <w:rsid w:val="19F53DD2"/>
    <w:rsid w:val="19F54388"/>
    <w:rsid w:val="19F61C8D"/>
    <w:rsid w:val="19F94F44"/>
    <w:rsid w:val="19FB59D1"/>
    <w:rsid w:val="19FB6F0E"/>
    <w:rsid w:val="1A01042B"/>
    <w:rsid w:val="1A050F99"/>
    <w:rsid w:val="1A053239"/>
    <w:rsid w:val="1A0665F6"/>
    <w:rsid w:val="1A071E6B"/>
    <w:rsid w:val="1A0838DA"/>
    <w:rsid w:val="1A0A0EFF"/>
    <w:rsid w:val="1A0A7DF8"/>
    <w:rsid w:val="1A0B09C0"/>
    <w:rsid w:val="1A0F2D6F"/>
    <w:rsid w:val="1A16603F"/>
    <w:rsid w:val="1A176D0F"/>
    <w:rsid w:val="1A1B310D"/>
    <w:rsid w:val="1A1C5A67"/>
    <w:rsid w:val="1A1D0C33"/>
    <w:rsid w:val="1A1D50D7"/>
    <w:rsid w:val="1A1F0E4F"/>
    <w:rsid w:val="1A240213"/>
    <w:rsid w:val="1A251FB0"/>
    <w:rsid w:val="1A253F8B"/>
    <w:rsid w:val="1A273773"/>
    <w:rsid w:val="1A3327B7"/>
    <w:rsid w:val="1A3407EF"/>
    <w:rsid w:val="1A355B24"/>
    <w:rsid w:val="1A364C9D"/>
    <w:rsid w:val="1A383CBF"/>
    <w:rsid w:val="1A3961D5"/>
    <w:rsid w:val="1A3A7A37"/>
    <w:rsid w:val="1A3F504D"/>
    <w:rsid w:val="1A3F5F9B"/>
    <w:rsid w:val="1A431E60"/>
    <w:rsid w:val="1A447240"/>
    <w:rsid w:val="1A4F2DB6"/>
    <w:rsid w:val="1A583BF7"/>
    <w:rsid w:val="1A5964E0"/>
    <w:rsid w:val="1A5A5C46"/>
    <w:rsid w:val="1A5E5585"/>
    <w:rsid w:val="1A5E6624"/>
    <w:rsid w:val="1A5F56EF"/>
    <w:rsid w:val="1A646862"/>
    <w:rsid w:val="1A670100"/>
    <w:rsid w:val="1A6A6061"/>
    <w:rsid w:val="1A6B5E42"/>
    <w:rsid w:val="1A6E1065"/>
    <w:rsid w:val="1A703458"/>
    <w:rsid w:val="1A7271C0"/>
    <w:rsid w:val="1A744A91"/>
    <w:rsid w:val="1A7A6085"/>
    <w:rsid w:val="1A7B3BAB"/>
    <w:rsid w:val="1A7C004F"/>
    <w:rsid w:val="1A7C5269"/>
    <w:rsid w:val="1A7F369B"/>
    <w:rsid w:val="1A826A42"/>
    <w:rsid w:val="1A841733"/>
    <w:rsid w:val="1A850BA8"/>
    <w:rsid w:val="1A863A57"/>
    <w:rsid w:val="1A86585B"/>
    <w:rsid w:val="1A8B49AD"/>
    <w:rsid w:val="1A8F6A90"/>
    <w:rsid w:val="1A930EF5"/>
    <w:rsid w:val="1A965070"/>
    <w:rsid w:val="1A9C249F"/>
    <w:rsid w:val="1A9C6CB0"/>
    <w:rsid w:val="1A9D5ABB"/>
    <w:rsid w:val="1A9D6217"/>
    <w:rsid w:val="1A9F1C68"/>
    <w:rsid w:val="1AA12D15"/>
    <w:rsid w:val="1AA77310"/>
    <w:rsid w:val="1AA875FB"/>
    <w:rsid w:val="1AAA4ABE"/>
    <w:rsid w:val="1AB130BF"/>
    <w:rsid w:val="1AB217D3"/>
    <w:rsid w:val="1AB570BD"/>
    <w:rsid w:val="1AB84A8D"/>
    <w:rsid w:val="1ABA2A2D"/>
    <w:rsid w:val="1AC03394"/>
    <w:rsid w:val="1AC11AD8"/>
    <w:rsid w:val="1AC437A4"/>
    <w:rsid w:val="1AC44158"/>
    <w:rsid w:val="1AC53C71"/>
    <w:rsid w:val="1AC63078"/>
    <w:rsid w:val="1AC64482"/>
    <w:rsid w:val="1AC9700C"/>
    <w:rsid w:val="1ACC4407"/>
    <w:rsid w:val="1ACE62BE"/>
    <w:rsid w:val="1AD97719"/>
    <w:rsid w:val="1ADA6B24"/>
    <w:rsid w:val="1ADF5EC7"/>
    <w:rsid w:val="1AE25BC8"/>
    <w:rsid w:val="1AE6371B"/>
    <w:rsid w:val="1AE6520A"/>
    <w:rsid w:val="1AEB32C4"/>
    <w:rsid w:val="1AEE0821"/>
    <w:rsid w:val="1AEE25CF"/>
    <w:rsid w:val="1AEF081B"/>
    <w:rsid w:val="1AEF6A73"/>
    <w:rsid w:val="1AF520D1"/>
    <w:rsid w:val="1AF5395E"/>
    <w:rsid w:val="1AF57E02"/>
    <w:rsid w:val="1AF74BC2"/>
    <w:rsid w:val="1AFA0F74"/>
    <w:rsid w:val="1AFC1190"/>
    <w:rsid w:val="1AFC4CEC"/>
    <w:rsid w:val="1AFF1F8B"/>
    <w:rsid w:val="1B001452"/>
    <w:rsid w:val="1B0512A5"/>
    <w:rsid w:val="1B0A0B23"/>
    <w:rsid w:val="1B0A7F80"/>
    <w:rsid w:val="1B0D3BAC"/>
    <w:rsid w:val="1B106567"/>
    <w:rsid w:val="1B135BD9"/>
    <w:rsid w:val="1B170958"/>
    <w:rsid w:val="1B171B26"/>
    <w:rsid w:val="1B172250"/>
    <w:rsid w:val="1B203070"/>
    <w:rsid w:val="1B210BF7"/>
    <w:rsid w:val="1B21661A"/>
    <w:rsid w:val="1B244243"/>
    <w:rsid w:val="1B245FF1"/>
    <w:rsid w:val="1B297880"/>
    <w:rsid w:val="1B2B396E"/>
    <w:rsid w:val="1B2F747F"/>
    <w:rsid w:val="1B3608FA"/>
    <w:rsid w:val="1B375D24"/>
    <w:rsid w:val="1B3847A4"/>
    <w:rsid w:val="1B397375"/>
    <w:rsid w:val="1B397E34"/>
    <w:rsid w:val="1B3A5814"/>
    <w:rsid w:val="1B41388C"/>
    <w:rsid w:val="1B431D5E"/>
    <w:rsid w:val="1B4437DD"/>
    <w:rsid w:val="1B444488"/>
    <w:rsid w:val="1B4712B4"/>
    <w:rsid w:val="1B477827"/>
    <w:rsid w:val="1B486183"/>
    <w:rsid w:val="1B4A4141"/>
    <w:rsid w:val="1B5239A9"/>
    <w:rsid w:val="1B540E52"/>
    <w:rsid w:val="1B544B28"/>
    <w:rsid w:val="1B55264E"/>
    <w:rsid w:val="1B56689D"/>
    <w:rsid w:val="1B5D038C"/>
    <w:rsid w:val="1B6233C8"/>
    <w:rsid w:val="1B6D259D"/>
    <w:rsid w:val="1B6D5BEA"/>
    <w:rsid w:val="1B6F54BE"/>
    <w:rsid w:val="1B7156DA"/>
    <w:rsid w:val="1B724934"/>
    <w:rsid w:val="1B724FAE"/>
    <w:rsid w:val="1B740D26"/>
    <w:rsid w:val="1B776A68"/>
    <w:rsid w:val="1B795BA4"/>
    <w:rsid w:val="1B7F55B5"/>
    <w:rsid w:val="1B825704"/>
    <w:rsid w:val="1B8467F5"/>
    <w:rsid w:val="1B860A5A"/>
    <w:rsid w:val="1B88172B"/>
    <w:rsid w:val="1B884DC4"/>
    <w:rsid w:val="1B8B42C2"/>
    <w:rsid w:val="1B8D153C"/>
    <w:rsid w:val="1B8E0917"/>
    <w:rsid w:val="1B8E3619"/>
    <w:rsid w:val="1B934B09"/>
    <w:rsid w:val="1B9400BE"/>
    <w:rsid w:val="1B942560"/>
    <w:rsid w:val="1B944F25"/>
    <w:rsid w:val="1B972C67"/>
    <w:rsid w:val="1B9E7300"/>
    <w:rsid w:val="1B9F38C9"/>
    <w:rsid w:val="1BA079B2"/>
    <w:rsid w:val="1BA340E6"/>
    <w:rsid w:val="1BA52F53"/>
    <w:rsid w:val="1BA548B0"/>
    <w:rsid w:val="1BA76708"/>
    <w:rsid w:val="1BA96413"/>
    <w:rsid w:val="1BAB226E"/>
    <w:rsid w:val="1BAB4AC5"/>
    <w:rsid w:val="1BB34972"/>
    <w:rsid w:val="1BB455C7"/>
    <w:rsid w:val="1BB76E65"/>
    <w:rsid w:val="1BB90E2F"/>
    <w:rsid w:val="1BBC26CD"/>
    <w:rsid w:val="1BBD091F"/>
    <w:rsid w:val="1BBD1E72"/>
    <w:rsid w:val="1BBF43CB"/>
    <w:rsid w:val="1BC02031"/>
    <w:rsid w:val="1BC1042C"/>
    <w:rsid w:val="1BCB46BE"/>
    <w:rsid w:val="1BCF1309"/>
    <w:rsid w:val="1BCF2401"/>
    <w:rsid w:val="1BD143CB"/>
    <w:rsid w:val="1BD73063"/>
    <w:rsid w:val="1BD765FC"/>
    <w:rsid w:val="1BDB6FF7"/>
    <w:rsid w:val="1BE10D98"/>
    <w:rsid w:val="1BE834C2"/>
    <w:rsid w:val="1BE87456"/>
    <w:rsid w:val="1BED17B1"/>
    <w:rsid w:val="1BEF4B0E"/>
    <w:rsid w:val="1BF21FD1"/>
    <w:rsid w:val="1BF27683"/>
    <w:rsid w:val="1BF400B9"/>
    <w:rsid w:val="1BF66B1E"/>
    <w:rsid w:val="1BF754B3"/>
    <w:rsid w:val="1BF97E83"/>
    <w:rsid w:val="1BFF55A7"/>
    <w:rsid w:val="1C0025BA"/>
    <w:rsid w:val="1C057BD0"/>
    <w:rsid w:val="1C0A3439"/>
    <w:rsid w:val="1C0B7651"/>
    <w:rsid w:val="1C0C5403"/>
    <w:rsid w:val="1C0D4CD7"/>
    <w:rsid w:val="1C1222ED"/>
    <w:rsid w:val="1C136791"/>
    <w:rsid w:val="1C156F10"/>
    <w:rsid w:val="1C19367C"/>
    <w:rsid w:val="1C1A5E28"/>
    <w:rsid w:val="1C1A6E60"/>
    <w:rsid w:val="1C1C6D9C"/>
    <w:rsid w:val="1C1D5511"/>
    <w:rsid w:val="1C281B11"/>
    <w:rsid w:val="1C2A5889"/>
    <w:rsid w:val="1C2C1601"/>
    <w:rsid w:val="1C306F78"/>
    <w:rsid w:val="1C365FDC"/>
    <w:rsid w:val="1C3738A4"/>
    <w:rsid w:val="1C451422"/>
    <w:rsid w:val="1C4757B1"/>
    <w:rsid w:val="1C47643B"/>
    <w:rsid w:val="1C4B37D1"/>
    <w:rsid w:val="1C4C4C4D"/>
    <w:rsid w:val="1C4E1577"/>
    <w:rsid w:val="1C4E77C9"/>
    <w:rsid w:val="1C4F3C15"/>
    <w:rsid w:val="1C515ABA"/>
    <w:rsid w:val="1C553689"/>
    <w:rsid w:val="1C5940B4"/>
    <w:rsid w:val="1C597869"/>
    <w:rsid w:val="1C5B5A42"/>
    <w:rsid w:val="1C5D6861"/>
    <w:rsid w:val="1C5D7A0C"/>
    <w:rsid w:val="1C5E5533"/>
    <w:rsid w:val="1C60776B"/>
    <w:rsid w:val="1C612F05"/>
    <w:rsid w:val="1C627E7C"/>
    <w:rsid w:val="1C694327"/>
    <w:rsid w:val="1C6F6D69"/>
    <w:rsid w:val="1C7270EF"/>
    <w:rsid w:val="1C734345"/>
    <w:rsid w:val="1C741674"/>
    <w:rsid w:val="1C766D20"/>
    <w:rsid w:val="1C7B3C92"/>
    <w:rsid w:val="1C7B4373"/>
    <w:rsid w:val="1C8067A9"/>
    <w:rsid w:val="1C821221"/>
    <w:rsid w:val="1C827473"/>
    <w:rsid w:val="1C865ACB"/>
    <w:rsid w:val="1C871BA8"/>
    <w:rsid w:val="1C873A62"/>
    <w:rsid w:val="1C8E447C"/>
    <w:rsid w:val="1C901646"/>
    <w:rsid w:val="1C9020E0"/>
    <w:rsid w:val="1C906530"/>
    <w:rsid w:val="1C931680"/>
    <w:rsid w:val="1C93342E"/>
    <w:rsid w:val="1C9338F9"/>
    <w:rsid w:val="1C9378D2"/>
    <w:rsid w:val="1C9A10CA"/>
    <w:rsid w:val="1C9A2A0F"/>
    <w:rsid w:val="1C9D605B"/>
    <w:rsid w:val="1CA74B77"/>
    <w:rsid w:val="1CAA039D"/>
    <w:rsid w:val="1CAB69CA"/>
    <w:rsid w:val="1CB2219C"/>
    <w:rsid w:val="1CB2318B"/>
    <w:rsid w:val="1CB5684F"/>
    <w:rsid w:val="1CC22BD9"/>
    <w:rsid w:val="1CC24AA5"/>
    <w:rsid w:val="1CC36857"/>
    <w:rsid w:val="1CC5562F"/>
    <w:rsid w:val="1CCB627B"/>
    <w:rsid w:val="1CD00D9F"/>
    <w:rsid w:val="1CD0119E"/>
    <w:rsid w:val="1CD27317"/>
    <w:rsid w:val="1CD40F1D"/>
    <w:rsid w:val="1CDA2E0B"/>
    <w:rsid w:val="1CDD506F"/>
    <w:rsid w:val="1CE149AE"/>
    <w:rsid w:val="1CE41EDC"/>
    <w:rsid w:val="1CE50167"/>
    <w:rsid w:val="1CEA5D13"/>
    <w:rsid w:val="1CEB54F6"/>
    <w:rsid w:val="1CEE4B08"/>
    <w:rsid w:val="1CEF43E3"/>
    <w:rsid w:val="1CF3211F"/>
    <w:rsid w:val="1CF47EE2"/>
    <w:rsid w:val="1CF75960"/>
    <w:rsid w:val="1CFA40C7"/>
    <w:rsid w:val="1CFA7F9D"/>
    <w:rsid w:val="1CFC4A09"/>
    <w:rsid w:val="1CFD2F9D"/>
    <w:rsid w:val="1D004BBE"/>
    <w:rsid w:val="1D012A8E"/>
    <w:rsid w:val="1D022859"/>
    <w:rsid w:val="1D0847B2"/>
    <w:rsid w:val="1D094AC4"/>
    <w:rsid w:val="1D0B3F40"/>
    <w:rsid w:val="1D0C4F8F"/>
    <w:rsid w:val="1D0E738A"/>
    <w:rsid w:val="1D146AFA"/>
    <w:rsid w:val="1D1B7A2F"/>
    <w:rsid w:val="1D1C37DF"/>
    <w:rsid w:val="1D1D04A8"/>
    <w:rsid w:val="1D1F4CC2"/>
    <w:rsid w:val="1D232A04"/>
    <w:rsid w:val="1D24052A"/>
    <w:rsid w:val="1D2547F1"/>
    <w:rsid w:val="1D2A0D94"/>
    <w:rsid w:val="1D2E0656"/>
    <w:rsid w:val="1D305121"/>
    <w:rsid w:val="1D316AD3"/>
    <w:rsid w:val="1D367EDC"/>
    <w:rsid w:val="1D37287C"/>
    <w:rsid w:val="1D385D84"/>
    <w:rsid w:val="1D3A6632"/>
    <w:rsid w:val="1D3E2200"/>
    <w:rsid w:val="1D3E783E"/>
    <w:rsid w:val="1D480FB9"/>
    <w:rsid w:val="1D506B65"/>
    <w:rsid w:val="1D513780"/>
    <w:rsid w:val="1D526E45"/>
    <w:rsid w:val="1D570900"/>
    <w:rsid w:val="1D630766"/>
    <w:rsid w:val="1D683071"/>
    <w:rsid w:val="1D6923E1"/>
    <w:rsid w:val="1D694FFC"/>
    <w:rsid w:val="1D6B574B"/>
    <w:rsid w:val="1D6C6D46"/>
    <w:rsid w:val="1D6D0123"/>
    <w:rsid w:val="1D6E3A3E"/>
    <w:rsid w:val="1D701900"/>
    <w:rsid w:val="1D7376FC"/>
    <w:rsid w:val="1D747A57"/>
    <w:rsid w:val="1D761C93"/>
    <w:rsid w:val="1D7A555D"/>
    <w:rsid w:val="1D7F002D"/>
    <w:rsid w:val="1D8013C5"/>
    <w:rsid w:val="1D8061F7"/>
    <w:rsid w:val="1D842B1B"/>
    <w:rsid w:val="1D8661A8"/>
    <w:rsid w:val="1D877DCB"/>
    <w:rsid w:val="1D882867"/>
    <w:rsid w:val="1D891995"/>
    <w:rsid w:val="1D8B575C"/>
    <w:rsid w:val="1D8D2B04"/>
    <w:rsid w:val="1D906CBB"/>
    <w:rsid w:val="1D943902"/>
    <w:rsid w:val="1D9507BF"/>
    <w:rsid w:val="1D994A74"/>
    <w:rsid w:val="1D9C1314"/>
    <w:rsid w:val="1D9C4564"/>
    <w:rsid w:val="1D9F5E03"/>
    <w:rsid w:val="1DA0383E"/>
    <w:rsid w:val="1DA17DCD"/>
    <w:rsid w:val="1DA20C31"/>
    <w:rsid w:val="1DA26897"/>
    <w:rsid w:val="1DA925DA"/>
    <w:rsid w:val="1DAB1CCD"/>
    <w:rsid w:val="1DAC4AD5"/>
    <w:rsid w:val="1DAD6B3A"/>
    <w:rsid w:val="1DAF24EA"/>
    <w:rsid w:val="1DAF6046"/>
    <w:rsid w:val="1DB04A2F"/>
    <w:rsid w:val="1DB347EA"/>
    <w:rsid w:val="1DB63878"/>
    <w:rsid w:val="1DB83A1E"/>
    <w:rsid w:val="1DBB576B"/>
    <w:rsid w:val="1DBF5FA0"/>
    <w:rsid w:val="1DC07153"/>
    <w:rsid w:val="1DC37494"/>
    <w:rsid w:val="1DC50CE6"/>
    <w:rsid w:val="1DC738B3"/>
    <w:rsid w:val="1DCC6C1C"/>
    <w:rsid w:val="1DCF4116"/>
    <w:rsid w:val="1DD2442A"/>
    <w:rsid w:val="1DD26A50"/>
    <w:rsid w:val="1DD44A27"/>
    <w:rsid w:val="1DDD24B3"/>
    <w:rsid w:val="1DE026A3"/>
    <w:rsid w:val="1DE32193"/>
    <w:rsid w:val="1DE52089"/>
    <w:rsid w:val="1DE55F0B"/>
    <w:rsid w:val="1DEF0B38"/>
    <w:rsid w:val="1DEF6D8A"/>
    <w:rsid w:val="1DF06353"/>
    <w:rsid w:val="1DF12B02"/>
    <w:rsid w:val="1DF47EFC"/>
    <w:rsid w:val="1DF75C3F"/>
    <w:rsid w:val="1DFC4622"/>
    <w:rsid w:val="1E0245F3"/>
    <w:rsid w:val="1E042E8B"/>
    <w:rsid w:val="1E0A5972"/>
    <w:rsid w:val="1E0F11DA"/>
    <w:rsid w:val="1E0F4D36"/>
    <w:rsid w:val="1E1209D5"/>
    <w:rsid w:val="1E1660C5"/>
    <w:rsid w:val="1E18008F"/>
    <w:rsid w:val="1E193E07"/>
    <w:rsid w:val="1E196AA3"/>
    <w:rsid w:val="1E197963"/>
    <w:rsid w:val="1E1B192D"/>
    <w:rsid w:val="1E1B2883"/>
    <w:rsid w:val="1E1B36DB"/>
    <w:rsid w:val="1E1E141D"/>
    <w:rsid w:val="1E200CF1"/>
    <w:rsid w:val="1E215981"/>
    <w:rsid w:val="1E29229C"/>
    <w:rsid w:val="1E2D4852"/>
    <w:rsid w:val="1E2E2A61"/>
    <w:rsid w:val="1E305AB6"/>
    <w:rsid w:val="1E3136FC"/>
    <w:rsid w:val="1E3649B9"/>
    <w:rsid w:val="1E3819A8"/>
    <w:rsid w:val="1E3D18A3"/>
    <w:rsid w:val="1E3D7797"/>
    <w:rsid w:val="1E4774BD"/>
    <w:rsid w:val="1E4D0963"/>
    <w:rsid w:val="1E4E1D03"/>
    <w:rsid w:val="1E532818"/>
    <w:rsid w:val="1E561241"/>
    <w:rsid w:val="1E566E09"/>
    <w:rsid w:val="1E5A29B0"/>
    <w:rsid w:val="1E5E03FE"/>
    <w:rsid w:val="1E5E5B8F"/>
    <w:rsid w:val="1E5F5CBE"/>
    <w:rsid w:val="1E5F67B4"/>
    <w:rsid w:val="1E605592"/>
    <w:rsid w:val="1E620680"/>
    <w:rsid w:val="1E6F3A27"/>
    <w:rsid w:val="1E763007"/>
    <w:rsid w:val="1E7B061E"/>
    <w:rsid w:val="1E7C0C7B"/>
    <w:rsid w:val="1E7D4396"/>
    <w:rsid w:val="1E7E516C"/>
    <w:rsid w:val="1E803E86"/>
    <w:rsid w:val="1E826333"/>
    <w:rsid w:val="1E8411D7"/>
    <w:rsid w:val="1E8631D2"/>
    <w:rsid w:val="1E8A260F"/>
    <w:rsid w:val="1E8F40C9"/>
    <w:rsid w:val="1E912ADB"/>
    <w:rsid w:val="1E9132A3"/>
    <w:rsid w:val="1E915355"/>
    <w:rsid w:val="1E94348E"/>
    <w:rsid w:val="1E95623E"/>
    <w:rsid w:val="1E965458"/>
    <w:rsid w:val="1E9719E5"/>
    <w:rsid w:val="1E974CDA"/>
    <w:rsid w:val="1E98417B"/>
    <w:rsid w:val="1E993325"/>
    <w:rsid w:val="1E9A4503"/>
    <w:rsid w:val="1E9D67E6"/>
    <w:rsid w:val="1E9F6E03"/>
    <w:rsid w:val="1EA00084"/>
    <w:rsid w:val="1EA017A5"/>
    <w:rsid w:val="1EA062D6"/>
    <w:rsid w:val="1EA1159E"/>
    <w:rsid w:val="1EA336D1"/>
    <w:rsid w:val="1EA47B74"/>
    <w:rsid w:val="1EA8053D"/>
    <w:rsid w:val="1EAA1823"/>
    <w:rsid w:val="1EAB4B94"/>
    <w:rsid w:val="1EAC6A29"/>
    <w:rsid w:val="1EB82432"/>
    <w:rsid w:val="1EBB2337"/>
    <w:rsid w:val="1EBC7E7B"/>
    <w:rsid w:val="1EC45B21"/>
    <w:rsid w:val="1EC600C2"/>
    <w:rsid w:val="1ED06753"/>
    <w:rsid w:val="1ED24781"/>
    <w:rsid w:val="1ED33FB6"/>
    <w:rsid w:val="1ED37414"/>
    <w:rsid w:val="1EDA4F28"/>
    <w:rsid w:val="1EE130C7"/>
    <w:rsid w:val="1EE17829"/>
    <w:rsid w:val="1EE26A1F"/>
    <w:rsid w:val="1EE61F3B"/>
    <w:rsid w:val="1EEB2585"/>
    <w:rsid w:val="1EF160C4"/>
    <w:rsid w:val="1EF35394"/>
    <w:rsid w:val="1EF64F8E"/>
    <w:rsid w:val="1EF77D29"/>
    <w:rsid w:val="1EFA5EF4"/>
    <w:rsid w:val="1EFD0BB1"/>
    <w:rsid w:val="1EFF058F"/>
    <w:rsid w:val="1F05089E"/>
    <w:rsid w:val="1F051509"/>
    <w:rsid w:val="1F086119"/>
    <w:rsid w:val="1F093E7B"/>
    <w:rsid w:val="1F0C13AB"/>
    <w:rsid w:val="1F0D396C"/>
    <w:rsid w:val="1F136AA8"/>
    <w:rsid w:val="1F170346"/>
    <w:rsid w:val="1F171126"/>
    <w:rsid w:val="1F1745B6"/>
    <w:rsid w:val="1F18000E"/>
    <w:rsid w:val="1F197681"/>
    <w:rsid w:val="1F1C3BAF"/>
    <w:rsid w:val="1F1D7927"/>
    <w:rsid w:val="1F1E561E"/>
    <w:rsid w:val="1F2667DB"/>
    <w:rsid w:val="1F294114"/>
    <w:rsid w:val="1F2B429B"/>
    <w:rsid w:val="1F2E287D"/>
    <w:rsid w:val="1F3233D2"/>
    <w:rsid w:val="1F390E63"/>
    <w:rsid w:val="1F3C4E81"/>
    <w:rsid w:val="1F403C04"/>
    <w:rsid w:val="1F446C62"/>
    <w:rsid w:val="1F4C66C1"/>
    <w:rsid w:val="1F52137F"/>
    <w:rsid w:val="1F532175"/>
    <w:rsid w:val="1F5B2FBB"/>
    <w:rsid w:val="1F62545B"/>
    <w:rsid w:val="1F6410B2"/>
    <w:rsid w:val="1F642E60"/>
    <w:rsid w:val="1F6466AD"/>
    <w:rsid w:val="1F68119F"/>
    <w:rsid w:val="1F6A6EAE"/>
    <w:rsid w:val="1F6B19F2"/>
    <w:rsid w:val="1F6E4BE6"/>
    <w:rsid w:val="1F7363E0"/>
    <w:rsid w:val="1F740D38"/>
    <w:rsid w:val="1F7532BF"/>
    <w:rsid w:val="1F7E03C6"/>
    <w:rsid w:val="1F7F2998"/>
    <w:rsid w:val="1F8359DC"/>
    <w:rsid w:val="1F8452B0"/>
    <w:rsid w:val="1F877601"/>
    <w:rsid w:val="1F881244"/>
    <w:rsid w:val="1F8D1CC6"/>
    <w:rsid w:val="1F90311B"/>
    <w:rsid w:val="1F964BB8"/>
    <w:rsid w:val="1F9D3601"/>
    <w:rsid w:val="1FA07A57"/>
    <w:rsid w:val="1FA119DF"/>
    <w:rsid w:val="1FAD0CAB"/>
    <w:rsid w:val="1FAF5501"/>
    <w:rsid w:val="1FB634D8"/>
    <w:rsid w:val="1FB71EFF"/>
    <w:rsid w:val="1FB77434"/>
    <w:rsid w:val="1FB950A5"/>
    <w:rsid w:val="1FBA6F24"/>
    <w:rsid w:val="1FBE3A8A"/>
    <w:rsid w:val="1FC55FF4"/>
    <w:rsid w:val="1FCE481E"/>
    <w:rsid w:val="1FD2028B"/>
    <w:rsid w:val="1FD46237"/>
    <w:rsid w:val="1FD955FC"/>
    <w:rsid w:val="1FDA75E3"/>
    <w:rsid w:val="1FE12702"/>
    <w:rsid w:val="1FE82398"/>
    <w:rsid w:val="1FE82E74"/>
    <w:rsid w:val="1FEA4E1F"/>
    <w:rsid w:val="1FEB532F"/>
    <w:rsid w:val="1FED480E"/>
    <w:rsid w:val="1FEF1433"/>
    <w:rsid w:val="1FEF3886"/>
    <w:rsid w:val="1FEF5773"/>
    <w:rsid w:val="1FEF6331"/>
    <w:rsid w:val="1FFA0160"/>
    <w:rsid w:val="1FFC12EA"/>
    <w:rsid w:val="1FFC578E"/>
    <w:rsid w:val="1FFD17C8"/>
    <w:rsid w:val="1FFE32B4"/>
    <w:rsid w:val="2002736A"/>
    <w:rsid w:val="200A2D92"/>
    <w:rsid w:val="200D7EB9"/>
    <w:rsid w:val="200E3310"/>
    <w:rsid w:val="200F54C2"/>
    <w:rsid w:val="2011123A"/>
    <w:rsid w:val="2016733F"/>
    <w:rsid w:val="201A79C2"/>
    <w:rsid w:val="201E2A29"/>
    <w:rsid w:val="201E5705"/>
    <w:rsid w:val="20216FA3"/>
    <w:rsid w:val="20223ABE"/>
    <w:rsid w:val="202820DF"/>
    <w:rsid w:val="202A4F52"/>
    <w:rsid w:val="202B4AAA"/>
    <w:rsid w:val="202D1DEC"/>
    <w:rsid w:val="203043DE"/>
    <w:rsid w:val="20304A05"/>
    <w:rsid w:val="20343C12"/>
    <w:rsid w:val="20346C75"/>
    <w:rsid w:val="203647FC"/>
    <w:rsid w:val="20366AE2"/>
    <w:rsid w:val="2039253E"/>
    <w:rsid w:val="203B62B7"/>
    <w:rsid w:val="203D6172"/>
    <w:rsid w:val="203E3276"/>
    <w:rsid w:val="203E5FCA"/>
    <w:rsid w:val="20411C2C"/>
    <w:rsid w:val="20452C91"/>
    <w:rsid w:val="20462482"/>
    <w:rsid w:val="204A3E24"/>
    <w:rsid w:val="204A474C"/>
    <w:rsid w:val="204A64FA"/>
    <w:rsid w:val="204A73D9"/>
    <w:rsid w:val="204B0601"/>
    <w:rsid w:val="204F58BE"/>
    <w:rsid w:val="205511BE"/>
    <w:rsid w:val="205C7FDB"/>
    <w:rsid w:val="205E3D53"/>
    <w:rsid w:val="206030D2"/>
    <w:rsid w:val="20605D1D"/>
    <w:rsid w:val="20616863"/>
    <w:rsid w:val="20670E5A"/>
    <w:rsid w:val="20685C53"/>
    <w:rsid w:val="207427CE"/>
    <w:rsid w:val="20744ABB"/>
    <w:rsid w:val="207500F4"/>
    <w:rsid w:val="20796DDF"/>
    <w:rsid w:val="207A7747"/>
    <w:rsid w:val="207D1A7F"/>
    <w:rsid w:val="207E43F5"/>
    <w:rsid w:val="2080016D"/>
    <w:rsid w:val="20844D23"/>
    <w:rsid w:val="20893E93"/>
    <w:rsid w:val="208C13A7"/>
    <w:rsid w:val="208D63E6"/>
    <w:rsid w:val="208E288A"/>
    <w:rsid w:val="20914D43"/>
    <w:rsid w:val="20920419"/>
    <w:rsid w:val="209249D8"/>
    <w:rsid w:val="2094323B"/>
    <w:rsid w:val="20956C94"/>
    <w:rsid w:val="2099126A"/>
    <w:rsid w:val="209D487B"/>
    <w:rsid w:val="20A025BE"/>
    <w:rsid w:val="20A0436C"/>
    <w:rsid w:val="20A80FB7"/>
    <w:rsid w:val="20AE1ABD"/>
    <w:rsid w:val="20AE6A88"/>
    <w:rsid w:val="20B22B7A"/>
    <w:rsid w:val="20B4194E"/>
    <w:rsid w:val="20B5673E"/>
    <w:rsid w:val="20B63B8F"/>
    <w:rsid w:val="20B77599"/>
    <w:rsid w:val="20BB73F7"/>
    <w:rsid w:val="20BD1F44"/>
    <w:rsid w:val="20C60653"/>
    <w:rsid w:val="20C77B4A"/>
    <w:rsid w:val="20C938C2"/>
    <w:rsid w:val="20CB09B4"/>
    <w:rsid w:val="20CC6F0F"/>
    <w:rsid w:val="20CE2C87"/>
    <w:rsid w:val="20CF13CE"/>
    <w:rsid w:val="20CF5423"/>
    <w:rsid w:val="20D14525"/>
    <w:rsid w:val="20D858B3"/>
    <w:rsid w:val="20DA69CB"/>
    <w:rsid w:val="20DD2ECA"/>
    <w:rsid w:val="20E00C0C"/>
    <w:rsid w:val="20E118CF"/>
    <w:rsid w:val="20E25EBD"/>
    <w:rsid w:val="20E26732"/>
    <w:rsid w:val="20E30711"/>
    <w:rsid w:val="20E648F7"/>
    <w:rsid w:val="20E73D48"/>
    <w:rsid w:val="20E93740"/>
    <w:rsid w:val="20EA3839"/>
    <w:rsid w:val="20EA4A7B"/>
    <w:rsid w:val="20F077E9"/>
    <w:rsid w:val="20F128FE"/>
    <w:rsid w:val="20F24505"/>
    <w:rsid w:val="20F5558E"/>
    <w:rsid w:val="20F76CF2"/>
    <w:rsid w:val="20F80305"/>
    <w:rsid w:val="20F84779"/>
    <w:rsid w:val="20F85F56"/>
    <w:rsid w:val="20FD1BD4"/>
    <w:rsid w:val="210448FA"/>
    <w:rsid w:val="21050555"/>
    <w:rsid w:val="21050673"/>
    <w:rsid w:val="210B7C84"/>
    <w:rsid w:val="210E5779"/>
    <w:rsid w:val="21115269"/>
    <w:rsid w:val="211F34E2"/>
    <w:rsid w:val="21247878"/>
    <w:rsid w:val="212547C8"/>
    <w:rsid w:val="21264B26"/>
    <w:rsid w:val="2127683B"/>
    <w:rsid w:val="21297754"/>
    <w:rsid w:val="212B4477"/>
    <w:rsid w:val="212D1EE2"/>
    <w:rsid w:val="212E1977"/>
    <w:rsid w:val="212E5E1B"/>
    <w:rsid w:val="213249D4"/>
    <w:rsid w:val="21333432"/>
    <w:rsid w:val="21352D06"/>
    <w:rsid w:val="21353FAA"/>
    <w:rsid w:val="213A031C"/>
    <w:rsid w:val="21400E91"/>
    <w:rsid w:val="21417477"/>
    <w:rsid w:val="2149116C"/>
    <w:rsid w:val="2149695D"/>
    <w:rsid w:val="214C004F"/>
    <w:rsid w:val="214C1E36"/>
    <w:rsid w:val="214C62A1"/>
    <w:rsid w:val="21516771"/>
    <w:rsid w:val="2159096D"/>
    <w:rsid w:val="215C0EAE"/>
    <w:rsid w:val="215D102F"/>
    <w:rsid w:val="2169146B"/>
    <w:rsid w:val="21692707"/>
    <w:rsid w:val="21693769"/>
    <w:rsid w:val="216C71A5"/>
    <w:rsid w:val="2172566B"/>
    <w:rsid w:val="21747CD2"/>
    <w:rsid w:val="21752B69"/>
    <w:rsid w:val="217557F8"/>
    <w:rsid w:val="21787096"/>
    <w:rsid w:val="217A4BBD"/>
    <w:rsid w:val="217D645B"/>
    <w:rsid w:val="217E28FF"/>
    <w:rsid w:val="217F21D3"/>
    <w:rsid w:val="217F6F37"/>
    <w:rsid w:val="21811739"/>
    <w:rsid w:val="21842FA6"/>
    <w:rsid w:val="21893052"/>
    <w:rsid w:val="218C2E6F"/>
    <w:rsid w:val="218C590D"/>
    <w:rsid w:val="218D48F0"/>
    <w:rsid w:val="2196695D"/>
    <w:rsid w:val="219A0DBB"/>
    <w:rsid w:val="219A65D6"/>
    <w:rsid w:val="219C17AF"/>
    <w:rsid w:val="219D035C"/>
    <w:rsid w:val="219D0F12"/>
    <w:rsid w:val="21A57816"/>
    <w:rsid w:val="21A659B2"/>
    <w:rsid w:val="21AC71BF"/>
    <w:rsid w:val="21AE2AB8"/>
    <w:rsid w:val="21B9578A"/>
    <w:rsid w:val="21C17A68"/>
    <w:rsid w:val="21C31524"/>
    <w:rsid w:val="21C32A8F"/>
    <w:rsid w:val="21C32C2D"/>
    <w:rsid w:val="21C5052E"/>
    <w:rsid w:val="21C64425"/>
    <w:rsid w:val="21C67E02"/>
    <w:rsid w:val="21CB262D"/>
    <w:rsid w:val="21CB5418"/>
    <w:rsid w:val="21CB71C6"/>
    <w:rsid w:val="21CD2F3E"/>
    <w:rsid w:val="21CE6CB6"/>
    <w:rsid w:val="21D00C81"/>
    <w:rsid w:val="21D24DC2"/>
    <w:rsid w:val="21D267A7"/>
    <w:rsid w:val="21DD6EFA"/>
    <w:rsid w:val="21DD6FA9"/>
    <w:rsid w:val="21E029B7"/>
    <w:rsid w:val="21E140DA"/>
    <w:rsid w:val="21EA1D42"/>
    <w:rsid w:val="21F26E49"/>
    <w:rsid w:val="21F3787F"/>
    <w:rsid w:val="21F44DAC"/>
    <w:rsid w:val="21F62A43"/>
    <w:rsid w:val="21F730D7"/>
    <w:rsid w:val="21F81075"/>
    <w:rsid w:val="21FB65EC"/>
    <w:rsid w:val="220666F6"/>
    <w:rsid w:val="220B1CB9"/>
    <w:rsid w:val="220C7F8E"/>
    <w:rsid w:val="22151481"/>
    <w:rsid w:val="221565FB"/>
    <w:rsid w:val="22216308"/>
    <w:rsid w:val="2228286B"/>
    <w:rsid w:val="22284C58"/>
    <w:rsid w:val="222C11FF"/>
    <w:rsid w:val="22364F87"/>
    <w:rsid w:val="22394A78"/>
    <w:rsid w:val="223A4DA5"/>
    <w:rsid w:val="223C319C"/>
    <w:rsid w:val="223E0251"/>
    <w:rsid w:val="223E64EF"/>
    <w:rsid w:val="223F7389"/>
    <w:rsid w:val="22400CF8"/>
    <w:rsid w:val="22436011"/>
    <w:rsid w:val="22461303"/>
    <w:rsid w:val="224C01F8"/>
    <w:rsid w:val="224D407F"/>
    <w:rsid w:val="224F0F15"/>
    <w:rsid w:val="2252022C"/>
    <w:rsid w:val="225263D4"/>
    <w:rsid w:val="22526E91"/>
    <w:rsid w:val="2255003C"/>
    <w:rsid w:val="225613F7"/>
    <w:rsid w:val="225639C9"/>
    <w:rsid w:val="225E009F"/>
    <w:rsid w:val="2261023A"/>
    <w:rsid w:val="22617B2B"/>
    <w:rsid w:val="2263784B"/>
    <w:rsid w:val="2264473C"/>
    <w:rsid w:val="226D7CB6"/>
    <w:rsid w:val="226E1518"/>
    <w:rsid w:val="22702AAD"/>
    <w:rsid w:val="22714212"/>
    <w:rsid w:val="227508E4"/>
    <w:rsid w:val="227635D6"/>
    <w:rsid w:val="22765384"/>
    <w:rsid w:val="22796D63"/>
    <w:rsid w:val="227D2BB6"/>
    <w:rsid w:val="22824E3A"/>
    <w:rsid w:val="22877C26"/>
    <w:rsid w:val="2288435D"/>
    <w:rsid w:val="22892660"/>
    <w:rsid w:val="228A6141"/>
    <w:rsid w:val="228C128A"/>
    <w:rsid w:val="228D0BE8"/>
    <w:rsid w:val="228F6BF1"/>
    <w:rsid w:val="22904DF6"/>
    <w:rsid w:val="22910410"/>
    <w:rsid w:val="229254B9"/>
    <w:rsid w:val="22935E93"/>
    <w:rsid w:val="22946047"/>
    <w:rsid w:val="229603CF"/>
    <w:rsid w:val="22960D61"/>
    <w:rsid w:val="22A26052"/>
    <w:rsid w:val="22AA1044"/>
    <w:rsid w:val="22AD1A45"/>
    <w:rsid w:val="22B14323"/>
    <w:rsid w:val="22B941F6"/>
    <w:rsid w:val="22BA3A2B"/>
    <w:rsid w:val="22BD15D6"/>
    <w:rsid w:val="22BF31CF"/>
    <w:rsid w:val="22C0182E"/>
    <w:rsid w:val="22C312F7"/>
    <w:rsid w:val="22C407E5"/>
    <w:rsid w:val="22C873CE"/>
    <w:rsid w:val="22CD3DEA"/>
    <w:rsid w:val="22CD6F6E"/>
    <w:rsid w:val="22D130B5"/>
    <w:rsid w:val="22D61C98"/>
    <w:rsid w:val="22D80C7C"/>
    <w:rsid w:val="22D82B63"/>
    <w:rsid w:val="22DB2E38"/>
    <w:rsid w:val="22DB758F"/>
    <w:rsid w:val="22DE3CF2"/>
    <w:rsid w:val="22DF7267"/>
    <w:rsid w:val="22E04EF3"/>
    <w:rsid w:val="22E17A73"/>
    <w:rsid w:val="22E91FFA"/>
    <w:rsid w:val="22EC5646"/>
    <w:rsid w:val="22ED0A22"/>
    <w:rsid w:val="22F136B1"/>
    <w:rsid w:val="22FC6FFF"/>
    <w:rsid w:val="22FE5379"/>
    <w:rsid w:val="2302130E"/>
    <w:rsid w:val="23030608"/>
    <w:rsid w:val="230706D2"/>
    <w:rsid w:val="2309269C"/>
    <w:rsid w:val="230B25E1"/>
    <w:rsid w:val="230E7A80"/>
    <w:rsid w:val="23103A2A"/>
    <w:rsid w:val="23111E87"/>
    <w:rsid w:val="231669DE"/>
    <w:rsid w:val="231E3A16"/>
    <w:rsid w:val="23203D54"/>
    <w:rsid w:val="23283B3B"/>
    <w:rsid w:val="232C638A"/>
    <w:rsid w:val="232D179D"/>
    <w:rsid w:val="23311E82"/>
    <w:rsid w:val="233A2855"/>
    <w:rsid w:val="233B5326"/>
    <w:rsid w:val="23445034"/>
    <w:rsid w:val="23452FA8"/>
    <w:rsid w:val="234611FA"/>
    <w:rsid w:val="234660BD"/>
    <w:rsid w:val="23482F54"/>
    <w:rsid w:val="23496F3C"/>
    <w:rsid w:val="234A44CD"/>
    <w:rsid w:val="234B2054"/>
    <w:rsid w:val="23512A47"/>
    <w:rsid w:val="2355492B"/>
    <w:rsid w:val="235B2B3F"/>
    <w:rsid w:val="235E7F88"/>
    <w:rsid w:val="23614286"/>
    <w:rsid w:val="23636EA1"/>
    <w:rsid w:val="237050E5"/>
    <w:rsid w:val="23711FEF"/>
    <w:rsid w:val="23713D9D"/>
    <w:rsid w:val="23775858"/>
    <w:rsid w:val="2378385F"/>
    <w:rsid w:val="237A0EA4"/>
    <w:rsid w:val="237A7F73"/>
    <w:rsid w:val="237C0162"/>
    <w:rsid w:val="238426C8"/>
    <w:rsid w:val="23856963"/>
    <w:rsid w:val="238735C1"/>
    <w:rsid w:val="23911220"/>
    <w:rsid w:val="23931F66"/>
    <w:rsid w:val="239751F2"/>
    <w:rsid w:val="2398160A"/>
    <w:rsid w:val="23983A20"/>
    <w:rsid w:val="2398757C"/>
    <w:rsid w:val="23995F64"/>
    <w:rsid w:val="239F0621"/>
    <w:rsid w:val="23AD42AA"/>
    <w:rsid w:val="23AD5759"/>
    <w:rsid w:val="23AE19FF"/>
    <w:rsid w:val="23AE6B9B"/>
    <w:rsid w:val="23AF6E65"/>
    <w:rsid w:val="23B02B18"/>
    <w:rsid w:val="23B23D14"/>
    <w:rsid w:val="23B86870"/>
    <w:rsid w:val="23BA1BE8"/>
    <w:rsid w:val="23BA3996"/>
    <w:rsid w:val="23BA5744"/>
    <w:rsid w:val="23BC326A"/>
    <w:rsid w:val="23BE2B28"/>
    <w:rsid w:val="23BF71FF"/>
    <w:rsid w:val="23C12F77"/>
    <w:rsid w:val="23C245F9"/>
    <w:rsid w:val="23C71C0F"/>
    <w:rsid w:val="23C860B3"/>
    <w:rsid w:val="23CA2D11"/>
    <w:rsid w:val="23CC765B"/>
    <w:rsid w:val="23CD36CA"/>
    <w:rsid w:val="23CE2F9E"/>
    <w:rsid w:val="23D028AF"/>
    <w:rsid w:val="23D507D0"/>
    <w:rsid w:val="23D5257E"/>
    <w:rsid w:val="23DF477D"/>
    <w:rsid w:val="23E30259"/>
    <w:rsid w:val="23E36EF0"/>
    <w:rsid w:val="23E51A10"/>
    <w:rsid w:val="23ED1676"/>
    <w:rsid w:val="23F24EDE"/>
    <w:rsid w:val="23F40BB9"/>
    <w:rsid w:val="23F8626D"/>
    <w:rsid w:val="23F93B71"/>
    <w:rsid w:val="23FF64D9"/>
    <w:rsid w:val="24005AC5"/>
    <w:rsid w:val="24022C1F"/>
    <w:rsid w:val="24030E99"/>
    <w:rsid w:val="240457BD"/>
    <w:rsid w:val="2407213B"/>
    <w:rsid w:val="240923B7"/>
    <w:rsid w:val="240970D1"/>
    <w:rsid w:val="240B5FA0"/>
    <w:rsid w:val="240C120F"/>
    <w:rsid w:val="240D3AC6"/>
    <w:rsid w:val="240E783E"/>
    <w:rsid w:val="240F3CE2"/>
    <w:rsid w:val="241362B0"/>
    <w:rsid w:val="24140B6F"/>
    <w:rsid w:val="24172B97"/>
    <w:rsid w:val="241833C9"/>
    <w:rsid w:val="241906BD"/>
    <w:rsid w:val="2419303C"/>
    <w:rsid w:val="24212E47"/>
    <w:rsid w:val="24230D9C"/>
    <w:rsid w:val="242658E3"/>
    <w:rsid w:val="242724C0"/>
    <w:rsid w:val="242B52A8"/>
    <w:rsid w:val="242F7EE0"/>
    <w:rsid w:val="243146FA"/>
    <w:rsid w:val="2432177F"/>
    <w:rsid w:val="24383F19"/>
    <w:rsid w:val="243A6885"/>
    <w:rsid w:val="243C706A"/>
    <w:rsid w:val="243E2436"/>
    <w:rsid w:val="244362A8"/>
    <w:rsid w:val="2446522A"/>
    <w:rsid w:val="244C48DF"/>
    <w:rsid w:val="244D0366"/>
    <w:rsid w:val="244F3672"/>
    <w:rsid w:val="24513E22"/>
    <w:rsid w:val="24561DB9"/>
    <w:rsid w:val="245662F3"/>
    <w:rsid w:val="24574E3E"/>
    <w:rsid w:val="245779D2"/>
    <w:rsid w:val="2459462B"/>
    <w:rsid w:val="24596D0B"/>
    <w:rsid w:val="245A0C8C"/>
    <w:rsid w:val="245B0CD5"/>
    <w:rsid w:val="245E1043"/>
    <w:rsid w:val="245F009A"/>
    <w:rsid w:val="24633955"/>
    <w:rsid w:val="24636CE7"/>
    <w:rsid w:val="24667E80"/>
    <w:rsid w:val="24673D0D"/>
    <w:rsid w:val="24713FEA"/>
    <w:rsid w:val="24724271"/>
    <w:rsid w:val="24727DCD"/>
    <w:rsid w:val="2473727F"/>
    <w:rsid w:val="24750ADE"/>
    <w:rsid w:val="24771887"/>
    <w:rsid w:val="24772744"/>
    <w:rsid w:val="247E5C56"/>
    <w:rsid w:val="247F00B7"/>
    <w:rsid w:val="24822706"/>
    <w:rsid w:val="2482363D"/>
    <w:rsid w:val="2483022C"/>
    <w:rsid w:val="24830FC1"/>
    <w:rsid w:val="248F0558"/>
    <w:rsid w:val="24947236"/>
    <w:rsid w:val="24960888"/>
    <w:rsid w:val="24961D0D"/>
    <w:rsid w:val="24970470"/>
    <w:rsid w:val="249A2960"/>
    <w:rsid w:val="249F6F2F"/>
    <w:rsid w:val="24A00233"/>
    <w:rsid w:val="24A46A6E"/>
    <w:rsid w:val="24A501A2"/>
    <w:rsid w:val="24A66AD5"/>
    <w:rsid w:val="24A85EE5"/>
    <w:rsid w:val="24B4590E"/>
    <w:rsid w:val="24B86128"/>
    <w:rsid w:val="24B915B1"/>
    <w:rsid w:val="24B91EA0"/>
    <w:rsid w:val="24BC5237"/>
    <w:rsid w:val="24BC5F1D"/>
    <w:rsid w:val="24BD218B"/>
    <w:rsid w:val="24C0224D"/>
    <w:rsid w:val="24C04FDC"/>
    <w:rsid w:val="24C525F3"/>
    <w:rsid w:val="24C832F7"/>
    <w:rsid w:val="24C85C3F"/>
    <w:rsid w:val="24C8741E"/>
    <w:rsid w:val="24CA7C09"/>
    <w:rsid w:val="24CB057B"/>
    <w:rsid w:val="24D337CB"/>
    <w:rsid w:val="24D64800"/>
    <w:rsid w:val="24D65DED"/>
    <w:rsid w:val="24D928CF"/>
    <w:rsid w:val="24D97E4C"/>
    <w:rsid w:val="24DE0931"/>
    <w:rsid w:val="24DE658C"/>
    <w:rsid w:val="24E2213D"/>
    <w:rsid w:val="24E5168B"/>
    <w:rsid w:val="24E71483"/>
    <w:rsid w:val="24EA02AB"/>
    <w:rsid w:val="24EA24E0"/>
    <w:rsid w:val="24EA3BC4"/>
    <w:rsid w:val="24ED6CFA"/>
    <w:rsid w:val="24F032B6"/>
    <w:rsid w:val="24F574F6"/>
    <w:rsid w:val="24F5772B"/>
    <w:rsid w:val="24F70A36"/>
    <w:rsid w:val="24FB4266"/>
    <w:rsid w:val="24FC7E99"/>
    <w:rsid w:val="250100D5"/>
    <w:rsid w:val="25050CAA"/>
    <w:rsid w:val="25061E11"/>
    <w:rsid w:val="25072C0B"/>
    <w:rsid w:val="25084D63"/>
    <w:rsid w:val="25096487"/>
    <w:rsid w:val="250A44A9"/>
    <w:rsid w:val="250C1FD0"/>
    <w:rsid w:val="250C393D"/>
    <w:rsid w:val="250E5D48"/>
    <w:rsid w:val="250F2223"/>
    <w:rsid w:val="251331E9"/>
    <w:rsid w:val="251D5B34"/>
    <w:rsid w:val="25253091"/>
    <w:rsid w:val="25276E09"/>
    <w:rsid w:val="25277A25"/>
    <w:rsid w:val="252A0186"/>
    <w:rsid w:val="252D67FC"/>
    <w:rsid w:val="253036CC"/>
    <w:rsid w:val="253054E2"/>
    <w:rsid w:val="253204EC"/>
    <w:rsid w:val="25320E4E"/>
    <w:rsid w:val="253944F4"/>
    <w:rsid w:val="253B5F85"/>
    <w:rsid w:val="253C1180"/>
    <w:rsid w:val="2543586C"/>
    <w:rsid w:val="25457290"/>
    <w:rsid w:val="25465CA2"/>
    <w:rsid w:val="2547125A"/>
    <w:rsid w:val="254774AC"/>
    <w:rsid w:val="254865FB"/>
    <w:rsid w:val="2549619D"/>
    <w:rsid w:val="254C2D14"/>
    <w:rsid w:val="254D6DF3"/>
    <w:rsid w:val="254F4114"/>
    <w:rsid w:val="255173CF"/>
    <w:rsid w:val="25583467"/>
    <w:rsid w:val="25592D3B"/>
    <w:rsid w:val="255C14CA"/>
    <w:rsid w:val="25650DA8"/>
    <w:rsid w:val="256535B5"/>
    <w:rsid w:val="25695A7A"/>
    <w:rsid w:val="256A6E18"/>
    <w:rsid w:val="256A73F8"/>
    <w:rsid w:val="256D7EB1"/>
    <w:rsid w:val="25753827"/>
    <w:rsid w:val="257846C5"/>
    <w:rsid w:val="257A7686"/>
    <w:rsid w:val="257D4385"/>
    <w:rsid w:val="257D6A22"/>
    <w:rsid w:val="257F568B"/>
    <w:rsid w:val="257F6FD2"/>
    <w:rsid w:val="258033CD"/>
    <w:rsid w:val="25814783"/>
    <w:rsid w:val="25861D82"/>
    <w:rsid w:val="25870234"/>
    <w:rsid w:val="258A1146"/>
    <w:rsid w:val="258C4EBE"/>
    <w:rsid w:val="258F2A1B"/>
    <w:rsid w:val="259124D5"/>
    <w:rsid w:val="25944CA2"/>
    <w:rsid w:val="259E3CCF"/>
    <w:rsid w:val="259F2E44"/>
    <w:rsid w:val="25A15C82"/>
    <w:rsid w:val="25A8619C"/>
    <w:rsid w:val="25A91F14"/>
    <w:rsid w:val="25AB3597"/>
    <w:rsid w:val="25B005D7"/>
    <w:rsid w:val="25B05051"/>
    <w:rsid w:val="25B5292C"/>
    <w:rsid w:val="25B61F3B"/>
    <w:rsid w:val="25BA1A2C"/>
    <w:rsid w:val="25C472EA"/>
    <w:rsid w:val="25C66622"/>
    <w:rsid w:val="25C70488"/>
    <w:rsid w:val="25C92E20"/>
    <w:rsid w:val="25C97EC1"/>
    <w:rsid w:val="25CB59E7"/>
    <w:rsid w:val="25CE54D7"/>
    <w:rsid w:val="25D36F91"/>
    <w:rsid w:val="25D47BE6"/>
    <w:rsid w:val="25DE5696"/>
    <w:rsid w:val="25DF5936"/>
    <w:rsid w:val="25E1345C"/>
    <w:rsid w:val="25E22D30"/>
    <w:rsid w:val="25E46AA9"/>
    <w:rsid w:val="25E545CB"/>
    <w:rsid w:val="25E87DDC"/>
    <w:rsid w:val="25F74A2E"/>
    <w:rsid w:val="25F80519"/>
    <w:rsid w:val="25F807A6"/>
    <w:rsid w:val="25FB7378"/>
    <w:rsid w:val="25FC0296"/>
    <w:rsid w:val="260129CC"/>
    <w:rsid w:val="26061115"/>
    <w:rsid w:val="26084E8D"/>
    <w:rsid w:val="260D2679"/>
    <w:rsid w:val="261307BB"/>
    <w:rsid w:val="26132E71"/>
    <w:rsid w:val="26170C2C"/>
    <w:rsid w:val="261849A4"/>
    <w:rsid w:val="26190E48"/>
    <w:rsid w:val="26260885"/>
    <w:rsid w:val="26270C5E"/>
    <w:rsid w:val="26282E39"/>
    <w:rsid w:val="262E40D2"/>
    <w:rsid w:val="26301CEE"/>
    <w:rsid w:val="263317DE"/>
    <w:rsid w:val="26354807"/>
    <w:rsid w:val="26377CDD"/>
    <w:rsid w:val="263979DA"/>
    <w:rsid w:val="263E3E76"/>
    <w:rsid w:val="26404627"/>
    <w:rsid w:val="26470BA9"/>
    <w:rsid w:val="264779F7"/>
    <w:rsid w:val="264834DB"/>
    <w:rsid w:val="26485289"/>
    <w:rsid w:val="264B2FCC"/>
    <w:rsid w:val="264C37ED"/>
    <w:rsid w:val="264D464E"/>
    <w:rsid w:val="265050F5"/>
    <w:rsid w:val="26516A31"/>
    <w:rsid w:val="265359DC"/>
    <w:rsid w:val="2657361C"/>
    <w:rsid w:val="265C0BAA"/>
    <w:rsid w:val="265C281B"/>
    <w:rsid w:val="265D225C"/>
    <w:rsid w:val="26633E71"/>
    <w:rsid w:val="2665408D"/>
    <w:rsid w:val="26661BB3"/>
    <w:rsid w:val="266876DA"/>
    <w:rsid w:val="266A16A4"/>
    <w:rsid w:val="266A51AE"/>
    <w:rsid w:val="26775B6F"/>
    <w:rsid w:val="26794851"/>
    <w:rsid w:val="2679798B"/>
    <w:rsid w:val="267B3E47"/>
    <w:rsid w:val="267B565F"/>
    <w:rsid w:val="267F418A"/>
    <w:rsid w:val="2681079B"/>
    <w:rsid w:val="26844B05"/>
    <w:rsid w:val="268A58A2"/>
    <w:rsid w:val="268D0EEE"/>
    <w:rsid w:val="268D7140"/>
    <w:rsid w:val="26917C80"/>
    <w:rsid w:val="26924756"/>
    <w:rsid w:val="2694227D"/>
    <w:rsid w:val="26946721"/>
    <w:rsid w:val="26955FF5"/>
    <w:rsid w:val="269866EA"/>
    <w:rsid w:val="26995AE5"/>
    <w:rsid w:val="269A360B"/>
    <w:rsid w:val="269D2270"/>
    <w:rsid w:val="269E61C7"/>
    <w:rsid w:val="26A35E79"/>
    <w:rsid w:val="26A36964"/>
    <w:rsid w:val="26A5448A"/>
    <w:rsid w:val="26A57985"/>
    <w:rsid w:val="26AD4FC5"/>
    <w:rsid w:val="26B079D8"/>
    <w:rsid w:val="26B12BD1"/>
    <w:rsid w:val="26B17556"/>
    <w:rsid w:val="26B40B71"/>
    <w:rsid w:val="26B75EBF"/>
    <w:rsid w:val="26C231BB"/>
    <w:rsid w:val="26C8635B"/>
    <w:rsid w:val="26C87798"/>
    <w:rsid w:val="26CF064B"/>
    <w:rsid w:val="26CF59AB"/>
    <w:rsid w:val="26D25C6B"/>
    <w:rsid w:val="26D62895"/>
    <w:rsid w:val="26DA68B4"/>
    <w:rsid w:val="26E31456"/>
    <w:rsid w:val="26E3752F"/>
    <w:rsid w:val="26E76E1D"/>
    <w:rsid w:val="26EE12D9"/>
    <w:rsid w:val="26EF3957"/>
    <w:rsid w:val="26F266CF"/>
    <w:rsid w:val="26F35BD2"/>
    <w:rsid w:val="26F45411"/>
    <w:rsid w:val="26F70E3D"/>
    <w:rsid w:val="26FC03BD"/>
    <w:rsid w:val="26FE1F5C"/>
    <w:rsid w:val="27003DB6"/>
    <w:rsid w:val="27015704"/>
    <w:rsid w:val="2702519A"/>
    <w:rsid w:val="270547A6"/>
    <w:rsid w:val="2707406D"/>
    <w:rsid w:val="27096064"/>
    <w:rsid w:val="27133AE9"/>
    <w:rsid w:val="27135897"/>
    <w:rsid w:val="2716125D"/>
    <w:rsid w:val="271A002E"/>
    <w:rsid w:val="27207FB4"/>
    <w:rsid w:val="272279FF"/>
    <w:rsid w:val="27233601"/>
    <w:rsid w:val="27266335"/>
    <w:rsid w:val="2729316C"/>
    <w:rsid w:val="2729330D"/>
    <w:rsid w:val="272C0820"/>
    <w:rsid w:val="27313F6F"/>
    <w:rsid w:val="273175FD"/>
    <w:rsid w:val="27321A96"/>
    <w:rsid w:val="2737287E"/>
    <w:rsid w:val="27383B65"/>
    <w:rsid w:val="27384C99"/>
    <w:rsid w:val="27386BDB"/>
    <w:rsid w:val="273A72C8"/>
    <w:rsid w:val="273F5E1B"/>
    <w:rsid w:val="27421CD9"/>
    <w:rsid w:val="2744346F"/>
    <w:rsid w:val="27462D81"/>
    <w:rsid w:val="27475541"/>
    <w:rsid w:val="27482F37"/>
    <w:rsid w:val="2752462D"/>
    <w:rsid w:val="27561C28"/>
    <w:rsid w:val="275F1ED8"/>
    <w:rsid w:val="27604855"/>
    <w:rsid w:val="2762237B"/>
    <w:rsid w:val="27662BFE"/>
    <w:rsid w:val="27677991"/>
    <w:rsid w:val="27693A21"/>
    <w:rsid w:val="276E2CFF"/>
    <w:rsid w:val="27724228"/>
    <w:rsid w:val="27750300"/>
    <w:rsid w:val="277527D5"/>
    <w:rsid w:val="27765E26"/>
    <w:rsid w:val="277976C4"/>
    <w:rsid w:val="277A7965"/>
    <w:rsid w:val="277B168E"/>
    <w:rsid w:val="2780248F"/>
    <w:rsid w:val="27846795"/>
    <w:rsid w:val="27871DE1"/>
    <w:rsid w:val="2788401F"/>
    <w:rsid w:val="27895B59"/>
    <w:rsid w:val="278C389C"/>
    <w:rsid w:val="278C7DD3"/>
    <w:rsid w:val="278E4F1E"/>
    <w:rsid w:val="27922821"/>
    <w:rsid w:val="279369D8"/>
    <w:rsid w:val="279604FF"/>
    <w:rsid w:val="27960FAB"/>
    <w:rsid w:val="27A218BA"/>
    <w:rsid w:val="27A91B9E"/>
    <w:rsid w:val="27AC7A9A"/>
    <w:rsid w:val="27B21058"/>
    <w:rsid w:val="27B3665E"/>
    <w:rsid w:val="27B64475"/>
    <w:rsid w:val="27BD5803"/>
    <w:rsid w:val="27C052F3"/>
    <w:rsid w:val="27C6290A"/>
    <w:rsid w:val="27C76662"/>
    <w:rsid w:val="27C81BCF"/>
    <w:rsid w:val="27CE17BE"/>
    <w:rsid w:val="27D042B1"/>
    <w:rsid w:val="27D66B0F"/>
    <w:rsid w:val="27D942F3"/>
    <w:rsid w:val="27DD3C18"/>
    <w:rsid w:val="27DF1C1D"/>
    <w:rsid w:val="27E054E2"/>
    <w:rsid w:val="27E15995"/>
    <w:rsid w:val="27E24956"/>
    <w:rsid w:val="27E25FF9"/>
    <w:rsid w:val="27E33BB6"/>
    <w:rsid w:val="27E631F4"/>
    <w:rsid w:val="27EB2370"/>
    <w:rsid w:val="27ED6816"/>
    <w:rsid w:val="27F41C9F"/>
    <w:rsid w:val="27FA25B3"/>
    <w:rsid w:val="27FA2A6C"/>
    <w:rsid w:val="28055617"/>
    <w:rsid w:val="28072F22"/>
    <w:rsid w:val="28077E5F"/>
    <w:rsid w:val="28090A48"/>
    <w:rsid w:val="280A310B"/>
    <w:rsid w:val="280E2E6D"/>
    <w:rsid w:val="280E605F"/>
    <w:rsid w:val="280F6C8A"/>
    <w:rsid w:val="2818512F"/>
    <w:rsid w:val="281B7DCC"/>
    <w:rsid w:val="281D373D"/>
    <w:rsid w:val="28213FE4"/>
    <w:rsid w:val="282615FA"/>
    <w:rsid w:val="282669AC"/>
    <w:rsid w:val="28293965"/>
    <w:rsid w:val="2829733C"/>
    <w:rsid w:val="282F34A2"/>
    <w:rsid w:val="282F639C"/>
    <w:rsid w:val="28310773"/>
    <w:rsid w:val="28340E5E"/>
    <w:rsid w:val="28363B6E"/>
    <w:rsid w:val="28371CC3"/>
    <w:rsid w:val="28373807"/>
    <w:rsid w:val="283B4801"/>
    <w:rsid w:val="283B73C3"/>
    <w:rsid w:val="283D1755"/>
    <w:rsid w:val="283D6944"/>
    <w:rsid w:val="283E1AE1"/>
    <w:rsid w:val="283E2028"/>
    <w:rsid w:val="283F26BC"/>
    <w:rsid w:val="2849353B"/>
    <w:rsid w:val="284A3F9C"/>
    <w:rsid w:val="284D7976"/>
    <w:rsid w:val="284F2EFD"/>
    <w:rsid w:val="285108C9"/>
    <w:rsid w:val="285C326E"/>
    <w:rsid w:val="285C7D55"/>
    <w:rsid w:val="28634B22"/>
    <w:rsid w:val="286A3F94"/>
    <w:rsid w:val="286A459C"/>
    <w:rsid w:val="286C1AC0"/>
    <w:rsid w:val="286D547B"/>
    <w:rsid w:val="286D6AF8"/>
    <w:rsid w:val="286F69EB"/>
    <w:rsid w:val="287246F0"/>
    <w:rsid w:val="28777BF4"/>
    <w:rsid w:val="28786771"/>
    <w:rsid w:val="287A00D4"/>
    <w:rsid w:val="288173A0"/>
    <w:rsid w:val="28844573"/>
    <w:rsid w:val="288822B5"/>
    <w:rsid w:val="288C5376"/>
    <w:rsid w:val="288D3427"/>
    <w:rsid w:val="28902F18"/>
    <w:rsid w:val="28A340B7"/>
    <w:rsid w:val="28A95D87"/>
    <w:rsid w:val="28AA222B"/>
    <w:rsid w:val="28AF333F"/>
    <w:rsid w:val="28B05368"/>
    <w:rsid w:val="28B05A8E"/>
    <w:rsid w:val="28B47FB3"/>
    <w:rsid w:val="28B74AD6"/>
    <w:rsid w:val="28B80E6F"/>
    <w:rsid w:val="28B841B8"/>
    <w:rsid w:val="28B86934"/>
    <w:rsid w:val="28B9421C"/>
    <w:rsid w:val="28BD43F8"/>
    <w:rsid w:val="28BE7A85"/>
    <w:rsid w:val="28C244DD"/>
    <w:rsid w:val="28C96617"/>
    <w:rsid w:val="28CA53D8"/>
    <w:rsid w:val="28CD1A76"/>
    <w:rsid w:val="28CF6EE7"/>
    <w:rsid w:val="28D0506B"/>
    <w:rsid w:val="28D64DCE"/>
    <w:rsid w:val="28DB0637"/>
    <w:rsid w:val="28DB23E5"/>
    <w:rsid w:val="28E3364C"/>
    <w:rsid w:val="28E42DF4"/>
    <w:rsid w:val="28E53263"/>
    <w:rsid w:val="28E55BD8"/>
    <w:rsid w:val="28E6796F"/>
    <w:rsid w:val="28EB7526"/>
    <w:rsid w:val="28EF78E9"/>
    <w:rsid w:val="28F17E5A"/>
    <w:rsid w:val="28F24E38"/>
    <w:rsid w:val="28F37B33"/>
    <w:rsid w:val="28F50CC7"/>
    <w:rsid w:val="28F7093E"/>
    <w:rsid w:val="28F7238E"/>
    <w:rsid w:val="28F74D45"/>
    <w:rsid w:val="28FA45A1"/>
    <w:rsid w:val="28FB3E89"/>
    <w:rsid w:val="29057B0C"/>
    <w:rsid w:val="29086F52"/>
    <w:rsid w:val="29095CAF"/>
    <w:rsid w:val="290A0F1C"/>
    <w:rsid w:val="290E5AE2"/>
    <w:rsid w:val="290F4E02"/>
    <w:rsid w:val="29114FDA"/>
    <w:rsid w:val="2916066A"/>
    <w:rsid w:val="29164C10"/>
    <w:rsid w:val="291735DA"/>
    <w:rsid w:val="29193321"/>
    <w:rsid w:val="291E67ED"/>
    <w:rsid w:val="29293E76"/>
    <w:rsid w:val="292A0241"/>
    <w:rsid w:val="29330BC2"/>
    <w:rsid w:val="2937299B"/>
    <w:rsid w:val="293837B0"/>
    <w:rsid w:val="293C1006"/>
    <w:rsid w:val="293E50CC"/>
    <w:rsid w:val="294076CB"/>
    <w:rsid w:val="29420B46"/>
    <w:rsid w:val="294421A0"/>
    <w:rsid w:val="294A57D1"/>
    <w:rsid w:val="294C32E2"/>
    <w:rsid w:val="29512FB8"/>
    <w:rsid w:val="295C2DFA"/>
    <w:rsid w:val="295D54F0"/>
    <w:rsid w:val="29604F09"/>
    <w:rsid w:val="29606D8E"/>
    <w:rsid w:val="29622B06"/>
    <w:rsid w:val="296744C1"/>
    <w:rsid w:val="2968166A"/>
    <w:rsid w:val="296D7C49"/>
    <w:rsid w:val="297840D8"/>
    <w:rsid w:val="29791BFE"/>
    <w:rsid w:val="297B7724"/>
    <w:rsid w:val="297D349C"/>
    <w:rsid w:val="29841762"/>
    <w:rsid w:val="298760C9"/>
    <w:rsid w:val="298A7967"/>
    <w:rsid w:val="29910CF5"/>
    <w:rsid w:val="29916F47"/>
    <w:rsid w:val="299448BD"/>
    <w:rsid w:val="29977E9D"/>
    <w:rsid w:val="299B568F"/>
    <w:rsid w:val="299C4D2B"/>
    <w:rsid w:val="299D58EC"/>
    <w:rsid w:val="299D6FD9"/>
    <w:rsid w:val="299F076B"/>
    <w:rsid w:val="29A021BC"/>
    <w:rsid w:val="29A313AF"/>
    <w:rsid w:val="29A42BEB"/>
    <w:rsid w:val="29A94D9A"/>
    <w:rsid w:val="29AE1C30"/>
    <w:rsid w:val="29B41849"/>
    <w:rsid w:val="29B55102"/>
    <w:rsid w:val="29B64203"/>
    <w:rsid w:val="29BF3AB4"/>
    <w:rsid w:val="29C44CF4"/>
    <w:rsid w:val="29CC61D1"/>
    <w:rsid w:val="29CC7F7F"/>
    <w:rsid w:val="29CF181E"/>
    <w:rsid w:val="29CF57BE"/>
    <w:rsid w:val="29D5597C"/>
    <w:rsid w:val="29DD3F3B"/>
    <w:rsid w:val="29E11C7D"/>
    <w:rsid w:val="29E44D8B"/>
    <w:rsid w:val="29E928DF"/>
    <w:rsid w:val="29EB25A5"/>
    <w:rsid w:val="29EC29E9"/>
    <w:rsid w:val="29EC2A70"/>
    <w:rsid w:val="29F23811"/>
    <w:rsid w:val="29F251A1"/>
    <w:rsid w:val="29F75808"/>
    <w:rsid w:val="29FC6AB7"/>
    <w:rsid w:val="29FD7B19"/>
    <w:rsid w:val="2A0061A4"/>
    <w:rsid w:val="2A02087B"/>
    <w:rsid w:val="2A047719"/>
    <w:rsid w:val="2A0646FA"/>
    <w:rsid w:val="2A076B8E"/>
    <w:rsid w:val="2A092F82"/>
    <w:rsid w:val="2A0966EE"/>
    <w:rsid w:val="2A0C1546"/>
    <w:rsid w:val="2A0C4820"/>
    <w:rsid w:val="2A0D68E0"/>
    <w:rsid w:val="2A0E1081"/>
    <w:rsid w:val="2A110088"/>
    <w:rsid w:val="2A133E00"/>
    <w:rsid w:val="2A13795C"/>
    <w:rsid w:val="2A174972"/>
    <w:rsid w:val="2A1979DD"/>
    <w:rsid w:val="2A1D503C"/>
    <w:rsid w:val="2A1E0199"/>
    <w:rsid w:val="2A1F4553"/>
    <w:rsid w:val="2A24506B"/>
    <w:rsid w:val="2A291C28"/>
    <w:rsid w:val="2A2B114A"/>
    <w:rsid w:val="2A2B6011"/>
    <w:rsid w:val="2A2D21C8"/>
    <w:rsid w:val="2A2E0F80"/>
    <w:rsid w:val="2A2F0D9F"/>
    <w:rsid w:val="2A300A37"/>
    <w:rsid w:val="2A343C17"/>
    <w:rsid w:val="2A36189D"/>
    <w:rsid w:val="2A383867"/>
    <w:rsid w:val="2A385615"/>
    <w:rsid w:val="2A39657A"/>
    <w:rsid w:val="2A396FE5"/>
    <w:rsid w:val="2A3D1A6D"/>
    <w:rsid w:val="2A3F419A"/>
    <w:rsid w:val="2A4144C9"/>
    <w:rsid w:val="2A4335B8"/>
    <w:rsid w:val="2A440580"/>
    <w:rsid w:val="2A481CFC"/>
    <w:rsid w:val="2A557DE3"/>
    <w:rsid w:val="2A557F75"/>
    <w:rsid w:val="2A56706B"/>
    <w:rsid w:val="2A573CED"/>
    <w:rsid w:val="2A585A8F"/>
    <w:rsid w:val="2A5C6684"/>
    <w:rsid w:val="2A612DBE"/>
    <w:rsid w:val="2A6308E4"/>
    <w:rsid w:val="2A636B36"/>
    <w:rsid w:val="2A6759EA"/>
    <w:rsid w:val="2A694B4E"/>
    <w:rsid w:val="2A6969B7"/>
    <w:rsid w:val="2A6D31B1"/>
    <w:rsid w:val="2A725A42"/>
    <w:rsid w:val="2A731E03"/>
    <w:rsid w:val="2A742AF1"/>
    <w:rsid w:val="2A7523C5"/>
    <w:rsid w:val="2A7A3E7F"/>
    <w:rsid w:val="2A7C0ACF"/>
    <w:rsid w:val="2A7D4233"/>
    <w:rsid w:val="2A7D4BD9"/>
    <w:rsid w:val="2A7E3970"/>
    <w:rsid w:val="2A7F1496"/>
    <w:rsid w:val="2A7F27ED"/>
    <w:rsid w:val="2A8304B8"/>
    <w:rsid w:val="2A8639D0"/>
    <w:rsid w:val="2A8810F4"/>
    <w:rsid w:val="2A9071FF"/>
    <w:rsid w:val="2A917854"/>
    <w:rsid w:val="2A975780"/>
    <w:rsid w:val="2A9860B3"/>
    <w:rsid w:val="2A9A4903"/>
    <w:rsid w:val="2A9B3CA4"/>
    <w:rsid w:val="2A9C2D5D"/>
    <w:rsid w:val="2A9C7924"/>
    <w:rsid w:val="2AA027A4"/>
    <w:rsid w:val="2AA33855"/>
    <w:rsid w:val="2AAA5337"/>
    <w:rsid w:val="2AAD6007"/>
    <w:rsid w:val="2AAE2EE9"/>
    <w:rsid w:val="2AB15E11"/>
    <w:rsid w:val="2AB27175"/>
    <w:rsid w:val="2AB84FFA"/>
    <w:rsid w:val="2AC670C5"/>
    <w:rsid w:val="2AC67AF8"/>
    <w:rsid w:val="2ACD448C"/>
    <w:rsid w:val="2ACF7D27"/>
    <w:rsid w:val="2AD01CF1"/>
    <w:rsid w:val="2AD26378"/>
    <w:rsid w:val="2AD52E64"/>
    <w:rsid w:val="2AD96DF8"/>
    <w:rsid w:val="2ADB4D6C"/>
    <w:rsid w:val="2ADB63BF"/>
    <w:rsid w:val="2ADC2444"/>
    <w:rsid w:val="2AE17A5A"/>
    <w:rsid w:val="2AE337D3"/>
    <w:rsid w:val="2AE74B0A"/>
    <w:rsid w:val="2AE839DA"/>
    <w:rsid w:val="2AEB08D9"/>
    <w:rsid w:val="2AED63FF"/>
    <w:rsid w:val="2AEE1FB1"/>
    <w:rsid w:val="2AF53506"/>
    <w:rsid w:val="2AF56183"/>
    <w:rsid w:val="2AF75A66"/>
    <w:rsid w:val="2AF7727E"/>
    <w:rsid w:val="2AF90B43"/>
    <w:rsid w:val="2AFE5AF5"/>
    <w:rsid w:val="2B000027"/>
    <w:rsid w:val="2B011196"/>
    <w:rsid w:val="2B02634F"/>
    <w:rsid w:val="2B08765C"/>
    <w:rsid w:val="2B0A6FB1"/>
    <w:rsid w:val="2B0E4C23"/>
    <w:rsid w:val="2B1044E5"/>
    <w:rsid w:val="2B14398C"/>
    <w:rsid w:val="2B1C2247"/>
    <w:rsid w:val="2B1E04AC"/>
    <w:rsid w:val="2B1E5067"/>
    <w:rsid w:val="2B22254D"/>
    <w:rsid w:val="2B2739C6"/>
    <w:rsid w:val="2B2768EE"/>
    <w:rsid w:val="2B290436"/>
    <w:rsid w:val="2B2B7849"/>
    <w:rsid w:val="2B334257"/>
    <w:rsid w:val="2B34402E"/>
    <w:rsid w:val="2B3603AA"/>
    <w:rsid w:val="2B382564"/>
    <w:rsid w:val="2B394B81"/>
    <w:rsid w:val="2B3B2563"/>
    <w:rsid w:val="2B4029D3"/>
    <w:rsid w:val="2B410F06"/>
    <w:rsid w:val="2B425A71"/>
    <w:rsid w:val="2B434271"/>
    <w:rsid w:val="2B456332"/>
    <w:rsid w:val="2B464577"/>
    <w:rsid w:val="2B470EDD"/>
    <w:rsid w:val="2B471FB3"/>
    <w:rsid w:val="2B4A6ABE"/>
    <w:rsid w:val="2B4B06AB"/>
    <w:rsid w:val="2B4C3DEE"/>
    <w:rsid w:val="2B4D50F0"/>
    <w:rsid w:val="2B5116C7"/>
    <w:rsid w:val="2B525912"/>
    <w:rsid w:val="2B5D3F7C"/>
    <w:rsid w:val="2B5E5327"/>
    <w:rsid w:val="2B6111BC"/>
    <w:rsid w:val="2B6568DD"/>
    <w:rsid w:val="2B6A7A50"/>
    <w:rsid w:val="2B6B12F3"/>
    <w:rsid w:val="2B6E37C0"/>
    <w:rsid w:val="2B730624"/>
    <w:rsid w:val="2B746B21"/>
    <w:rsid w:val="2B77216D"/>
    <w:rsid w:val="2B783D3F"/>
    <w:rsid w:val="2B7906AC"/>
    <w:rsid w:val="2B794137"/>
    <w:rsid w:val="2B797102"/>
    <w:rsid w:val="2B82359A"/>
    <w:rsid w:val="2B8564FC"/>
    <w:rsid w:val="2B857D82"/>
    <w:rsid w:val="2B876854"/>
    <w:rsid w:val="2B8C00D9"/>
    <w:rsid w:val="2B8C3E6A"/>
    <w:rsid w:val="2B943E14"/>
    <w:rsid w:val="2B97636B"/>
    <w:rsid w:val="2B9B1539"/>
    <w:rsid w:val="2B9B5E5B"/>
    <w:rsid w:val="2B9F4294"/>
    <w:rsid w:val="2BA411B4"/>
    <w:rsid w:val="2BA6614A"/>
    <w:rsid w:val="2BA666A3"/>
    <w:rsid w:val="2BA70CA4"/>
    <w:rsid w:val="2BA85397"/>
    <w:rsid w:val="2BAA42F0"/>
    <w:rsid w:val="2BAE6875"/>
    <w:rsid w:val="2BAF1907"/>
    <w:rsid w:val="2BB25F9A"/>
    <w:rsid w:val="2BB56E0D"/>
    <w:rsid w:val="2BBA09D7"/>
    <w:rsid w:val="2BBB474F"/>
    <w:rsid w:val="2BC2402E"/>
    <w:rsid w:val="2BC63F73"/>
    <w:rsid w:val="2BCA6741"/>
    <w:rsid w:val="2BCE1150"/>
    <w:rsid w:val="2BD44FDA"/>
    <w:rsid w:val="2BD61589"/>
    <w:rsid w:val="2BDB26FC"/>
    <w:rsid w:val="2BE11B28"/>
    <w:rsid w:val="2BE47891"/>
    <w:rsid w:val="2BE6006A"/>
    <w:rsid w:val="2BE74F46"/>
    <w:rsid w:val="2BEF10D2"/>
    <w:rsid w:val="2BEF7EF3"/>
    <w:rsid w:val="2BF26C73"/>
    <w:rsid w:val="2BF33EE9"/>
    <w:rsid w:val="2BF45CCE"/>
    <w:rsid w:val="2BF46456"/>
    <w:rsid w:val="2BF808D8"/>
    <w:rsid w:val="2BF832AE"/>
    <w:rsid w:val="2BFD274D"/>
    <w:rsid w:val="2C011FFC"/>
    <w:rsid w:val="2C027C88"/>
    <w:rsid w:val="2C0408BB"/>
    <w:rsid w:val="2C136B71"/>
    <w:rsid w:val="2C1520B2"/>
    <w:rsid w:val="2C1675FC"/>
    <w:rsid w:val="2C1B6F9C"/>
    <w:rsid w:val="2C1C5102"/>
    <w:rsid w:val="2C1D596B"/>
    <w:rsid w:val="2C1F4CDE"/>
    <w:rsid w:val="2C207F3B"/>
    <w:rsid w:val="2C212804"/>
    <w:rsid w:val="2C261ED0"/>
    <w:rsid w:val="2C286CBB"/>
    <w:rsid w:val="2C2948F6"/>
    <w:rsid w:val="2C2A3C4B"/>
    <w:rsid w:val="2C2C73FB"/>
    <w:rsid w:val="2C2C7585"/>
    <w:rsid w:val="2C2D657F"/>
    <w:rsid w:val="2C300C99"/>
    <w:rsid w:val="2C302A48"/>
    <w:rsid w:val="2C3075D9"/>
    <w:rsid w:val="2C33608E"/>
    <w:rsid w:val="2C3473EA"/>
    <w:rsid w:val="2C382513"/>
    <w:rsid w:val="2C38583A"/>
    <w:rsid w:val="2C394A36"/>
    <w:rsid w:val="2C397BB6"/>
    <w:rsid w:val="2C3B1B1B"/>
    <w:rsid w:val="2C3B319A"/>
    <w:rsid w:val="2C3D03C9"/>
    <w:rsid w:val="2C3D2467"/>
    <w:rsid w:val="2C3F42AD"/>
    <w:rsid w:val="2C4613C9"/>
    <w:rsid w:val="2C477D91"/>
    <w:rsid w:val="2C4B7881"/>
    <w:rsid w:val="2C4C35F9"/>
    <w:rsid w:val="2C4E764A"/>
    <w:rsid w:val="2C516912"/>
    <w:rsid w:val="2C526E62"/>
    <w:rsid w:val="2C534988"/>
    <w:rsid w:val="2C55425C"/>
    <w:rsid w:val="2C57414A"/>
    <w:rsid w:val="2C580EE0"/>
    <w:rsid w:val="2C5A3D39"/>
    <w:rsid w:val="2C610E53"/>
    <w:rsid w:val="2C6426F1"/>
    <w:rsid w:val="2C657FCC"/>
    <w:rsid w:val="2C673F8F"/>
    <w:rsid w:val="2C6B7F24"/>
    <w:rsid w:val="2C721392"/>
    <w:rsid w:val="2C732934"/>
    <w:rsid w:val="2C73502A"/>
    <w:rsid w:val="2C7566AC"/>
    <w:rsid w:val="2C770676"/>
    <w:rsid w:val="2C792640"/>
    <w:rsid w:val="2C7A1F15"/>
    <w:rsid w:val="2C7F39CF"/>
    <w:rsid w:val="2C8148F3"/>
    <w:rsid w:val="2C8804D3"/>
    <w:rsid w:val="2C8903AA"/>
    <w:rsid w:val="2C8F5FE1"/>
    <w:rsid w:val="2C991DB5"/>
    <w:rsid w:val="2C9D27CC"/>
    <w:rsid w:val="2C9E029E"/>
    <w:rsid w:val="2C9F2038"/>
    <w:rsid w:val="2CA12DE6"/>
    <w:rsid w:val="2CA13945"/>
    <w:rsid w:val="2CA33E8E"/>
    <w:rsid w:val="2CA5541D"/>
    <w:rsid w:val="2CA84BE7"/>
    <w:rsid w:val="2CA85DE1"/>
    <w:rsid w:val="2CB2481F"/>
    <w:rsid w:val="2CB3323C"/>
    <w:rsid w:val="2CB52F4D"/>
    <w:rsid w:val="2CB573F1"/>
    <w:rsid w:val="2CB9353A"/>
    <w:rsid w:val="2CB963AB"/>
    <w:rsid w:val="2CBB7AF3"/>
    <w:rsid w:val="2CBC252D"/>
    <w:rsid w:val="2CBE62A5"/>
    <w:rsid w:val="2CC23E63"/>
    <w:rsid w:val="2CC358BB"/>
    <w:rsid w:val="2CC46F75"/>
    <w:rsid w:val="2CC55886"/>
    <w:rsid w:val="2CCB09C2"/>
    <w:rsid w:val="2CCE400E"/>
    <w:rsid w:val="2CD06E35"/>
    <w:rsid w:val="2CD21D51"/>
    <w:rsid w:val="2CD609DF"/>
    <w:rsid w:val="2CD85742"/>
    <w:rsid w:val="2CDC1A31"/>
    <w:rsid w:val="2CDF1770"/>
    <w:rsid w:val="2CDF621C"/>
    <w:rsid w:val="2CE44ADD"/>
    <w:rsid w:val="2CE6483A"/>
    <w:rsid w:val="2CEA709A"/>
    <w:rsid w:val="2CF25F4F"/>
    <w:rsid w:val="2CF55A3F"/>
    <w:rsid w:val="2CF73565"/>
    <w:rsid w:val="2CF87C7C"/>
    <w:rsid w:val="2CFB12A7"/>
    <w:rsid w:val="2CFF066C"/>
    <w:rsid w:val="2D01287E"/>
    <w:rsid w:val="2D024D94"/>
    <w:rsid w:val="2D031F0A"/>
    <w:rsid w:val="2D045C82"/>
    <w:rsid w:val="2D055F0E"/>
    <w:rsid w:val="2D0614D7"/>
    <w:rsid w:val="2D0D0DA5"/>
    <w:rsid w:val="2D0F5FBF"/>
    <w:rsid w:val="2D1005BF"/>
    <w:rsid w:val="2D1063D5"/>
    <w:rsid w:val="2D1D310A"/>
    <w:rsid w:val="2D1E28E2"/>
    <w:rsid w:val="2D1E6D44"/>
    <w:rsid w:val="2D1E6E26"/>
    <w:rsid w:val="2D215714"/>
    <w:rsid w:val="2D234964"/>
    <w:rsid w:val="2D265BF9"/>
    <w:rsid w:val="2D265EC5"/>
    <w:rsid w:val="2D2D1661"/>
    <w:rsid w:val="2D2F0194"/>
    <w:rsid w:val="2D3059D0"/>
    <w:rsid w:val="2D316C87"/>
    <w:rsid w:val="2D3263FF"/>
    <w:rsid w:val="2D357A77"/>
    <w:rsid w:val="2D4B0BCA"/>
    <w:rsid w:val="2D4D6452"/>
    <w:rsid w:val="2D4F7118"/>
    <w:rsid w:val="2D50139A"/>
    <w:rsid w:val="2D6036A2"/>
    <w:rsid w:val="2D64317E"/>
    <w:rsid w:val="2D657D99"/>
    <w:rsid w:val="2D662499"/>
    <w:rsid w:val="2D6A6F5E"/>
    <w:rsid w:val="2D6B2823"/>
    <w:rsid w:val="2D6B3C77"/>
    <w:rsid w:val="2D6B7AAF"/>
    <w:rsid w:val="2D6C3F53"/>
    <w:rsid w:val="2D6D3827"/>
    <w:rsid w:val="2D6E286D"/>
    <w:rsid w:val="2D6E2CFE"/>
    <w:rsid w:val="2D6F35DC"/>
    <w:rsid w:val="2D7050C6"/>
    <w:rsid w:val="2D764C1D"/>
    <w:rsid w:val="2D78455F"/>
    <w:rsid w:val="2D79041E"/>
    <w:rsid w:val="2D7B609D"/>
    <w:rsid w:val="2D836BC4"/>
    <w:rsid w:val="2D850B71"/>
    <w:rsid w:val="2D8748E9"/>
    <w:rsid w:val="2D8A00A3"/>
    <w:rsid w:val="2D8D1457"/>
    <w:rsid w:val="2D8D3ECA"/>
    <w:rsid w:val="2D8D71A7"/>
    <w:rsid w:val="2D9127FC"/>
    <w:rsid w:val="2D9139BA"/>
    <w:rsid w:val="2D915768"/>
    <w:rsid w:val="2D940028"/>
    <w:rsid w:val="2D940DB4"/>
    <w:rsid w:val="2D961811"/>
    <w:rsid w:val="2D990AC0"/>
    <w:rsid w:val="2D99461C"/>
    <w:rsid w:val="2D9E0A23"/>
    <w:rsid w:val="2DA022FF"/>
    <w:rsid w:val="2DA31650"/>
    <w:rsid w:val="2DA55226"/>
    <w:rsid w:val="2DAE017F"/>
    <w:rsid w:val="2DB47046"/>
    <w:rsid w:val="2DB711C3"/>
    <w:rsid w:val="2DB85349"/>
    <w:rsid w:val="2DBC0560"/>
    <w:rsid w:val="2DBC359F"/>
    <w:rsid w:val="2DBF2474"/>
    <w:rsid w:val="2DC61FF4"/>
    <w:rsid w:val="2DC62C57"/>
    <w:rsid w:val="2DC93154"/>
    <w:rsid w:val="2DCD2787"/>
    <w:rsid w:val="2DCE2518"/>
    <w:rsid w:val="2DCF110D"/>
    <w:rsid w:val="2DD90D0C"/>
    <w:rsid w:val="2DDB0067"/>
    <w:rsid w:val="2DDB463E"/>
    <w:rsid w:val="2DDF2977"/>
    <w:rsid w:val="2DE33A04"/>
    <w:rsid w:val="2DE53D06"/>
    <w:rsid w:val="2DE75B8B"/>
    <w:rsid w:val="2DE927D1"/>
    <w:rsid w:val="2DF52FFF"/>
    <w:rsid w:val="2DF96942"/>
    <w:rsid w:val="2DFD2DE5"/>
    <w:rsid w:val="2DFF7EEF"/>
    <w:rsid w:val="2E0226E0"/>
    <w:rsid w:val="2E0A6052"/>
    <w:rsid w:val="2E0B1CDE"/>
    <w:rsid w:val="2E0E7081"/>
    <w:rsid w:val="2E0F48DF"/>
    <w:rsid w:val="2E163EBF"/>
    <w:rsid w:val="2E184C68"/>
    <w:rsid w:val="2E1B308C"/>
    <w:rsid w:val="2E205BAC"/>
    <w:rsid w:val="2E2304CD"/>
    <w:rsid w:val="2E273D58"/>
    <w:rsid w:val="2E2C4C3B"/>
    <w:rsid w:val="2E2E2C12"/>
    <w:rsid w:val="2E2E420F"/>
    <w:rsid w:val="2E2F1FD3"/>
    <w:rsid w:val="2E33681F"/>
    <w:rsid w:val="2E3569FF"/>
    <w:rsid w:val="2E3672D1"/>
    <w:rsid w:val="2E3A666C"/>
    <w:rsid w:val="2E440A1F"/>
    <w:rsid w:val="2E454F08"/>
    <w:rsid w:val="2E494294"/>
    <w:rsid w:val="2E496043"/>
    <w:rsid w:val="2E4A068F"/>
    <w:rsid w:val="2E4E4854"/>
    <w:rsid w:val="2E50117F"/>
    <w:rsid w:val="2E503315"/>
    <w:rsid w:val="2E516BDC"/>
    <w:rsid w:val="2E525E2F"/>
    <w:rsid w:val="2E59753B"/>
    <w:rsid w:val="2E5D1AEE"/>
    <w:rsid w:val="2E5D4CE9"/>
    <w:rsid w:val="2E5F484D"/>
    <w:rsid w:val="2E613D4F"/>
    <w:rsid w:val="2E625356"/>
    <w:rsid w:val="2E6266B9"/>
    <w:rsid w:val="2E6C3ADF"/>
    <w:rsid w:val="2E6E5E05"/>
    <w:rsid w:val="2E6F6B90"/>
    <w:rsid w:val="2E7170C6"/>
    <w:rsid w:val="2E734C10"/>
    <w:rsid w:val="2E772BB0"/>
    <w:rsid w:val="2E7A4053"/>
    <w:rsid w:val="2E7A69C3"/>
    <w:rsid w:val="2E7E42B1"/>
    <w:rsid w:val="2E7F1A64"/>
    <w:rsid w:val="2E7F7CB6"/>
    <w:rsid w:val="2E894691"/>
    <w:rsid w:val="2E8B21B7"/>
    <w:rsid w:val="2E8D23D3"/>
    <w:rsid w:val="2E8F4DDA"/>
    <w:rsid w:val="2E960B5C"/>
    <w:rsid w:val="2E981EE1"/>
    <w:rsid w:val="2E995F26"/>
    <w:rsid w:val="2E9B12B3"/>
    <w:rsid w:val="2E9B6172"/>
    <w:rsid w:val="2E9C43C4"/>
    <w:rsid w:val="2EA15E7F"/>
    <w:rsid w:val="2EA21263"/>
    <w:rsid w:val="2EA27501"/>
    <w:rsid w:val="2EA74B17"/>
    <w:rsid w:val="2EA83C14"/>
    <w:rsid w:val="2EA8720D"/>
    <w:rsid w:val="2EB00083"/>
    <w:rsid w:val="2EB1632E"/>
    <w:rsid w:val="2EB57234"/>
    <w:rsid w:val="2EB72FAC"/>
    <w:rsid w:val="2EB96642"/>
    <w:rsid w:val="2EBF6DB8"/>
    <w:rsid w:val="2EC41B6D"/>
    <w:rsid w:val="2EC568F3"/>
    <w:rsid w:val="2EC97183"/>
    <w:rsid w:val="2ED446AB"/>
    <w:rsid w:val="2ED53AB9"/>
    <w:rsid w:val="2ED6380B"/>
    <w:rsid w:val="2ED7364E"/>
    <w:rsid w:val="2EDD678B"/>
    <w:rsid w:val="2EE5473F"/>
    <w:rsid w:val="2EEE624F"/>
    <w:rsid w:val="2EF012F9"/>
    <w:rsid w:val="2EF01665"/>
    <w:rsid w:val="2EF17758"/>
    <w:rsid w:val="2EFA1735"/>
    <w:rsid w:val="2EFD737B"/>
    <w:rsid w:val="2EFE0BDB"/>
    <w:rsid w:val="2F05640D"/>
    <w:rsid w:val="2F0A1DA3"/>
    <w:rsid w:val="2F0F0396"/>
    <w:rsid w:val="2F0F103A"/>
    <w:rsid w:val="2F0F5E23"/>
    <w:rsid w:val="2F0F76ED"/>
    <w:rsid w:val="2F130AC4"/>
    <w:rsid w:val="2F14626B"/>
    <w:rsid w:val="2F154177"/>
    <w:rsid w:val="2F176141"/>
    <w:rsid w:val="2F181F78"/>
    <w:rsid w:val="2F1B0F8C"/>
    <w:rsid w:val="2F1F0B51"/>
    <w:rsid w:val="2F25260C"/>
    <w:rsid w:val="2F29642D"/>
    <w:rsid w:val="2F2A5E74"/>
    <w:rsid w:val="2F2B399A"/>
    <w:rsid w:val="2F2C5BB3"/>
    <w:rsid w:val="2F2F5D1B"/>
    <w:rsid w:val="2F300FB0"/>
    <w:rsid w:val="2F304B9F"/>
    <w:rsid w:val="2F324EC9"/>
    <w:rsid w:val="2F3364AE"/>
    <w:rsid w:val="2F39690C"/>
    <w:rsid w:val="2F3A2A14"/>
    <w:rsid w:val="2F3D5DEA"/>
    <w:rsid w:val="2F446BA9"/>
    <w:rsid w:val="2F4607D4"/>
    <w:rsid w:val="2F4B7B98"/>
    <w:rsid w:val="2F4D67C4"/>
    <w:rsid w:val="2F4E4724"/>
    <w:rsid w:val="2F574A27"/>
    <w:rsid w:val="2F5C2556"/>
    <w:rsid w:val="2F5E2E56"/>
    <w:rsid w:val="2F5E78CC"/>
    <w:rsid w:val="2F5E7ADC"/>
    <w:rsid w:val="2F5F16C4"/>
    <w:rsid w:val="2F603644"/>
    <w:rsid w:val="2F666780"/>
    <w:rsid w:val="2F6B1FE9"/>
    <w:rsid w:val="2F6D5D61"/>
    <w:rsid w:val="2F6E3A3A"/>
    <w:rsid w:val="2F762AED"/>
    <w:rsid w:val="2F7865CE"/>
    <w:rsid w:val="2F7A423F"/>
    <w:rsid w:val="2F7C297E"/>
    <w:rsid w:val="2F7E3FFF"/>
    <w:rsid w:val="2F7F3F8F"/>
    <w:rsid w:val="2F870577"/>
    <w:rsid w:val="2F880DEC"/>
    <w:rsid w:val="2F8A06C1"/>
    <w:rsid w:val="2F913490"/>
    <w:rsid w:val="2F9411B6"/>
    <w:rsid w:val="2F9939E1"/>
    <w:rsid w:val="2F996B56"/>
    <w:rsid w:val="2F9D0F0B"/>
    <w:rsid w:val="2FA43C97"/>
    <w:rsid w:val="2FA64B93"/>
    <w:rsid w:val="2FAB4CAA"/>
    <w:rsid w:val="2FAD694E"/>
    <w:rsid w:val="2FAE2B60"/>
    <w:rsid w:val="2FAE60A2"/>
    <w:rsid w:val="2FAF0127"/>
    <w:rsid w:val="2FAF6379"/>
    <w:rsid w:val="2FB5399F"/>
    <w:rsid w:val="2FB676AB"/>
    <w:rsid w:val="2FBA37AA"/>
    <w:rsid w:val="2FBC1C6B"/>
    <w:rsid w:val="2FBC2844"/>
    <w:rsid w:val="2FBC6185"/>
    <w:rsid w:val="2FBD0A96"/>
    <w:rsid w:val="2FC13AC7"/>
    <w:rsid w:val="2FC242FE"/>
    <w:rsid w:val="2FC24ADA"/>
    <w:rsid w:val="2FC3562B"/>
    <w:rsid w:val="2FC357E2"/>
    <w:rsid w:val="2FC57BD8"/>
    <w:rsid w:val="2FC949E6"/>
    <w:rsid w:val="2FCC04AE"/>
    <w:rsid w:val="2FCC6F2B"/>
    <w:rsid w:val="2FCD47F7"/>
    <w:rsid w:val="2FCE5484"/>
    <w:rsid w:val="2FD67139"/>
    <w:rsid w:val="2FD7047A"/>
    <w:rsid w:val="2FD70C99"/>
    <w:rsid w:val="2FD858D0"/>
    <w:rsid w:val="2FD95574"/>
    <w:rsid w:val="2FDC00A2"/>
    <w:rsid w:val="2FE14059"/>
    <w:rsid w:val="2FE24787"/>
    <w:rsid w:val="2FE372DE"/>
    <w:rsid w:val="2FE37A37"/>
    <w:rsid w:val="2FE53B49"/>
    <w:rsid w:val="2FE84E86"/>
    <w:rsid w:val="2FE9106D"/>
    <w:rsid w:val="2FEA5603"/>
    <w:rsid w:val="2FEB2596"/>
    <w:rsid w:val="2FEB7ADA"/>
    <w:rsid w:val="2FED0C50"/>
    <w:rsid w:val="2FEF6D70"/>
    <w:rsid w:val="2FF43D8C"/>
    <w:rsid w:val="2FF4615F"/>
    <w:rsid w:val="2FF51832"/>
    <w:rsid w:val="2FF51B3F"/>
    <w:rsid w:val="2FF80C51"/>
    <w:rsid w:val="2FF8145E"/>
    <w:rsid w:val="2FFB4CA4"/>
    <w:rsid w:val="2FFF10AF"/>
    <w:rsid w:val="30030F54"/>
    <w:rsid w:val="300441D0"/>
    <w:rsid w:val="30045885"/>
    <w:rsid w:val="300A1812"/>
    <w:rsid w:val="300D4E4E"/>
    <w:rsid w:val="300E3119"/>
    <w:rsid w:val="301126C2"/>
    <w:rsid w:val="301312D5"/>
    <w:rsid w:val="301461DC"/>
    <w:rsid w:val="301508B6"/>
    <w:rsid w:val="30156509"/>
    <w:rsid w:val="3017022E"/>
    <w:rsid w:val="30182F48"/>
    <w:rsid w:val="3021158F"/>
    <w:rsid w:val="3025488D"/>
    <w:rsid w:val="30254DD1"/>
    <w:rsid w:val="30275401"/>
    <w:rsid w:val="302B37D3"/>
    <w:rsid w:val="302B69D3"/>
    <w:rsid w:val="302C5C1C"/>
    <w:rsid w:val="30300205"/>
    <w:rsid w:val="30304CAA"/>
    <w:rsid w:val="30332B06"/>
    <w:rsid w:val="30335A4A"/>
    <w:rsid w:val="30355113"/>
    <w:rsid w:val="303643A5"/>
    <w:rsid w:val="30367754"/>
    <w:rsid w:val="3038011D"/>
    <w:rsid w:val="303D3985"/>
    <w:rsid w:val="303F6EFB"/>
    <w:rsid w:val="303F76FD"/>
    <w:rsid w:val="30407739"/>
    <w:rsid w:val="30413313"/>
    <w:rsid w:val="304163BB"/>
    <w:rsid w:val="30420F9B"/>
    <w:rsid w:val="3044215D"/>
    <w:rsid w:val="3045283A"/>
    <w:rsid w:val="30492A19"/>
    <w:rsid w:val="304B5DCC"/>
    <w:rsid w:val="304C6B5E"/>
    <w:rsid w:val="30500115"/>
    <w:rsid w:val="30576DE8"/>
    <w:rsid w:val="30593D11"/>
    <w:rsid w:val="305A62E5"/>
    <w:rsid w:val="305D6754"/>
    <w:rsid w:val="305E0995"/>
    <w:rsid w:val="30630244"/>
    <w:rsid w:val="30637C21"/>
    <w:rsid w:val="306453B6"/>
    <w:rsid w:val="3064723D"/>
    <w:rsid w:val="3069477A"/>
    <w:rsid w:val="306D38DE"/>
    <w:rsid w:val="30703D5A"/>
    <w:rsid w:val="3071362F"/>
    <w:rsid w:val="307355F9"/>
    <w:rsid w:val="307A0C4D"/>
    <w:rsid w:val="307A71D3"/>
    <w:rsid w:val="307E3B84"/>
    <w:rsid w:val="307F3E00"/>
    <w:rsid w:val="3082583C"/>
    <w:rsid w:val="3083029F"/>
    <w:rsid w:val="3083092C"/>
    <w:rsid w:val="30857C18"/>
    <w:rsid w:val="3093559A"/>
    <w:rsid w:val="30952D41"/>
    <w:rsid w:val="3095731D"/>
    <w:rsid w:val="30963095"/>
    <w:rsid w:val="309F1F4A"/>
    <w:rsid w:val="30A204B2"/>
    <w:rsid w:val="30A43A04"/>
    <w:rsid w:val="30A5690E"/>
    <w:rsid w:val="30AB6A6A"/>
    <w:rsid w:val="30AF2B9E"/>
    <w:rsid w:val="30AF4FF7"/>
    <w:rsid w:val="30B07BB9"/>
    <w:rsid w:val="30B26121"/>
    <w:rsid w:val="30B40786"/>
    <w:rsid w:val="30B46423"/>
    <w:rsid w:val="30B80C93"/>
    <w:rsid w:val="30B91602"/>
    <w:rsid w:val="30BC0620"/>
    <w:rsid w:val="30BF25EC"/>
    <w:rsid w:val="30C220DC"/>
    <w:rsid w:val="30C23306"/>
    <w:rsid w:val="30C4192E"/>
    <w:rsid w:val="30C45E54"/>
    <w:rsid w:val="30CA1334"/>
    <w:rsid w:val="30CA5E03"/>
    <w:rsid w:val="30CB7A9A"/>
    <w:rsid w:val="30CE4F60"/>
    <w:rsid w:val="30CF22EC"/>
    <w:rsid w:val="30D065A7"/>
    <w:rsid w:val="30D52DE0"/>
    <w:rsid w:val="30E27C22"/>
    <w:rsid w:val="30E360F6"/>
    <w:rsid w:val="30E958BB"/>
    <w:rsid w:val="30EA3353"/>
    <w:rsid w:val="30EB1F31"/>
    <w:rsid w:val="30EB4AF5"/>
    <w:rsid w:val="30F009F7"/>
    <w:rsid w:val="30F027A5"/>
    <w:rsid w:val="30F1651D"/>
    <w:rsid w:val="30F32296"/>
    <w:rsid w:val="30F84BE1"/>
    <w:rsid w:val="30F92B68"/>
    <w:rsid w:val="30FC55EE"/>
    <w:rsid w:val="30FE6122"/>
    <w:rsid w:val="310224D9"/>
    <w:rsid w:val="31047842"/>
    <w:rsid w:val="3106564B"/>
    <w:rsid w:val="31067AB6"/>
    <w:rsid w:val="310F0040"/>
    <w:rsid w:val="31106BF4"/>
    <w:rsid w:val="311369BC"/>
    <w:rsid w:val="3115045E"/>
    <w:rsid w:val="31176DFB"/>
    <w:rsid w:val="311A5A74"/>
    <w:rsid w:val="311B4768"/>
    <w:rsid w:val="311E6B1F"/>
    <w:rsid w:val="31244B45"/>
    <w:rsid w:val="31256CB3"/>
    <w:rsid w:val="31264419"/>
    <w:rsid w:val="312A4AFF"/>
    <w:rsid w:val="312B1A2F"/>
    <w:rsid w:val="312C4761"/>
    <w:rsid w:val="312E43A9"/>
    <w:rsid w:val="312E4D7E"/>
    <w:rsid w:val="312F7772"/>
    <w:rsid w:val="313B7B9E"/>
    <w:rsid w:val="314174A5"/>
    <w:rsid w:val="314568A3"/>
    <w:rsid w:val="31457070"/>
    <w:rsid w:val="31491162"/>
    <w:rsid w:val="314A0394"/>
    <w:rsid w:val="314B65CD"/>
    <w:rsid w:val="314F3970"/>
    <w:rsid w:val="315216B2"/>
    <w:rsid w:val="315559EE"/>
    <w:rsid w:val="31570A76"/>
    <w:rsid w:val="315C7E3B"/>
    <w:rsid w:val="315E1E05"/>
    <w:rsid w:val="316C16CB"/>
    <w:rsid w:val="316D33DC"/>
    <w:rsid w:val="316E5EE6"/>
    <w:rsid w:val="316E6585"/>
    <w:rsid w:val="31704B31"/>
    <w:rsid w:val="317165EF"/>
    <w:rsid w:val="317909ED"/>
    <w:rsid w:val="317B15BF"/>
    <w:rsid w:val="317F786A"/>
    <w:rsid w:val="3187776F"/>
    <w:rsid w:val="318A0BBA"/>
    <w:rsid w:val="318A2BFA"/>
    <w:rsid w:val="31914861"/>
    <w:rsid w:val="31927D00"/>
    <w:rsid w:val="3195334D"/>
    <w:rsid w:val="31957197"/>
    <w:rsid w:val="31993C82"/>
    <w:rsid w:val="31994BEB"/>
    <w:rsid w:val="31997BE1"/>
    <w:rsid w:val="319A0963"/>
    <w:rsid w:val="319B283F"/>
    <w:rsid w:val="319D56B0"/>
    <w:rsid w:val="31A427C3"/>
    <w:rsid w:val="31AA504A"/>
    <w:rsid w:val="31AA54E8"/>
    <w:rsid w:val="31AB3B50"/>
    <w:rsid w:val="31B00187"/>
    <w:rsid w:val="31B02CC1"/>
    <w:rsid w:val="31B274B4"/>
    <w:rsid w:val="31BE2D2D"/>
    <w:rsid w:val="31C0486E"/>
    <w:rsid w:val="31C05198"/>
    <w:rsid w:val="31C11B09"/>
    <w:rsid w:val="31C35934"/>
    <w:rsid w:val="31CD0D39"/>
    <w:rsid w:val="31CD277D"/>
    <w:rsid w:val="31CF226E"/>
    <w:rsid w:val="31CF3475"/>
    <w:rsid w:val="31CF4C32"/>
    <w:rsid w:val="31D11CC9"/>
    <w:rsid w:val="31D6041B"/>
    <w:rsid w:val="31D73E68"/>
    <w:rsid w:val="31DD71CE"/>
    <w:rsid w:val="31DE3F9A"/>
    <w:rsid w:val="31E21AC1"/>
    <w:rsid w:val="31E22E5D"/>
    <w:rsid w:val="31E62DD6"/>
    <w:rsid w:val="31EC7411"/>
    <w:rsid w:val="31F47D20"/>
    <w:rsid w:val="31F91332"/>
    <w:rsid w:val="31FC33CC"/>
    <w:rsid w:val="31FE04D7"/>
    <w:rsid w:val="32004457"/>
    <w:rsid w:val="32025BAC"/>
    <w:rsid w:val="3203443D"/>
    <w:rsid w:val="320474B4"/>
    <w:rsid w:val="3207424B"/>
    <w:rsid w:val="320A148D"/>
    <w:rsid w:val="320B4B19"/>
    <w:rsid w:val="320B51DF"/>
    <w:rsid w:val="320E50AB"/>
    <w:rsid w:val="3212072F"/>
    <w:rsid w:val="32127006"/>
    <w:rsid w:val="32175E0B"/>
    <w:rsid w:val="321833B3"/>
    <w:rsid w:val="321A3F80"/>
    <w:rsid w:val="321E3342"/>
    <w:rsid w:val="32210EA9"/>
    <w:rsid w:val="32233775"/>
    <w:rsid w:val="322748ED"/>
    <w:rsid w:val="322A44DE"/>
    <w:rsid w:val="322F3FB8"/>
    <w:rsid w:val="32391B7A"/>
    <w:rsid w:val="323B3EF4"/>
    <w:rsid w:val="323B5CA2"/>
    <w:rsid w:val="323D6795"/>
    <w:rsid w:val="32403C19"/>
    <w:rsid w:val="32405D8E"/>
    <w:rsid w:val="32427031"/>
    <w:rsid w:val="324616E0"/>
    <w:rsid w:val="324A311C"/>
    <w:rsid w:val="324D656D"/>
    <w:rsid w:val="324F01D5"/>
    <w:rsid w:val="325250B2"/>
    <w:rsid w:val="32531C71"/>
    <w:rsid w:val="32551A23"/>
    <w:rsid w:val="3256264F"/>
    <w:rsid w:val="32562ADC"/>
    <w:rsid w:val="325A081E"/>
    <w:rsid w:val="325A3599"/>
    <w:rsid w:val="325E6561"/>
    <w:rsid w:val="325F5E35"/>
    <w:rsid w:val="32655415"/>
    <w:rsid w:val="32672F3B"/>
    <w:rsid w:val="326736C6"/>
    <w:rsid w:val="32701DFC"/>
    <w:rsid w:val="32713375"/>
    <w:rsid w:val="32754CDC"/>
    <w:rsid w:val="32794A1C"/>
    <w:rsid w:val="327B5E28"/>
    <w:rsid w:val="327E3EF6"/>
    <w:rsid w:val="3280648A"/>
    <w:rsid w:val="32830A6C"/>
    <w:rsid w:val="32841682"/>
    <w:rsid w:val="32870B0A"/>
    <w:rsid w:val="32882F65"/>
    <w:rsid w:val="32892EB1"/>
    <w:rsid w:val="328A6C2A"/>
    <w:rsid w:val="328B5D49"/>
    <w:rsid w:val="32904611"/>
    <w:rsid w:val="3291620A"/>
    <w:rsid w:val="329655CE"/>
    <w:rsid w:val="3296737C"/>
    <w:rsid w:val="329B4993"/>
    <w:rsid w:val="329C2289"/>
    <w:rsid w:val="32A20A01"/>
    <w:rsid w:val="32A24C0B"/>
    <w:rsid w:val="32A459B8"/>
    <w:rsid w:val="32A7158A"/>
    <w:rsid w:val="32AC4AD7"/>
    <w:rsid w:val="32AC523D"/>
    <w:rsid w:val="32B118D1"/>
    <w:rsid w:val="32B11C92"/>
    <w:rsid w:val="32B51EF8"/>
    <w:rsid w:val="32B555C0"/>
    <w:rsid w:val="32B64511"/>
    <w:rsid w:val="32B87513"/>
    <w:rsid w:val="32BA1E32"/>
    <w:rsid w:val="32BB0FC7"/>
    <w:rsid w:val="32BD3BC6"/>
    <w:rsid w:val="32BD68CC"/>
    <w:rsid w:val="32BE7A47"/>
    <w:rsid w:val="32BF22EB"/>
    <w:rsid w:val="32C32B0C"/>
    <w:rsid w:val="32C43EEA"/>
    <w:rsid w:val="32C50EEA"/>
    <w:rsid w:val="32C97752"/>
    <w:rsid w:val="32CC237B"/>
    <w:rsid w:val="32D07EF0"/>
    <w:rsid w:val="32D3237F"/>
    <w:rsid w:val="32D33460"/>
    <w:rsid w:val="32D700C1"/>
    <w:rsid w:val="32D82802"/>
    <w:rsid w:val="32D83E39"/>
    <w:rsid w:val="32DC1068"/>
    <w:rsid w:val="32E26A66"/>
    <w:rsid w:val="32E60304"/>
    <w:rsid w:val="32EB3261"/>
    <w:rsid w:val="32EB591A"/>
    <w:rsid w:val="32F12805"/>
    <w:rsid w:val="32F26CA9"/>
    <w:rsid w:val="32F757FF"/>
    <w:rsid w:val="32FA50C0"/>
    <w:rsid w:val="32FE5564"/>
    <w:rsid w:val="33013EE5"/>
    <w:rsid w:val="33027CBE"/>
    <w:rsid w:val="33031CDF"/>
    <w:rsid w:val="330433DB"/>
    <w:rsid w:val="33056A68"/>
    <w:rsid w:val="33062754"/>
    <w:rsid w:val="33085326"/>
    <w:rsid w:val="33093FF2"/>
    <w:rsid w:val="330E785B"/>
    <w:rsid w:val="33124708"/>
    <w:rsid w:val="331309CD"/>
    <w:rsid w:val="3313426E"/>
    <w:rsid w:val="33154745"/>
    <w:rsid w:val="331A5F4A"/>
    <w:rsid w:val="331C1F78"/>
    <w:rsid w:val="331C6A1E"/>
    <w:rsid w:val="3321133C"/>
    <w:rsid w:val="332117FB"/>
    <w:rsid w:val="3321758E"/>
    <w:rsid w:val="332350B4"/>
    <w:rsid w:val="33247B3F"/>
    <w:rsid w:val="33273114"/>
    <w:rsid w:val="3327321E"/>
    <w:rsid w:val="33291F9F"/>
    <w:rsid w:val="33297AE9"/>
    <w:rsid w:val="3330157F"/>
    <w:rsid w:val="333142BE"/>
    <w:rsid w:val="33326DB8"/>
    <w:rsid w:val="333526FE"/>
    <w:rsid w:val="33356225"/>
    <w:rsid w:val="33373A3D"/>
    <w:rsid w:val="33381776"/>
    <w:rsid w:val="333A57B7"/>
    <w:rsid w:val="33467A93"/>
    <w:rsid w:val="33486422"/>
    <w:rsid w:val="334868C9"/>
    <w:rsid w:val="334872D8"/>
    <w:rsid w:val="334B460B"/>
    <w:rsid w:val="334D146F"/>
    <w:rsid w:val="334D3EDF"/>
    <w:rsid w:val="335137FA"/>
    <w:rsid w:val="33521DBE"/>
    <w:rsid w:val="33525131"/>
    <w:rsid w:val="33525999"/>
    <w:rsid w:val="33541FD5"/>
    <w:rsid w:val="33563502"/>
    <w:rsid w:val="33582884"/>
    <w:rsid w:val="33583DA8"/>
    <w:rsid w:val="335D0B51"/>
    <w:rsid w:val="335E433E"/>
    <w:rsid w:val="33642FDD"/>
    <w:rsid w:val="33661445"/>
    <w:rsid w:val="33673AD1"/>
    <w:rsid w:val="33680EB6"/>
    <w:rsid w:val="33693E97"/>
    <w:rsid w:val="336A7938"/>
    <w:rsid w:val="336D6863"/>
    <w:rsid w:val="3370712A"/>
    <w:rsid w:val="33712E8C"/>
    <w:rsid w:val="33714BA4"/>
    <w:rsid w:val="33727634"/>
    <w:rsid w:val="337B4EF0"/>
    <w:rsid w:val="337E22EA"/>
    <w:rsid w:val="337E31DC"/>
    <w:rsid w:val="3381002D"/>
    <w:rsid w:val="33810294"/>
    <w:rsid w:val="33813B89"/>
    <w:rsid w:val="338419E7"/>
    <w:rsid w:val="33893CA2"/>
    <w:rsid w:val="338B2C59"/>
    <w:rsid w:val="338C1033"/>
    <w:rsid w:val="338D077F"/>
    <w:rsid w:val="339064C2"/>
    <w:rsid w:val="33945FB2"/>
    <w:rsid w:val="33954192"/>
    <w:rsid w:val="339A2E9C"/>
    <w:rsid w:val="339C2472"/>
    <w:rsid w:val="33A31D51"/>
    <w:rsid w:val="33A45AC9"/>
    <w:rsid w:val="33A67096"/>
    <w:rsid w:val="33A90126"/>
    <w:rsid w:val="33AA1331"/>
    <w:rsid w:val="33AB6E58"/>
    <w:rsid w:val="33AF21F6"/>
    <w:rsid w:val="33B10912"/>
    <w:rsid w:val="33BE302F"/>
    <w:rsid w:val="33C25642"/>
    <w:rsid w:val="33C323F3"/>
    <w:rsid w:val="33C37FB3"/>
    <w:rsid w:val="33C65A3F"/>
    <w:rsid w:val="33C73BC9"/>
    <w:rsid w:val="33C7653D"/>
    <w:rsid w:val="33CA11F3"/>
    <w:rsid w:val="33CB74FA"/>
    <w:rsid w:val="33CC1370"/>
    <w:rsid w:val="33CF6FEA"/>
    <w:rsid w:val="33D77C4D"/>
    <w:rsid w:val="33D93073"/>
    <w:rsid w:val="33DB6FAA"/>
    <w:rsid w:val="33DE0FDB"/>
    <w:rsid w:val="33DF3473"/>
    <w:rsid w:val="33ED2D76"/>
    <w:rsid w:val="33F04E98"/>
    <w:rsid w:val="33F20F2A"/>
    <w:rsid w:val="33F26834"/>
    <w:rsid w:val="33F94067"/>
    <w:rsid w:val="33FC3079"/>
    <w:rsid w:val="33FD05D7"/>
    <w:rsid w:val="33FD3B57"/>
    <w:rsid w:val="33FD720C"/>
    <w:rsid w:val="33FF738F"/>
    <w:rsid w:val="34006B03"/>
    <w:rsid w:val="34034EE6"/>
    <w:rsid w:val="340622E0"/>
    <w:rsid w:val="34074498"/>
    <w:rsid w:val="34086670"/>
    <w:rsid w:val="340C01B9"/>
    <w:rsid w:val="34112744"/>
    <w:rsid w:val="341151CD"/>
    <w:rsid w:val="341449FD"/>
    <w:rsid w:val="34175343"/>
    <w:rsid w:val="341B3FDD"/>
    <w:rsid w:val="341D2AB1"/>
    <w:rsid w:val="341D5FA7"/>
    <w:rsid w:val="341D7D55"/>
    <w:rsid w:val="341E2E66"/>
    <w:rsid w:val="341F22F3"/>
    <w:rsid w:val="34207846"/>
    <w:rsid w:val="342174AA"/>
    <w:rsid w:val="34254F61"/>
    <w:rsid w:val="34264730"/>
    <w:rsid w:val="342E1B32"/>
    <w:rsid w:val="34311A53"/>
    <w:rsid w:val="34315ADC"/>
    <w:rsid w:val="34362AC7"/>
    <w:rsid w:val="343642FE"/>
    <w:rsid w:val="343D3AC7"/>
    <w:rsid w:val="343D6F56"/>
    <w:rsid w:val="343F0906"/>
    <w:rsid w:val="344056FF"/>
    <w:rsid w:val="34407FCB"/>
    <w:rsid w:val="34411018"/>
    <w:rsid w:val="34425A0E"/>
    <w:rsid w:val="34434C07"/>
    <w:rsid w:val="34441786"/>
    <w:rsid w:val="34473024"/>
    <w:rsid w:val="344A420F"/>
    <w:rsid w:val="345056E6"/>
    <w:rsid w:val="345B087E"/>
    <w:rsid w:val="345B1D1C"/>
    <w:rsid w:val="345D203F"/>
    <w:rsid w:val="34603FFA"/>
    <w:rsid w:val="34605E94"/>
    <w:rsid w:val="34612A9B"/>
    <w:rsid w:val="34615BAE"/>
    <w:rsid w:val="34666A21"/>
    <w:rsid w:val="3468049A"/>
    <w:rsid w:val="346C2A8B"/>
    <w:rsid w:val="346D1E94"/>
    <w:rsid w:val="346D270F"/>
    <w:rsid w:val="34702091"/>
    <w:rsid w:val="34775202"/>
    <w:rsid w:val="34784696"/>
    <w:rsid w:val="347D07F4"/>
    <w:rsid w:val="347D5B72"/>
    <w:rsid w:val="347E3994"/>
    <w:rsid w:val="347F4588"/>
    <w:rsid w:val="34897199"/>
    <w:rsid w:val="348A5C3D"/>
    <w:rsid w:val="348C4AF8"/>
    <w:rsid w:val="348F6779"/>
    <w:rsid w:val="34934894"/>
    <w:rsid w:val="34993356"/>
    <w:rsid w:val="34A16C46"/>
    <w:rsid w:val="34A5225B"/>
    <w:rsid w:val="34AA710F"/>
    <w:rsid w:val="34AC3B1F"/>
    <w:rsid w:val="34B00BC9"/>
    <w:rsid w:val="34B23B98"/>
    <w:rsid w:val="34B8182C"/>
    <w:rsid w:val="34BA1A48"/>
    <w:rsid w:val="34BF2BBB"/>
    <w:rsid w:val="34C45B59"/>
    <w:rsid w:val="34C62164"/>
    <w:rsid w:val="34C957E7"/>
    <w:rsid w:val="34CA0ED9"/>
    <w:rsid w:val="34CB2E92"/>
    <w:rsid w:val="34CF1C04"/>
    <w:rsid w:val="34D048B2"/>
    <w:rsid w:val="34D04DC8"/>
    <w:rsid w:val="34D109DE"/>
    <w:rsid w:val="34D50B0B"/>
    <w:rsid w:val="34D643A8"/>
    <w:rsid w:val="34D74827"/>
    <w:rsid w:val="34D90479"/>
    <w:rsid w:val="34D9540A"/>
    <w:rsid w:val="34DA1486"/>
    <w:rsid w:val="34DD55EC"/>
    <w:rsid w:val="34DD7824"/>
    <w:rsid w:val="34E04472"/>
    <w:rsid w:val="34E16FD5"/>
    <w:rsid w:val="34E17B2C"/>
    <w:rsid w:val="34E268A9"/>
    <w:rsid w:val="34EA39B0"/>
    <w:rsid w:val="34F671ED"/>
    <w:rsid w:val="34F8431E"/>
    <w:rsid w:val="34F860CC"/>
    <w:rsid w:val="34F97E4B"/>
    <w:rsid w:val="34FD7B87"/>
    <w:rsid w:val="34FF56AD"/>
    <w:rsid w:val="35085F28"/>
    <w:rsid w:val="35092088"/>
    <w:rsid w:val="350B657B"/>
    <w:rsid w:val="35123632"/>
    <w:rsid w:val="35131158"/>
    <w:rsid w:val="351327C5"/>
    <w:rsid w:val="35132F06"/>
    <w:rsid w:val="35151384"/>
    <w:rsid w:val="35185247"/>
    <w:rsid w:val="3518786D"/>
    <w:rsid w:val="351A6043"/>
    <w:rsid w:val="351B09A1"/>
    <w:rsid w:val="351C0B50"/>
    <w:rsid w:val="3522139B"/>
    <w:rsid w:val="35241716"/>
    <w:rsid w:val="352549E8"/>
    <w:rsid w:val="35262C3A"/>
    <w:rsid w:val="352B641F"/>
    <w:rsid w:val="352C4007"/>
    <w:rsid w:val="352E1AEE"/>
    <w:rsid w:val="35306430"/>
    <w:rsid w:val="35310C1F"/>
    <w:rsid w:val="35311135"/>
    <w:rsid w:val="35357321"/>
    <w:rsid w:val="3538101C"/>
    <w:rsid w:val="353B4F00"/>
    <w:rsid w:val="353B650D"/>
    <w:rsid w:val="353F2498"/>
    <w:rsid w:val="354424C1"/>
    <w:rsid w:val="354B08F2"/>
    <w:rsid w:val="354B444E"/>
    <w:rsid w:val="354C6465"/>
    <w:rsid w:val="35507CB7"/>
    <w:rsid w:val="3552500E"/>
    <w:rsid w:val="355320D0"/>
    <w:rsid w:val="355D5FF2"/>
    <w:rsid w:val="35645510"/>
    <w:rsid w:val="35665250"/>
    <w:rsid w:val="3566572C"/>
    <w:rsid w:val="356776F8"/>
    <w:rsid w:val="356814A4"/>
    <w:rsid w:val="356A1545"/>
    <w:rsid w:val="356E7C5B"/>
    <w:rsid w:val="357116BA"/>
    <w:rsid w:val="357716E7"/>
    <w:rsid w:val="3578720D"/>
    <w:rsid w:val="3579658A"/>
    <w:rsid w:val="357B2D2C"/>
    <w:rsid w:val="358065DC"/>
    <w:rsid w:val="358142E1"/>
    <w:rsid w:val="3583008C"/>
    <w:rsid w:val="3586368F"/>
    <w:rsid w:val="358677AD"/>
    <w:rsid w:val="35887450"/>
    <w:rsid w:val="358931C8"/>
    <w:rsid w:val="358B0CEF"/>
    <w:rsid w:val="358E197D"/>
    <w:rsid w:val="358E6C1C"/>
    <w:rsid w:val="3594409E"/>
    <w:rsid w:val="359A03B9"/>
    <w:rsid w:val="359A7184"/>
    <w:rsid w:val="359C73A0"/>
    <w:rsid w:val="359F419F"/>
    <w:rsid w:val="35A16CB6"/>
    <w:rsid w:val="35A41DB0"/>
    <w:rsid w:val="35A46254"/>
    <w:rsid w:val="35A818A1"/>
    <w:rsid w:val="35AB55E5"/>
    <w:rsid w:val="35AD335B"/>
    <w:rsid w:val="35AE342C"/>
    <w:rsid w:val="35B45F68"/>
    <w:rsid w:val="35B473C6"/>
    <w:rsid w:val="35B71AE4"/>
    <w:rsid w:val="35BD363D"/>
    <w:rsid w:val="35BD7D90"/>
    <w:rsid w:val="35BE10C4"/>
    <w:rsid w:val="35C773D6"/>
    <w:rsid w:val="35CB37E1"/>
    <w:rsid w:val="35CC1533"/>
    <w:rsid w:val="35CC72DE"/>
    <w:rsid w:val="35D6139A"/>
    <w:rsid w:val="35D72186"/>
    <w:rsid w:val="35E12488"/>
    <w:rsid w:val="35E87614"/>
    <w:rsid w:val="35EA1E4C"/>
    <w:rsid w:val="35EB79DF"/>
    <w:rsid w:val="35F1149A"/>
    <w:rsid w:val="35F6000A"/>
    <w:rsid w:val="35F745D6"/>
    <w:rsid w:val="35FA7C22"/>
    <w:rsid w:val="35FE6F21"/>
    <w:rsid w:val="36045A08"/>
    <w:rsid w:val="360766D3"/>
    <w:rsid w:val="3608594A"/>
    <w:rsid w:val="360A234A"/>
    <w:rsid w:val="360D3DFA"/>
    <w:rsid w:val="360D5BA8"/>
    <w:rsid w:val="361104EB"/>
    <w:rsid w:val="361A3F9A"/>
    <w:rsid w:val="361C5FF4"/>
    <w:rsid w:val="36227D2F"/>
    <w:rsid w:val="362534A2"/>
    <w:rsid w:val="36270212"/>
    <w:rsid w:val="3627057D"/>
    <w:rsid w:val="362A0508"/>
    <w:rsid w:val="362C670E"/>
    <w:rsid w:val="363049E9"/>
    <w:rsid w:val="36315D3A"/>
    <w:rsid w:val="36323860"/>
    <w:rsid w:val="36356EAC"/>
    <w:rsid w:val="3636121D"/>
    <w:rsid w:val="3638380C"/>
    <w:rsid w:val="3639699D"/>
    <w:rsid w:val="363A3866"/>
    <w:rsid w:val="363D7B96"/>
    <w:rsid w:val="363E6456"/>
    <w:rsid w:val="36443A06"/>
    <w:rsid w:val="36445382"/>
    <w:rsid w:val="3645159F"/>
    <w:rsid w:val="36451DC5"/>
    <w:rsid w:val="364E3F12"/>
    <w:rsid w:val="364F7F6E"/>
    <w:rsid w:val="36500EFB"/>
    <w:rsid w:val="3652180C"/>
    <w:rsid w:val="36527A5E"/>
    <w:rsid w:val="365B6913"/>
    <w:rsid w:val="365B7FE9"/>
    <w:rsid w:val="365C48ED"/>
    <w:rsid w:val="36611AB0"/>
    <w:rsid w:val="36674C84"/>
    <w:rsid w:val="36692789"/>
    <w:rsid w:val="366C52BB"/>
    <w:rsid w:val="366D3FEE"/>
    <w:rsid w:val="366E24FE"/>
    <w:rsid w:val="36745C27"/>
    <w:rsid w:val="36785717"/>
    <w:rsid w:val="3679062A"/>
    <w:rsid w:val="36792EB9"/>
    <w:rsid w:val="367E0853"/>
    <w:rsid w:val="36826B14"/>
    <w:rsid w:val="36835E6A"/>
    <w:rsid w:val="36837B61"/>
    <w:rsid w:val="36843CB8"/>
    <w:rsid w:val="36851BE2"/>
    <w:rsid w:val="36867F07"/>
    <w:rsid w:val="3689029C"/>
    <w:rsid w:val="36896378"/>
    <w:rsid w:val="368A2F3E"/>
    <w:rsid w:val="368D0A96"/>
    <w:rsid w:val="36914A2B"/>
    <w:rsid w:val="369270E1"/>
    <w:rsid w:val="36960BD4"/>
    <w:rsid w:val="36962041"/>
    <w:rsid w:val="369B31B3"/>
    <w:rsid w:val="369B7657"/>
    <w:rsid w:val="369E0A48"/>
    <w:rsid w:val="36A101AE"/>
    <w:rsid w:val="36A5243D"/>
    <w:rsid w:val="36A54177"/>
    <w:rsid w:val="36A63959"/>
    <w:rsid w:val="36A93B22"/>
    <w:rsid w:val="36A97AC3"/>
    <w:rsid w:val="36AD385B"/>
    <w:rsid w:val="36AF4EB1"/>
    <w:rsid w:val="36B204FD"/>
    <w:rsid w:val="36B2505E"/>
    <w:rsid w:val="36B33892"/>
    <w:rsid w:val="36B457C6"/>
    <w:rsid w:val="36BA0211"/>
    <w:rsid w:val="36BA5D2F"/>
    <w:rsid w:val="36BB1F79"/>
    <w:rsid w:val="36BF3346"/>
    <w:rsid w:val="36C17CA3"/>
    <w:rsid w:val="36C22E36"/>
    <w:rsid w:val="36C364A8"/>
    <w:rsid w:val="36C84A0D"/>
    <w:rsid w:val="36CA1CEB"/>
    <w:rsid w:val="36CC7811"/>
    <w:rsid w:val="36CD0CAD"/>
    <w:rsid w:val="36CD7D31"/>
    <w:rsid w:val="36CE17DB"/>
    <w:rsid w:val="36D16BD5"/>
    <w:rsid w:val="36D641EB"/>
    <w:rsid w:val="36DF6266"/>
    <w:rsid w:val="36E7289C"/>
    <w:rsid w:val="36E93BA0"/>
    <w:rsid w:val="36EC3A0F"/>
    <w:rsid w:val="36EC7EB3"/>
    <w:rsid w:val="36ED0048"/>
    <w:rsid w:val="36EF1705"/>
    <w:rsid w:val="36F370CD"/>
    <w:rsid w:val="36F57FCA"/>
    <w:rsid w:val="36F80606"/>
    <w:rsid w:val="36F80F56"/>
    <w:rsid w:val="36FB71FF"/>
    <w:rsid w:val="36FC0AD1"/>
    <w:rsid w:val="36FC12FD"/>
    <w:rsid w:val="36FD558B"/>
    <w:rsid w:val="3700570C"/>
    <w:rsid w:val="37020FF1"/>
    <w:rsid w:val="37023232"/>
    <w:rsid w:val="370276FA"/>
    <w:rsid w:val="370326DB"/>
    <w:rsid w:val="370801F8"/>
    <w:rsid w:val="37082D22"/>
    <w:rsid w:val="370C76C7"/>
    <w:rsid w:val="37101AAB"/>
    <w:rsid w:val="3711435B"/>
    <w:rsid w:val="37130486"/>
    <w:rsid w:val="3716214B"/>
    <w:rsid w:val="37182A56"/>
    <w:rsid w:val="371A63C7"/>
    <w:rsid w:val="371E4BB3"/>
    <w:rsid w:val="37204D88"/>
    <w:rsid w:val="37205599"/>
    <w:rsid w:val="37225683"/>
    <w:rsid w:val="3724764D"/>
    <w:rsid w:val="372C7136"/>
    <w:rsid w:val="372E1214"/>
    <w:rsid w:val="372F1B4E"/>
    <w:rsid w:val="373158C6"/>
    <w:rsid w:val="373A5AF7"/>
    <w:rsid w:val="373B46C5"/>
    <w:rsid w:val="373D4531"/>
    <w:rsid w:val="373E1707"/>
    <w:rsid w:val="374101FF"/>
    <w:rsid w:val="374750E9"/>
    <w:rsid w:val="37495F09"/>
    <w:rsid w:val="374B5942"/>
    <w:rsid w:val="374D6BA3"/>
    <w:rsid w:val="37516768"/>
    <w:rsid w:val="37517D16"/>
    <w:rsid w:val="375409F6"/>
    <w:rsid w:val="37567EF9"/>
    <w:rsid w:val="375861A4"/>
    <w:rsid w:val="375C0B95"/>
    <w:rsid w:val="375C6C45"/>
    <w:rsid w:val="375F1314"/>
    <w:rsid w:val="375F4344"/>
    <w:rsid w:val="37606439"/>
    <w:rsid w:val="37661CDE"/>
    <w:rsid w:val="3768578B"/>
    <w:rsid w:val="376C3331"/>
    <w:rsid w:val="37715E95"/>
    <w:rsid w:val="37821AF1"/>
    <w:rsid w:val="37825684"/>
    <w:rsid w:val="3784633D"/>
    <w:rsid w:val="378656E9"/>
    <w:rsid w:val="378679C0"/>
    <w:rsid w:val="378857F8"/>
    <w:rsid w:val="37936580"/>
    <w:rsid w:val="37957CBD"/>
    <w:rsid w:val="379A346B"/>
    <w:rsid w:val="37A10C9D"/>
    <w:rsid w:val="37A755A0"/>
    <w:rsid w:val="37A84CB3"/>
    <w:rsid w:val="37AC3E5E"/>
    <w:rsid w:val="37B10DEE"/>
    <w:rsid w:val="37B3277F"/>
    <w:rsid w:val="37B564F7"/>
    <w:rsid w:val="37B7226F"/>
    <w:rsid w:val="37BD5C4C"/>
    <w:rsid w:val="37BE2421"/>
    <w:rsid w:val="37BE2D67"/>
    <w:rsid w:val="37BF6CF4"/>
    <w:rsid w:val="37C329C2"/>
    <w:rsid w:val="37C83FCD"/>
    <w:rsid w:val="37C8622A"/>
    <w:rsid w:val="37C87FD8"/>
    <w:rsid w:val="37CE1367"/>
    <w:rsid w:val="37D02E2B"/>
    <w:rsid w:val="37D033D0"/>
    <w:rsid w:val="37D11CDD"/>
    <w:rsid w:val="37D21890"/>
    <w:rsid w:val="37D5281F"/>
    <w:rsid w:val="37D62F9C"/>
    <w:rsid w:val="37D90D2C"/>
    <w:rsid w:val="37DA39D0"/>
    <w:rsid w:val="37DC0EC1"/>
    <w:rsid w:val="37DD2351"/>
    <w:rsid w:val="37E172EC"/>
    <w:rsid w:val="37E40B8A"/>
    <w:rsid w:val="37E85677"/>
    <w:rsid w:val="37F0752F"/>
    <w:rsid w:val="37F41099"/>
    <w:rsid w:val="37F963E3"/>
    <w:rsid w:val="37FC4126"/>
    <w:rsid w:val="37FC4F31"/>
    <w:rsid w:val="37FC5ED4"/>
    <w:rsid w:val="38060B00"/>
    <w:rsid w:val="38077E93"/>
    <w:rsid w:val="380803DD"/>
    <w:rsid w:val="38083E7D"/>
    <w:rsid w:val="38086E54"/>
    <w:rsid w:val="380B4369"/>
    <w:rsid w:val="380F20AB"/>
    <w:rsid w:val="38172D0E"/>
    <w:rsid w:val="381C20D2"/>
    <w:rsid w:val="381E5E4A"/>
    <w:rsid w:val="38262F51"/>
    <w:rsid w:val="382A2A41"/>
    <w:rsid w:val="382E3A24"/>
    <w:rsid w:val="38312021"/>
    <w:rsid w:val="38317F3A"/>
    <w:rsid w:val="3834566E"/>
    <w:rsid w:val="3838311F"/>
    <w:rsid w:val="383D011C"/>
    <w:rsid w:val="383E0D50"/>
    <w:rsid w:val="384004B6"/>
    <w:rsid w:val="38401D98"/>
    <w:rsid w:val="3844411C"/>
    <w:rsid w:val="38481119"/>
    <w:rsid w:val="38484DC0"/>
    <w:rsid w:val="3848707D"/>
    <w:rsid w:val="384A4E91"/>
    <w:rsid w:val="384B0C09"/>
    <w:rsid w:val="38507FCD"/>
    <w:rsid w:val="38514471"/>
    <w:rsid w:val="38534EEB"/>
    <w:rsid w:val="385478D4"/>
    <w:rsid w:val="38551E4C"/>
    <w:rsid w:val="385E26EA"/>
    <w:rsid w:val="38685317"/>
    <w:rsid w:val="386C2BEF"/>
    <w:rsid w:val="386D6DD1"/>
    <w:rsid w:val="38701D47"/>
    <w:rsid w:val="38710670"/>
    <w:rsid w:val="3872263A"/>
    <w:rsid w:val="387F06C4"/>
    <w:rsid w:val="3880534A"/>
    <w:rsid w:val="3882609C"/>
    <w:rsid w:val="38876FB4"/>
    <w:rsid w:val="388B1F99"/>
    <w:rsid w:val="388D4D7E"/>
    <w:rsid w:val="3891486E"/>
    <w:rsid w:val="38917398"/>
    <w:rsid w:val="38925B9B"/>
    <w:rsid w:val="389A2654"/>
    <w:rsid w:val="389B05DB"/>
    <w:rsid w:val="389E689B"/>
    <w:rsid w:val="38A10829"/>
    <w:rsid w:val="38B55CCE"/>
    <w:rsid w:val="38B56F92"/>
    <w:rsid w:val="38B62526"/>
    <w:rsid w:val="38BA7F06"/>
    <w:rsid w:val="38BB5D8F"/>
    <w:rsid w:val="38C27732"/>
    <w:rsid w:val="38C3469B"/>
    <w:rsid w:val="38C52A81"/>
    <w:rsid w:val="38C83769"/>
    <w:rsid w:val="38C904AC"/>
    <w:rsid w:val="38C97B41"/>
    <w:rsid w:val="38CA5FD2"/>
    <w:rsid w:val="38CC3AF8"/>
    <w:rsid w:val="38CE04EE"/>
    <w:rsid w:val="38CE4AB2"/>
    <w:rsid w:val="38D17360"/>
    <w:rsid w:val="38D40BFF"/>
    <w:rsid w:val="38D64977"/>
    <w:rsid w:val="38D8554A"/>
    <w:rsid w:val="38DA4B84"/>
    <w:rsid w:val="38DA5CE9"/>
    <w:rsid w:val="38E05C50"/>
    <w:rsid w:val="38E7167D"/>
    <w:rsid w:val="38E928FC"/>
    <w:rsid w:val="38EA21D0"/>
    <w:rsid w:val="38EC419A"/>
    <w:rsid w:val="38ED3A6E"/>
    <w:rsid w:val="38ED3D9A"/>
    <w:rsid w:val="38EE7F12"/>
    <w:rsid w:val="38F01CB5"/>
    <w:rsid w:val="38F11218"/>
    <w:rsid w:val="38F11738"/>
    <w:rsid w:val="38F15A12"/>
    <w:rsid w:val="38F419B2"/>
    <w:rsid w:val="38F512A1"/>
    <w:rsid w:val="38F8429D"/>
    <w:rsid w:val="38FD236B"/>
    <w:rsid w:val="38FD3D35"/>
    <w:rsid w:val="38FE732B"/>
    <w:rsid w:val="39000350"/>
    <w:rsid w:val="390128F5"/>
    <w:rsid w:val="3907628C"/>
    <w:rsid w:val="39077A51"/>
    <w:rsid w:val="39094D4C"/>
    <w:rsid w:val="390F2428"/>
    <w:rsid w:val="39134343"/>
    <w:rsid w:val="39157076"/>
    <w:rsid w:val="391644CF"/>
    <w:rsid w:val="39184F8F"/>
    <w:rsid w:val="3918707F"/>
    <w:rsid w:val="3920660B"/>
    <w:rsid w:val="392C04C3"/>
    <w:rsid w:val="392C4597"/>
    <w:rsid w:val="3932640E"/>
    <w:rsid w:val="39354B09"/>
    <w:rsid w:val="39365415"/>
    <w:rsid w:val="393D49F6"/>
    <w:rsid w:val="39424531"/>
    <w:rsid w:val="394413FB"/>
    <w:rsid w:val="39452EAF"/>
    <w:rsid w:val="3948702E"/>
    <w:rsid w:val="394A2C6F"/>
    <w:rsid w:val="394A4BFD"/>
    <w:rsid w:val="394D6394"/>
    <w:rsid w:val="394D6D52"/>
    <w:rsid w:val="395435A5"/>
    <w:rsid w:val="3957578D"/>
    <w:rsid w:val="39597B8B"/>
    <w:rsid w:val="396226AE"/>
    <w:rsid w:val="39626A70"/>
    <w:rsid w:val="3963760F"/>
    <w:rsid w:val="39642CA0"/>
    <w:rsid w:val="39690027"/>
    <w:rsid w:val="39691347"/>
    <w:rsid w:val="39693A3D"/>
    <w:rsid w:val="396A5A38"/>
    <w:rsid w:val="396A5A7B"/>
    <w:rsid w:val="396D5783"/>
    <w:rsid w:val="396F1232"/>
    <w:rsid w:val="396F42D7"/>
    <w:rsid w:val="39716829"/>
    <w:rsid w:val="39723A3C"/>
    <w:rsid w:val="39775BEF"/>
    <w:rsid w:val="397A4685"/>
    <w:rsid w:val="397C6E3F"/>
    <w:rsid w:val="397E3D4F"/>
    <w:rsid w:val="397F3EC5"/>
    <w:rsid w:val="397F6DBC"/>
    <w:rsid w:val="39817BDB"/>
    <w:rsid w:val="3982065B"/>
    <w:rsid w:val="39837F94"/>
    <w:rsid w:val="398643CD"/>
    <w:rsid w:val="398716C2"/>
    <w:rsid w:val="39874082"/>
    <w:rsid w:val="398C74D1"/>
    <w:rsid w:val="3990521A"/>
    <w:rsid w:val="39914A9E"/>
    <w:rsid w:val="39924D42"/>
    <w:rsid w:val="3994077D"/>
    <w:rsid w:val="399436D2"/>
    <w:rsid w:val="39962ABD"/>
    <w:rsid w:val="399A3EB9"/>
    <w:rsid w:val="399B417A"/>
    <w:rsid w:val="399F120C"/>
    <w:rsid w:val="39A46823"/>
    <w:rsid w:val="39A74D48"/>
    <w:rsid w:val="39AD1B7B"/>
    <w:rsid w:val="39AD67C4"/>
    <w:rsid w:val="39AF15D1"/>
    <w:rsid w:val="39B4306C"/>
    <w:rsid w:val="39B5458C"/>
    <w:rsid w:val="39B60304"/>
    <w:rsid w:val="39BA1BA2"/>
    <w:rsid w:val="39BA6046"/>
    <w:rsid w:val="39BA7431"/>
    <w:rsid w:val="39BC1DBE"/>
    <w:rsid w:val="39C758A7"/>
    <w:rsid w:val="39C8164D"/>
    <w:rsid w:val="39C83481"/>
    <w:rsid w:val="39D0733C"/>
    <w:rsid w:val="39D35FF6"/>
    <w:rsid w:val="39D669DA"/>
    <w:rsid w:val="39D95B15"/>
    <w:rsid w:val="39DA5519"/>
    <w:rsid w:val="39DC7D6B"/>
    <w:rsid w:val="39DD3A08"/>
    <w:rsid w:val="39DD3AE3"/>
    <w:rsid w:val="39DE7BF9"/>
    <w:rsid w:val="39E11825"/>
    <w:rsid w:val="39E430C3"/>
    <w:rsid w:val="39E6780E"/>
    <w:rsid w:val="39E9692C"/>
    <w:rsid w:val="39E976D1"/>
    <w:rsid w:val="39EC65B8"/>
    <w:rsid w:val="39ED486F"/>
    <w:rsid w:val="39EE5CF0"/>
    <w:rsid w:val="39F6132E"/>
    <w:rsid w:val="39F84DA5"/>
    <w:rsid w:val="39FC040D"/>
    <w:rsid w:val="3A04269C"/>
    <w:rsid w:val="3A0460EF"/>
    <w:rsid w:val="3A0901E4"/>
    <w:rsid w:val="3A0B6E32"/>
    <w:rsid w:val="3A0E4E10"/>
    <w:rsid w:val="3A110B07"/>
    <w:rsid w:val="3A137505"/>
    <w:rsid w:val="3A14745A"/>
    <w:rsid w:val="3A160918"/>
    <w:rsid w:val="3A1A6AE5"/>
    <w:rsid w:val="3A1B12A9"/>
    <w:rsid w:val="3A1C0AAF"/>
    <w:rsid w:val="3A1C1BAF"/>
    <w:rsid w:val="3A1C25D0"/>
    <w:rsid w:val="3A1D0D08"/>
    <w:rsid w:val="3A1D4BCD"/>
    <w:rsid w:val="3A204FC5"/>
    <w:rsid w:val="3A231E3E"/>
    <w:rsid w:val="3A246BDD"/>
    <w:rsid w:val="3A2550DD"/>
    <w:rsid w:val="3A264D8B"/>
    <w:rsid w:val="3A282FB0"/>
    <w:rsid w:val="3A2B484E"/>
    <w:rsid w:val="3A2B6F44"/>
    <w:rsid w:val="3A2E433E"/>
    <w:rsid w:val="3A2F07E2"/>
    <w:rsid w:val="3A353BF0"/>
    <w:rsid w:val="3A361B71"/>
    <w:rsid w:val="3A3758E9"/>
    <w:rsid w:val="3A377427"/>
    <w:rsid w:val="3A3819D9"/>
    <w:rsid w:val="3A3B3349"/>
    <w:rsid w:val="3A3B7295"/>
    <w:rsid w:val="3A4678DA"/>
    <w:rsid w:val="3A4934F6"/>
    <w:rsid w:val="3A4B2127"/>
    <w:rsid w:val="3A5573E5"/>
    <w:rsid w:val="3A573895"/>
    <w:rsid w:val="3A5E4C24"/>
    <w:rsid w:val="3A60140C"/>
    <w:rsid w:val="3A601780"/>
    <w:rsid w:val="3A606BEE"/>
    <w:rsid w:val="3A612966"/>
    <w:rsid w:val="3A655FB2"/>
    <w:rsid w:val="3A6B0127"/>
    <w:rsid w:val="3A6C5593"/>
    <w:rsid w:val="3A712BA9"/>
    <w:rsid w:val="3A72724A"/>
    <w:rsid w:val="3A7750E3"/>
    <w:rsid w:val="3A7B1683"/>
    <w:rsid w:val="3A7D2A66"/>
    <w:rsid w:val="3A8042BE"/>
    <w:rsid w:val="3A830B2E"/>
    <w:rsid w:val="3A861ED8"/>
    <w:rsid w:val="3A8B1791"/>
    <w:rsid w:val="3A8F302F"/>
    <w:rsid w:val="3A8F6758"/>
    <w:rsid w:val="3A93317B"/>
    <w:rsid w:val="3A954A92"/>
    <w:rsid w:val="3A95616C"/>
    <w:rsid w:val="3A960861"/>
    <w:rsid w:val="3A984563"/>
    <w:rsid w:val="3A9C0F07"/>
    <w:rsid w:val="3A9F3504"/>
    <w:rsid w:val="3AA06FFD"/>
    <w:rsid w:val="3AA53E6D"/>
    <w:rsid w:val="3AAA1A3F"/>
    <w:rsid w:val="3AB36168"/>
    <w:rsid w:val="3AB504FA"/>
    <w:rsid w:val="3AB63DDC"/>
    <w:rsid w:val="3AB807D8"/>
    <w:rsid w:val="3AB9560A"/>
    <w:rsid w:val="3ABD4CA7"/>
    <w:rsid w:val="3AC15746"/>
    <w:rsid w:val="3ACC5B45"/>
    <w:rsid w:val="3ACD7AE9"/>
    <w:rsid w:val="3AD23058"/>
    <w:rsid w:val="3AD273C0"/>
    <w:rsid w:val="3AD37719"/>
    <w:rsid w:val="3AD4770D"/>
    <w:rsid w:val="3ADC3D9A"/>
    <w:rsid w:val="3ADE3A4D"/>
    <w:rsid w:val="3ADE5D64"/>
    <w:rsid w:val="3ADF734B"/>
    <w:rsid w:val="3AE80991"/>
    <w:rsid w:val="3AEA6A92"/>
    <w:rsid w:val="3AEC66D3"/>
    <w:rsid w:val="3AED3D27"/>
    <w:rsid w:val="3AEE244B"/>
    <w:rsid w:val="3AF17846"/>
    <w:rsid w:val="3AF2775B"/>
    <w:rsid w:val="3AF472FD"/>
    <w:rsid w:val="3AFB06C4"/>
    <w:rsid w:val="3AFB415D"/>
    <w:rsid w:val="3B007A89"/>
    <w:rsid w:val="3B010116"/>
    <w:rsid w:val="3B0276ED"/>
    <w:rsid w:val="3B04236A"/>
    <w:rsid w:val="3B0600FB"/>
    <w:rsid w:val="3B07350D"/>
    <w:rsid w:val="3B074653"/>
    <w:rsid w:val="3B0925C1"/>
    <w:rsid w:val="3B0A014A"/>
    <w:rsid w:val="3B0A4DAB"/>
    <w:rsid w:val="3B0B12EF"/>
    <w:rsid w:val="3B0B3B12"/>
    <w:rsid w:val="3B0C0B24"/>
    <w:rsid w:val="3B0C3F2F"/>
    <w:rsid w:val="3B0F7D65"/>
    <w:rsid w:val="3B104AB2"/>
    <w:rsid w:val="3B11613A"/>
    <w:rsid w:val="3B1B48C3"/>
    <w:rsid w:val="3B1F0857"/>
    <w:rsid w:val="3B200963"/>
    <w:rsid w:val="3B2573E8"/>
    <w:rsid w:val="3B270B64"/>
    <w:rsid w:val="3B2B2018"/>
    <w:rsid w:val="3B2C087E"/>
    <w:rsid w:val="3B2D7841"/>
    <w:rsid w:val="3B2E2848"/>
    <w:rsid w:val="3B30241A"/>
    <w:rsid w:val="3B312DF4"/>
    <w:rsid w:val="3B3458E6"/>
    <w:rsid w:val="3B3565FC"/>
    <w:rsid w:val="3B3A5C49"/>
    <w:rsid w:val="3B3B4F65"/>
    <w:rsid w:val="3B3D0CDD"/>
    <w:rsid w:val="3B3D6F2F"/>
    <w:rsid w:val="3B3F2CA7"/>
    <w:rsid w:val="3B455DE4"/>
    <w:rsid w:val="3B457B92"/>
    <w:rsid w:val="3B467B23"/>
    <w:rsid w:val="3B491430"/>
    <w:rsid w:val="3B4A1910"/>
    <w:rsid w:val="3B4A33FA"/>
    <w:rsid w:val="3B4E4C98"/>
    <w:rsid w:val="3B5340A1"/>
    <w:rsid w:val="3B5437ED"/>
    <w:rsid w:val="3B555A62"/>
    <w:rsid w:val="3B556027"/>
    <w:rsid w:val="3B5B5607"/>
    <w:rsid w:val="3B5E746C"/>
    <w:rsid w:val="3B627E58"/>
    <w:rsid w:val="3B644D6F"/>
    <w:rsid w:val="3B6541E8"/>
    <w:rsid w:val="3B693880"/>
    <w:rsid w:val="3B6E533A"/>
    <w:rsid w:val="3B737E51"/>
    <w:rsid w:val="3B7641EF"/>
    <w:rsid w:val="3B776F92"/>
    <w:rsid w:val="3B7A5A8D"/>
    <w:rsid w:val="3B822B94"/>
    <w:rsid w:val="3B836571"/>
    <w:rsid w:val="3B881B73"/>
    <w:rsid w:val="3B8E11A9"/>
    <w:rsid w:val="3B8E778B"/>
    <w:rsid w:val="3B8F34C7"/>
    <w:rsid w:val="3B982BEF"/>
    <w:rsid w:val="3B986F4A"/>
    <w:rsid w:val="3B9D5010"/>
    <w:rsid w:val="3BA7265C"/>
    <w:rsid w:val="3BAC19BF"/>
    <w:rsid w:val="3BAE3989"/>
    <w:rsid w:val="3BB16FD5"/>
    <w:rsid w:val="3BB45458"/>
    <w:rsid w:val="3BBA45CF"/>
    <w:rsid w:val="3BC1190E"/>
    <w:rsid w:val="3BC1546A"/>
    <w:rsid w:val="3BC27434"/>
    <w:rsid w:val="3BC30DA4"/>
    <w:rsid w:val="3BC7163B"/>
    <w:rsid w:val="3BC772B6"/>
    <w:rsid w:val="3BC82C9D"/>
    <w:rsid w:val="3BC96A15"/>
    <w:rsid w:val="3BCB453B"/>
    <w:rsid w:val="3BCF4455"/>
    <w:rsid w:val="3BD31641"/>
    <w:rsid w:val="3BD80A06"/>
    <w:rsid w:val="3BDC6748"/>
    <w:rsid w:val="3BDC782D"/>
    <w:rsid w:val="3BE006DD"/>
    <w:rsid w:val="3BE178BA"/>
    <w:rsid w:val="3BE21884"/>
    <w:rsid w:val="3BEB0739"/>
    <w:rsid w:val="3BEB4F70"/>
    <w:rsid w:val="3BEE0229"/>
    <w:rsid w:val="3BF1303B"/>
    <w:rsid w:val="3BFA6BCE"/>
    <w:rsid w:val="3BFC7EA4"/>
    <w:rsid w:val="3C02242F"/>
    <w:rsid w:val="3C073099"/>
    <w:rsid w:val="3C09385D"/>
    <w:rsid w:val="3C094C15"/>
    <w:rsid w:val="3C0D6901"/>
    <w:rsid w:val="3C101F4E"/>
    <w:rsid w:val="3C12216A"/>
    <w:rsid w:val="3C180285"/>
    <w:rsid w:val="3C1C6B44"/>
    <w:rsid w:val="3C1F6635"/>
    <w:rsid w:val="3C217C94"/>
    <w:rsid w:val="3C232648"/>
    <w:rsid w:val="3C240C4D"/>
    <w:rsid w:val="3C265C15"/>
    <w:rsid w:val="3C2B1255"/>
    <w:rsid w:val="3C2D0D52"/>
    <w:rsid w:val="3C2F7B31"/>
    <w:rsid w:val="3C300842"/>
    <w:rsid w:val="3C31196E"/>
    <w:rsid w:val="3C344F0C"/>
    <w:rsid w:val="3C393259"/>
    <w:rsid w:val="3C3E4D0D"/>
    <w:rsid w:val="3C5203FE"/>
    <w:rsid w:val="3C53008C"/>
    <w:rsid w:val="3C543F4E"/>
    <w:rsid w:val="3C5827C6"/>
    <w:rsid w:val="3C597D99"/>
    <w:rsid w:val="3C5C225C"/>
    <w:rsid w:val="3C5D4E55"/>
    <w:rsid w:val="3C5F2ED5"/>
    <w:rsid w:val="3C6127A9"/>
    <w:rsid w:val="3C622C2F"/>
    <w:rsid w:val="3C634773"/>
    <w:rsid w:val="3C663A24"/>
    <w:rsid w:val="3C666012"/>
    <w:rsid w:val="3C681DB0"/>
    <w:rsid w:val="3C687FDC"/>
    <w:rsid w:val="3C6B326E"/>
    <w:rsid w:val="3C6C047B"/>
    <w:rsid w:val="3C700C3E"/>
    <w:rsid w:val="3C7050AE"/>
    <w:rsid w:val="3C750743"/>
    <w:rsid w:val="3C771AB6"/>
    <w:rsid w:val="3C812E4B"/>
    <w:rsid w:val="3C8414E4"/>
    <w:rsid w:val="3C8F0188"/>
    <w:rsid w:val="3C9031B9"/>
    <w:rsid w:val="3C950D47"/>
    <w:rsid w:val="3C990195"/>
    <w:rsid w:val="3C9D4992"/>
    <w:rsid w:val="3C9D7B54"/>
    <w:rsid w:val="3C9E4F88"/>
    <w:rsid w:val="3C9F54DE"/>
    <w:rsid w:val="3CA37533"/>
    <w:rsid w:val="3CA408E8"/>
    <w:rsid w:val="3CA43E5C"/>
    <w:rsid w:val="3CA51EC7"/>
    <w:rsid w:val="3CA66C99"/>
    <w:rsid w:val="3CA8541A"/>
    <w:rsid w:val="3CAF509D"/>
    <w:rsid w:val="3CB21257"/>
    <w:rsid w:val="3CB331FB"/>
    <w:rsid w:val="3CB842CE"/>
    <w:rsid w:val="3CB8763C"/>
    <w:rsid w:val="3CC03B35"/>
    <w:rsid w:val="3CC15F51"/>
    <w:rsid w:val="3CC62587"/>
    <w:rsid w:val="3CC974A4"/>
    <w:rsid w:val="3CCC056A"/>
    <w:rsid w:val="3CCF1553"/>
    <w:rsid w:val="3CCF345F"/>
    <w:rsid w:val="3CD32609"/>
    <w:rsid w:val="3CD63197"/>
    <w:rsid w:val="3CD818F3"/>
    <w:rsid w:val="3CD94A35"/>
    <w:rsid w:val="3CDD6358"/>
    <w:rsid w:val="3CE07B72"/>
    <w:rsid w:val="3CE33B06"/>
    <w:rsid w:val="3CE60715"/>
    <w:rsid w:val="3CEB3763"/>
    <w:rsid w:val="3CEC308D"/>
    <w:rsid w:val="3CF1652D"/>
    <w:rsid w:val="3CF278A5"/>
    <w:rsid w:val="3CF67395"/>
    <w:rsid w:val="3CFC0724"/>
    <w:rsid w:val="3CFE417A"/>
    <w:rsid w:val="3D070254"/>
    <w:rsid w:val="3D071CC2"/>
    <w:rsid w:val="3D08605E"/>
    <w:rsid w:val="3D0B6BD5"/>
    <w:rsid w:val="3D0D7304"/>
    <w:rsid w:val="3D12155E"/>
    <w:rsid w:val="3D141F11"/>
    <w:rsid w:val="3D194A7A"/>
    <w:rsid w:val="3D1D2CAC"/>
    <w:rsid w:val="3D20780C"/>
    <w:rsid w:val="3D271500"/>
    <w:rsid w:val="3D2739F3"/>
    <w:rsid w:val="3D276405"/>
    <w:rsid w:val="3D2765AF"/>
    <w:rsid w:val="3D2B3FF2"/>
    <w:rsid w:val="3D2D5C16"/>
    <w:rsid w:val="3D3575DE"/>
    <w:rsid w:val="3D377695"/>
    <w:rsid w:val="3D396D53"/>
    <w:rsid w:val="3D3B307D"/>
    <w:rsid w:val="3D3B53FE"/>
    <w:rsid w:val="3D400FA1"/>
    <w:rsid w:val="3D472B15"/>
    <w:rsid w:val="3D484B01"/>
    <w:rsid w:val="3D4E7AA9"/>
    <w:rsid w:val="3D4F4CF8"/>
    <w:rsid w:val="3D504E6F"/>
    <w:rsid w:val="3D56117A"/>
    <w:rsid w:val="3D5B369C"/>
    <w:rsid w:val="3D5E41F2"/>
    <w:rsid w:val="3D5F67AB"/>
    <w:rsid w:val="3D640B76"/>
    <w:rsid w:val="3D6764E5"/>
    <w:rsid w:val="3D6F14A0"/>
    <w:rsid w:val="3D7529B0"/>
    <w:rsid w:val="3D7D2712"/>
    <w:rsid w:val="3D7D6EF6"/>
    <w:rsid w:val="3D873749"/>
    <w:rsid w:val="3D89645B"/>
    <w:rsid w:val="3D8A2373"/>
    <w:rsid w:val="3D8E3A72"/>
    <w:rsid w:val="3D91074E"/>
    <w:rsid w:val="3D934BE4"/>
    <w:rsid w:val="3D9372DA"/>
    <w:rsid w:val="3D94095C"/>
    <w:rsid w:val="3D950A68"/>
    <w:rsid w:val="3D954E00"/>
    <w:rsid w:val="3D9A555D"/>
    <w:rsid w:val="3D9B1CEB"/>
    <w:rsid w:val="3D9D01D9"/>
    <w:rsid w:val="3D9D6A1E"/>
    <w:rsid w:val="3D9E2F61"/>
    <w:rsid w:val="3DA10DDD"/>
    <w:rsid w:val="3DA60DBB"/>
    <w:rsid w:val="3DA6700D"/>
    <w:rsid w:val="3DAB63D2"/>
    <w:rsid w:val="3DAD3B36"/>
    <w:rsid w:val="3DB01C3A"/>
    <w:rsid w:val="3DB01D85"/>
    <w:rsid w:val="3DB35286"/>
    <w:rsid w:val="3DB72FC9"/>
    <w:rsid w:val="3DB86D41"/>
    <w:rsid w:val="3DC518BA"/>
    <w:rsid w:val="3DC54FBA"/>
    <w:rsid w:val="3DC577A4"/>
    <w:rsid w:val="3DC616D3"/>
    <w:rsid w:val="3DC6732B"/>
    <w:rsid w:val="3DC8357D"/>
    <w:rsid w:val="3DCD3E8E"/>
    <w:rsid w:val="3DD27E02"/>
    <w:rsid w:val="3DD31485"/>
    <w:rsid w:val="3DD35929"/>
    <w:rsid w:val="3DD516A1"/>
    <w:rsid w:val="3DD756B9"/>
    <w:rsid w:val="3DDC070C"/>
    <w:rsid w:val="3DDC7DE9"/>
    <w:rsid w:val="3DDD0555"/>
    <w:rsid w:val="3DE0289B"/>
    <w:rsid w:val="3DE23611"/>
    <w:rsid w:val="3DE261C9"/>
    <w:rsid w:val="3DE327AE"/>
    <w:rsid w:val="3DE365C3"/>
    <w:rsid w:val="3DE87181"/>
    <w:rsid w:val="3DED1800"/>
    <w:rsid w:val="3DED7156"/>
    <w:rsid w:val="3DEF1BEC"/>
    <w:rsid w:val="3DF24007"/>
    <w:rsid w:val="3DF633C5"/>
    <w:rsid w:val="3DF8484A"/>
    <w:rsid w:val="3E003377"/>
    <w:rsid w:val="3E012496"/>
    <w:rsid w:val="3E027FBC"/>
    <w:rsid w:val="3E03279C"/>
    <w:rsid w:val="3E071BD7"/>
    <w:rsid w:val="3E0C2BE9"/>
    <w:rsid w:val="3E0C3BB0"/>
    <w:rsid w:val="3E0E070F"/>
    <w:rsid w:val="3E0E4BB3"/>
    <w:rsid w:val="3E0F3C31"/>
    <w:rsid w:val="3E111FAD"/>
    <w:rsid w:val="3E116551"/>
    <w:rsid w:val="3E161FF6"/>
    <w:rsid w:val="3E18158D"/>
    <w:rsid w:val="3E1A149F"/>
    <w:rsid w:val="3E1F291C"/>
    <w:rsid w:val="3E296979"/>
    <w:rsid w:val="3E35268D"/>
    <w:rsid w:val="3E377D4A"/>
    <w:rsid w:val="3E3839DE"/>
    <w:rsid w:val="3E3E6B45"/>
    <w:rsid w:val="3E410AE4"/>
    <w:rsid w:val="3E42660A"/>
    <w:rsid w:val="3E4405D4"/>
    <w:rsid w:val="3E4B0E1A"/>
    <w:rsid w:val="3E4B1963"/>
    <w:rsid w:val="3E4E3201"/>
    <w:rsid w:val="3E55633E"/>
    <w:rsid w:val="3E590DA0"/>
    <w:rsid w:val="3E596F2B"/>
    <w:rsid w:val="3E5E03A1"/>
    <w:rsid w:val="3E653363"/>
    <w:rsid w:val="3E6C6F43"/>
    <w:rsid w:val="3E6D08C9"/>
    <w:rsid w:val="3E6E11AD"/>
    <w:rsid w:val="3E784FAE"/>
    <w:rsid w:val="3E846C23"/>
    <w:rsid w:val="3E8B7FB1"/>
    <w:rsid w:val="3E9828BB"/>
    <w:rsid w:val="3E990920"/>
    <w:rsid w:val="3EA029F9"/>
    <w:rsid w:val="3EA34660"/>
    <w:rsid w:val="3EAB7DC3"/>
    <w:rsid w:val="3EAE33FB"/>
    <w:rsid w:val="3EB50196"/>
    <w:rsid w:val="3EB91EC3"/>
    <w:rsid w:val="3EBA24FA"/>
    <w:rsid w:val="3EBB0897"/>
    <w:rsid w:val="3EC37B70"/>
    <w:rsid w:val="3EC47C62"/>
    <w:rsid w:val="3EC740F1"/>
    <w:rsid w:val="3EC96109"/>
    <w:rsid w:val="3ECB6600"/>
    <w:rsid w:val="3ED5322C"/>
    <w:rsid w:val="3ED934D7"/>
    <w:rsid w:val="3ED93781"/>
    <w:rsid w:val="3EDE6333"/>
    <w:rsid w:val="3EDE79C6"/>
    <w:rsid w:val="3EDF5A11"/>
    <w:rsid w:val="3EE53B65"/>
    <w:rsid w:val="3EEA2B79"/>
    <w:rsid w:val="3EEC6CA2"/>
    <w:rsid w:val="3EF44B19"/>
    <w:rsid w:val="3EF543D4"/>
    <w:rsid w:val="3EF74672"/>
    <w:rsid w:val="3EF773F5"/>
    <w:rsid w:val="3EF9316D"/>
    <w:rsid w:val="3F0064E6"/>
    <w:rsid w:val="3F022634"/>
    <w:rsid w:val="3F042728"/>
    <w:rsid w:val="3F047236"/>
    <w:rsid w:val="3F086288"/>
    <w:rsid w:val="3F0B4C4E"/>
    <w:rsid w:val="3F0C080F"/>
    <w:rsid w:val="3F116709"/>
    <w:rsid w:val="3F147FA7"/>
    <w:rsid w:val="3F194956"/>
    <w:rsid w:val="3F19514F"/>
    <w:rsid w:val="3F1E24ED"/>
    <w:rsid w:val="3F2521B4"/>
    <w:rsid w:val="3F29681A"/>
    <w:rsid w:val="3F2C130C"/>
    <w:rsid w:val="3F32042D"/>
    <w:rsid w:val="3F32553B"/>
    <w:rsid w:val="3F3356A6"/>
    <w:rsid w:val="3F3D7427"/>
    <w:rsid w:val="3F407128"/>
    <w:rsid w:val="3F473FC4"/>
    <w:rsid w:val="3F553510"/>
    <w:rsid w:val="3F574C3E"/>
    <w:rsid w:val="3F5C5D42"/>
    <w:rsid w:val="3F5D194E"/>
    <w:rsid w:val="3F636838"/>
    <w:rsid w:val="3F653057"/>
    <w:rsid w:val="3F656A54"/>
    <w:rsid w:val="3F6A7378"/>
    <w:rsid w:val="3F6B1077"/>
    <w:rsid w:val="3F6F1933"/>
    <w:rsid w:val="3F6F25EF"/>
    <w:rsid w:val="3F6F78D3"/>
    <w:rsid w:val="3F710F55"/>
    <w:rsid w:val="3F7C26D1"/>
    <w:rsid w:val="3F7D0CD2"/>
    <w:rsid w:val="3F8633D5"/>
    <w:rsid w:val="3F8751A4"/>
    <w:rsid w:val="3F890995"/>
    <w:rsid w:val="3F8A252B"/>
    <w:rsid w:val="3F9354F9"/>
    <w:rsid w:val="3F937368"/>
    <w:rsid w:val="3F942E96"/>
    <w:rsid w:val="3F9707AB"/>
    <w:rsid w:val="3F974586"/>
    <w:rsid w:val="3F9862DB"/>
    <w:rsid w:val="3FAF4EE1"/>
    <w:rsid w:val="3FB61916"/>
    <w:rsid w:val="3FBA5443"/>
    <w:rsid w:val="3FBC760E"/>
    <w:rsid w:val="3FBD34CD"/>
    <w:rsid w:val="3FCA3682"/>
    <w:rsid w:val="3FCC6AD3"/>
    <w:rsid w:val="3FCD36F4"/>
    <w:rsid w:val="3FCE6125"/>
    <w:rsid w:val="3FD70A36"/>
    <w:rsid w:val="3FD9040F"/>
    <w:rsid w:val="3FDC05C1"/>
    <w:rsid w:val="3FDE7D89"/>
    <w:rsid w:val="3FDF1AE9"/>
    <w:rsid w:val="3FF0539D"/>
    <w:rsid w:val="3FF102E8"/>
    <w:rsid w:val="3FF322B2"/>
    <w:rsid w:val="3FF34060"/>
    <w:rsid w:val="3FF57DD8"/>
    <w:rsid w:val="3FFA1BA1"/>
    <w:rsid w:val="3FFB13C9"/>
    <w:rsid w:val="3FFC1C67"/>
    <w:rsid w:val="3FFD290A"/>
    <w:rsid w:val="3FFD4EDF"/>
    <w:rsid w:val="3FFE6790"/>
    <w:rsid w:val="3FFF35E2"/>
    <w:rsid w:val="400224F5"/>
    <w:rsid w:val="40026051"/>
    <w:rsid w:val="4006103B"/>
    <w:rsid w:val="400878D8"/>
    <w:rsid w:val="40095632"/>
    <w:rsid w:val="400B13AA"/>
    <w:rsid w:val="400B75FC"/>
    <w:rsid w:val="400F00E4"/>
    <w:rsid w:val="40153057"/>
    <w:rsid w:val="40161AFD"/>
    <w:rsid w:val="40176267"/>
    <w:rsid w:val="40185875"/>
    <w:rsid w:val="401A15ED"/>
    <w:rsid w:val="401F4E55"/>
    <w:rsid w:val="40221014"/>
    <w:rsid w:val="4024421A"/>
    <w:rsid w:val="4025630F"/>
    <w:rsid w:val="40262795"/>
    <w:rsid w:val="40296E63"/>
    <w:rsid w:val="402B55A8"/>
    <w:rsid w:val="402C50C6"/>
    <w:rsid w:val="402C6174"/>
    <w:rsid w:val="40325E2A"/>
    <w:rsid w:val="403A3A3D"/>
    <w:rsid w:val="40416B7A"/>
    <w:rsid w:val="4042126E"/>
    <w:rsid w:val="4047222F"/>
    <w:rsid w:val="404843AC"/>
    <w:rsid w:val="405E170F"/>
    <w:rsid w:val="4061546E"/>
    <w:rsid w:val="40620ECF"/>
    <w:rsid w:val="40632344"/>
    <w:rsid w:val="40644767"/>
    <w:rsid w:val="40663425"/>
    <w:rsid w:val="406902C4"/>
    <w:rsid w:val="406E1939"/>
    <w:rsid w:val="40701253"/>
    <w:rsid w:val="407031A4"/>
    <w:rsid w:val="407927B7"/>
    <w:rsid w:val="407C03C3"/>
    <w:rsid w:val="407E7DCE"/>
    <w:rsid w:val="40806076"/>
    <w:rsid w:val="40817AD7"/>
    <w:rsid w:val="408B48CA"/>
    <w:rsid w:val="408C3D93"/>
    <w:rsid w:val="40970BB2"/>
    <w:rsid w:val="409A3EF6"/>
    <w:rsid w:val="409A44DC"/>
    <w:rsid w:val="409F1AF2"/>
    <w:rsid w:val="409F789D"/>
    <w:rsid w:val="40A215BE"/>
    <w:rsid w:val="40A315E2"/>
    <w:rsid w:val="40A73B9C"/>
    <w:rsid w:val="40AA1DF7"/>
    <w:rsid w:val="40AF10F4"/>
    <w:rsid w:val="40B11616"/>
    <w:rsid w:val="40B15A5E"/>
    <w:rsid w:val="40B30B18"/>
    <w:rsid w:val="40B37903"/>
    <w:rsid w:val="40B66EBB"/>
    <w:rsid w:val="40BE466E"/>
    <w:rsid w:val="40C02079"/>
    <w:rsid w:val="40C15F0C"/>
    <w:rsid w:val="40C17CBA"/>
    <w:rsid w:val="40C81049"/>
    <w:rsid w:val="40C854ED"/>
    <w:rsid w:val="40D43E92"/>
    <w:rsid w:val="40D45C40"/>
    <w:rsid w:val="40D741AF"/>
    <w:rsid w:val="40D84324"/>
    <w:rsid w:val="40D95004"/>
    <w:rsid w:val="40DB6CA7"/>
    <w:rsid w:val="40DC7B1B"/>
    <w:rsid w:val="40DE086C"/>
    <w:rsid w:val="40E35E83"/>
    <w:rsid w:val="40E515BF"/>
    <w:rsid w:val="40E55E64"/>
    <w:rsid w:val="40E5653B"/>
    <w:rsid w:val="40E85247"/>
    <w:rsid w:val="40EA7211"/>
    <w:rsid w:val="40F15CFC"/>
    <w:rsid w:val="40F462E2"/>
    <w:rsid w:val="40F55BB6"/>
    <w:rsid w:val="40F70F63"/>
    <w:rsid w:val="40F8373D"/>
    <w:rsid w:val="40F97454"/>
    <w:rsid w:val="40FC1F60"/>
    <w:rsid w:val="40FD7B5D"/>
    <w:rsid w:val="40FE2CBD"/>
    <w:rsid w:val="40FF3318"/>
    <w:rsid w:val="410018BF"/>
    <w:rsid w:val="41032748"/>
    <w:rsid w:val="410430C7"/>
    <w:rsid w:val="410C61D1"/>
    <w:rsid w:val="4114428E"/>
    <w:rsid w:val="4114732B"/>
    <w:rsid w:val="41150F53"/>
    <w:rsid w:val="41156B25"/>
    <w:rsid w:val="41172D7B"/>
    <w:rsid w:val="411918A4"/>
    <w:rsid w:val="411A6EB4"/>
    <w:rsid w:val="41207F86"/>
    <w:rsid w:val="41230975"/>
    <w:rsid w:val="41260D07"/>
    <w:rsid w:val="41263DF8"/>
    <w:rsid w:val="41273672"/>
    <w:rsid w:val="412B6538"/>
    <w:rsid w:val="412C5A7C"/>
    <w:rsid w:val="412D2400"/>
    <w:rsid w:val="412D70FE"/>
    <w:rsid w:val="412E0E49"/>
    <w:rsid w:val="41344CBB"/>
    <w:rsid w:val="41354204"/>
    <w:rsid w:val="41394537"/>
    <w:rsid w:val="41395AA3"/>
    <w:rsid w:val="413E57AF"/>
    <w:rsid w:val="414032D5"/>
    <w:rsid w:val="41412BA9"/>
    <w:rsid w:val="414242C9"/>
    <w:rsid w:val="41446D09"/>
    <w:rsid w:val="41452699"/>
    <w:rsid w:val="414A7940"/>
    <w:rsid w:val="414C0A4B"/>
    <w:rsid w:val="414F3518"/>
    <w:rsid w:val="41555735"/>
    <w:rsid w:val="4159531D"/>
    <w:rsid w:val="415976CD"/>
    <w:rsid w:val="41636E6B"/>
    <w:rsid w:val="416649DB"/>
    <w:rsid w:val="4167271B"/>
    <w:rsid w:val="41683863"/>
    <w:rsid w:val="416A0352"/>
    <w:rsid w:val="416A0BF1"/>
    <w:rsid w:val="41752621"/>
    <w:rsid w:val="4175445D"/>
    <w:rsid w:val="41792865"/>
    <w:rsid w:val="41795B41"/>
    <w:rsid w:val="417C113B"/>
    <w:rsid w:val="417C22E7"/>
    <w:rsid w:val="417D3C9E"/>
    <w:rsid w:val="41866F49"/>
    <w:rsid w:val="41870BCC"/>
    <w:rsid w:val="418B7125"/>
    <w:rsid w:val="418C02C8"/>
    <w:rsid w:val="41980896"/>
    <w:rsid w:val="419929E5"/>
    <w:rsid w:val="419E3610"/>
    <w:rsid w:val="41A01FC6"/>
    <w:rsid w:val="41A03BCF"/>
    <w:rsid w:val="41A25D3E"/>
    <w:rsid w:val="41A6671D"/>
    <w:rsid w:val="41A75FA5"/>
    <w:rsid w:val="41A9660A"/>
    <w:rsid w:val="41AD3AE8"/>
    <w:rsid w:val="41B71038"/>
    <w:rsid w:val="41B8730F"/>
    <w:rsid w:val="41B94E35"/>
    <w:rsid w:val="41BE41FA"/>
    <w:rsid w:val="41C107EE"/>
    <w:rsid w:val="41C37A62"/>
    <w:rsid w:val="41C45CB4"/>
    <w:rsid w:val="41CA7043"/>
    <w:rsid w:val="41CC6D26"/>
    <w:rsid w:val="41CD77F3"/>
    <w:rsid w:val="41CE08E1"/>
    <w:rsid w:val="41D055BB"/>
    <w:rsid w:val="41D17FB0"/>
    <w:rsid w:val="41D34149"/>
    <w:rsid w:val="41D6360E"/>
    <w:rsid w:val="41D72DD0"/>
    <w:rsid w:val="41D94983"/>
    <w:rsid w:val="41DB6467"/>
    <w:rsid w:val="41E023C2"/>
    <w:rsid w:val="41E16F5A"/>
    <w:rsid w:val="41E275C7"/>
    <w:rsid w:val="41E36906"/>
    <w:rsid w:val="41E41EB2"/>
    <w:rsid w:val="41E707A1"/>
    <w:rsid w:val="41E9571B"/>
    <w:rsid w:val="41EC14B2"/>
    <w:rsid w:val="41ED17C2"/>
    <w:rsid w:val="41FB71FC"/>
    <w:rsid w:val="420222BC"/>
    <w:rsid w:val="42091919"/>
    <w:rsid w:val="42097B6B"/>
    <w:rsid w:val="420D7370"/>
    <w:rsid w:val="42116507"/>
    <w:rsid w:val="42116813"/>
    <w:rsid w:val="4214646D"/>
    <w:rsid w:val="421502BE"/>
    <w:rsid w:val="42154762"/>
    <w:rsid w:val="42181B5C"/>
    <w:rsid w:val="421A1D78"/>
    <w:rsid w:val="421A3B26"/>
    <w:rsid w:val="421C1CB8"/>
    <w:rsid w:val="421F7117"/>
    <w:rsid w:val="42216648"/>
    <w:rsid w:val="422746A1"/>
    <w:rsid w:val="422A58D3"/>
    <w:rsid w:val="42321D91"/>
    <w:rsid w:val="423555A6"/>
    <w:rsid w:val="42383FAC"/>
    <w:rsid w:val="423948E8"/>
    <w:rsid w:val="42462B6D"/>
    <w:rsid w:val="424B321B"/>
    <w:rsid w:val="424C7918"/>
    <w:rsid w:val="4252486B"/>
    <w:rsid w:val="4255773E"/>
    <w:rsid w:val="4258464E"/>
    <w:rsid w:val="425863FC"/>
    <w:rsid w:val="42596189"/>
    <w:rsid w:val="425C1D44"/>
    <w:rsid w:val="425F778B"/>
    <w:rsid w:val="42607A93"/>
    <w:rsid w:val="42625C0E"/>
    <w:rsid w:val="42660B19"/>
    <w:rsid w:val="426E5C20"/>
    <w:rsid w:val="4270675B"/>
    <w:rsid w:val="427162B2"/>
    <w:rsid w:val="427455DB"/>
    <w:rsid w:val="42747FD7"/>
    <w:rsid w:val="42786A9F"/>
    <w:rsid w:val="427E0AA8"/>
    <w:rsid w:val="42815953"/>
    <w:rsid w:val="428216CB"/>
    <w:rsid w:val="42845443"/>
    <w:rsid w:val="428611BC"/>
    <w:rsid w:val="4286740D"/>
    <w:rsid w:val="42892A5A"/>
    <w:rsid w:val="428B2688"/>
    <w:rsid w:val="428E4EAD"/>
    <w:rsid w:val="429733C9"/>
    <w:rsid w:val="42986794"/>
    <w:rsid w:val="429A3840"/>
    <w:rsid w:val="42A11B51"/>
    <w:rsid w:val="42A37862"/>
    <w:rsid w:val="42A83FD7"/>
    <w:rsid w:val="42A927C0"/>
    <w:rsid w:val="42A972F5"/>
    <w:rsid w:val="42B4024C"/>
    <w:rsid w:val="42B45D29"/>
    <w:rsid w:val="42B75819"/>
    <w:rsid w:val="42B85710"/>
    <w:rsid w:val="42BD0F96"/>
    <w:rsid w:val="42BE193F"/>
    <w:rsid w:val="42BE6BA7"/>
    <w:rsid w:val="42C43863"/>
    <w:rsid w:val="42C65A5C"/>
    <w:rsid w:val="42C712E3"/>
    <w:rsid w:val="42C92E2D"/>
    <w:rsid w:val="42CB3072"/>
    <w:rsid w:val="42D113A5"/>
    <w:rsid w:val="42D27D5B"/>
    <w:rsid w:val="42D36674"/>
    <w:rsid w:val="42D53EF1"/>
    <w:rsid w:val="42D54104"/>
    <w:rsid w:val="42D55629"/>
    <w:rsid w:val="42DA1B61"/>
    <w:rsid w:val="42DA361B"/>
    <w:rsid w:val="42E7279E"/>
    <w:rsid w:val="42EA3629"/>
    <w:rsid w:val="42EB3209"/>
    <w:rsid w:val="42EC6BF2"/>
    <w:rsid w:val="42EE7F65"/>
    <w:rsid w:val="42EF3832"/>
    <w:rsid w:val="42EF4FB3"/>
    <w:rsid w:val="42F46DE2"/>
    <w:rsid w:val="42F500EF"/>
    <w:rsid w:val="42F51E9D"/>
    <w:rsid w:val="42F6139F"/>
    <w:rsid w:val="42FB2DBE"/>
    <w:rsid w:val="42FE0D52"/>
    <w:rsid w:val="43013EC0"/>
    <w:rsid w:val="43014CE6"/>
    <w:rsid w:val="4303280C"/>
    <w:rsid w:val="43086074"/>
    <w:rsid w:val="430D368B"/>
    <w:rsid w:val="430F11B1"/>
    <w:rsid w:val="43100A85"/>
    <w:rsid w:val="431060B3"/>
    <w:rsid w:val="43140869"/>
    <w:rsid w:val="431D2EC2"/>
    <w:rsid w:val="432602A9"/>
    <w:rsid w:val="43282273"/>
    <w:rsid w:val="43305BFF"/>
    <w:rsid w:val="43321C60"/>
    <w:rsid w:val="433724B6"/>
    <w:rsid w:val="433858B4"/>
    <w:rsid w:val="433A3D54"/>
    <w:rsid w:val="43411B5A"/>
    <w:rsid w:val="43422D96"/>
    <w:rsid w:val="434418BD"/>
    <w:rsid w:val="4346094B"/>
    <w:rsid w:val="434D1CD9"/>
    <w:rsid w:val="434D7F2B"/>
    <w:rsid w:val="434F5A51"/>
    <w:rsid w:val="43544FFA"/>
    <w:rsid w:val="4355237D"/>
    <w:rsid w:val="43592F22"/>
    <w:rsid w:val="435A38E1"/>
    <w:rsid w:val="435A4BCB"/>
    <w:rsid w:val="435B22FC"/>
    <w:rsid w:val="435D12F4"/>
    <w:rsid w:val="435E0E0D"/>
    <w:rsid w:val="435F79D0"/>
    <w:rsid w:val="43614AB0"/>
    <w:rsid w:val="43615785"/>
    <w:rsid w:val="43626AE0"/>
    <w:rsid w:val="4368266F"/>
    <w:rsid w:val="4373683C"/>
    <w:rsid w:val="43792ACE"/>
    <w:rsid w:val="437D25BE"/>
    <w:rsid w:val="437E1E93"/>
    <w:rsid w:val="43805C0B"/>
    <w:rsid w:val="438114A1"/>
    <w:rsid w:val="43853221"/>
    <w:rsid w:val="438A0657"/>
    <w:rsid w:val="438D454D"/>
    <w:rsid w:val="439031E4"/>
    <w:rsid w:val="439A786D"/>
    <w:rsid w:val="439B4160"/>
    <w:rsid w:val="439C2DA6"/>
    <w:rsid w:val="439D23E5"/>
    <w:rsid w:val="43A46CFE"/>
    <w:rsid w:val="43A77D96"/>
    <w:rsid w:val="43A81CE3"/>
    <w:rsid w:val="43A90F53"/>
    <w:rsid w:val="43AA6F27"/>
    <w:rsid w:val="43AA7FBB"/>
    <w:rsid w:val="43AB7C4E"/>
    <w:rsid w:val="43AE3982"/>
    <w:rsid w:val="43B05954"/>
    <w:rsid w:val="43B104BA"/>
    <w:rsid w:val="43B41D58"/>
    <w:rsid w:val="43B7118F"/>
    <w:rsid w:val="43B71CF4"/>
    <w:rsid w:val="43B9111D"/>
    <w:rsid w:val="43BB3DEB"/>
    <w:rsid w:val="43C077A8"/>
    <w:rsid w:val="43C0796C"/>
    <w:rsid w:val="43C15E11"/>
    <w:rsid w:val="43C20D21"/>
    <w:rsid w:val="43C861F0"/>
    <w:rsid w:val="43CC2868"/>
    <w:rsid w:val="43CD117F"/>
    <w:rsid w:val="43D146B8"/>
    <w:rsid w:val="43D2242F"/>
    <w:rsid w:val="43D92990"/>
    <w:rsid w:val="43D96989"/>
    <w:rsid w:val="43DC23C7"/>
    <w:rsid w:val="43DC723C"/>
    <w:rsid w:val="43DE580C"/>
    <w:rsid w:val="43DE6DD5"/>
    <w:rsid w:val="43E066A9"/>
    <w:rsid w:val="43E62E42"/>
    <w:rsid w:val="43E66B47"/>
    <w:rsid w:val="43E730AE"/>
    <w:rsid w:val="43E77A38"/>
    <w:rsid w:val="43E837B0"/>
    <w:rsid w:val="43F14D5A"/>
    <w:rsid w:val="43F30F7F"/>
    <w:rsid w:val="43FD36FF"/>
    <w:rsid w:val="43FD54AD"/>
    <w:rsid w:val="440028DC"/>
    <w:rsid w:val="440741F6"/>
    <w:rsid w:val="44095A75"/>
    <w:rsid w:val="440E12B2"/>
    <w:rsid w:val="44102EC5"/>
    <w:rsid w:val="44114AB5"/>
    <w:rsid w:val="44121843"/>
    <w:rsid w:val="44174EC2"/>
    <w:rsid w:val="44184593"/>
    <w:rsid w:val="441D5B50"/>
    <w:rsid w:val="442375D4"/>
    <w:rsid w:val="44284660"/>
    <w:rsid w:val="442F691C"/>
    <w:rsid w:val="4432320D"/>
    <w:rsid w:val="443578FD"/>
    <w:rsid w:val="443662EA"/>
    <w:rsid w:val="443D361B"/>
    <w:rsid w:val="443D3AFC"/>
    <w:rsid w:val="44406829"/>
    <w:rsid w:val="44466E54"/>
    <w:rsid w:val="445205D0"/>
    <w:rsid w:val="445269C3"/>
    <w:rsid w:val="445A645C"/>
    <w:rsid w:val="445D76D7"/>
    <w:rsid w:val="445E13DF"/>
    <w:rsid w:val="445F1CC4"/>
    <w:rsid w:val="44652977"/>
    <w:rsid w:val="446631CB"/>
    <w:rsid w:val="446B0669"/>
    <w:rsid w:val="44735797"/>
    <w:rsid w:val="44786980"/>
    <w:rsid w:val="4484172B"/>
    <w:rsid w:val="448923E4"/>
    <w:rsid w:val="448A5FC9"/>
    <w:rsid w:val="448B3D49"/>
    <w:rsid w:val="448D0B87"/>
    <w:rsid w:val="448F2126"/>
    <w:rsid w:val="44916AFB"/>
    <w:rsid w:val="44943C38"/>
    <w:rsid w:val="44944070"/>
    <w:rsid w:val="44951994"/>
    <w:rsid w:val="449B2B2D"/>
    <w:rsid w:val="449B36EB"/>
    <w:rsid w:val="449D459A"/>
    <w:rsid w:val="449F0313"/>
    <w:rsid w:val="44A20883"/>
    <w:rsid w:val="44A43B7B"/>
    <w:rsid w:val="44A8215F"/>
    <w:rsid w:val="44A97009"/>
    <w:rsid w:val="44A973E3"/>
    <w:rsid w:val="44AD424D"/>
    <w:rsid w:val="44B55581"/>
    <w:rsid w:val="44B64A81"/>
    <w:rsid w:val="44C3438F"/>
    <w:rsid w:val="44C45FCB"/>
    <w:rsid w:val="44C935E1"/>
    <w:rsid w:val="44CA3141"/>
    <w:rsid w:val="44CD4E80"/>
    <w:rsid w:val="44CF09EB"/>
    <w:rsid w:val="44D22496"/>
    <w:rsid w:val="44D41F9A"/>
    <w:rsid w:val="44D47618"/>
    <w:rsid w:val="44D65FFB"/>
    <w:rsid w:val="44DA5B8C"/>
    <w:rsid w:val="44DF1312"/>
    <w:rsid w:val="44E16003"/>
    <w:rsid w:val="44E87F0C"/>
    <w:rsid w:val="44EB0BFE"/>
    <w:rsid w:val="44EC1534"/>
    <w:rsid w:val="44EF1C2A"/>
    <w:rsid w:val="44F10F14"/>
    <w:rsid w:val="44F65F1F"/>
    <w:rsid w:val="44F92825"/>
    <w:rsid w:val="44F93EC7"/>
    <w:rsid w:val="44F97C54"/>
    <w:rsid w:val="44FC39B7"/>
    <w:rsid w:val="44FC45CE"/>
    <w:rsid w:val="44FC5BB9"/>
    <w:rsid w:val="45091C30"/>
    <w:rsid w:val="450A2511"/>
    <w:rsid w:val="45133F5E"/>
    <w:rsid w:val="45144989"/>
    <w:rsid w:val="451731DD"/>
    <w:rsid w:val="45185D49"/>
    <w:rsid w:val="451A6000"/>
    <w:rsid w:val="451C73C1"/>
    <w:rsid w:val="451D4E9B"/>
    <w:rsid w:val="451E392D"/>
    <w:rsid w:val="452147C4"/>
    <w:rsid w:val="452227F6"/>
    <w:rsid w:val="45240818"/>
    <w:rsid w:val="45277047"/>
    <w:rsid w:val="4529367E"/>
    <w:rsid w:val="452B7DF8"/>
    <w:rsid w:val="452D3A41"/>
    <w:rsid w:val="452D3C06"/>
    <w:rsid w:val="45321E09"/>
    <w:rsid w:val="45352A25"/>
    <w:rsid w:val="45391215"/>
    <w:rsid w:val="45393947"/>
    <w:rsid w:val="453B4431"/>
    <w:rsid w:val="453E5A56"/>
    <w:rsid w:val="453F5652"/>
    <w:rsid w:val="45417301"/>
    <w:rsid w:val="454215C9"/>
    <w:rsid w:val="4542527A"/>
    <w:rsid w:val="4545107A"/>
    <w:rsid w:val="4545710C"/>
    <w:rsid w:val="4545799C"/>
    <w:rsid w:val="454669E0"/>
    <w:rsid w:val="45495699"/>
    <w:rsid w:val="454B411B"/>
    <w:rsid w:val="454E4597"/>
    <w:rsid w:val="45505AB1"/>
    <w:rsid w:val="455410FD"/>
    <w:rsid w:val="45542C73"/>
    <w:rsid w:val="4557299B"/>
    <w:rsid w:val="45587E10"/>
    <w:rsid w:val="45594965"/>
    <w:rsid w:val="455A114F"/>
    <w:rsid w:val="456357E4"/>
    <w:rsid w:val="456D6663"/>
    <w:rsid w:val="456D73CD"/>
    <w:rsid w:val="4573502A"/>
    <w:rsid w:val="457479F1"/>
    <w:rsid w:val="4577303D"/>
    <w:rsid w:val="45802584"/>
    <w:rsid w:val="4582210E"/>
    <w:rsid w:val="458539AC"/>
    <w:rsid w:val="4585766E"/>
    <w:rsid w:val="458662BF"/>
    <w:rsid w:val="458A01AB"/>
    <w:rsid w:val="458C3329"/>
    <w:rsid w:val="458C4D3B"/>
    <w:rsid w:val="458F0387"/>
    <w:rsid w:val="458F65D9"/>
    <w:rsid w:val="45965059"/>
    <w:rsid w:val="459C4852"/>
    <w:rsid w:val="45A656D1"/>
    <w:rsid w:val="45AA0617"/>
    <w:rsid w:val="45AC635D"/>
    <w:rsid w:val="45AD7EC7"/>
    <w:rsid w:val="45AE3639"/>
    <w:rsid w:val="45AF65DF"/>
    <w:rsid w:val="45B80903"/>
    <w:rsid w:val="45BB145A"/>
    <w:rsid w:val="45BE0C6C"/>
    <w:rsid w:val="45C142B9"/>
    <w:rsid w:val="45C22C40"/>
    <w:rsid w:val="45C73FC5"/>
    <w:rsid w:val="45C762CF"/>
    <w:rsid w:val="45C83899"/>
    <w:rsid w:val="45CA567E"/>
    <w:rsid w:val="45CF605B"/>
    <w:rsid w:val="45CF69D6"/>
    <w:rsid w:val="45D64208"/>
    <w:rsid w:val="45D707C8"/>
    <w:rsid w:val="45D93CF8"/>
    <w:rsid w:val="45D97854"/>
    <w:rsid w:val="45DC10F2"/>
    <w:rsid w:val="45DE130F"/>
    <w:rsid w:val="45E529EA"/>
    <w:rsid w:val="45E5444B"/>
    <w:rsid w:val="45E55C0D"/>
    <w:rsid w:val="45E67EBA"/>
    <w:rsid w:val="45E738B2"/>
    <w:rsid w:val="45EC7588"/>
    <w:rsid w:val="45ED50AE"/>
    <w:rsid w:val="45EF7CD5"/>
    <w:rsid w:val="46010907"/>
    <w:rsid w:val="460161AA"/>
    <w:rsid w:val="46053E00"/>
    <w:rsid w:val="46071727"/>
    <w:rsid w:val="460C7C2A"/>
    <w:rsid w:val="460F14C8"/>
    <w:rsid w:val="460F2655"/>
    <w:rsid w:val="461429EF"/>
    <w:rsid w:val="46144D30"/>
    <w:rsid w:val="461475D5"/>
    <w:rsid w:val="46160AA8"/>
    <w:rsid w:val="46162856"/>
    <w:rsid w:val="4623010C"/>
    <w:rsid w:val="46236D21"/>
    <w:rsid w:val="462A00B0"/>
    <w:rsid w:val="462C207A"/>
    <w:rsid w:val="462D2E74"/>
    <w:rsid w:val="462E3A59"/>
    <w:rsid w:val="46340F2E"/>
    <w:rsid w:val="46362C36"/>
    <w:rsid w:val="463827CD"/>
    <w:rsid w:val="463A37C2"/>
    <w:rsid w:val="463B22BD"/>
    <w:rsid w:val="463B5079"/>
    <w:rsid w:val="463D76E9"/>
    <w:rsid w:val="463E4B82"/>
    <w:rsid w:val="463F1C25"/>
    <w:rsid w:val="46406C9A"/>
    <w:rsid w:val="4643076C"/>
    <w:rsid w:val="46445615"/>
    <w:rsid w:val="4646138E"/>
    <w:rsid w:val="464759F3"/>
    <w:rsid w:val="46475AB1"/>
    <w:rsid w:val="464A1051"/>
    <w:rsid w:val="464D0AD1"/>
    <w:rsid w:val="464E3D9E"/>
    <w:rsid w:val="465515D1"/>
    <w:rsid w:val="46584316"/>
    <w:rsid w:val="465A0995"/>
    <w:rsid w:val="46623CEE"/>
    <w:rsid w:val="4662784A"/>
    <w:rsid w:val="46641814"/>
    <w:rsid w:val="466435C2"/>
    <w:rsid w:val="46652AA0"/>
    <w:rsid w:val="466730B2"/>
    <w:rsid w:val="466900DF"/>
    <w:rsid w:val="466F2920"/>
    <w:rsid w:val="4670640B"/>
    <w:rsid w:val="46712162"/>
    <w:rsid w:val="46743561"/>
    <w:rsid w:val="46753A21"/>
    <w:rsid w:val="46761EE9"/>
    <w:rsid w:val="46763BBF"/>
    <w:rsid w:val="46784BF4"/>
    <w:rsid w:val="46795908"/>
    <w:rsid w:val="467A360F"/>
    <w:rsid w:val="467C2DEF"/>
    <w:rsid w:val="467F210F"/>
    <w:rsid w:val="467F21AA"/>
    <w:rsid w:val="467F7FB0"/>
    <w:rsid w:val="46814037"/>
    <w:rsid w:val="46826E58"/>
    <w:rsid w:val="46853538"/>
    <w:rsid w:val="46862797"/>
    <w:rsid w:val="468943B1"/>
    <w:rsid w:val="468A3005"/>
    <w:rsid w:val="468C0D6B"/>
    <w:rsid w:val="469760C0"/>
    <w:rsid w:val="46991FE4"/>
    <w:rsid w:val="469C5295"/>
    <w:rsid w:val="469C62EF"/>
    <w:rsid w:val="469E2B23"/>
    <w:rsid w:val="469F6FE3"/>
    <w:rsid w:val="46A2731E"/>
    <w:rsid w:val="46A61E2C"/>
    <w:rsid w:val="46A77952"/>
    <w:rsid w:val="46A95479"/>
    <w:rsid w:val="46AB11F1"/>
    <w:rsid w:val="46AD0904"/>
    <w:rsid w:val="46B01C72"/>
    <w:rsid w:val="46B1642D"/>
    <w:rsid w:val="46B502C1"/>
    <w:rsid w:val="46B726C4"/>
    <w:rsid w:val="46BD7176"/>
    <w:rsid w:val="46C03EF1"/>
    <w:rsid w:val="46C2478C"/>
    <w:rsid w:val="46C71DA3"/>
    <w:rsid w:val="46CA4A71"/>
    <w:rsid w:val="46CE6FD6"/>
    <w:rsid w:val="46D00C57"/>
    <w:rsid w:val="46D673C9"/>
    <w:rsid w:val="46D75610"/>
    <w:rsid w:val="46D86BA4"/>
    <w:rsid w:val="46DA091D"/>
    <w:rsid w:val="46DA5540"/>
    <w:rsid w:val="46DB13AA"/>
    <w:rsid w:val="46DC4328"/>
    <w:rsid w:val="46DC79FB"/>
    <w:rsid w:val="46DF0B9D"/>
    <w:rsid w:val="46DF0E9A"/>
    <w:rsid w:val="46E12E64"/>
    <w:rsid w:val="46E2577B"/>
    <w:rsid w:val="46E31832"/>
    <w:rsid w:val="46E4062B"/>
    <w:rsid w:val="46E41565"/>
    <w:rsid w:val="46E464B1"/>
    <w:rsid w:val="46E858BC"/>
    <w:rsid w:val="46FD7572"/>
    <w:rsid w:val="47070DC3"/>
    <w:rsid w:val="470B1C8F"/>
    <w:rsid w:val="470D35C2"/>
    <w:rsid w:val="470F5ACB"/>
    <w:rsid w:val="47101367"/>
    <w:rsid w:val="47122C92"/>
    <w:rsid w:val="47176886"/>
    <w:rsid w:val="47180336"/>
    <w:rsid w:val="471D03AD"/>
    <w:rsid w:val="47226FD9"/>
    <w:rsid w:val="47231EE6"/>
    <w:rsid w:val="472560EC"/>
    <w:rsid w:val="47273586"/>
    <w:rsid w:val="472B0583"/>
    <w:rsid w:val="472C1F03"/>
    <w:rsid w:val="472C2F16"/>
    <w:rsid w:val="472D789A"/>
    <w:rsid w:val="472E4721"/>
    <w:rsid w:val="473276AB"/>
    <w:rsid w:val="473415AA"/>
    <w:rsid w:val="473518A9"/>
    <w:rsid w:val="47356D0C"/>
    <w:rsid w:val="47375E7F"/>
    <w:rsid w:val="47376913"/>
    <w:rsid w:val="473B751F"/>
    <w:rsid w:val="473E02B7"/>
    <w:rsid w:val="4740313F"/>
    <w:rsid w:val="47415D10"/>
    <w:rsid w:val="47422F7B"/>
    <w:rsid w:val="4743071A"/>
    <w:rsid w:val="4743719D"/>
    <w:rsid w:val="47451645"/>
    <w:rsid w:val="47462CC7"/>
    <w:rsid w:val="47490A0A"/>
    <w:rsid w:val="474927B8"/>
    <w:rsid w:val="474D674C"/>
    <w:rsid w:val="47503B46"/>
    <w:rsid w:val="47527C4F"/>
    <w:rsid w:val="47555600"/>
    <w:rsid w:val="475E0544"/>
    <w:rsid w:val="47613FA5"/>
    <w:rsid w:val="476615BC"/>
    <w:rsid w:val="47694C08"/>
    <w:rsid w:val="476B0980"/>
    <w:rsid w:val="476D2268"/>
    <w:rsid w:val="476F1EC9"/>
    <w:rsid w:val="47721D0E"/>
    <w:rsid w:val="477261B2"/>
    <w:rsid w:val="47767F64"/>
    <w:rsid w:val="477A4760"/>
    <w:rsid w:val="477A6E15"/>
    <w:rsid w:val="477D30A1"/>
    <w:rsid w:val="477E4B57"/>
    <w:rsid w:val="477F396E"/>
    <w:rsid w:val="478005D2"/>
    <w:rsid w:val="478650A9"/>
    <w:rsid w:val="47867568"/>
    <w:rsid w:val="478832E0"/>
    <w:rsid w:val="478D2925"/>
    <w:rsid w:val="478D5838"/>
    <w:rsid w:val="478F28C0"/>
    <w:rsid w:val="478F4662"/>
    <w:rsid w:val="4797339D"/>
    <w:rsid w:val="47982F29"/>
    <w:rsid w:val="479C322F"/>
    <w:rsid w:val="479E48B1"/>
    <w:rsid w:val="479F0B82"/>
    <w:rsid w:val="47A11F80"/>
    <w:rsid w:val="47A44213"/>
    <w:rsid w:val="47A90094"/>
    <w:rsid w:val="47AC285D"/>
    <w:rsid w:val="47AF2F63"/>
    <w:rsid w:val="47B82151"/>
    <w:rsid w:val="47B916EB"/>
    <w:rsid w:val="47BF4E29"/>
    <w:rsid w:val="47C14A44"/>
    <w:rsid w:val="47C479A8"/>
    <w:rsid w:val="47CB4E40"/>
    <w:rsid w:val="47CD0B1A"/>
    <w:rsid w:val="47CD5197"/>
    <w:rsid w:val="47CE206A"/>
    <w:rsid w:val="47D22BC7"/>
    <w:rsid w:val="47D429C9"/>
    <w:rsid w:val="47D604EF"/>
    <w:rsid w:val="47D9113A"/>
    <w:rsid w:val="47DC6420"/>
    <w:rsid w:val="47DF5CE2"/>
    <w:rsid w:val="47E05139"/>
    <w:rsid w:val="47E43595"/>
    <w:rsid w:val="47E44114"/>
    <w:rsid w:val="47E726FC"/>
    <w:rsid w:val="47EA41AC"/>
    <w:rsid w:val="47ED5839"/>
    <w:rsid w:val="47EF3C34"/>
    <w:rsid w:val="47F00E85"/>
    <w:rsid w:val="47F15951"/>
    <w:rsid w:val="47FA2135"/>
    <w:rsid w:val="47FD23D8"/>
    <w:rsid w:val="48057437"/>
    <w:rsid w:val="4806617D"/>
    <w:rsid w:val="480776AB"/>
    <w:rsid w:val="48096FCC"/>
    <w:rsid w:val="480C0259"/>
    <w:rsid w:val="480D386D"/>
    <w:rsid w:val="4811293A"/>
    <w:rsid w:val="4812704D"/>
    <w:rsid w:val="48135F10"/>
    <w:rsid w:val="481711A1"/>
    <w:rsid w:val="481B792C"/>
    <w:rsid w:val="481E5F6E"/>
    <w:rsid w:val="4820176A"/>
    <w:rsid w:val="48206DA7"/>
    <w:rsid w:val="48233A4F"/>
    <w:rsid w:val="48250F30"/>
    <w:rsid w:val="48275119"/>
    <w:rsid w:val="482A1A6E"/>
    <w:rsid w:val="482A4397"/>
    <w:rsid w:val="482C0DD1"/>
    <w:rsid w:val="482E20D9"/>
    <w:rsid w:val="48314E57"/>
    <w:rsid w:val="483376F0"/>
    <w:rsid w:val="483572AD"/>
    <w:rsid w:val="48376AB4"/>
    <w:rsid w:val="48391CF7"/>
    <w:rsid w:val="483A1140"/>
    <w:rsid w:val="483F4738"/>
    <w:rsid w:val="484B0E72"/>
    <w:rsid w:val="484C22D9"/>
    <w:rsid w:val="484C6A03"/>
    <w:rsid w:val="484D62D8"/>
    <w:rsid w:val="48503CF4"/>
    <w:rsid w:val="48517B76"/>
    <w:rsid w:val="4856518C"/>
    <w:rsid w:val="4860201E"/>
    <w:rsid w:val="486406F5"/>
    <w:rsid w:val="48651873"/>
    <w:rsid w:val="48680A80"/>
    <w:rsid w:val="486D0453"/>
    <w:rsid w:val="487511E9"/>
    <w:rsid w:val="48754E84"/>
    <w:rsid w:val="48755032"/>
    <w:rsid w:val="48791C4C"/>
    <w:rsid w:val="487B28FE"/>
    <w:rsid w:val="487E7C5C"/>
    <w:rsid w:val="488021D7"/>
    <w:rsid w:val="488B752C"/>
    <w:rsid w:val="488E2808"/>
    <w:rsid w:val="488E2B78"/>
    <w:rsid w:val="488E49F2"/>
    <w:rsid w:val="488E53CC"/>
    <w:rsid w:val="48905C1E"/>
    <w:rsid w:val="4892213B"/>
    <w:rsid w:val="48942E23"/>
    <w:rsid w:val="48945CB4"/>
    <w:rsid w:val="48953BB8"/>
    <w:rsid w:val="48953F76"/>
    <w:rsid w:val="48961A2D"/>
    <w:rsid w:val="489D3BB8"/>
    <w:rsid w:val="48A61DB2"/>
    <w:rsid w:val="48A87697"/>
    <w:rsid w:val="48A979B2"/>
    <w:rsid w:val="48A97C75"/>
    <w:rsid w:val="48AC455C"/>
    <w:rsid w:val="48AD2A69"/>
    <w:rsid w:val="48AE6D76"/>
    <w:rsid w:val="48AF2AEE"/>
    <w:rsid w:val="48B23078"/>
    <w:rsid w:val="48B2503E"/>
    <w:rsid w:val="48B6199C"/>
    <w:rsid w:val="48B85E47"/>
    <w:rsid w:val="48BB3391"/>
    <w:rsid w:val="48BD34D6"/>
    <w:rsid w:val="48BF2D31"/>
    <w:rsid w:val="48C12F4D"/>
    <w:rsid w:val="48C86F74"/>
    <w:rsid w:val="48C90054"/>
    <w:rsid w:val="48C90B57"/>
    <w:rsid w:val="48CA77A2"/>
    <w:rsid w:val="48CE3692"/>
    <w:rsid w:val="48D04F3E"/>
    <w:rsid w:val="48D767BD"/>
    <w:rsid w:val="48D83DF3"/>
    <w:rsid w:val="48D857B2"/>
    <w:rsid w:val="48DF1625"/>
    <w:rsid w:val="48E00960"/>
    <w:rsid w:val="48E128AF"/>
    <w:rsid w:val="48E24C72"/>
    <w:rsid w:val="48E376BD"/>
    <w:rsid w:val="48E409EA"/>
    <w:rsid w:val="48E5096A"/>
    <w:rsid w:val="48E542F9"/>
    <w:rsid w:val="48E72288"/>
    <w:rsid w:val="48E7773E"/>
    <w:rsid w:val="48E96D49"/>
    <w:rsid w:val="48EA4523"/>
    <w:rsid w:val="48EA5737"/>
    <w:rsid w:val="48EC4973"/>
    <w:rsid w:val="48EF5776"/>
    <w:rsid w:val="48F0738F"/>
    <w:rsid w:val="48F12C65"/>
    <w:rsid w:val="48F3714C"/>
    <w:rsid w:val="48F53030"/>
    <w:rsid w:val="48F85692"/>
    <w:rsid w:val="48FC43F3"/>
    <w:rsid w:val="48FD5F50"/>
    <w:rsid w:val="48FF3281"/>
    <w:rsid w:val="4900334A"/>
    <w:rsid w:val="4904108C"/>
    <w:rsid w:val="4905308C"/>
    <w:rsid w:val="49082D51"/>
    <w:rsid w:val="49085FD6"/>
    <w:rsid w:val="490966A2"/>
    <w:rsid w:val="490E1F0B"/>
    <w:rsid w:val="490E2A48"/>
    <w:rsid w:val="49110E87"/>
    <w:rsid w:val="49115E22"/>
    <w:rsid w:val="49141979"/>
    <w:rsid w:val="49141CA5"/>
    <w:rsid w:val="49166C04"/>
    <w:rsid w:val="49180694"/>
    <w:rsid w:val="491C2F38"/>
    <w:rsid w:val="49204815"/>
    <w:rsid w:val="49267254"/>
    <w:rsid w:val="49270614"/>
    <w:rsid w:val="49303C2F"/>
    <w:rsid w:val="493208FC"/>
    <w:rsid w:val="49356520"/>
    <w:rsid w:val="493A25A3"/>
    <w:rsid w:val="493A2D00"/>
    <w:rsid w:val="493C71A0"/>
    <w:rsid w:val="493F1574"/>
    <w:rsid w:val="494B2817"/>
    <w:rsid w:val="494C3B78"/>
    <w:rsid w:val="494F67AB"/>
    <w:rsid w:val="495913D8"/>
    <w:rsid w:val="495A5C25"/>
    <w:rsid w:val="4963516D"/>
    <w:rsid w:val="496B7A53"/>
    <w:rsid w:val="496D4287"/>
    <w:rsid w:val="497154C4"/>
    <w:rsid w:val="49736190"/>
    <w:rsid w:val="497879AC"/>
    <w:rsid w:val="49795E2E"/>
    <w:rsid w:val="497A30FC"/>
    <w:rsid w:val="497D0A96"/>
    <w:rsid w:val="497D499A"/>
    <w:rsid w:val="497E0E3E"/>
    <w:rsid w:val="497E13D0"/>
    <w:rsid w:val="498D1081"/>
    <w:rsid w:val="498D75A8"/>
    <w:rsid w:val="499139ED"/>
    <w:rsid w:val="49916397"/>
    <w:rsid w:val="49940F29"/>
    <w:rsid w:val="499E1576"/>
    <w:rsid w:val="49A21DA1"/>
    <w:rsid w:val="49A44C5C"/>
    <w:rsid w:val="49A5461D"/>
    <w:rsid w:val="49A63EF1"/>
    <w:rsid w:val="49A800A8"/>
    <w:rsid w:val="49A84DEA"/>
    <w:rsid w:val="49A91320"/>
    <w:rsid w:val="49AB59AC"/>
    <w:rsid w:val="49AC3638"/>
    <w:rsid w:val="49AE449B"/>
    <w:rsid w:val="49B17E7B"/>
    <w:rsid w:val="49B54134"/>
    <w:rsid w:val="49BD37D7"/>
    <w:rsid w:val="49BF754D"/>
    <w:rsid w:val="49C10C63"/>
    <w:rsid w:val="49C10D2B"/>
    <w:rsid w:val="49C16F7D"/>
    <w:rsid w:val="49C242FE"/>
    <w:rsid w:val="49C34AA3"/>
    <w:rsid w:val="49C46503"/>
    <w:rsid w:val="49C97F94"/>
    <w:rsid w:val="49CC128A"/>
    <w:rsid w:val="49CD76D0"/>
    <w:rsid w:val="49D00F6E"/>
    <w:rsid w:val="49D26951"/>
    <w:rsid w:val="49D4051B"/>
    <w:rsid w:val="49DE15B8"/>
    <w:rsid w:val="49DE368B"/>
    <w:rsid w:val="49E31613"/>
    <w:rsid w:val="49EC224C"/>
    <w:rsid w:val="49EF3AEA"/>
    <w:rsid w:val="49F3771A"/>
    <w:rsid w:val="49F401F3"/>
    <w:rsid w:val="49F6261C"/>
    <w:rsid w:val="49F8145A"/>
    <w:rsid w:val="49FC29AC"/>
    <w:rsid w:val="49FC4C5B"/>
    <w:rsid w:val="49FF7D34"/>
    <w:rsid w:val="4A02381D"/>
    <w:rsid w:val="4A0D36B0"/>
    <w:rsid w:val="4A17366A"/>
    <w:rsid w:val="4A190B67"/>
    <w:rsid w:val="4A1E7312"/>
    <w:rsid w:val="4A237641"/>
    <w:rsid w:val="4A280DAA"/>
    <w:rsid w:val="4A2A2D74"/>
    <w:rsid w:val="4A2A4B22"/>
    <w:rsid w:val="4A2A5BEF"/>
    <w:rsid w:val="4A2D016F"/>
    <w:rsid w:val="4A310FBC"/>
    <w:rsid w:val="4A3353BE"/>
    <w:rsid w:val="4A34774F"/>
    <w:rsid w:val="4A3C6604"/>
    <w:rsid w:val="4A3E275F"/>
    <w:rsid w:val="4A3E412A"/>
    <w:rsid w:val="4A421E6C"/>
    <w:rsid w:val="4A442B1E"/>
    <w:rsid w:val="4A45370A"/>
    <w:rsid w:val="4A4C4A99"/>
    <w:rsid w:val="4A4E1E67"/>
    <w:rsid w:val="4A525E27"/>
    <w:rsid w:val="4A554ED6"/>
    <w:rsid w:val="4A572861"/>
    <w:rsid w:val="4A5751EC"/>
    <w:rsid w:val="4A5D0A54"/>
    <w:rsid w:val="4A647AD7"/>
    <w:rsid w:val="4A677EFB"/>
    <w:rsid w:val="4A705397"/>
    <w:rsid w:val="4A722AB5"/>
    <w:rsid w:val="4A731719"/>
    <w:rsid w:val="4A7666E6"/>
    <w:rsid w:val="4A7D10F6"/>
    <w:rsid w:val="4A8204BA"/>
    <w:rsid w:val="4A8714B3"/>
    <w:rsid w:val="4A8A09E0"/>
    <w:rsid w:val="4A8A62E2"/>
    <w:rsid w:val="4A8B6AF7"/>
    <w:rsid w:val="4A8C1339"/>
    <w:rsid w:val="4A8D6A60"/>
    <w:rsid w:val="4A8E5FA5"/>
    <w:rsid w:val="4A9106FD"/>
    <w:rsid w:val="4A91599C"/>
    <w:rsid w:val="4A934476"/>
    <w:rsid w:val="4A965046"/>
    <w:rsid w:val="4A9918EC"/>
    <w:rsid w:val="4A993A56"/>
    <w:rsid w:val="4A9D52F4"/>
    <w:rsid w:val="4AA06BC5"/>
    <w:rsid w:val="4AA246B9"/>
    <w:rsid w:val="4AA27491"/>
    <w:rsid w:val="4AA30431"/>
    <w:rsid w:val="4AA55DFE"/>
    <w:rsid w:val="4AAF1D86"/>
    <w:rsid w:val="4AAF27E7"/>
    <w:rsid w:val="4AB27F24"/>
    <w:rsid w:val="4AB44C79"/>
    <w:rsid w:val="4AB4556F"/>
    <w:rsid w:val="4AB5108D"/>
    <w:rsid w:val="4AB53D21"/>
    <w:rsid w:val="4AB978E1"/>
    <w:rsid w:val="4ABB1C1E"/>
    <w:rsid w:val="4ABB39CC"/>
    <w:rsid w:val="4ABB659E"/>
    <w:rsid w:val="4ABF3DD1"/>
    <w:rsid w:val="4AC5484B"/>
    <w:rsid w:val="4AC76991"/>
    <w:rsid w:val="4AD00929"/>
    <w:rsid w:val="4AD23FBA"/>
    <w:rsid w:val="4AD42044"/>
    <w:rsid w:val="4AD93E52"/>
    <w:rsid w:val="4ADB5E1D"/>
    <w:rsid w:val="4AE05C09"/>
    <w:rsid w:val="4AE40A60"/>
    <w:rsid w:val="4AE50A49"/>
    <w:rsid w:val="4AE922E8"/>
    <w:rsid w:val="4AEC045F"/>
    <w:rsid w:val="4AF07B1A"/>
    <w:rsid w:val="4AF15640"/>
    <w:rsid w:val="4AF1564E"/>
    <w:rsid w:val="4AF33166"/>
    <w:rsid w:val="4AF623AB"/>
    <w:rsid w:val="4AFB6EB8"/>
    <w:rsid w:val="4B0215FB"/>
    <w:rsid w:val="4B0251E4"/>
    <w:rsid w:val="4B094738"/>
    <w:rsid w:val="4B0B04B0"/>
    <w:rsid w:val="4B0B6702"/>
    <w:rsid w:val="4B0D743B"/>
    <w:rsid w:val="4B103D18"/>
    <w:rsid w:val="4B13255D"/>
    <w:rsid w:val="4B1A0735"/>
    <w:rsid w:val="4B1B2ECF"/>
    <w:rsid w:val="4B1D3440"/>
    <w:rsid w:val="4B1D3871"/>
    <w:rsid w:val="4B1D6488"/>
    <w:rsid w:val="4B1E0C59"/>
    <w:rsid w:val="4B202C5A"/>
    <w:rsid w:val="4B212B51"/>
    <w:rsid w:val="4B284043"/>
    <w:rsid w:val="4B2B35E9"/>
    <w:rsid w:val="4B2D0A6F"/>
    <w:rsid w:val="4B320132"/>
    <w:rsid w:val="4B383BB1"/>
    <w:rsid w:val="4B3D762D"/>
    <w:rsid w:val="4B422584"/>
    <w:rsid w:val="4B4332F2"/>
    <w:rsid w:val="4B43705E"/>
    <w:rsid w:val="4B4A363C"/>
    <w:rsid w:val="4B4B6AFE"/>
    <w:rsid w:val="4B5E1321"/>
    <w:rsid w:val="4B646905"/>
    <w:rsid w:val="4B647BC0"/>
    <w:rsid w:val="4B6776B0"/>
    <w:rsid w:val="4B68689B"/>
    <w:rsid w:val="4B694A21"/>
    <w:rsid w:val="4B6978CC"/>
    <w:rsid w:val="4B6B0F4E"/>
    <w:rsid w:val="4B6C20AD"/>
    <w:rsid w:val="4B7044E8"/>
    <w:rsid w:val="4B73521F"/>
    <w:rsid w:val="4B7624B7"/>
    <w:rsid w:val="4B7778F3"/>
    <w:rsid w:val="4B7D6E26"/>
    <w:rsid w:val="4B7F2C4C"/>
    <w:rsid w:val="4B816B24"/>
    <w:rsid w:val="4B8244EA"/>
    <w:rsid w:val="4B842010"/>
    <w:rsid w:val="4B85531E"/>
    <w:rsid w:val="4B863FDA"/>
    <w:rsid w:val="4B940B14"/>
    <w:rsid w:val="4B9A6EA3"/>
    <w:rsid w:val="4B9D0613"/>
    <w:rsid w:val="4BA12BC2"/>
    <w:rsid w:val="4BA206E8"/>
    <w:rsid w:val="4BA44460"/>
    <w:rsid w:val="4BA916E0"/>
    <w:rsid w:val="4BAB1C93"/>
    <w:rsid w:val="4BAC3433"/>
    <w:rsid w:val="4BAC561A"/>
    <w:rsid w:val="4BB021DC"/>
    <w:rsid w:val="4BB073DB"/>
    <w:rsid w:val="4BB723E6"/>
    <w:rsid w:val="4BBA0D7E"/>
    <w:rsid w:val="4BBC5C4E"/>
    <w:rsid w:val="4BBF181D"/>
    <w:rsid w:val="4BC30D8B"/>
    <w:rsid w:val="4BCB3861"/>
    <w:rsid w:val="4BCB40E3"/>
    <w:rsid w:val="4BCE1CA6"/>
    <w:rsid w:val="4BCE772F"/>
    <w:rsid w:val="4BD33066"/>
    <w:rsid w:val="4BD5156A"/>
    <w:rsid w:val="4BD73B3D"/>
    <w:rsid w:val="4BDA60D4"/>
    <w:rsid w:val="4BDB40A6"/>
    <w:rsid w:val="4BDB7C6A"/>
    <w:rsid w:val="4BDF193C"/>
    <w:rsid w:val="4BE35C06"/>
    <w:rsid w:val="4BE43BF5"/>
    <w:rsid w:val="4BE60F1D"/>
    <w:rsid w:val="4BE64A79"/>
    <w:rsid w:val="4BEC56EF"/>
    <w:rsid w:val="4BF0515F"/>
    <w:rsid w:val="4BF2341E"/>
    <w:rsid w:val="4BF26BF6"/>
    <w:rsid w:val="4BF278C2"/>
    <w:rsid w:val="4BF33ED1"/>
    <w:rsid w:val="4BFB6776"/>
    <w:rsid w:val="4BFE6021"/>
    <w:rsid w:val="4C012815"/>
    <w:rsid w:val="4C03387D"/>
    <w:rsid w:val="4C1079C5"/>
    <w:rsid w:val="4C1175E4"/>
    <w:rsid w:val="4C1343F0"/>
    <w:rsid w:val="4C1829C8"/>
    <w:rsid w:val="4C1E2465"/>
    <w:rsid w:val="4C1E4213"/>
    <w:rsid w:val="4C20046C"/>
    <w:rsid w:val="4C212CE3"/>
    <w:rsid w:val="4C231829"/>
    <w:rsid w:val="4C251FC6"/>
    <w:rsid w:val="4C2A3BAE"/>
    <w:rsid w:val="4C2B677F"/>
    <w:rsid w:val="4C312198"/>
    <w:rsid w:val="4C313266"/>
    <w:rsid w:val="4C3651D7"/>
    <w:rsid w:val="4C370EE5"/>
    <w:rsid w:val="4C373527"/>
    <w:rsid w:val="4C3925AE"/>
    <w:rsid w:val="4C3B6EA2"/>
    <w:rsid w:val="4C3D2024"/>
    <w:rsid w:val="4C3E2B07"/>
    <w:rsid w:val="4C3E48B5"/>
    <w:rsid w:val="4C444DB2"/>
    <w:rsid w:val="4C453E95"/>
    <w:rsid w:val="4C473FE0"/>
    <w:rsid w:val="4C4821E8"/>
    <w:rsid w:val="4C494EA6"/>
    <w:rsid w:val="4C4E03D8"/>
    <w:rsid w:val="4C51283A"/>
    <w:rsid w:val="4C527F6F"/>
    <w:rsid w:val="4C575467"/>
    <w:rsid w:val="4C57579C"/>
    <w:rsid w:val="4C583BC9"/>
    <w:rsid w:val="4C59573B"/>
    <w:rsid w:val="4C5B0FC3"/>
    <w:rsid w:val="4C6205A3"/>
    <w:rsid w:val="4C63431C"/>
    <w:rsid w:val="4C6613E5"/>
    <w:rsid w:val="4C6746CE"/>
    <w:rsid w:val="4C6A38FC"/>
    <w:rsid w:val="4C6C7D64"/>
    <w:rsid w:val="4C6D6F48"/>
    <w:rsid w:val="4C6E523B"/>
    <w:rsid w:val="4C733652"/>
    <w:rsid w:val="4C760234"/>
    <w:rsid w:val="4C777114"/>
    <w:rsid w:val="4C7A0C12"/>
    <w:rsid w:val="4C7E0947"/>
    <w:rsid w:val="4C7E4CB1"/>
    <w:rsid w:val="4C7F3518"/>
    <w:rsid w:val="4C803F49"/>
    <w:rsid w:val="4C83051A"/>
    <w:rsid w:val="4C897680"/>
    <w:rsid w:val="4C8A1873"/>
    <w:rsid w:val="4C8B08B0"/>
    <w:rsid w:val="4C93405E"/>
    <w:rsid w:val="4C982217"/>
    <w:rsid w:val="4C9E092A"/>
    <w:rsid w:val="4CA0177C"/>
    <w:rsid w:val="4CAC7986"/>
    <w:rsid w:val="4CAE26C8"/>
    <w:rsid w:val="4CAF7561"/>
    <w:rsid w:val="4CB16E35"/>
    <w:rsid w:val="4CB54389"/>
    <w:rsid w:val="4CC006FA"/>
    <w:rsid w:val="4CC62B8A"/>
    <w:rsid w:val="4CC661C0"/>
    <w:rsid w:val="4CC84F01"/>
    <w:rsid w:val="4CC92EED"/>
    <w:rsid w:val="4CC97DA3"/>
    <w:rsid w:val="4CCC3C6F"/>
    <w:rsid w:val="4CCD07D5"/>
    <w:rsid w:val="4CD15729"/>
    <w:rsid w:val="4CD62D3F"/>
    <w:rsid w:val="4CDB65A8"/>
    <w:rsid w:val="4CDC1A89"/>
    <w:rsid w:val="4CDC3C81"/>
    <w:rsid w:val="4CDD40CE"/>
    <w:rsid w:val="4CE52F83"/>
    <w:rsid w:val="4CE92A73"/>
    <w:rsid w:val="4CEA2347"/>
    <w:rsid w:val="4CEF3B10"/>
    <w:rsid w:val="4CF66F3E"/>
    <w:rsid w:val="4CFB26C0"/>
    <w:rsid w:val="4CFB6302"/>
    <w:rsid w:val="4CFE1087"/>
    <w:rsid w:val="4CFE4259"/>
    <w:rsid w:val="4D01600E"/>
    <w:rsid w:val="4D054951"/>
    <w:rsid w:val="4D090A1F"/>
    <w:rsid w:val="4D094EC3"/>
    <w:rsid w:val="4D0C075F"/>
    <w:rsid w:val="4D1473C4"/>
    <w:rsid w:val="4D184E23"/>
    <w:rsid w:val="4D196336"/>
    <w:rsid w:val="4D1B5B09"/>
    <w:rsid w:val="4D1B69A4"/>
    <w:rsid w:val="4D1D6D55"/>
    <w:rsid w:val="4D1E40D6"/>
    <w:rsid w:val="4D203FBB"/>
    <w:rsid w:val="4D213256"/>
    <w:rsid w:val="4D2430A4"/>
    <w:rsid w:val="4D272911"/>
    <w:rsid w:val="4D295D62"/>
    <w:rsid w:val="4D2A03BA"/>
    <w:rsid w:val="4D3D322C"/>
    <w:rsid w:val="4D3F1467"/>
    <w:rsid w:val="4D414917"/>
    <w:rsid w:val="4D4660D3"/>
    <w:rsid w:val="4D476B8A"/>
    <w:rsid w:val="4D4C4DB0"/>
    <w:rsid w:val="4D4F3951"/>
    <w:rsid w:val="4D4F56D4"/>
    <w:rsid w:val="4D565C2E"/>
    <w:rsid w:val="4D5A74CD"/>
    <w:rsid w:val="4D5E1A57"/>
    <w:rsid w:val="4D612522"/>
    <w:rsid w:val="4D6B400B"/>
    <w:rsid w:val="4D6C0BAC"/>
    <w:rsid w:val="4D6E11CA"/>
    <w:rsid w:val="4D6F752D"/>
    <w:rsid w:val="4D760405"/>
    <w:rsid w:val="4D7A22F6"/>
    <w:rsid w:val="4D7D0866"/>
    <w:rsid w:val="4D7D31BB"/>
    <w:rsid w:val="4D812783"/>
    <w:rsid w:val="4D8134A9"/>
    <w:rsid w:val="4D82045C"/>
    <w:rsid w:val="4D83662D"/>
    <w:rsid w:val="4D8409ED"/>
    <w:rsid w:val="4D844549"/>
    <w:rsid w:val="4D846E33"/>
    <w:rsid w:val="4D8B1D7C"/>
    <w:rsid w:val="4D92310A"/>
    <w:rsid w:val="4D970627"/>
    <w:rsid w:val="4D9A4D2F"/>
    <w:rsid w:val="4D9F766D"/>
    <w:rsid w:val="4DA03423"/>
    <w:rsid w:val="4DA1334D"/>
    <w:rsid w:val="4DA34B7F"/>
    <w:rsid w:val="4DA644C0"/>
    <w:rsid w:val="4DA9228F"/>
    <w:rsid w:val="4DAC20D0"/>
    <w:rsid w:val="4DAE6208"/>
    <w:rsid w:val="4DB12E65"/>
    <w:rsid w:val="4DB841F3"/>
    <w:rsid w:val="4DBC4A00"/>
    <w:rsid w:val="4DBF1A26"/>
    <w:rsid w:val="4DC16934"/>
    <w:rsid w:val="4DC82688"/>
    <w:rsid w:val="4DC95567"/>
    <w:rsid w:val="4DCA5DBC"/>
    <w:rsid w:val="4DCD4A82"/>
    <w:rsid w:val="4DCD7C9F"/>
    <w:rsid w:val="4DCE278A"/>
    <w:rsid w:val="4DD03C33"/>
    <w:rsid w:val="4DD27935"/>
    <w:rsid w:val="4DD70FFB"/>
    <w:rsid w:val="4DDA060D"/>
    <w:rsid w:val="4DE17BEE"/>
    <w:rsid w:val="4DE33966"/>
    <w:rsid w:val="4DE41C84"/>
    <w:rsid w:val="4DEA5184"/>
    <w:rsid w:val="4DEB33C1"/>
    <w:rsid w:val="4DEE0073"/>
    <w:rsid w:val="4DF3347D"/>
    <w:rsid w:val="4DF46CE4"/>
    <w:rsid w:val="4DF55CC5"/>
    <w:rsid w:val="4DF571F5"/>
    <w:rsid w:val="4DF74D1B"/>
    <w:rsid w:val="4DF844BD"/>
    <w:rsid w:val="4DFA7BDD"/>
    <w:rsid w:val="4DFC07CB"/>
    <w:rsid w:val="4E031912"/>
    <w:rsid w:val="4E092CA1"/>
    <w:rsid w:val="4E105DDD"/>
    <w:rsid w:val="4E117EDA"/>
    <w:rsid w:val="4E1275FF"/>
    <w:rsid w:val="4E1B3100"/>
    <w:rsid w:val="4E1D6531"/>
    <w:rsid w:val="4E200716"/>
    <w:rsid w:val="4E210CE8"/>
    <w:rsid w:val="4E21448E"/>
    <w:rsid w:val="4E216C2D"/>
    <w:rsid w:val="4E2252E8"/>
    <w:rsid w:val="4E226070"/>
    <w:rsid w:val="4E2365E7"/>
    <w:rsid w:val="4E2E48B5"/>
    <w:rsid w:val="4E361CE8"/>
    <w:rsid w:val="4E3866BD"/>
    <w:rsid w:val="4E3B72FE"/>
    <w:rsid w:val="4E3C4E59"/>
    <w:rsid w:val="4E3F420A"/>
    <w:rsid w:val="4E40026B"/>
    <w:rsid w:val="4E457329"/>
    <w:rsid w:val="4E4A7541"/>
    <w:rsid w:val="4E4D0DDF"/>
    <w:rsid w:val="4E4D40AD"/>
    <w:rsid w:val="4E4F3487"/>
    <w:rsid w:val="4E4F3F85"/>
    <w:rsid w:val="4E553D42"/>
    <w:rsid w:val="4E5700C9"/>
    <w:rsid w:val="4E577EB0"/>
    <w:rsid w:val="4E581349"/>
    <w:rsid w:val="4E597784"/>
    <w:rsid w:val="4E5C4BE5"/>
    <w:rsid w:val="4E6210E9"/>
    <w:rsid w:val="4E6509DC"/>
    <w:rsid w:val="4E69354A"/>
    <w:rsid w:val="4E6B74B7"/>
    <w:rsid w:val="4E6C3227"/>
    <w:rsid w:val="4E6E0547"/>
    <w:rsid w:val="4E6E62E1"/>
    <w:rsid w:val="4E703E5E"/>
    <w:rsid w:val="4E726A98"/>
    <w:rsid w:val="4E74618F"/>
    <w:rsid w:val="4E766588"/>
    <w:rsid w:val="4E7740AE"/>
    <w:rsid w:val="4E7A455F"/>
    <w:rsid w:val="4E7C3473"/>
    <w:rsid w:val="4E7E543D"/>
    <w:rsid w:val="4E8056FE"/>
    <w:rsid w:val="4E877A05"/>
    <w:rsid w:val="4E883691"/>
    <w:rsid w:val="4E8A2033"/>
    <w:rsid w:val="4E8C0438"/>
    <w:rsid w:val="4E8F764A"/>
    <w:rsid w:val="4E9E28F8"/>
    <w:rsid w:val="4E9F6898"/>
    <w:rsid w:val="4E9F70F5"/>
    <w:rsid w:val="4EA14DB5"/>
    <w:rsid w:val="4EA25DC6"/>
    <w:rsid w:val="4EA57992"/>
    <w:rsid w:val="4EA74993"/>
    <w:rsid w:val="4EAD7AD0"/>
    <w:rsid w:val="4EB15812"/>
    <w:rsid w:val="4EB70C79"/>
    <w:rsid w:val="4EBC409F"/>
    <w:rsid w:val="4EBD163F"/>
    <w:rsid w:val="4EC25023"/>
    <w:rsid w:val="4EC605CF"/>
    <w:rsid w:val="4ECA48A4"/>
    <w:rsid w:val="4ECE0172"/>
    <w:rsid w:val="4ECE657E"/>
    <w:rsid w:val="4ECF2C73"/>
    <w:rsid w:val="4ECF7547"/>
    <w:rsid w:val="4ED212E5"/>
    <w:rsid w:val="4ED62CFF"/>
    <w:rsid w:val="4ED6738A"/>
    <w:rsid w:val="4EDA6AB0"/>
    <w:rsid w:val="4EDB63EB"/>
    <w:rsid w:val="4EDD07B6"/>
    <w:rsid w:val="4EDD6607"/>
    <w:rsid w:val="4EE030D4"/>
    <w:rsid w:val="4EE5336B"/>
    <w:rsid w:val="4EF1052E"/>
    <w:rsid w:val="4EF35A1F"/>
    <w:rsid w:val="4EF63225"/>
    <w:rsid w:val="4EFC389E"/>
    <w:rsid w:val="4EFE05CC"/>
    <w:rsid w:val="4F02070B"/>
    <w:rsid w:val="4F0911AA"/>
    <w:rsid w:val="4F0C6CC0"/>
    <w:rsid w:val="4F122438"/>
    <w:rsid w:val="4F134CF9"/>
    <w:rsid w:val="4F1418FD"/>
    <w:rsid w:val="4F1D2F4B"/>
    <w:rsid w:val="4F232F2B"/>
    <w:rsid w:val="4F23502B"/>
    <w:rsid w:val="4F2A31F1"/>
    <w:rsid w:val="4F2A6EE8"/>
    <w:rsid w:val="4F306EDD"/>
    <w:rsid w:val="4F344DD0"/>
    <w:rsid w:val="4F377047"/>
    <w:rsid w:val="4F3A75B6"/>
    <w:rsid w:val="4F440434"/>
    <w:rsid w:val="4F477F24"/>
    <w:rsid w:val="4F4B7837"/>
    <w:rsid w:val="4F506F7E"/>
    <w:rsid w:val="4F544163"/>
    <w:rsid w:val="4F5F4528"/>
    <w:rsid w:val="4F602D94"/>
    <w:rsid w:val="4F634C70"/>
    <w:rsid w:val="4F660639"/>
    <w:rsid w:val="4F6A7A26"/>
    <w:rsid w:val="4F6E14A5"/>
    <w:rsid w:val="4F6F582C"/>
    <w:rsid w:val="4F7014DC"/>
    <w:rsid w:val="4F730D1A"/>
    <w:rsid w:val="4F732AC8"/>
    <w:rsid w:val="4F734876"/>
    <w:rsid w:val="4F7725B8"/>
    <w:rsid w:val="4F7A20A8"/>
    <w:rsid w:val="4F7C5E20"/>
    <w:rsid w:val="4F7C5EA2"/>
    <w:rsid w:val="4F822FDC"/>
    <w:rsid w:val="4F840831"/>
    <w:rsid w:val="4F840F36"/>
    <w:rsid w:val="4F8E5B53"/>
    <w:rsid w:val="4F920ED2"/>
    <w:rsid w:val="4F926793"/>
    <w:rsid w:val="4F9505CE"/>
    <w:rsid w:val="4F995545"/>
    <w:rsid w:val="4F995BC0"/>
    <w:rsid w:val="4F9D5652"/>
    <w:rsid w:val="4F9F564C"/>
    <w:rsid w:val="4FA2515B"/>
    <w:rsid w:val="4FA26F09"/>
    <w:rsid w:val="4FA669F9"/>
    <w:rsid w:val="4FA827DD"/>
    <w:rsid w:val="4FA91872"/>
    <w:rsid w:val="4FAA3321"/>
    <w:rsid w:val="4FB31116"/>
    <w:rsid w:val="4FB355BA"/>
    <w:rsid w:val="4FBE01E7"/>
    <w:rsid w:val="4FC00E60"/>
    <w:rsid w:val="4FC11A85"/>
    <w:rsid w:val="4FC140F0"/>
    <w:rsid w:val="4FC50439"/>
    <w:rsid w:val="4FCD5398"/>
    <w:rsid w:val="4FD74E04"/>
    <w:rsid w:val="4FD863CB"/>
    <w:rsid w:val="4FD962AE"/>
    <w:rsid w:val="4FE1313A"/>
    <w:rsid w:val="4FE13ED5"/>
    <w:rsid w:val="4FE5544C"/>
    <w:rsid w:val="4FEC38FD"/>
    <w:rsid w:val="4FF45451"/>
    <w:rsid w:val="4FF927CB"/>
    <w:rsid w:val="4FFC0D0F"/>
    <w:rsid w:val="4FFD0EF1"/>
    <w:rsid w:val="4FFF5B99"/>
    <w:rsid w:val="4FFF7839"/>
    <w:rsid w:val="50006D51"/>
    <w:rsid w:val="50067677"/>
    <w:rsid w:val="50083210"/>
    <w:rsid w:val="50102399"/>
    <w:rsid w:val="501428C6"/>
    <w:rsid w:val="501778F7"/>
    <w:rsid w:val="50181289"/>
    <w:rsid w:val="501A15F1"/>
    <w:rsid w:val="501A5E16"/>
    <w:rsid w:val="501E02B3"/>
    <w:rsid w:val="501E6338"/>
    <w:rsid w:val="501E6ED7"/>
    <w:rsid w:val="501F49FD"/>
    <w:rsid w:val="50220737"/>
    <w:rsid w:val="502344EE"/>
    <w:rsid w:val="50256815"/>
    <w:rsid w:val="5028303A"/>
    <w:rsid w:val="502A76A0"/>
    <w:rsid w:val="502B02F9"/>
    <w:rsid w:val="502F39BB"/>
    <w:rsid w:val="503009B9"/>
    <w:rsid w:val="5031368C"/>
    <w:rsid w:val="50357D7D"/>
    <w:rsid w:val="5037387C"/>
    <w:rsid w:val="50373A59"/>
    <w:rsid w:val="503B636E"/>
    <w:rsid w:val="503C1837"/>
    <w:rsid w:val="5040203C"/>
    <w:rsid w:val="50446212"/>
    <w:rsid w:val="50451695"/>
    <w:rsid w:val="504908E4"/>
    <w:rsid w:val="504B1C86"/>
    <w:rsid w:val="504F35C5"/>
    <w:rsid w:val="504F5C8E"/>
    <w:rsid w:val="50523ED3"/>
    <w:rsid w:val="50546455"/>
    <w:rsid w:val="50577CF3"/>
    <w:rsid w:val="50597F0F"/>
    <w:rsid w:val="505E7C6E"/>
    <w:rsid w:val="50614828"/>
    <w:rsid w:val="506168D0"/>
    <w:rsid w:val="50622F2F"/>
    <w:rsid w:val="50642410"/>
    <w:rsid w:val="50657135"/>
    <w:rsid w:val="50662CA9"/>
    <w:rsid w:val="506643DA"/>
    <w:rsid w:val="506F328F"/>
    <w:rsid w:val="50706CFA"/>
    <w:rsid w:val="50744D49"/>
    <w:rsid w:val="50747F96"/>
    <w:rsid w:val="50772144"/>
    <w:rsid w:val="50792360"/>
    <w:rsid w:val="507B24B3"/>
    <w:rsid w:val="50812FC2"/>
    <w:rsid w:val="50823AA3"/>
    <w:rsid w:val="508A1793"/>
    <w:rsid w:val="508D5E0B"/>
    <w:rsid w:val="509251CF"/>
    <w:rsid w:val="509357A6"/>
    <w:rsid w:val="50942CF5"/>
    <w:rsid w:val="509643EB"/>
    <w:rsid w:val="50970679"/>
    <w:rsid w:val="50991D00"/>
    <w:rsid w:val="509A4DD8"/>
    <w:rsid w:val="509F7714"/>
    <w:rsid w:val="50A373DC"/>
    <w:rsid w:val="50A62B91"/>
    <w:rsid w:val="50A868B7"/>
    <w:rsid w:val="50A93D08"/>
    <w:rsid w:val="50AD025B"/>
    <w:rsid w:val="50AD3FE0"/>
    <w:rsid w:val="50AD5F5E"/>
    <w:rsid w:val="50AF03CA"/>
    <w:rsid w:val="50B15DEE"/>
    <w:rsid w:val="50B52C6C"/>
    <w:rsid w:val="50B60EBE"/>
    <w:rsid w:val="50B74C36"/>
    <w:rsid w:val="50BC224C"/>
    <w:rsid w:val="50C15018"/>
    <w:rsid w:val="50C555A5"/>
    <w:rsid w:val="50C71B9A"/>
    <w:rsid w:val="50C855B9"/>
    <w:rsid w:val="50C86974"/>
    <w:rsid w:val="50C90DD2"/>
    <w:rsid w:val="50CD4214"/>
    <w:rsid w:val="50D047FA"/>
    <w:rsid w:val="50D20A33"/>
    <w:rsid w:val="50D2381E"/>
    <w:rsid w:val="50D35728"/>
    <w:rsid w:val="50D63DAD"/>
    <w:rsid w:val="50D80F38"/>
    <w:rsid w:val="50D942F8"/>
    <w:rsid w:val="50DA38A7"/>
    <w:rsid w:val="50DB1026"/>
    <w:rsid w:val="50DC2C87"/>
    <w:rsid w:val="50E752AD"/>
    <w:rsid w:val="50EA6DB9"/>
    <w:rsid w:val="50EB3F82"/>
    <w:rsid w:val="50EE1CF2"/>
    <w:rsid w:val="50EE4AFC"/>
    <w:rsid w:val="50F10148"/>
    <w:rsid w:val="50F11EF6"/>
    <w:rsid w:val="50F24263"/>
    <w:rsid w:val="50F33EC0"/>
    <w:rsid w:val="50F546A4"/>
    <w:rsid w:val="50F77271"/>
    <w:rsid w:val="50F972F7"/>
    <w:rsid w:val="510078F8"/>
    <w:rsid w:val="51051E45"/>
    <w:rsid w:val="510559A1"/>
    <w:rsid w:val="51062E60"/>
    <w:rsid w:val="51076128"/>
    <w:rsid w:val="51083694"/>
    <w:rsid w:val="51096B90"/>
    <w:rsid w:val="510B53A2"/>
    <w:rsid w:val="510D2AA8"/>
    <w:rsid w:val="510F6820"/>
    <w:rsid w:val="51112598"/>
    <w:rsid w:val="51121E6C"/>
    <w:rsid w:val="511701B4"/>
    <w:rsid w:val="511824B7"/>
    <w:rsid w:val="511A2E6A"/>
    <w:rsid w:val="51254238"/>
    <w:rsid w:val="51273B6A"/>
    <w:rsid w:val="51275918"/>
    <w:rsid w:val="51281690"/>
    <w:rsid w:val="512D50BA"/>
    <w:rsid w:val="512F0C70"/>
    <w:rsid w:val="513129A8"/>
    <w:rsid w:val="5133250E"/>
    <w:rsid w:val="51337C29"/>
    <w:rsid w:val="51361FFF"/>
    <w:rsid w:val="513B5867"/>
    <w:rsid w:val="513E5D87"/>
    <w:rsid w:val="51435F5B"/>
    <w:rsid w:val="51475FBA"/>
    <w:rsid w:val="514A5AAA"/>
    <w:rsid w:val="51501312"/>
    <w:rsid w:val="51542485"/>
    <w:rsid w:val="51574098"/>
    <w:rsid w:val="515A2859"/>
    <w:rsid w:val="515B53DD"/>
    <w:rsid w:val="515B59AD"/>
    <w:rsid w:val="515F3303"/>
    <w:rsid w:val="516312F0"/>
    <w:rsid w:val="51635A39"/>
    <w:rsid w:val="51640F6B"/>
    <w:rsid w:val="516A3A56"/>
    <w:rsid w:val="516C77CE"/>
    <w:rsid w:val="516F72BF"/>
    <w:rsid w:val="51705511"/>
    <w:rsid w:val="5171410A"/>
    <w:rsid w:val="517408CA"/>
    <w:rsid w:val="517448D5"/>
    <w:rsid w:val="51750D79"/>
    <w:rsid w:val="51764AF1"/>
    <w:rsid w:val="517D19DC"/>
    <w:rsid w:val="51836EF7"/>
    <w:rsid w:val="5187185A"/>
    <w:rsid w:val="518C60C3"/>
    <w:rsid w:val="51947639"/>
    <w:rsid w:val="51965F7A"/>
    <w:rsid w:val="51967A76"/>
    <w:rsid w:val="51982AEC"/>
    <w:rsid w:val="519A22EA"/>
    <w:rsid w:val="519A258E"/>
    <w:rsid w:val="519D4260"/>
    <w:rsid w:val="519E599C"/>
    <w:rsid w:val="51A54A37"/>
    <w:rsid w:val="51A753D3"/>
    <w:rsid w:val="51A75763"/>
    <w:rsid w:val="51A76A58"/>
    <w:rsid w:val="51A90A23"/>
    <w:rsid w:val="51A965AC"/>
    <w:rsid w:val="51AC0513"/>
    <w:rsid w:val="51AD1546"/>
    <w:rsid w:val="51B1584C"/>
    <w:rsid w:val="51B57861"/>
    <w:rsid w:val="51BD5911"/>
    <w:rsid w:val="51C401F4"/>
    <w:rsid w:val="51C40320"/>
    <w:rsid w:val="51C40EFF"/>
    <w:rsid w:val="51CA0754"/>
    <w:rsid w:val="51CA1591"/>
    <w:rsid w:val="51D0127A"/>
    <w:rsid w:val="51D07D5D"/>
    <w:rsid w:val="51D114A4"/>
    <w:rsid w:val="51D2342F"/>
    <w:rsid w:val="51D35A9F"/>
    <w:rsid w:val="51D52864"/>
    <w:rsid w:val="51D55245"/>
    <w:rsid w:val="51DF31AD"/>
    <w:rsid w:val="51E03207"/>
    <w:rsid w:val="51E046FC"/>
    <w:rsid w:val="51E2139E"/>
    <w:rsid w:val="51E73FE1"/>
    <w:rsid w:val="51E845A4"/>
    <w:rsid w:val="51EB0CB0"/>
    <w:rsid w:val="51EB2DE9"/>
    <w:rsid w:val="51F45CDA"/>
    <w:rsid w:val="51F6353C"/>
    <w:rsid w:val="52047ABB"/>
    <w:rsid w:val="52063940"/>
    <w:rsid w:val="520A44A5"/>
    <w:rsid w:val="520F30DF"/>
    <w:rsid w:val="520F4E5D"/>
    <w:rsid w:val="52135808"/>
    <w:rsid w:val="52156D49"/>
    <w:rsid w:val="521615C2"/>
    <w:rsid w:val="52161772"/>
    <w:rsid w:val="52163A59"/>
    <w:rsid w:val="521B1ACF"/>
    <w:rsid w:val="52224A3F"/>
    <w:rsid w:val="522B291D"/>
    <w:rsid w:val="52310016"/>
    <w:rsid w:val="52332E4B"/>
    <w:rsid w:val="52344B41"/>
    <w:rsid w:val="523A167B"/>
    <w:rsid w:val="523A1E43"/>
    <w:rsid w:val="523D79BF"/>
    <w:rsid w:val="524B2A87"/>
    <w:rsid w:val="52514D4C"/>
    <w:rsid w:val="52561EC2"/>
    <w:rsid w:val="525621DF"/>
    <w:rsid w:val="52592BA9"/>
    <w:rsid w:val="525941F7"/>
    <w:rsid w:val="5259699E"/>
    <w:rsid w:val="525C5A95"/>
    <w:rsid w:val="52642B9B"/>
    <w:rsid w:val="52650DED"/>
    <w:rsid w:val="526606C2"/>
    <w:rsid w:val="52676152"/>
    <w:rsid w:val="5268443A"/>
    <w:rsid w:val="526E0A67"/>
    <w:rsid w:val="527032EE"/>
    <w:rsid w:val="5271169C"/>
    <w:rsid w:val="52720E14"/>
    <w:rsid w:val="5272504D"/>
    <w:rsid w:val="527674C5"/>
    <w:rsid w:val="52787824"/>
    <w:rsid w:val="527D1E3F"/>
    <w:rsid w:val="527D78BF"/>
    <w:rsid w:val="527F7CA9"/>
    <w:rsid w:val="52807ECC"/>
    <w:rsid w:val="528842C0"/>
    <w:rsid w:val="528D737C"/>
    <w:rsid w:val="52904F01"/>
    <w:rsid w:val="529214B7"/>
    <w:rsid w:val="529308D2"/>
    <w:rsid w:val="52933CE1"/>
    <w:rsid w:val="529A0F50"/>
    <w:rsid w:val="529A1868"/>
    <w:rsid w:val="529B2F67"/>
    <w:rsid w:val="529C636E"/>
    <w:rsid w:val="529E60AD"/>
    <w:rsid w:val="529F5982"/>
    <w:rsid w:val="52A116FA"/>
    <w:rsid w:val="52A44405"/>
    <w:rsid w:val="52AF02BB"/>
    <w:rsid w:val="52B07B8F"/>
    <w:rsid w:val="52B4767F"/>
    <w:rsid w:val="52B53261"/>
    <w:rsid w:val="52B932F6"/>
    <w:rsid w:val="52BA27BB"/>
    <w:rsid w:val="52BC3078"/>
    <w:rsid w:val="52BE41AA"/>
    <w:rsid w:val="52C27FEE"/>
    <w:rsid w:val="52C354F0"/>
    <w:rsid w:val="52C462A2"/>
    <w:rsid w:val="52C82DE5"/>
    <w:rsid w:val="52C969DA"/>
    <w:rsid w:val="52CA3388"/>
    <w:rsid w:val="52CB7D38"/>
    <w:rsid w:val="52D159FD"/>
    <w:rsid w:val="52D25D57"/>
    <w:rsid w:val="52D44E78"/>
    <w:rsid w:val="52D46100"/>
    <w:rsid w:val="52D7336D"/>
    <w:rsid w:val="52D90E94"/>
    <w:rsid w:val="52DA0AFD"/>
    <w:rsid w:val="52DD6E2A"/>
    <w:rsid w:val="52E41FE4"/>
    <w:rsid w:val="52E57838"/>
    <w:rsid w:val="52E67F39"/>
    <w:rsid w:val="52EE1FF9"/>
    <w:rsid w:val="52EE38DF"/>
    <w:rsid w:val="52F61A46"/>
    <w:rsid w:val="52F87468"/>
    <w:rsid w:val="52FB599B"/>
    <w:rsid w:val="52FE0215"/>
    <w:rsid w:val="52FF1BCF"/>
    <w:rsid w:val="53000C81"/>
    <w:rsid w:val="5302183A"/>
    <w:rsid w:val="53057EDB"/>
    <w:rsid w:val="5307508F"/>
    <w:rsid w:val="5309148D"/>
    <w:rsid w:val="530C099D"/>
    <w:rsid w:val="530E72E0"/>
    <w:rsid w:val="530F48B5"/>
    <w:rsid w:val="530F54C3"/>
    <w:rsid w:val="53114AD1"/>
    <w:rsid w:val="5314011E"/>
    <w:rsid w:val="53195427"/>
    <w:rsid w:val="53201021"/>
    <w:rsid w:val="532050A1"/>
    <w:rsid w:val="53211452"/>
    <w:rsid w:val="53246742"/>
    <w:rsid w:val="532C190B"/>
    <w:rsid w:val="532E7E3E"/>
    <w:rsid w:val="533E015E"/>
    <w:rsid w:val="533E1EAC"/>
    <w:rsid w:val="534169B3"/>
    <w:rsid w:val="534273BA"/>
    <w:rsid w:val="534641A2"/>
    <w:rsid w:val="53465336"/>
    <w:rsid w:val="534653EC"/>
    <w:rsid w:val="534722A1"/>
    <w:rsid w:val="53476745"/>
    <w:rsid w:val="534B1FF4"/>
    <w:rsid w:val="534F1156"/>
    <w:rsid w:val="535350EA"/>
    <w:rsid w:val="53536E98"/>
    <w:rsid w:val="535477A8"/>
    <w:rsid w:val="53590226"/>
    <w:rsid w:val="536015B5"/>
    <w:rsid w:val="536024EA"/>
    <w:rsid w:val="53621D49"/>
    <w:rsid w:val="53641925"/>
    <w:rsid w:val="53684416"/>
    <w:rsid w:val="536A1D0D"/>
    <w:rsid w:val="536B260E"/>
    <w:rsid w:val="536F43D9"/>
    <w:rsid w:val="53713CA0"/>
    <w:rsid w:val="5373753A"/>
    <w:rsid w:val="53740BBC"/>
    <w:rsid w:val="537467B0"/>
    <w:rsid w:val="53760AFD"/>
    <w:rsid w:val="53784B50"/>
    <w:rsid w:val="537B63EF"/>
    <w:rsid w:val="537D61EE"/>
    <w:rsid w:val="537E3869"/>
    <w:rsid w:val="53830363"/>
    <w:rsid w:val="538474D2"/>
    <w:rsid w:val="538A2B86"/>
    <w:rsid w:val="538B37A2"/>
    <w:rsid w:val="53915C12"/>
    <w:rsid w:val="53927BD7"/>
    <w:rsid w:val="53954C11"/>
    <w:rsid w:val="5399666D"/>
    <w:rsid w:val="539F31E0"/>
    <w:rsid w:val="53A85128"/>
    <w:rsid w:val="53A92F5C"/>
    <w:rsid w:val="53A9454A"/>
    <w:rsid w:val="53AC65A8"/>
    <w:rsid w:val="53AE2ABB"/>
    <w:rsid w:val="53B2033E"/>
    <w:rsid w:val="53B519EA"/>
    <w:rsid w:val="53BA665E"/>
    <w:rsid w:val="53C2102F"/>
    <w:rsid w:val="53C47D96"/>
    <w:rsid w:val="53C86899"/>
    <w:rsid w:val="53CC09F8"/>
    <w:rsid w:val="53CF1BBC"/>
    <w:rsid w:val="53D14261"/>
    <w:rsid w:val="53D20059"/>
    <w:rsid w:val="53D236FB"/>
    <w:rsid w:val="53D578AD"/>
    <w:rsid w:val="53D65F7F"/>
    <w:rsid w:val="53DA5AFE"/>
    <w:rsid w:val="53DE4DAA"/>
    <w:rsid w:val="53DE6B63"/>
    <w:rsid w:val="53E1583F"/>
    <w:rsid w:val="53E329CC"/>
    <w:rsid w:val="53E53868"/>
    <w:rsid w:val="53EC109A"/>
    <w:rsid w:val="53ED0C6A"/>
    <w:rsid w:val="53EE4E13"/>
    <w:rsid w:val="53F41C40"/>
    <w:rsid w:val="53F73CC7"/>
    <w:rsid w:val="53FB3B1D"/>
    <w:rsid w:val="53FF2B7C"/>
    <w:rsid w:val="540168F4"/>
    <w:rsid w:val="54081D74"/>
    <w:rsid w:val="54086E52"/>
    <w:rsid w:val="540C5D72"/>
    <w:rsid w:val="54161A4B"/>
    <w:rsid w:val="541D2A6E"/>
    <w:rsid w:val="541D436D"/>
    <w:rsid w:val="541E3C7A"/>
    <w:rsid w:val="54216B80"/>
    <w:rsid w:val="54222540"/>
    <w:rsid w:val="54233482"/>
    <w:rsid w:val="54273293"/>
    <w:rsid w:val="54297BF9"/>
    <w:rsid w:val="542D28C2"/>
    <w:rsid w:val="542D593B"/>
    <w:rsid w:val="543728C2"/>
    <w:rsid w:val="543842E0"/>
    <w:rsid w:val="54385F47"/>
    <w:rsid w:val="54387E3C"/>
    <w:rsid w:val="54395062"/>
    <w:rsid w:val="543C0C79"/>
    <w:rsid w:val="543F11CA"/>
    <w:rsid w:val="54451EC0"/>
    <w:rsid w:val="544E769B"/>
    <w:rsid w:val="54500399"/>
    <w:rsid w:val="54501629"/>
    <w:rsid w:val="54505185"/>
    <w:rsid w:val="545253A1"/>
    <w:rsid w:val="545270A8"/>
    <w:rsid w:val="54531F10"/>
    <w:rsid w:val="54534C76"/>
    <w:rsid w:val="54576514"/>
    <w:rsid w:val="5458228C"/>
    <w:rsid w:val="545A4A3D"/>
    <w:rsid w:val="545E3D46"/>
    <w:rsid w:val="545F1F94"/>
    <w:rsid w:val="54656A60"/>
    <w:rsid w:val="54660E4D"/>
    <w:rsid w:val="54662178"/>
    <w:rsid w:val="54670726"/>
    <w:rsid w:val="54672468"/>
    <w:rsid w:val="546A2FC5"/>
    <w:rsid w:val="546C379C"/>
    <w:rsid w:val="546E722D"/>
    <w:rsid w:val="547075D6"/>
    <w:rsid w:val="5472334E"/>
    <w:rsid w:val="5474356A"/>
    <w:rsid w:val="5476359A"/>
    <w:rsid w:val="54793CE8"/>
    <w:rsid w:val="547C241E"/>
    <w:rsid w:val="547C5F7A"/>
    <w:rsid w:val="547E7F44"/>
    <w:rsid w:val="548337AD"/>
    <w:rsid w:val="54836776"/>
    <w:rsid w:val="54880DC3"/>
    <w:rsid w:val="54882B71"/>
    <w:rsid w:val="548B08B3"/>
    <w:rsid w:val="548C3281"/>
    <w:rsid w:val="548D226F"/>
    <w:rsid w:val="5496234B"/>
    <w:rsid w:val="5496369B"/>
    <w:rsid w:val="54972DB4"/>
    <w:rsid w:val="54977C09"/>
    <w:rsid w:val="549A7E95"/>
    <w:rsid w:val="549E5015"/>
    <w:rsid w:val="54A948CB"/>
    <w:rsid w:val="54AE00FE"/>
    <w:rsid w:val="54AF09EB"/>
    <w:rsid w:val="54B2214F"/>
    <w:rsid w:val="54B27EE3"/>
    <w:rsid w:val="54B34323"/>
    <w:rsid w:val="54B971CF"/>
    <w:rsid w:val="54BA0063"/>
    <w:rsid w:val="54BA4CF5"/>
    <w:rsid w:val="54BA6AA3"/>
    <w:rsid w:val="54BD1035"/>
    <w:rsid w:val="54BD5FF3"/>
    <w:rsid w:val="54C3004D"/>
    <w:rsid w:val="54C4504C"/>
    <w:rsid w:val="54C8567E"/>
    <w:rsid w:val="54CD2C7A"/>
    <w:rsid w:val="54CD3C6B"/>
    <w:rsid w:val="54CF0249"/>
    <w:rsid w:val="54D05CC9"/>
    <w:rsid w:val="54D1675D"/>
    <w:rsid w:val="54D45298"/>
    <w:rsid w:val="54D5124F"/>
    <w:rsid w:val="54D52F4D"/>
    <w:rsid w:val="54D9161F"/>
    <w:rsid w:val="54DB5397"/>
    <w:rsid w:val="54DF2782"/>
    <w:rsid w:val="54E234F0"/>
    <w:rsid w:val="54ED0C26"/>
    <w:rsid w:val="54ED511F"/>
    <w:rsid w:val="54F226E1"/>
    <w:rsid w:val="54F82818"/>
    <w:rsid w:val="54F8361E"/>
    <w:rsid w:val="54FB3135"/>
    <w:rsid w:val="54FB315D"/>
    <w:rsid w:val="54FB77E7"/>
    <w:rsid w:val="54FC530D"/>
    <w:rsid w:val="55024449"/>
    <w:rsid w:val="55080005"/>
    <w:rsid w:val="550862D7"/>
    <w:rsid w:val="550A68B2"/>
    <w:rsid w:val="550A7A2A"/>
    <w:rsid w:val="550F3BDA"/>
    <w:rsid w:val="5514499C"/>
    <w:rsid w:val="55180399"/>
    <w:rsid w:val="55195EBF"/>
    <w:rsid w:val="551A2D24"/>
    <w:rsid w:val="551B1C37"/>
    <w:rsid w:val="55206435"/>
    <w:rsid w:val="55225AFC"/>
    <w:rsid w:val="5524554F"/>
    <w:rsid w:val="55264138"/>
    <w:rsid w:val="55267E0E"/>
    <w:rsid w:val="552C3A6E"/>
    <w:rsid w:val="552F7491"/>
    <w:rsid w:val="55342710"/>
    <w:rsid w:val="55365444"/>
    <w:rsid w:val="553B2C92"/>
    <w:rsid w:val="553B7BE4"/>
    <w:rsid w:val="554B48AE"/>
    <w:rsid w:val="554F7B33"/>
    <w:rsid w:val="555053AE"/>
    <w:rsid w:val="55547F33"/>
    <w:rsid w:val="555667CB"/>
    <w:rsid w:val="55572544"/>
    <w:rsid w:val="555E48BF"/>
    <w:rsid w:val="555E4B0A"/>
    <w:rsid w:val="556059EB"/>
    <w:rsid w:val="55651104"/>
    <w:rsid w:val="55682F2D"/>
    <w:rsid w:val="556C4241"/>
    <w:rsid w:val="55704671"/>
    <w:rsid w:val="55717AA9"/>
    <w:rsid w:val="557241C5"/>
    <w:rsid w:val="55747599"/>
    <w:rsid w:val="5576009C"/>
    <w:rsid w:val="557B2451"/>
    <w:rsid w:val="5588094F"/>
    <w:rsid w:val="558A0B6B"/>
    <w:rsid w:val="558B3916"/>
    <w:rsid w:val="558C6691"/>
    <w:rsid w:val="558F79FF"/>
    <w:rsid w:val="559415B1"/>
    <w:rsid w:val="559518DF"/>
    <w:rsid w:val="55980C99"/>
    <w:rsid w:val="559D264C"/>
    <w:rsid w:val="559D4591"/>
    <w:rsid w:val="559E27FC"/>
    <w:rsid w:val="559E35D5"/>
    <w:rsid w:val="55A23EB5"/>
    <w:rsid w:val="55A25EB5"/>
    <w:rsid w:val="55A42848"/>
    <w:rsid w:val="55A71284"/>
    <w:rsid w:val="55A93860"/>
    <w:rsid w:val="55A93D8E"/>
    <w:rsid w:val="55AA42EF"/>
    <w:rsid w:val="55B02072"/>
    <w:rsid w:val="55B17B55"/>
    <w:rsid w:val="55B22B33"/>
    <w:rsid w:val="55B27480"/>
    <w:rsid w:val="55B300C2"/>
    <w:rsid w:val="55B840AC"/>
    <w:rsid w:val="55C03EBD"/>
    <w:rsid w:val="55C0633B"/>
    <w:rsid w:val="55C82317"/>
    <w:rsid w:val="55CA0661"/>
    <w:rsid w:val="55CA71B9"/>
    <w:rsid w:val="55D6790C"/>
    <w:rsid w:val="55D87B28"/>
    <w:rsid w:val="55DD0C9B"/>
    <w:rsid w:val="55DD744A"/>
    <w:rsid w:val="55E22755"/>
    <w:rsid w:val="55E258B5"/>
    <w:rsid w:val="55E4027B"/>
    <w:rsid w:val="55E84502"/>
    <w:rsid w:val="55E93A0A"/>
    <w:rsid w:val="55E94C06"/>
    <w:rsid w:val="55EB160A"/>
    <w:rsid w:val="55EC5382"/>
    <w:rsid w:val="55ED6F99"/>
    <w:rsid w:val="55EE4C56"/>
    <w:rsid w:val="55F04E72"/>
    <w:rsid w:val="55F25877"/>
    <w:rsid w:val="55FC2A88"/>
    <w:rsid w:val="55FC41C7"/>
    <w:rsid w:val="560426CB"/>
    <w:rsid w:val="56050819"/>
    <w:rsid w:val="560D2C43"/>
    <w:rsid w:val="560E354A"/>
    <w:rsid w:val="560F3FD4"/>
    <w:rsid w:val="56187031"/>
    <w:rsid w:val="561A3C9D"/>
    <w:rsid w:val="56242D6E"/>
    <w:rsid w:val="56244B1C"/>
    <w:rsid w:val="562B40FC"/>
    <w:rsid w:val="563034C0"/>
    <w:rsid w:val="56304A34"/>
    <w:rsid w:val="5630526E"/>
    <w:rsid w:val="56315D2F"/>
    <w:rsid w:val="563A557A"/>
    <w:rsid w:val="563A60ED"/>
    <w:rsid w:val="5641215E"/>
    <w:rsid w:val="56452B6A"/>
    <w:rsid w:val="56473FAF"/>
    <w:rsid w:val="564E1082"/>
    <w:rsid w:val="565B45CC"/>
    <w:rsid w:val="566413BC"/>
    <w:rsid w:val="5664316A"/>
    <w:rsid w:val="5664621E"/>
    <w:rsid w:val="56653F50"/>
    <w:rsid w:val="566F76DF"/>
    <w:rsid w:val="56731C62"/>
    <w:rsid w:val="56793052"/>
    <w:rsid w:val="567A473C"/>
    <w:rsid w:val="567A72D5"/>
    <w:rsid w:val="5683734E"/>
    <w:rsid w:val="56837DAA"/>
    <w:rsid w:val="568738E6"/>
    <w:rsid w:val="56882230"/>
    <w:rsid w:val="568850AA"/>
    <w:rsid w:val="568B4B9B"/>
    <w:rsid w:val="568C1B55"/>
    <w:rsid w:val="56985339"/>
    <w:rsid w:val="569A3030"/>
    <w:rsid w:val="569A40BE"/>
    <w:rsid w:val="56A25A40"/>
    <w:rsid w:val="56AA3DFF"/>
    <w:rsid w:val="56AC0BC9"/>
    <w:rsid w:val="56AD5734"/>
    <w:rsid w:val="56B119FE"/>
    <w:rsid w:val="56B206E7"/>
    <w:rsid w:val="56B37C4E"/>
    <w:rsid w:val="56B45E9F"/>
    <w:rsid w:val="56B54AAB"/>
    <w:rsid w:val="56B631C7"/>
    <w:rsid w:val="56BB7BA7"/>
    <w:rsid w:val="56BF62D6"/>
    <w:rsid w:val="56C07888"/>
    <w:rsid w:val="56C2083D"/>
    <w:rsid w:val="56C46EE2"/>
    <w:rsid w:val="56C65683"/>
    <w:rsid w:val="56C714FE"/>
    <w:rsid w:val="56CA1443"/>
    <w:rsid w:val="56CB0CFF"/>
    <w:rsid w:val="56D70A8E"/>
    <w:rsid w:val="56D73355"/>
    <w:rsid w:val="56DA2211"/>
    <w:rsid w:val="56DB5442"/>
    <w:rsid w:val="56DC0F52"/>
    <w:rsid w:val="56DC31DE"/>
    <w:rsid w:val="56DE2CEF"/>
    <w:rsid w:val="56E21670"/>
    <w:rsid w:val="56E36785"/>
    <w:rsid w:val="56EA3FE2"/>
    <w:rsid w:val="56EC1231"/>
    <w:rsid w:val="56EF512A"/>
    <w:rsid w:val="56FC15F5"/>
    <w:rsid w:val="56FF219B"/>
    <w:rsid w:val="57081D47"/>
    <w:rsid w:val="570A5ABF"/>
    <w:rsid w:val="57157896"/>
    <w:rsid w:val="571636AE"/>
    <w:rsid w:val="57193C9E"/>
    <w:rsid w:val="572121A9"/>
    <w:rsid w:val="5723736E"/>
    <w:rsid w:val="57275CB0"/>
    <w:rsid w:val="57293033"/>
    <w:rsid w:val="572B1EDA"/>
    <w:rsid w:val="572C5D2A"/>
    <w:rsid w:val="572D5C52"/>
    <w:rsid w:val="572D5EB9"/>
    <w:rsid w:val="57306E8D"/>
    <w:rsid w:val="5732533D"/>
    <w:rsid w:val="57373B15"/>
    <w:rsid w:val="57374E2F"/>
    <w:rsid w:val="573B036F"/>
    <w:rsid w:val="573B0FEF"/>
    <w:rsid w:val="573C40E7"/>
    <w:rsid w:val="573C7C43"/>
    <w:rsid w:val="57417E83"/>
    <w:rsid w:val="57437B4D"/>
    <w:rsid w:val="57474F1A"/>
    <w:rsid w:val="574C7CFD"/>
    <w:rsid w:val="574E1899"/>
    <w:rsid w:val="57521214"/>
    <w:rsid w:val="57560D05"/>
    <w:rsid w:val="57575490"/>
    <w:rsid w:val="575B5235"/>
    <w:rsid w:val="575D6537"/>
    <w:rsid w:val="57621539"/>
    <w:rsid w:val="57642C85"/>
    <w:rsid w:val="5764632B"/>
    <w:rsid w:val="57664CA5"/>
    <w:rsid w:val="576A47B0"/>
    <w:rsid w:val="576E6E23"/>
    <w:rsid w:val="577B69BD"/>
    <w:rsid w:val="577E46FF"/>
    <w:rsid w:val="57825F9E"/>
    <w:rsid w:val="57832294"/>
    <w:rsid w:val="57856F7F"/>
    <w:rsid w:val="578A101A"/>
    <w:rsid w:val="578F06BB"/>
    <w:rsid w:val="57923D07"/>
    <w:rsid w:val="579979C1"/>
    <w:rsid w:val="579E3616"/>
    <w:rsid w:val="57A1025C"/>
    <w:rsid w:val="57A431FB"/>
    <w:rsid w:val="57A51C8C"/>
    <w:rsid w:val="57A8352A"/>
    <w:rsid w:val="57AC2A2F"/>
    <w:rsid w:val="57AE0B41"/>
    <w:rsid w:val="57AF6667"/>
    <w:rsid w:val="57B669F1"/>
    <w:rsid w:val="57BB14B0"/>
    <w:rsid w:val="57BB325E"/>
    <w:rsid w:val="57BD6FD6"/>
    <w:rsid w:val="57C120F1"/>
    <w:rsid w:val="57C31658"/>
    <w:rsid w:val="57C540DC"/>
    <w:rsid w:val="57C7233A"/>
    <w:rsid w:val="57C81443"/>
    <w:rsid w:val="57CC0FC7"/>
    <w:rsid w:val="57CE11E3"/>
    <w:rsid w:val="57D1482F"/>
    <w:rsid w:val="57D245B4"/>
    <w:rsid w:val="57D32070"/>
    <w:rsid w:val="57D416AD"/>
    <w:rsid w:val="57DB4A0B"/>
    <w:rsid w:val="57DE35E8"/>
    <w:rsid w:val="57E02CC4"/>
    <w:rsid w:val="57E05304"/>
    <w:rsid w:val="57E722A5"/>
    <w:rsid w:val="57E90BB5"/>
    <w:rsid w:val="57EC1669"/>
    <w:rsid w:val="57EE718F"/>
    <w:rsid w:val="57F34EAD"/>
    <w:rsid w:val="57F51A4C"/>
    <w:rsid w:val="57F624E8"/>
    <w:rsid w:val="57F630B7"/>
    <w:rsid w:val="57FF7273"/>
    <w:rsid w:val="58006EC2"/>
    <w:rsid w:val="58062066"/>
    <w:rsid w:val="5807105F"/>
    <w:rsid w:val="58074C93"/>
    <w:rsid w:val="580A27D2"/>
    <w:rsid w:val="581035A9"/>
    <w:rsid w:val="58136E00"/>
    <w:rsid w:val="581A7F84"/>
    <w:rsid w:val="581D136C"/>
    <w:rsid w:val="581F6D2F"/>
    <w:rsid w:val="582D4EF8"/>
    <w:rsid w:val="58311772"/>
    <w:rsid w:val="583848AE"/>
    <w:rsid w:val="5838665C"/>
    <w:rsid w:val="583B4943"/>
    <w:rsid w:val="583B7EFB"/>
    <w:rsid w:val="583F2819"/>
    <w:rsid w:val="58402623"/>
    <w:rsid w:val="584119B5"/>
    <w:rsid w:val="58411BE0"/>
    <w:rsid w:val="58496ABB"/>
    <w:rsid w:val="584D3288"/>
    <w:rsid w:val="584E40D2"/>
    <w:rsid w:val="58513D10"/>
    <w:rsid w:val="585A2A77"/>
    <w:rsid w:val="585B5E46"/>
    <w:rsid w:val="585D60C3"/>
    <w:rsid w:val="58632671"/>
    <w:rsid w:val="58694EF3"/>
    <w:rsid w:val="586C4558"/>
    <w:rsid w:val="586D09FC"/>
    <w:rsid w:val="586D269F"/>
    <w:rsid w:val="58704048"/>
    <w:rsid w:val="58767185"/>
    <w:rsid w:val="587A0A23"/>
    <w:rsid w:val="588469F7"/>
    <w:rsid w:val="58886ED6"/>
    <w:rsid w:val="58900CFD"/>
    <w:rsid w:val="589805BB"/>
    <w:rsid w:val="589F0489"/>
    <w:rsid w:val="58A302B3"/>
    <w:rsid w:val="58A3441E"/>
    <w:rsid w:val="58A43CF2"/>
    <w:rsid w:val="58A75590"/>
    <w:rsid w:val="58A87711"/>
    <w:rsid w:val="58AB32D2"/>
    <w:rsid w:val="58AB6793"/>
    <w:rsid w:val="58B101BD"/>
    <w:rsid w:val="58B548BE"/>
    <w:rsid w:val="58B96858"/>
    <w:rsid w:val="58BB0463"/>
    <w:rsid w:val="58BD34B0"/>
    <w:rsid w:val="58BD4DB3"/>
    <w:rsid w:val="58BD6B62"/>
    <w:rsid w:val="58BD7FF1"/>
    <w:rsid w:val="58C45CCD"/>
    <w:rsid w:val="58CB5722"/>
    <w:rsid w:val="58D338A8"/>
    <w:rsid w:val="58D81BED"/>
    <w:rsid w:val="58D8399B"/>
    <w:rsid w:val="58D85CCC"/>
    <w:rsid w:val="58D95C71"/>
    <w:rsid w:val="58E124CB"/>
    <w:rsid w:val="58E16CF4"/>
    <w:rsid w:val="58E25754"/>
    <w:rsid w:val="58F22A57"/>
    <w:rsid w:val="58F86AA6"/>
    <w:rsid w:val="58FA5DED"/>
    <w:rsid w:val="58FE1654"/>
    <w:rsid w:val="58FF717A"/>
    <w:rsid w:val="59070A44"/>
    <w:rsid w:val="59093B99"/>
    <w:rsid w:val="590A0DFE"/>
    <w:rsid w:val="590B13C5"/>
    <w:rsid w:val="590B15D2"/>
    <w:rsid w:val="590C0054"/>
    <w:rsid w:val="590D47DB"/>
    <w:rsid w:val="59114F9B"/>
    <w:rsid w:val="59146E46"/>
    <w:rsid w:val="591610D8"/>
    <w:rsid w:val="591841DB"/>
    <w:rsid w:val="591E5852"/>
    <w:rsid w:val="591F45F5"/>
    <w:rsid w:val="59213594"/>
    <w:rsid w:val="59215169"/>
    <w:rsid w:val="59225C41"/>
    <w:rsid w:val="5922657E"/>
    <w:rsid w:val="59260BAB"/>
    <w:rsid w:val="59262959"/>
    <w:rsid w:val="5927308C"/>
    <w:rsid w:val="592B4413"/>
    <w:rsid w:val="592B7F6F"/>
    <w:rsid w:val="592D1F39"/>
    <w:rsid w:val="593212FE"/>
    <w:rsid w:val="59330CEC"/>
    <w:rsid w:val="5934151A"/>
    <w:rsid w:val="59371AB8"/>
    <w:rsid w:val="5938770C"/>
    <w:rsid w:val="593962A4"/>
    <w:rsid w:val="593D5FFA"/>
    <w:rsid w:val="593F5547"/>
    <w:rsid w:val="594466A7"/>
    <w:rsid w:val="59453DCA"/>
    <w:rsid w:val="59462FFB"/>
    <w:rsid w:val="594B23BF"/>
    <w:rsid w:val="5950506B"/>
    <w:rsid w:val="59562AB6"/>
    <w:rsid w:val="59593327"/>
    <w:rsid w:val="595E6596"/>
    <w:rsid w:val="5966544B"/>
    <w:rsid w:val="596671F9"/>
    <w:rsid w:val="596C500C"/>
    <w:rsid w:val="59745DBA"/>
    <w:rsid w:val="59771406"/>
    <w:rsid w:val="597731B4"/>
    <w:rsid w:val="5979517E"/>
    <w:rsid w:val="597B00BD"/>
    <w:rsid w:val="597D3A4E"/>
    <w:rsid w:val="597E09E7"/>
    <w:rsid w:val="597F1642"/>
    <w:rsid w:val="59800981"/>
    <w:rsid w:val="5980475F"/>
    <w:rsid w:val="598633F7"/>
    <w:rsid w:val="598853C1"/>
    <w:rsid w:val="598A2EE8"/>
    <w:rsid w:val="598B3EF7"/>
    <w:rsid w:val="598E5607"/>
    <w:rsid w:val="59911541"/>
    <w:rsid w:val="5995016B"/>
    <w:rsid w:val="599562AA"/>
    <w:rsid w:val="59975E92"/>
    <w:rsid w:val="599B6EA3"/>
    <w:rsid w:val="599E4BE5"/>
    <w:rsid w:val="599E5C7D"/>
    <w:rsid w:val="59A0270B"/>
    <w:rsid w:val="59A1524E"/>
    <w:rsid w:val="59B86222"/>
    <w:rsid w:val="59B86E0E"/>
    <w:rsid w:val="59BD764B"/>
    <w:rsid w:val="59BE2EFF"/>
    <w:rsid w:val="59C041A7"/>
    <w:rsid w:val="59C1603D"/>
    <w:rsid w:val="59CC1752"/>
    <w:rsid w:val="59CD1026"/>
    <w:rsid w:val="59CD7278"/>
    <w:rsid w:val="59CF1242"/>
    <w:rsid w:val="59CF2FF0"/>
    <w:rsid w:val="59CF4F0F"/>
    <w:rsid w:val="59D14FBA"/>
    <w:rsid w:val="59D57F22"/>
    <w:rsid w:val="59D93E6F"/>
    <w:rsid w:val="59D979CB"/>
    <w:rsid w:val="59E3448E"/>
    <w:rsid w:val="59E612F7"/>
    <w:rsid w:val="59E7033A"/>
    <w:rsid w:val="59E93F37"/>
    <w:rsid w:val="59EE791A"/>
    <w:rsid w:val="59F46418"/>
    <w:rsid w:val="59F71524"/>
    <w:rsid w:val="59FB5B93"/>
    <w:rsid w:val="5A0024B5"/>
    <w:rsid w:val="5A013D74"/>
    <w:rsid w:val="5A020FDB"/>
    <w:rsid w:val="5A0233C6"/>
    <w:rsid w:val="5A0313FD"/>
    <w:rsid w:val="5A0521DF"/>
    <w:rsid w:val="5A074538"/>
    <w:rsid w:val="5A121A9D"/>
    <w:rsid w:val="5A124AB8"/>
    <w:rsid w:val="5A132EDD"/>
    <w:rsid w:val="5A1B2000"/>
    <w:rsid w:val="5A1C32D4"/>
    <w:rsid w:val="5A1D3C0D"/>
    <w:rsid w:val="5A261CE4"/>
    <w:rsid w:val="5A2A3236"/>
    <w:rsid w:val="5A2A3FB1"/>
    <w:rsid w:val="5A2C05B1"/>
    <w:rsid w:val="5A2F1CE1"/>
    <w:rsid w:val="5A3119B3"/>
    <w:rsid w:val="5A317807"/>
    <w:rsid w:val="5A325957"/>
    <w:rsid w:val="5A341524"/>
    <w:rsid w:val="5A350910"/>
    <w:rsid w:val="5A382944"/>
    <w:rsid w:val="5A38436B"/>
    <w:rsid w:val="5A3A0259"/>
    <w:rsid w:val="5A3A2B60"/>
    <w:rsid w:val="5A3A63D7"/>
    <w:rsid w:val="5A3B68D8"/>
    <w:rsid w:val="5A3D61AC"/>
    <w:rsid w:val="5A4070E5"/>
    <w:rsid w:val="5A437BB9"/>
    <w:rsid w:val="5A4410AE"/>
    <w:rsid w:val="5A473F89"/>
    <w:rsid w:val="5A4A6EAF"/>
    <w:rsid w:val="5A4C4641"/>
    <w:rsid w:val="5A4F0DF0"/>
    <w:rsid w:val="5A511C57"/>
    <w:rsid w:val="5A513A05"/>
    <w:rsid w:val="5A517EA9"/>
    <w:rsid w:val="5A5250E7"/>
    <w:rsid w:val="5A5A0B0C"/>
    <w:rsid w:val="5A5A57AD"/>
    <w:rsid w:val="5A5C3994"/>
    <w:rsid w:val="5A5E2E2F"/>
    <w:rsid w:val="5A656479"/>
    <w:rsid w:val="5A6654E7"/>
    <w:rsid w:val="5A6776CD"/>
    <w:rsid w:val="5A6802F5"/>
    <w:rsid w:val="5A692178"/>
    <w:rsid w:val="5A6B7F41"/>
    <w:rsid w:val="5A6F4798"/>
    <w:rsid w:val="5A6F6610"/>
    <w:rsid w:val="5A710032"/>
    <w:rsid w:val="5A7140A7"/>
    <w:rsid w:val="5A720E7D"/>
    <w:rsid w:val="5A7616BE"/>
    <w:rsid w:val="5A76245F"/>
    <w:rsid w:val="5A8233C5"/>
    <w:rsid w:val="5A855F2C"/>
    <w:rsid w:val="5A89377C"/>
    <w:rsid w:val="5A8C5AFD"/>
    <w:rsid w:val="5A8D3A73"/>
    <w:rsid w:val="5A9023B0"/>
    <w:rsid w:val="5A963B0E"/>
    <w:rsid w:val="5A973919"/>
    <w:rsid w:val="5A9B7D6D"/>
    <w:rsid w:val="5A9C2C07"/>
    <w:rsid w:val="5A9E57DD"/>
    <w:rsid w:val="5AA17110"/>
    <w:rsid w:val="5AA21558"/>
    <w:rsid w:val="5AA460B8"/>
    <w:rsid w:val="5AA63D51"/>
    <w:rsid w:val="5AAE5FDB"/>
    <w:rsid w:val="5AB02E22"/>
    <w:rsid w:val="5AB126F6"/>
    <w:rsid w:val="5AB53D42"/>
    <w:rsid w:val="5AB800BD"/>
    <w:rsid w:val="5AB94B49"/>
    <w:rsid w:val="5ABA5A4E"/>
    <w:rsid w:val="5ABD121A"/>
    <w:rsid w:val="5ABD553F"/>
    <w:rsid w:val="5ABF41C0"/>
    <w:rsid w:val="5AC226A1"/>
    <w:rsid w:val="5AC579AF"/>
    <w:rsid w:val="5AC60A34"/>
    <w:rsid w:val="5AC73436"/>
    <w:rsid w:val="5AD029E7"/>
    <w:rsid w:val="5AD237A9"/>
    <w:rsid w:val="5AD308BE"/>
    <w:rsid w:val="5AD325D0"/>
    <w:rsid w:val="5AD810AC"/>
    <w:rsid w:val="5AD8330E"/>
    <w:rsid w:val="5ADC7773"/>
    <w:rsid w:val="5AE1122D"/>
    <w:rsid w:val="5AE26DB5"/>
    <w:rsid w:val="5AE900E2"/>
    <w:rsid w:val="5AE91E90"/>
    <w:rsid w:val="5AEA36DC"/>
    <w:rsid w:val="5AEC2D3D"/>
    <w:rsid w:val="5AF223CA"/>
    <w:rsid w:val="5AF54593"/>
    <w:rsid w:val="5AF7506C"/>
    <w:rsid w:val="5AF80757"/>
    <w:rsid w:val="5B050373"/>
    <w:rsid w:val="5B090B8B"/>
    <w:rsid w:val="5B0D042D"/>
    <w:rsid w:val="5B10566E"/>
    <w:rsid w:val="5B146365"/>
    <w:rsid w:val="5B184C1A"/>
    <w:rsid w:val="5B1A64ED"/>
    <w:rsid w:val="5B1B5813"/>
    <w:rsid w:val="5B2335F4"/>
    <w:rsid w:val="5B250363"/>
    <w:rsid w:val="5B2647E8"/>
    <w:rsid w:val="5B266F2F"/>
    <w:rsid w:val="5B2A75AF"/>
    <w:rsid w:val="5B2F4246"/>
    <w:rsid w:val="5B3254D2"/>
    <w:rsid w:val="5B33158A"/>
    <w:rsid w:val="5B375B07"/>
    <w:rsid w:val="5B386973"/>
    <w:rsid w:val="5B3B77CD"/>
    <w:rsid w:val="5B3C60E9"/>
    <w:rsid w:val="5B3D0410"/>
    <w:rsid w:val="5B3D3983"/>
    <w:rsid w:val="5B3E21DC"/>
    <w:rsid w:val="5B3E6680"/>
    <w:rsid w:val="5B3E6934"/>
    <w:rsid w:val="5B4041A6"/>
    <w:rsid w:val="5B436F3B"/>
    <w:rsid w:val="5B45712F"/>
    <w:rsid w:val="5B4835FF"/>
    <w:rsid w:val="5B5A2D8E"/>
    <w:rsid w:val="5B5A5164"/>
    <w:rsid w:val="5B5F7DE8"/>
    <w:rsid w:val="5B6120A7"/>
    <w:rsid w:val="5B62120F"/>
    <w:rsid w:val="5B622CBA"/>
    <w:rsid w:val="5B6E2CDB"/>
    <w:rsid w:val="5B7062B2"/>
    <w:rsid w:val="5B7756EE"/>
    <w:rsid w:val="5B791466"/>
    <w:rsid w:val="5B7B562E"/>
    <w:rsid w:val="5B7D3E40"/>
    <w:rsid w:val="5B7D4360"/>
    <w:rsid w:val="5B7D77BD"/>
    <w:rsid w:val="5B81656C"/>
    <w:rsid w:val="5B846A35"/>
    <w:rsid w:val="5B88609D"/>
    <w:rsid w:val="5B8966CC"/>
    <w:rsid w:val="5B8B5820"/>
    <w:rsid w:val="5B8C62B2"/>
    <w:rsid w:val="5B8E36FB"/>
    <w:rsid w:val="5B925457"/>
    <w:rsid w:val="5B973548"/>
    <w:rsid w:val="5B975D90"/>
    <w:rsid w:val="5B982195"/>
    <w:rsid w:val="5B994854"/>
    <w:rsid w:val="5BA109BC"/>
    <w:rsid w:val="5BA65FD3"/>
    <w:rsid w:val="5BA87F9D"/>
    <w:rsid w:val="5BA94670"/>
    <w:rsid w:val="5BAD00B5"/>
    <w:rsid w:val="5BAD0434"/>
    <w:rsid w:val="5BAE1FF5"/>
    <w:rsid w:val="5BAE5416"/>
    <w:rsid w:val="5BAE6D4E"/>
    <w:rsid w:val="5BAF30D9"/>
    <w:rsid w:val="5BAF78D1"/>
    <w:rsid w:val="5BB46942"/>
    <w:rsid w:val="5BB66216"/>
    <w:rsid w:val="5BBB27E2"/>
    <w:rsid w:val="5BC22E0D"/>
    <w:rsid w:val="5BC56CAB"/>
    <w:rsid w:val="5BC621D1"/>
    <w:rsid w:val="5BCB5381"/>
    <w:rsid w:val="5BCC10DF"/>
    <w:rsid w:val="5BCC1717"/>
    <w:rsid w:val="5BD13050"/>
    <w:rsid w:val="5BD14DFE"/>
    <w:rsid w:val="5BD4669C"/>
    <w:rsid w:val="5BD6246E"/>
    <w:rsid w:val="5BD7618C"/>
    <w:rsid w:val="5BD963A8"/>
    <w:rsid w:val="5BDC37A3"/>
    <w:rsid w:val="5BDF1E68"/>
    <w:rsid w:val="5BE82D33"/>
    <w:rsid w:val="5BEA2363"/>
    <w:rsid w:val="5BEC1C38"/>
    <w:rsid w:val="5BEE349D"/>
    <w:rsid w:val="5BF23DFB"/>
    <w:rsid w:val="5BFB631F"/>
    <w:rsid w:val="5BFD3E45"/>
    <w:rsid w:val="5BFF3F76"/>
    <w:rsid w:val="5C0056E3"/>
    <w:rsid w:val="5C01084E"/>
    <w:rsid w:val="5C011A74"/>
    <w:rsid w:val="5C016A6C"/>
    <w:rsid w:val="5C037DBB"/>
    <w:rsid w:val="5C063EDE"/>
    <w:rsid w:val="5C0B7D88"/>
    <w:rsid w:val="5C0C052C"/>
    <w:rsid w:val="5C0C22DA"/>
    <w:rsid w:val="5C0C6BB6"/>
    <w:rsid w:val="5C0C6BE4"/>
    <w:rsid w:val="5C171E0B"/>
    <w:rsid w:val="5C1843D5"/>
    <w:rsid w:val="5C1B1AD2"/>
    <w:rsid w:val="5C1B251D"/>
    <w:rsid w:val="5C1D6295"/>
    <w:rsid w:val="5C217E2B"/>
    <w:rsid w:val="5C2632F7"/>
    <w:rsid w:val="5C270EC2"/>
    <w:rsid w:val="5C277114"/>
    <w:rsid w:val="5C293C82"/>
    <w:rsid w:val="5C2F5FC8"/>
    <w:rsid w:val="5C311BAD"/>
    <w:rsid w:val="5C315177"/>
    <w:rsid w:val="5C335AB8"/>
    <w:rsid w:val="5C381321"/>
    <w:rsid w:val="5C3B31D9"/>
    <w:rsid w:val="5C3F26AF"/>
    <w:rsid w:val="5C422FA3"/>
    <w:rsid w:val="5C423F4D"/>
    <w:rsid w:val="5C425823"/>
    <w:rsid w:val="5C4939C2"/>
    <w:rsid w:val="5C50053D"/>
    <w:rsid w:val="5C516CB1"/>
    <w:rsid w:val="5C533A65"/>
    <w:rsid w:val="5C5477DD"/>
    <w:rsid w:val="5C557E28"/>
    <w:rsid w:val="5C5B0B6B"/>
    <w:rsid w:val="5C5D3D2F"/>
    <w:rsid w:val="5C615923"/>
    <w:rsid w:val="5C642116"/>
    <w:rsid w:val="5C671F20"/>
    <w:rsid w:val="5C675762"/>
    <w:rsid w:val="5C68120B"/>
    <w:rsid w:val="5C68135C"/>
    <w:rsid w:val="5C6914DA"/>
    <w:rsid w:val="5C6A7000"/>
    <w:rsid w:val="5C6D4C62"/>
    <w:rsid w:val="5C6F1E26"/>
    <w:rsid w:val="5C700BAA"/>
    <w:rsid w:val="5C70230F"/>
    <w:rsid w:val="5C75446B"/>
    <w:rsid w:val="5C761E49"/>
    <w:rsid w:val="5C797243"/>
    <w:rsid w:val="5C7B3922"/>
    <w:rsid w:val="5C8178FE"/>
    <w:rsid w:val="5C855BE8"/>
    <w:rsid w:val="5C877BB2"/>
    <w:rsid w:val="5C885E3D"/>
    <w:rsid w:val="5C8A048E"/>
    <w:rsid w:val="5C8A2E16"/>
    <w:rsid w:val="5C8A31FF"/>
    <w:rsid w:val="5C8E0F41"/>
    <w:rsid w:val="5C8E6FDB"/>
    <w:rsid w:val="5C9022D9"/>
    <w:rsid w:val="5C902F0B"/>
    <w:rsid w:val="5C912AD3"/>
    <w:rsid w:val="5C913139"/>
    <w:rsid w:val="5C937A37"/>
    <w:rsid w:val="5C9443DE"/>
    <w:rsid w:val="5C9C18B0"/>
    <w:rsid w:val="5C9F2250"/>
    <w:rsid w:val="5CA11A05"/>
    <w:rsid w:val="5CA95D7B"/>
    <w:rsid w:val="5CAB5170"/>
    <w:rsid w:val="5CAE15E3"/>
    <w:rsid w:val="5CB169DD"/>
    <w:rsid w:val="5CB36BF9"/>
    <w:rsid w:val="5CB70498"/>
    <w:rsid w:val="5CBC5AAE"/>
    <w:rsid w:val="5CBF53A6"/>
    <w:rsid w:val="5CC11316"/>
    <w:rsid w:val="5CC22998"/>
    <w:rsid w:val="5CC74453"/>
    <w:rsid w:val="5CC87EA7"/>
    <w:rsid w:val="5CD05098"/>
    <w:rsid w:val="5CD728E8"/>
    <w:rsid w:val="5CD86660"/>
    <w:rsid w:val="5CDD77D2"/>
    <w:rsid w:val="5CE045E7"/>
    <w:rsid w:val="5CED3EB9"/>
    <w:rsid w:val="5CEE7C31"/>
    <w:rsid w:val="5CF54B1C"/>
    <w:rsid w:val="5CFC2C95"/>
    <w:rsid w:val="5CFF0F11"/>
    <w:rsid w:val="5D0179EE"/>
    <w:rsid w:val="5D044C0E"/>
    <w:rsid w:val="5D09586C"/>
    <w:rsid w:val="5D095CCB"/>
    <w:rsid w:val="5D0D653D"/>
    <w:rsid w:val="5D0E5BDE"/>
    <w:rsid w:val="5D107454"/>
    <w:rsid w:val="5D1266BF"/>
    <w:rsid w:val="5D134D91"/>
    <w:rsid w:val="5D137698"/>
    <w:rsid w:val="5D1458EA"/>
    <w:rsid w:val="5D163112"/>
    <w:rsid w:val="5D192F00"/>
    <w:rsid w:val="5D1B7B11"/>
    <w:rsid w:val="5D1C654D"/>
    <w:rsid w:val="5D1D2180"/>
    <w:rsid w:val="5D1E7EEF"/>
    <w:rsid w:val="5D1F40B3"/>
    <w:rsid w:val="5D213B7C"/>
    <w:rsid w:val="5D226AF7"/>
    <w:rsid w:val="5D23146E"/>
    <w:rsid w:val="5D235B2D"/>
    <w:rsid w:val="5D240EF0"/>
    <w:rsid w:val="5D292A17"/>
    <w:rsid w:val="5D2A2868"/>
    <w:rsid w:val="5D2F352B"/>
    <w:rsid w:val="5D2F6C90"/>
    <w:rsid w:val="5D324480"/>
    <w:rsid w:val="5D353719"/>
    <w:rsid w:val="5D3715D8"/>
    <w:rsid w:val="5D376039"/>
    <w:rsid w:val="5D380C0A"/>
    <w:rsid w:val="5D3C04A3"/>
    <w:rsid w:val="5D3F01A3"/>
    <w:rsid w:val="5D431D2B"/>
    <w:rsid w:val="5D465377"/>
    <w:rsid w:val="5D4810F0"/>
    <w:rsid w:val="5D4B5F00"/>
    <w:rsid w:val="5D4E247E"/>
    <w:rsid w:val="5D504448"/>
    <w:rsid w:val="5D57307A"/>
    <w:rsid w:val="5D574A83"/>
    <w:rsid w:val="5D5949A2"/>
    <w:rsid w:val="5D5E1A9C"/>
    <w:rsid w:val="5D607E16"/>
    <w:rsid w:val="5D633679"/>
    <w:rsid w:val="5D6952E9"/>
    <w:rsid w:val="5D6C64B2"/>
    <w:rsid w:val="5D700646"/>
    <w:rsid w:val="5D77168C"/>
    <w:rsid w:val="5D777A24"/>
    <w:rsid w:val="5D781393"/>
    <w:rsid w:val="5D7B4BA8"/>
    <w:rsid w:val="5D7B626B"/>
    <w:rsid w:val="5D7D7E14"/>
    <w:rsid w:val="5D7E0FB5"/>
    <w:rsid w:val="5D7E47AF"/>
    <w:rsid w:val="5D845EA0"/>
    <w:rsid w:val="5D853F47"/>
    <w:rsid w:val="5D8D75FA"/>
    <w:rsid w:val="5D8F7AF3"/>
    <w:rsid w:val="5D947DB7"/>
    <w:rsid w:val="5D9500AD"/>
    <w:rsid w:val="5D9E51B4"/>
    <w:rsid w:val="5DA402F0"/>
    <w:rsid w:val="5DA54B0D"/>
    <w:rsid w:val="5DA622BA"/>
    <w:rsid w:val="5DA64059"/>
    <w:rsid w:val="5DAF4A56"/>
    <w:rsid w:val="5DB1365C"/>
    <w:rsid w:val="5DB137E0"/>
    <w:rsid w:val="5DB21F90"/>
    <w:rsid w:val="5DB4349E"/>
    <w:rsid w:val="5DB6074F"/>
    <w:rsid w:val="5DB91684"/>
    <w:rsid w:val="5DC12035"/>
    <w:rsid w:val="5DC42740"/>
    <w:rsid w:val="5DC61674"/>
    <w:rsid w:val="5DCE768B"/>
    <w:rsid w:val="5DCF7A63"/>
    <w:rsid w:val="5DD76393"/>
    <w:rsid w:val="5DD80482"/>
    <w:rsid w:val="5DDE7158"/>
    <w:rsid w:val="5DE4303D"/>
    <w:rsid w:val="5DEB37B3"/>
    <w:rsid w:val="5DEE0C0C"/>
    <w:rsid w:val="5DF03535"/>
    <w:rsid w:val="5DF37D5E"/>
    <w:rsid w:val="5DF61957"/>
    <w:rsid w:val="5DF634D1"/>
    <w:rsid w:val="5DFA3A6F"/>
    <w:rsid w:val="5DFB2606"/>
    <w:rsid w:val="5DFB43B4"/>
    <w:rsid w:val="5DFB763C"/>
    <w:rsid w:val="5E01073C"/>
    <w:rsid w:val="5E015742"/>
    <w:rsid w:val="5E046BF1"/>
    <w:rsid w:val="5E051C42"/>
    <w:rsid w:val="5E053485"/>
    <w:rsid w:val="5E086AD1"/>
    <w:rsid w:val="5E0C65C1"/>
    <w:rsid w:val="5E0F1244"/>
    <w:rsid w:val="5E0F7E5F"/>
    <w:rsid w:val="5E113BD7"/>
    <w:rsid w:val="5E127BF5"/>
    <w:rsid w:val="5E14515D"/>
    <w:rsid w:val="5E1D3E3B"/>
    <w:rsid w:val="5E231B5D"/>
    <w:rsid w:val="5E265920"/>
    <w:rsid w:val="5E282CCF"/>
    <w:rsid w:val="5E297BDA"/>
    <w:rsid w:val="5E2B7EEF"/>
    <w:rsid w:val="5E2F0501"/>
    <w:rsid w:val="5E2F3662"/>
    <w:rsid w:val="5E330A7D"/>
    <w:rsid w:val="5E335697"/>
    <w:rsid w:val="5E36363E"/>
    <w:rsid w:val="5E383CEC"/>
    <w:rsid w:val="5E473A9D"/>
    <w:rsid w:val="5E4919B0"/>
    <w:rsid w:val="5E4A0E97"/>
    <w:rsid w:val="5E4E007B"/>
    <w:rsid w:val="5E4E4E2C"/>
    <w:rsid w:val="5E5267D5"/>
    <w:rsid w:val="5E547F68"/>
    <w:rsid w:val="5E574F7A"/>
    <w:rsid w:val="5E59557E"/>
    <w:rsid w:val="5E5C22A5"/>
    <w:rsid w:val="5E5C6533"/>
    <w:rsid w:val="5E6006BB"/>
    <w:rsid w:val="5E624BF7"/>
    <w:rsid w:val="5E631F59"/>
    <w:rsid w:val="5E681851"/>
    <w:rsid w:val="5E6A32E8"/>
    <w:rsid w:val="5E6C52B2"/>
    <w:rsid w:val="5E6D3270"/>
    <w:rsid w:val="5E784A35"/>
    <w:rsid w:val="5E79352B"/>
    <w:rsid w:val="5E8048B9"/>
    <w:rsid w:val="5E842CB9"/>
    <w:rsid w:val="5E884785"/>
    <w:rsid w:val="5E884C71"/>
    <w:rsid w:val="5E8B1A19"/>
    <w:rsid w:val="5E8C0F16"/>
    <w:rsid w:val="5E8C14B0"/>
    <w:rsid w:val="5E8D24F9"/>
    <w:rsid w:val="5E8E09B4"/>
    <w:rsid w:val="5E925F50"/>
    <w:rsid w:val="5E9840CC"/>
    <w:rsid w:val="5E9A67EE"/>
    <w:rsid w:val="5E9B51BD"/>
    <w:rsid w:val="5E9B5A83"/>
    <w:rsid w:val="5E9B7907"/>
    <w:rsid w:val="5EA1712F"/>
    <w:rsid w:val="5EAB402C"/>
    <w:rsid w:val="5EAC1B52"/>
    <w:rsid w:val="5EAD7356"/>
    <w:rsid w:val="5EB641E4"/>
    <w:rsid w:val="5EB8554A"/>
    <w:rsid w:val="5EB86749"/>
    <w:rsid w:val="5EB92998"/>
    <w:rsid w:val="5EBA7A7D"/>
    <w:rsid w:val="5EBF3633"/>
    <w:rsid w:val="5ECA1FD8"/>
    <w:rsid w:val="5ECE3876"/>
    <w:rsid w:val="5ECF75EF"/>
    <w:rsid w:val="5ED6097D"/>
    <w:rsid w:val="5ED81B73"/>
    <w:rsid w:val="5ED9330A"/>
    <w:rsid w:val="5EDA046D"/>
    <w:rsid w:val="5EDA221B"/>
    <w:rsid w:val="5EE50BC0"/>
    <w:rsid w:val="5EF01A3F"/>
    <w:rsid w:val="5EF46122"/>
    <w:rsid w:val="5EF66586"/>
    <w:rsid w:val="5EFD0600"/>
    <w:rsid w:val="5F04373C"/>
    <w:rsid w:val="5F045E54"/>
    <w:rsid w:val="5F053010"/>
    <w:rsid w:val="5F0D0843"/>
    <w:rsid w:val="5F13397F"/>
    <w:rsid w:val="5F145914"/>
    <w:rsid w:val="5F157971"/>
    <w:rsid w:val="5F177342"/>
    <w:rsid w:val="5F177DFA"/>
    <w:rsid w:val="5F1A68A4"/>
    <w:rsid w:val="5F261904"/>
    <w:rsid w:val="5F2B0CC9"/>
    <w:rsid w:val="5F322057"/>
    <w:rsid w:val="5F330789"/>
    <w:rsid w:val="5F34044B"/>
    <w:rsid w:val="5F37703F"/>
    <w:rsid w:val="5F39246D"/>
    <w:rsid w:val="5F3A715E"/>
    <w:rsid w:val="5F3D626F"/>
    <w:rsid w:val="5F3E25A9"/>
    <w:rsid w:val="5F4207F4"/>
    <w:rsid w:val="5F481CA4"/>
    <w:rsid w:val="5F5170B2"/>
    <w:rsid w:val="5F54485B"/>
    <w:rsid w:val="5F5A6D0B"/>
    <w:rsid w:val="5F614678"/>
    <w:rsid w:val="5F63098D"/>
    <w:rsid w:val="5F644ACE"/>
    <w:rsid w:val="5F645F89"/>
    <w:rsid w:val="5F677827"/>
    <w:rsid w:val="5F6B5569"/>
    <w:rsid w:val="5F6C2746"/>
    <w:rsid w:val="5F76759B"/>
    <w:rsid w:val="5F76780E"/>
    <w:rsid w:val="5F7E3F50"/>
    <w:rsid w:val="5F8078C1"/>
    <w:rsid w:val="5F873342"/>
    <w:rsid w:val="5F8D29F2"/>
    <w:rsid w:val="5F904FD0"/>
    <w:rsid w:val="5F905D99"/>
    <w:rsid w:val="5F913938"/>
    <w:rsid w:val="5F947AD8"/>
    <w:rsid w:val="5F96510A"/>
    <w:rsid w:val="5FA6034F"/>
    <w:rsid w:val="5FA9719B"/>
    <w:rsid w:val="5FAB292D"/>
    <w:rsid w:val="5FAB7403"/>
    <w:rsid w:val="5FAD16DE"/>
    <w:rsid w:val="5FAF0602"/>
    <w:rsid w:val="5FB415AB"/>
    <w:rsid w:val="5FB67FA1"/>
    <w:rsid w:val="5FBC3FDF"/>
    <w:rsid w:val="5FC17A7E"/>
    <w:rsid w:val="5FC23BC4"/>
    <w:rsid w:val="5FC52ECB"/>
    <w:rsid w:val="5FC66C44"/>
    <w:rsid w:val="5FC829BC"/>
    <w:rsid w:val="5FC924B7"/>
    <w:rsid w:val="5FD01870"/>
    <w:rsid w:val="5FD15339"/>
    <w:rsid w:val="5FD22652"/>
    <w:rsid w:val="5FDA0E6E"/>
    <w:rsid w:val="5FE64BF0"/>
    <w:rsid w:val="5FE80968"/>
    <w:rsid w:val="5FE8367E"/>
    <w:rsid w:val="5FEA3E4B"/>
    <w:rsid w:val="5FF94923"/>
    <w:rsid w:val="600734E4"/>
    <w:rsid w:val="6008725C"/>
    <w:rsid w:val="6014175D"/>
    <w:rsid w:val="60151F2C"/>
    <w:rsid w:val="601577B0"/>
    <w:rsid w:val="601856F1"/>
    <w:rsid w:val="601A3092"/>
    <w:rsid w:val="601D5D26"/>
    <w:rsid w:val="602120CC"/>
    <w:rsid w:val="60263E4C"/>
    <w:rsid w:val="602C3651"/>
    <w:rsid w:val="602E01B2"/>
    <w:rsid w:val="602E60BA"/>
    <w:rsid w:val="602F1E3E"/>
    <w:rsid w:val="6031230F"/>
    <w:rsid w:val="60314163"/>
    <w:rsid w:val="60316CD8"/>
    <w:rsid w:val="6039192A"/>
    <w:rsid w:val="603B61DC"/>
    <w:rsid w:val="603D3188"/>
    <w:rsid w:val="603E7E4C"/>
    <w:rsid w:val="6042451C"/>
    <w:rsid w:val="60453A0D"/>
    <w:rsid w:val="604A1623"/>
    <w:rsid w:val="604A7D3E"/>
    <w:rsid w:val="604E09DF"/>
    <w:rsid w:val="604E7580"/>
    <w:rsid w:val="604F043C"/>
    <w:rsid w:val="605229AF"/>
    <w:rsid w:val="6054424F"/>
    <w:rsid w:val="60545FFD"/>
    <w:rsid w:val="605E0C2A"/>
    <w:rsid w:val="605F2313"/>
    <w:rsid w:val="605F7014"/>
    <w:rsid w:val="605F7E8E"/>
    <w:rsid w:val="606565DA"/>
    <w:rsid w:val="606721D5"/>
    <w:rsid w:val="606A75CF"/>
    <w:rsid w:val="606C1599"/>
    <w:rsid w:val="606E656D"/>
    <w:rsid w:val="606F5241"/>
    <w:rsid w:val="60732927"/>
    <w:rsid w:val="607355F5"/>
    <w:rsid w:val="60787F3E"/>
    <w:rsid w:val="607D013A"/>
    <w:rsid w:val="60803296"/>
    <w:rsid w:val="60813E90"/>
    <w:rsid w:val="60853036"/>
    <w:rsid w:val="608531FB"/>
    <w:rsid w:val="608E7761"/>
    <w:rsid w:val="60997EB4"/>
    <w:rsid w:val="609B3C2C"/>
    <w:rsid w:val="609B59DA"/>
    <w:rsid w:val="609D4E6C"/>
    <w:rsid w:val="60A316C6"/>
    <w:rsid w:val="60AC1EAB"/>
    <w:rsid w:val="60AF1486"/>
    <w:rsid w:val="60B1723B"/>
    <w:rsid w:val="60B5337C"/>
    <w:rsid w:val="60B71822"/>
    <w:rsid w:val="60BA574C"/>
    <w:rsid w:val="60BB2B77"/>
    <w:rsid w:val="60BB607C"/>
    <w:rsid w:val="60BD6710"/>
    <w:rsid w:val="60BE685E"/>
    <w:rsid w:val="60BE78DB"/>
    <w:rsid w:val="60C73D08"/>
    <w:rsid w:val="60CB38E5"/>
    <w:rsid w:val="60CE5DB0"/>
    <w:rsid w:val="60CF38D6"/>
    <w:rsid w:val="60D31618"/>
    <w:rsid w:val="60D36BF4"/>
    <w:rsid w:val="60D3721E"/>
    <w:rsid w:val="60D66C58"/>
    <w:rsid w:val="60D71846"/>
    <w:rsid w:val="60DA4B7E"/>
    <w:rsid w:val="60E455D3"/>
    <w:rsid w:val="60F03F78"/>
    <w:rsid w:val="60F11A9E"/>
    <w:rsid w:val="60F375C4"/>
    <w:rsid w:val="60F90B0F"/>
    <w:rsid w:val="60FB0B6F"/>
    <w:rsid w:val="60FF41BB"/>
    <w:rsid w:val="60FF5A53"/>
    <w:rsid w:val="61003BFE"/>
    <w:rsid w:val="610213BB"/>
    <w:rsid w:val="61073070"/>
    <w:rsid w:val="610921D9"/>
    <w:rsid w:val="610D26F0"/>
    <w:rsid w:val="610D63F4"/>
    <w:rsid w:val="611F485D"/>
    <w:rsid w:val="612164E3"/>
    <w:rsid w:val="61245A89"/>
    <w:rsid w:val="61261CDB"/>
    <w:rsid w:val="61271964"/>
    <w:rsid w:val="61281ABA"/>
    <w:rsid w:val="61286B5F"/>
    <w:rsid w:val="6129748A"/>
    <w:rsid w:val="612E72BF"/>
    <w:rsid w:val="613042A1"/>
    <w:rsid w:val="61310AA8"/>
    <w:rsid w:val="6131633F"/>
    <w:rsid w:val="613340D5"/>
    <w:rsid w:val="61371E14"/>
    <w:rsid w:val="613A1697"/>
    <w:rsid w:val="613D4B85"/>
    <w:rsid w:val="613E7A87"/>
    <w:rsid w:val="61424FDB"/>
    <w:rsid w:val="61444E12"/>
    <w:rsid w:val="61454AC0"/>
    <w:rsid w:val="61471E39"/>
    <w:rsid w:val="61477910"/>
    <w:rsid w:val="6148332F"/>
    <w:rsid w:val="61493688"/>
    <w:rsid w:val="614B38A4"/>
    <w:rsid w:val="614B5652"/>
    <w:rsid w:val="614C6D88"/>
    <w:rsid w:val="614D50ED"/>
    <w:rsid w:val="615515D0"/>
    <w:rsid w:val="615564D1"/>
    <w:rsid w:val="61565011"/>
    <w:rsid w:val="61567E7B"/>
    <w:rsid w:val="61573193"/>
    <w:rsid w:val="615A3AE7"/>
    <w:rsid w:val="615C785F"/>
    <w:rsid w:val="615F10FE"/>
    <w:rsid w:val="61600F68"/>
    <w:rsid w:val="616417C8"/>
    <w:rsid w:val="61665FE8"/>
    <w:rsid w:val="61670626"/>
    <w:rsid w:val="61671D60"/>
    <w:rsid w:val="61672B62"/>
    <w:rsid w:val="61673788"/>
    <w:rsid w:val="61684008"/>
    <w:rsid w:val="61686204"/>
    <w:rsid w:val="61696626"/>
    <w:rsid w:val="616B1851"/>
    <w:rsid w:val="61706E67"/>
    <w:rsid w:val="617200A8"/>
    <w:rsid w:val="617526CF"/>
    <w:rsid w:val="61761FA3"/>
    <w:rsid w:val="6179718E"/>
    <w:rsid w:val="617C580C"/>
    <w:rsid w:val="618047C8"/>
    <w:rsid w:val="6181595E"/>
    <w:rsid w:val="618178A0"/>
    <w:rsid w:val="61852073"/>
    <w:rsid w:val="619012B7"/>
    <w:rsid w:val="619C7A61"/>
    <w:rsid w:val="619E0A91"/>
    <w:rsid w:val="619E26DC"/>
    <w:rsid w:val="61A94127"/>
    <w:rsid w:val="61AA08FD"/>
    <w:rsid w:val="61AD1E69"/>
    <w:rsid w:val="61AD486F"/>
    <w:rsid w:val="61B01959"/>
    <w:rsid w:val="61B52ACC"/>
    <w:rsid w:val="61B617A7"/>
    <w:rsid w:val="61B6461C"/>
    <w:rsid w:val="61B74602"/>
    <w:rsid w:val="61BE4076"/>
    <w:rsid w:val="61BE4DEC"/>
    <w:rsid w:val="61C3608D"/>
    <w:rsid w:val="61C84633"/>
    <w:rsid w:val="61C947C9"/>
    <w:rsid w:val="61CD5A78"/>
    <w:rsid w:val="61D429F9"/>
    <w:rsid w:val="61D63CAD"/>
    <w:rsid w:val="61DA4E9E"/>
    <w:rsid w:val="61DB783C"/>
    <w:rsid w:val="61DD4B62"/>
    <w:rsid w:val="61E138C1"/>
    <w:rsid w:val="61E168BA"/>
    <w:rsid w:val="61F25ACE"/>
    <w:rsid w:val="61F56B7E"/>
    <w:rsid w:val="61F67C4B"/>
    <w:rsid w:val="61FB21BD"/>
    <w:rsid w:val="61FF2816"/>
    <w:rsid w:val="62027573"/>
    <w:rsid w:val="62051CA5"/>
    <w:rsid w:val="62085F01"/>
    <w:rsid w:val="62086AA6"/>
    <w:rsid w:val="62095EEC"/>
    <w:rsid w:val="620B6B90"/>
    <w:rsid w:val="620E393B"/>
    <w:rsid w:val="6211271F"/>
    <w:rsid w:val="621470FE"/>
    <w:rsid w:val="62162102"/>
    <w:rsid w:val="62165C60"/>
    <w:rsid w:val="621719D8"/>
    <w:rsid w:val="621842B5"/>
    <w:rsid w:val="62196ADD"/>
    <w:rsid w:val="621A6656"/>
    <w:rsid w:val="621D4A3A"/>
    <w:rsid w:val="621E52BD"/>
    <w:rsid w:val="6220088D"/>
    <w:rsid w:val="62246A3D"/>
    <w:rsid w:val="62261C1B"/>
    <w:rsid w:val="622639C9"/>
    <w:rsid w:val="622F287E"/>
    <w:rsid w:val="62340B58"/>
    <w:rsid w:val="623B4B2F"/>
    <w:rsid w:val="623B7475"/>
    <w:rsid w:val="623D710D"/>
    <w:rsid w:val="623E1C97"/>
    <w:rsid w:val="6240364A"/>
    <w:rsid w:val="62404A8B"/>
    <w:rsid w:val="62434A30"/>
    <w:rsid w:val="6245446B"/>
    <w:rsid w:val="62470D4F"/>
    <w:rsid w:val="6247406C"/>
    <w:rsid w:val="62476747"/>
    <w:rsid w:val="62481B92"/>
    <w:rsid w:val="624A085E"/>
    <w:rsid w:val="624A4CA7"/>
    <w:rsid w:val="624A76B8"/>
    <w:rsid w:val="62515309"/>
    <w:rsid w:val="62564C0E"/>
    <w:rsid w:val="625763D3"/>
    <w:rsid w:val="625A308E"/>
    <w:rsid w:val="625E7607"/>
    <w:rsid w:val="626133B3"/>
    <w:rsid w:val="6266691D"/>
    <w:rsid w:val="62683FE2"/>
    <w:rsid w:val="626A38F8"/>
    <w:rsid w:val="626D3C1F"/>
    <w:rsid w:val="627110E9"/>
    <w:rsid w:val="62724104"/>
    <w:rsid w:val="627357C6"/>
    <w:rsid w:val="62764951"/>
    <w:rsid w:val="62777968"/>
    <w:rsid w:val="627C760C"/>
    <w:rsid w:val="6281569B"/>
    <w:rsid w:val="628232F6"/>
    <w:rsid w:val="628506F0"/>
    <w:rsid w:val="62853B0F"/>
    <w:rsid w:val="62865F31"/>
    <w:rsid w:val="62874F78"/>
    <w:rsid w:val="628801E0"/>
    <w:rsid w:val="628A7090"/>
    <w:rsid w:val="628B010C"/>
    <w:rsid w:val="628D1212"/>
    <w:rsid w:val="62950184"/>
    <w:rsid w:val="62982639"/>
    <w:rsid w:val="62993E27"/>
    <w:rsid w:val="629B6165"/>
    <w:rsid w:val="62A0377C"/>
    <w:rsid w:val="62A15DCF"/>
    <w:rsid w:val="62AA45FB"/>
    <w:rsid w:val="62AA63A9"/>
    <w:rsid w:val="62AD6E5E"/>
    <w:rsid w:val="62AE5609"/>
    <w:rsid w:val="62AF7E63"/>
    <w:rsid w:val="62B24D39"/>
    <w:rsid w:val="62B338DF"/>
    <w:rsid w:val="62B33B05"/>
    <w:rsid w:val="62B40FD5"/>
    <w:rsid w:val="62B44609"/>
    <w:rsid w:val="62B9483E"/>
    <w:rsid w:val="62B963DF"/>
    <w:rsid w:val="62BB36AE"/>
    <w:rsid w:val="62C507C9"/>
    <w:rsid w:val="62C944DC"/>
    <w:rsid w:val="62CC27C3"/>
    <w:rsid w:val="62CC4571"/>
    <w:rsid w:val="62D35CBD"/>
    <w:rsid w:val="62D376AD"/>
    <w:rsid w:val="62D4157E"/>
    <w:rsid w:val="62D4425D"/>
    <w:rsid w:val="62D6745D"/>
    <w:rsid w:val="62D926AC"/>
    <w:rsid w:val="62D96C3F"/>
    <w:rsid w:val="62DA31AC"/>
    <w:rsid w:val="62DB0EBB"/>
    <w:rsid w:val="62DC3E7F"/>
    <w:rsid w:val="62DE49A2"/>
    <w:rsid w:val="62DF6EE2"/>
    <w:rsid w:val="62E0207B"/>
    <w:rsid w:val="62E13C90"/>
    <w:rsid w:val="62E278F0"/>
    <w:rsid w:val="62E47B0C"/>
    <w:rsid w:val="62E532B7"/>
    <w:rsid w:val="62E553F8"/>
    <w:rsid w:val="62EB4856"/>
    <w:rsid w:val="62F01445"/>
    <w:rsid w:val="62F133AA"/>
    <w:rsid w:val="62F176D3"/>
    <w:rsid w:val="62F63D73"/>
    <w:rsid w:val="62F775D9"/>
    <w:rsid w:val="62FB092D"/>
    <w:rsid w:val="62FB593B"/>
    <w:rsid w:val="62FD472A"/>
    <w:rsid w:val="62FE612C"/>
    <w:rsid w:val="62FF66F4"/>
    <w:rsid w:val="63043D0B"/>
    <w:rsid w:val="6305105C"/>
    <w:rsid w:val="63055C5C"/>
    <w:rsid w:val="63086285"/>
    <w:rsid w:val="630A6E47"/>
    <w:rsid w:val="630B3074"/>
    <w:rsid w:val="630B6AD1"/>
    <w:rsid w:val="630F26A7"/>
    <w:rsid w:val="631101D6"/>
    <w:rsid w:val="63115F02"/>
    <w:rsid w:val="631A52DC"/>
    <w:rsid w:val="631B3784"/>
    <w:rsid w:val="63212B0F"/>
    <w:rsid w:val="63224191"/>
    <w:rsid w:val="63240476"/>
    <w:rsid w:val="63241148"/>
    <w:rsid w:val="63283A59"/>
    <w:rsid w:val="63285902"/>
    <w:rsid w:val="632E0D88"/>
    <w:rsid w:val="63323318"/>
    <w:rsid w:val="633914DA"/>
    <w:rsid w:val="633B5334"/>
    <w:rsid w:val="633D1E1A"/>
    <w:rsid w:val="633F46AC"/>
    <w:rsid w:val="63436839"/>
    <w:rsid w:val="63495BC1"/>
    <w:rsid w:val="634B05D4"/>
    <w:rsid w:val="634B7B8C"/>
    <w:rsid w:val="634C3904"/>
    <w:rsid w:val="634C7460"/>
    <w:rsid w:val="634F2528"/>
    <w:rsid w:val="634F3DC0"/>
    <w:rsid w:val="63506F50"/>
    <w:rsid w:val="63511F1B"/>
    <w:rsid w:val="63521F35"/>
    <w:rsid w:val="635F7193"/>
    <w:rsid w:val="635F7E2E"/>
    <w:rsid w:val="6364795D"/>
    <w:rsid w:val="63686489"/>
    <w:rsid w:val="63691DC0"/>
    <w:rsid w:val="636B7541"/>
    <w:rsid w:val="636C0C76"/>
    <w:rsid w:val="637000E8"/>
    <w:rsid w:val="63735A70"/>
    <w:rsid w:val="63742E9E"/>
    <w:rsid w:val="63770EE3"/>
    <w:rsid w:val="637B54AE"/>
    <w:rsid w:val="637C2335"/>
    <w:rsid w:val="637D1D0F"/>
    <w:rsid w:val="637F4A2A"/>
    <w:rsid w:val="637F7835"/>
    <w:rsid w:val="638065ED"/>
    <w:rsid w:val="63816053"/>
    <w:rsid w:val="6384309D"/>
    <w:rsid w:val="63852F99"/>
    <w:rsid w:val="638B1439"/>
    <w:rsid w:val="638F4127"/>
    <w:rsid w:val="63911317"/>
    <w:rsid w:val="639244CE"/>
    <w:rsid w:val="63964B41"/>
    <w:rsid w:val="6397692D"/>
    <w:rsid w:val="639B76DD"/>
    <w:rsid w:val="639C64B4"/>
    <w:rsid w:val="639E2124"/>
    <w:rsid w:val="63A252D2"/>
    <w:rsid w:val="63A612D5"/>
    <w:rsid w:val="63A62F65"/>
    <w:rsid w:val="63A63014"/>
    <w:rsid w:val="63A66B70"/>
    <w:rsid w:val="63A759EE"/>
    <w:rsid w:val="63A94441"/>
    <w:rsid w:val="63A96660"/>
    <w:rsid w:val="63AB284B"/>
    <w:rsid w:val="63AB4186"/>
    <w:rsid w:val="63B23767"/>
    <w:rsid w:val="63B81CCF"/>
    <w:rsid w:val="63BA086D"/>
    <w:rsid w:val="63BA261B"/>
    <w:rsid w:val="63BC6393"/>
    <w:rsid w:val="63BF5A0E"/>
    <w:rsid w:val="63C00461"/>
    <w:rsid w:val="63C27722"/>
    <w:rsid w:val="63C40A8D"/>
    <w:rsid w:val="63C67212"/>
    <w:rsid w:val="63C81B5F"/>
    <w:rsid w:val="63CA4D92"/>
    <w:rsid w:val="63CC0090"/>
    <w:rsid w:val="63CD3CB8"/>
    <w:rsid w:val="63CE4281"/>
    <w:rsid w:val="63CE7B03"/>
    <w:rsid w:val="63D136B6"/>
    <w:rsid w:val="63D23E09"/>
    <w:rsid w:val="63D336DD"/>
    <w:rsid w:val="63D640D5"/>
    <w:rsid w:val="63D80CF3"/>
    <w:rsid w:val="63DF51BF"/>
    <w:rsid w:val="63DF6526"/>
    <w:rsid w:val="63DF6848"/>
    <w:rsid w:val="63E458EA"/>
    <w:rsid w:val="63EB6C79"/>
    <w:rsid w:val="63EF60B0"/>
    <w:rsid w:val="63F14296"/>
    <w:rsid w:val="63F42E75"/>
    <w:rsid w:val="63F74FD3"/>
    <w:rsid w:val="63FC0E86"/>
    <w:rsid w:val="63FE776F"/>
    <w:rsid w:val="6401192F"/>
    <w:rsid w:val="64012DCD"/>
    <w:rsid w:val="64016D84"/>
    <w:rsid w:val="64032214"/>
    <w:rsid w:val="64087672"/>
    <w:rsid w:val="640D2277"/>
    <w:rsid w:val="641417A5"/>
    <w:rsid w:val="64142142"/>
    <w:rsid w:val="64155AA4"/>
    <w:rsid w:val="641E0DFC"/>
    <w:rsid w:val="641E704E"/>
    <w:rsid w:val="641F2CE2"/>
    <w:rsid w:val="641F5CF2"/>
    <w:rsid w:val="64202DC6"/>
    <w:rsid w:val="642230A6"/>
    <w:rsid w:val="64234664"/>
    <w:rsid w:val="64260D50"/>
    <w:rsid w:val="64276F94"/>
    <w:rsid w:val="642A280D"/>
    <w:rsid w:val="642F3009"/>
    <w:rsid w:val="643028DD"/>
    <w:rsid w:val="643060B3"/>
    <w:rsid w:val="643C226B"/>
    <w:rsid w:val="64403ED8"/>
    <w:rsid w:val="64405216"/>
    <w:rsid w:val="64421CBA"/>
    <w:rsid w:val="644E29D3"/>
    <w:rsid w:val="644E2B7B"/>
    <w:rsid w:val="644E6E76"/>
    <w:rsid w:val="644F12EF"/>
    <w:rsid w:val="64504D2E"/>
    <w:rsid w:val="64511B39"/>
    <w:rsid w:val="645411FD"/>
    <w:rsid w:val="64584BAD"/>
    <w:rsid w:val="645B552C"/>
    <w:rsid w:val="64611270"/>
    <w:rsid w:val="64631D60"/>
    <w:rsid w:val="64634A61"/>
    <w:rsid w:val="64656A2B"/>
    <w:rsid w:val="64685665"/>
    <w:rsid w:val="646A2293"/>
    <w:rsid w:val="646D255C"/>
    <w:rsid w:val="647153D0"/>
    <w:rsid w:val="647749B0"/>
    <w:rsid w:val="64776999"/>
    <w:rsid w:val="647A02E0"/>
    <w:rsid w:val="647B624F"/>
    <w:rsid w:val="647B7FFD"/>
    <w:rsid w:val="64803865"/>
    <w:rsid w:val="648149B7"/>
    <w:rsid w:val="648312A7"/>
    <w:rsid w:val="64863547"/>
    <w:rsid w:val="64872E45"/>
    <w:rsid w:val="648A46E4"/>
    <w:rsid w:val="64915A72"/>
    <w:rsid w:val="6492058C"/>
    <w:rsid w:val="6492774D"/>
    <w:rsid w:val="64944265"/>
    <w:rsid w:val="649B3E72"/>
    <w:rsid w:val="649E3DC5"/>
    <w:rsid w:val="64A077EC"/>
    <w:rsid w:val="64A44FF0"/>
    <w:rsid w:val="64A54380"/>
    <w:rsid w:val="64A84855"/>
    <w:rsid w:val="64AA08E2"/>
    <w:rsid w:val="64AB05AF"/>
    <w:rsid w:val="64B33C3A"/>
    <w:rsid w:val="64B37004"/>
    <w:rsid w:val="64B47BF8"/>
    <w:rsid w:val="64B74DAD"/>
    <w:rsid w:val="64B84025"/>
    <w:rsid w:val="64BC7BC3"/>
    <w:rsid w:val="64BD5616"/>
    <w:rsid w:val="64C212F1"/>
    <w:rsid w:val="64C51278"/>
    <w:rsid w:val="64C8512E"/>
    <w:rsid w:val="64C9644F"/>
    <w:rsid w:val="64CD5079"/>
    <w:rsid w:val="64D059FD"/>
    <w:rsid w:val="64D06152"/>
    <w:rsid w:val="64D17418"/>
    <w:rsid w:val="64D2120A"/>
    <w:rsid w:val="64D43BB1"/>
    <w:rsid w:val="64D6170C"/>
    <w:rsid w:val="64D8544F"/>
    <w:rsid w:val="64D9638C"/>
    <w:rsid w:val="64D97C6F"/>
    <w:rsid w:val="64DD4813"/>
    <w:rsid w:val="64DE67DD"/>
    <w:rsid w:val="64E2347A"/>
    <w:rsid w:val="64E77440"/>
    <w:rsid w:val="64EC323A"/>
    <w:rsid w:val="64EF4547"/>
    <w:rsid w:val="64F031D4"/>
    <w:rsid w:val="64F63B27"/>
    <w:rsid w:val="64F8164D"/>
    <w:rsid w:val="64F81CAE"/>
    <w:rsid w:val="64FD3107"/>
    <w:rsid w:val="64FE29DC"/>
    <w:rsid w:val="64FE321B"/>
    <w:rsid w:val="65003C4E"/>
    <w:rsid w:val="650049A6"/>
    <w:rsid w:val="65031DA0"/>
    <w:rsid w:val="65037FF2"/>
    <w:rsid w:val="65085009"/>
    <w:rsid w:val="650A10D3"/>
    <w:rsid w:val="650B39F5"/>
    <w:rsid w:val="651A6124"/>
    <w:rsid w:val="651B17E0"/>
    <w:rsid w:val="651C1E7C"/>
    <w:rsid w:val="651D7310"/>
    <w:rsid w:val="651E4C38"/>
    <w:rsid w:val="65242442"/>
    <w:rsid w:val="6525440C"/>
    <w:rsid w:val="65271052"/>
    <w:rsid w:val="652C2D84"/>
    <w:rsid w:val="652E6CD7"/>
    <w:rsid w:val="653103A5"/>
    <w:rsid w:val="65323CE2"/>
    <w:rsid w:val="653667D3"/>
    <w:rsid w:val="65394C60"/>
    <w:rsid w:val="653B0769"/>
    <w:rsid w:val="653B6ADF"/>
    <w:rsid w:val="653C156A"/>
    <w:rsid w:val="653F3F71"/>
    <w:rsid w:val="65401246"/>
    <w:rsid w:val="65414C11"/>
    <w:rsid w:val="65452B0E"/>
    <w:rsid w:val="654E77B3"/>
    <w:rsid w:val="654F1498"/>
    <w:rsid w:val="65546448"/>
    <w:rsid w:val="655604D2"/>
    <w:rsid w:val="655F0592"/>
    <w:rsid w:val="65637788"/>
    <w:rsid w:val="65644F35"/>
    <w:rsid w:val="656A1E1F"/>
    <w:rsid w:val="656A38BF"/>
    <w:rsid w:val="656B3569"/>
    <w:rsid w:val="656B7FBE"/>
    <w:rsid w:val="656C01D4"/>
    <w:rsid w:val="657B15BD"/>
    <w:rsid w:val="657D1B52"/>
    <w:rsid w:val="657E7B5C"/>
    <w:rsid w:val="657F7AF2"/>
    <w:rsid w:val="658137B1"/>
    <w:rsid w:val="65817851"/>
    <w:rsid w:val="658253BB"/>
    <w:rsid w:val="65831215"/>
    <w:rsid w:val="65852D31"/>
    <w:rsid w:val="658A0094"/>
    <w:rsid w:val="658A426F"/>
    <w:rsid w:val="658C4586"/>
    <w:rsid w:val="658D5441"/>
    <w:rsid w:val="65903E57"/>
    <w:rsid w:val="65905648"/>
    <w:rsid w:val="65960E66"/>
    <w:rsid w:val="65971729"/>
    <w:rsid w:val="659850ED"/>
    <w:rsid w:val="659A0956"/>
    <w:rsid w:val="659A600C"/>
    <w:rsid w:val="659C46CE"/>
    <w:rsid w:val="65A17F37"/>
    <w:rsid w:val="65A2617E"/>
    <w:rsid w:val="65A866B5"/>
    <w:rsid w:val="65AC068A"/>
    <w:rsid w:val="65AE4402"/>
    <w:rsid w:val="65AE7F5E"/>
    <w:rsid w:val="65B754EE"/>
    <w:rsid w:val="65C20481"/>
    <w:rsid w:val="65CB0B10"/>
    <w:rsid w:val="65CB4592"/>
    <w:rsid w:val="65CC6636"/>
    <w:rsid w:val="65CE550C"/>
    <w:rsid w:val="65D2213C"/>
    <w:rsid w:val="65D33E68"/>
    <w:rsid w:val="65D379C4"/>
    <w:rsid w:val="65D73958"/>
    <w:rsid w:val="65D8147F"/>
    <w:rsid w:val="65DE2565"/>
    <w:rsid w:val="65DE2D4F"/>
    <w:rsid w:val="65DF336C"/>
    <w:rsid w:val="65E25E59"/>
    <w:rsid w:val="65E3060E"/>
    <w:rsid w:val="65E35C92"/>
    <w:rsid w:val="65E771EE"/>
    <w:rsid w:val="65EA307D"/>
    <w:rsid w:val="65EB2F60"/>
    <w:rsid w:val="65EE6960"/>
    <w:rsid w:val="65F0429F"/>
    <w:rsid w:val="65F10D96"/>
    <w:rsid w:val="65F66A61"/>
    <w:rsid w:val="65F71905"/>
    <w:rsid w:val="65FB6F6F"/>
    <w:rsid w:val="65FC46C9"/>
    <w:rsid w:val="65FF2BD8"/>
    <w:rsid w:val="65FF4C2D"/>
    <w:rsid w:val="660026D2"/>
    <w:rsid w:val="66014531"/>
    <w:rsid w:val="66024B2B"/>
    <w:rsid w:val="66076DF7"/>
    <w:rsid w:val="66091638"/>
    <w:rsid w:val="660A5ADC"/>
    <w:rsid w:val="660C0B62"/>
    <w:rsid w:val="660D737A"/>
    <w:rsid w:val="660E6661"/>
    <w:rsid w:val="660F4894"/>
    <w:rsid w:val="6614796A"/>
    <w:rsid w:val="66164C9A"/>
    <w:rsid w:val="66167260"/>
    <w:rsid w:val="661A1A97"/>
    <w:rsid w:val="662463E4"/>
    <w:rsid w:val="66256DBE"/>
    <w:rsid w:val="66263F98"/>
    <w:rsid w:val="66283984"/>
    <w:rsid w:val="662932A3"/>
    <w:rsid w:val="662E109F"/>
    <w:rsid w:val="662F5543"/>
    <w:rsid w:val="663072F4"/>
    <w:rsid w:val="663112CB"/>
    <w:rsid w:val="66320049"/>
    <w:rsid w:val="66354994"/>
    <w:rsid w:val="66372649"/>
    <w:rsid w:val="663A3EE7"/>
    <w:rsid w:val="663A5C95"/>
    <w:rsid w:val="66402AE3"/>
    <w:rsid w:val="66415276"/>
    <w:rsid w:val="664473BD"/>
    <w:rsid w:val="6646288C"/>
    <w:rsid w:val="66525B0B"/>
    <w:rsid w:val="66535B6C"/>
    <w:rsid w:val="66544FA9"/>
    <w:rsid w:val="66587CA1"/>
    <w:rsid w:val="665B5EF5"/>
    <w:rsid w:val="665C3E5E"/>
    <w:rsid w:val="665E78AC"/>
    <w:rsid w:val="66600413"/>
    <w:rsid w:val="66635430"/>
    <w:rsid w:val="66636F9A"/>
    <w:rsid w:val="666435BE"/>
    <w:rsid w:val="666B22F3"/>
    <w:rsid w:val="666D606B"/>
    <w:rsid w:val="666D671B"/>
    <w:rsid w:val="667016B7"/>
    <w:rsid w:val="6673555F"/>
    <w:rsid w:val="66770C4B"/>
    <w:rsid w:val="667935E3"/>
    <w:rsid w:val="667A0700"/>
    <w:rsid w:val="667B2F19"/>
    <w:rsid w:val="667B4CCC"/>
    <w:rsid w:val="667D115E"/>
    <w:rsid w:val="667E3DD4"/>
    <w:rsid w:val="667F6764"/>
    <w:rsid w:val="66807054"/>
    <w:rsid w:val="6681733D"/>
    <w:rsid w:val="66831544"/>
    <w:rsid w:val="66876EA9"/>
    <w:rsid w:val="6688478A"/>
    <w:rsid w:val="66890C40"/>
    <w:rsid w:val="668A0FC1"/>
    <w:rsid w:val="668A4527"/>
    <w:rsid w:val="668B64F1"/>
    <w:rsid w:val="668C2539"/>
    <w:rsid w:val="668D04BB"/>
    <w:rsid w:val="66923426"/>
    <w:rsid w:val="66977579"/>
    <w:rsid w:val="66A51887"/>
    <w:rsid w:val="66A65723"/>
    <w:rsid w:val="66A8086C"/>
    <w:rsid w:val="66AB66D0"/>
    <w:rsid w:val="66AD46B9"/>
    <w:rsid w:val="66AF3F8D"/>
    <w:rsid w:val="66AF5135"/>
    <w:rsid w:val="66B120D2"/>
    <w:rsid w:val="66B44323"/>
    <w:rsid w:val="66B56746"/>
    <w:rsid w:val="66B617C0"/>
    <w:rsid w:val="66B6356E"/>
    <w:rsid w:val="66BA0B72"/>
    <w:rsid w:val="66BB1E10"/>
    <w:rsid w:val="66BC7150"/>
    <w:rsid w:val="66BE0674"/>
    <w:rsid w:val="66C043ED"/>
    <w:rsid w:val="66C22E74"/>
    <w:rsid w:val="66C72C73"/>
    <w:rsid w:val="66CB15A6"/>
    <w:rsid w:val="66CE235D"/>
    <w:rsid w:val="66D54620"/>
    <w:rsid w:val="66D56799"/>
    <w:rsid w:val="66D81AB8"/>
    <w:rsid w:val="66D86074"/>
    <w:rsid w:val="66DA3C8F"/>
    <w:rsid w:val="66DC3F6C"/>
    <w:rsid w:val="66DC51F5"/>
    <w:rsid w:val="66DC6D4D"/>
    <w:rsid w:val="66DF24E3"/>
    <w:rsid w:val="66E01B75"/>
    <w:rsid w:val="66EB4FDD"/>
    <w:rsid w:val="66ED735B"/>
    <w:rsid w:val="66F070E8"/>
    <w:rsid w:val="66F24E89"/>
    <w:rsid w:val="66F615CC"/>
    <w:rsid w:val="66F74C2D"/>
    <w:rsid w:val="66F978FF"/>
    <w:rsid w:val="66FB2124"/>
    <w:rsid w:val="66FD2343"/>
    <w:rsid w:val="66FD5574"/>
    <w:rsid w:val="66FD66F7"/>
    <w:rsid w:val="67010561"/>
    <w:rsid w:val="67012590"/>
    <w:rsid w:val="670B3CFD"/>
    <w:rsid w:val="67102EB7"/>
    <w:rsid w:val="67112E9A"/>
    <w:rsid w:val="67145A4D"/>
    <w:rsid w:val="671966DB"/>
    <w:rsid w:val="671F7566"/>
    <w:rsid w:val="672076A9"/>
    <w:rsid w:val="672B0B50"/>
    <w:rsid w:val="67314857"/>
    <w:rsid w:val="673244E6"/>
    <w:rsid w:val="67386679"/>
    <w:rsid w:val="67392596"/>
    <w:rsid w:val="673D6D3E"/>
    <w:rsid w:val="673E16E0"/>
    <w:rsid w:val="67464D3B"/>
    <w:rsid w:val="67484DA3"/>
    <w:rsid w:val="67495941"/>
    <w:rsid w:val="674B6EDE"/>
    <w:rsid w:val="674D0447"/>
    <w:rsid w:val="674E58F8"/>
    <w:rsid w:val="67530DBD"/>
    <w:rsid w:val="67554111"/>
    <w:rsid w:val="67564D51"/>
    <w:rsid w:val="67566EED"/>
    <w:rsid w:val="67591058"/>
    <w:rsid w:val="675A1752"/>
    <w:rsid w:val="675A3512"/>
    <w:rsid w:val="675B5EC3"/>
    <w:rsid w:val="675B7D54"/>
    <w:rsid w:val="676034DA"/>
    <w:rsid w:val="676236F6"/>
    <w:rsid w:val="67650AF0"/>
    <w:rsid w:val="67680C07"/>
    <w:rsid w:val="676A5208"/>
    <w:rsid w:val="676E26A4"/>
    <w:rsid w:val="67760D7A"/>
    <w:rsid w:val="67784CC7"/>
    <w:rsid w:val="6778718F"/>
    <w:rsid w:val="6784366C"/>
    <w:rsid w:val="678634CD"/>
    <w:rsid w:val="67876D57"/>
    <w:rsid w:val="67882135"/>
    <w:rsid w:val="67890C82"/>
    <w:rsid w:val="678B49FB"/>
    <w:rsid w:val="678F4E88"/>
    <w:rsid w:val="67902011"/>
    <w:rsid w:val="67917B37"/>
    <w:rsid w:val="679260CB"/>
    <w:rsid w:val="67987117"/>
    <w:rsid w:val="679D472E"/>
    <w:rsid w:val="679F04A6"/>
    <w:rsid w:val="679F3D1A"/>
    <w:rsid w:val="67A02E70"/>
    <w:rsid w:val="67A2189A"/>
    <w:rsid w:val="67A64621"/>
    <w:rsid w:val="67A71109"/>
    <w:rsid w:val="67A94F51"/>
    <w:rsid w:val="67B617EE"/>
    <w:rsid w:val="67B90FEC"/>
    <w:rsid w:val="67BD26DA"/>
    <w:rsid w:val="67BD6B7E"/>
    <w:rsid w:val="67C843ED"/>
    <w:rsid w:val="67CD06FC"/>
    <w:rsid w:val="67CF376D"/>
    <w:rsid w:val="67D068B1"/>
    <w:rsid w:val="67D54704"/>
    <w:rsid w:val="67D572BB"/>
    <w:rsid w:val="67E1286C"/>
    <w:rsid w:val="67E91721"/>
    <w:rsid w:val="67EB09B0"/>
    <w:rsid w:val="67EB3793"/>
    <w:rsid w:val="67EE0F03"/>
    <w:rsid w:val="67F1016D"/>
    <w:rsid w:val="67F51D58"/>
    <w:rsid w:val="67F84BAC"/>
    <w:rsid w:val="67FA56DC"/>
    <w:rsid w:val="68025FD2"/>
    <w:rsid w:val="68084E80"/>
    <w:rsid w:val="68086198"/>
    <w:rsid w:val="68091DC3"/>
    <w:rsid w:val="680E512F"/>
    <w:rsid w:val="68100E9E"/>
    <w:rsid w:val="6813212A"/>
    <w:rsid w:val="681331C7"/>
    <w:rsid w:val="681432BF"/>
    <w:rsid w:val="68153C99"/>
    <w:rsid w:val="68160369"/>
    <w:rsid w:val="68172BDD"/>
    <w:rsid w:val="68182006"/>
    <w:rsid w:val="681A3FD0"/>
    <w:rsid w:val="681D6BC2"/>
    <w:rsid w:val="681F3711"/>
    <w:rsid w:val="68204CE7"/>
    <w:rsid w:val="68224C33"/>
    <w:rsid w:val="68224CD2"/>
    <w:rsid w:val="68295FC1"/>
    <w:rsid w:val="682C160E"/>
    <w:rsid w:val="682F238B"/>
    <w:rsid w:val="683105C0"/>
    <w:rsid w:val="683722F0"/>
    <w:rsid w:val="683B486A"/>
    <w:rsid w:val="683C3F47"/>
    <w:rsid w:val="683E3047"/>
    <w:rsid w:val="684730E9"/>
    <w:rsid w:val="68473389"/>
    <w:rsid w:val="68585345"/>
    <w:rsid w:val="685A43CD"/>
    <w:rsid w:val="685C4425"/>
    <w:rsid w:val="68605CAA"/>
    <w:rsid w:val="68676F16"/>
    <w:rsid w:val="687436E1"/>
    <w:rsid w:val="68752FB5"/>
    <w:rsid w:val="68776D2D"/>
    <w:rsid w:val="68792AA5"/>
    <w:rsid w:val="687C4592"/>
    <w:rsid w:val="687F144B"/>
    <w:rsid w:val="6885769C"/>
    <w:rsid w:val="688651C2"/>
    <w:rsid w:val="688723D3"/>
    <w:rsid w:val="68872F66"/>
    <w:rsid w:val="688A17C5"/>
    <w:rsid w:val="688B41A9"/>
    <w:rsid w:val="688F051A"/>
    <w:rsid w:val="6895178F"/>
    <w:rsid w:val="68961784"/>
    <w:rsid w:val="68996DED"/>
    <w:rsid w:val="68996F86"/>
    <w:rsid w:val="689B282D"/>
    <w:rsid w:val="689C4BF4"/>
    <w:rsid w:val="689E250C"/>
    <w:rsid w:val="689E3048"/>
    <w:rsid w:val="689F18C8"/>
    <w:rsid w:val="68A07BC4"/>
    <w:rsid w:val="68A13C24"/>
    <w:rsid w:val="68A36041"/>
    <w:rsid w:val="68A45648"/>
    <w:rsid w:val="68A86526"/>
    <w:rsid w:val="68A92840"/>
    <w:rsid w:val="68A959A5"/>
    <w:rsid w:val="68AC393D"/>
    <w:rsid w:val="68AF21EC"/>
    <w:rsid w:val="68AF7D3A"/>
    <w:rsid w:val="68B27663"/>
    <w:rsid w:val="68B70904"/>
    <w:rsid w:val="68B7181F"/>
    <w:rsid w:val="68B97536"/>
    <w:rsid w:val="68BD7543"/>
    <w:rsid w:val="68BE5C06"/>
    <w:rsid w:val="68C03E37"/>
    <w:rsid w:val="68C06863"/>
    <w:rsid w:val="68C1269E"/>
    <w:rsid w:val="68C21781"/>
    <w:rsid w:val="68C43F8C"/>
    <w:rsid w:val="68C704A5"/>
    <w:rsid w:val="68C8394A"/>
    <w:rsid w:val="68C83A2C"/>
    <w:rsid w:val="68CE1B88"/>
    <w:rsid w:val="68D658E1"/>
    <w:rsid w:val="68D979E8"/>
    <w:rsid w:val="68DB3A27"/>
    <w:rsid w:val="68DB6C69"/>
    <w:rsid w:val="68E63EB3"/>
    <w:rsid w:val="68EA2D90"/>
    <w:rsid w:val="68EC18B0"/>
    <w:rsid w:val="68ED5241"/>
    <w:rsid w:val="68F21FDC"/>
    <w:rsid w:val="68F24605"/>
    <w:rsid w:val="68F71C1C"/>
    <w:rsid w:val="68FA028C"/>
    <w:rsid w:val="68FF0055"/>
    <w:rsid w:val="69002550"/>
    <w:rsid w:val="690031C6"/>
    <w:rsid w:val="6905258B"/>
    <w:rsid w:val="690638EE"/>
    <w:rsid w:val="690E252E"/>
    <w:rsid w:val="690E4E08"/>
    <w:rsid w:val="690F186C"/>
    <w:rsid w:val="690F51B7"/>
    <w:rsid w:val="69116C2B"/>
    <w:rsid w:val="69182A50"/>
    <w:rsid w:val="691B6A95"/>
    <w:rsid w:val="69216C99"/>
    <w:rsid w:val="69230C63"/>
    <w:rsid w:val="69236EB5"/>
    <w:rsid w:val="6927184D"/>
    <w:rsid w:val="69280027"/>
    <w:rsid w:val="692A0243"/>
    <w:rsid w:val="692A4C5F"/>
    <w:rsid w:val="693421B4"/>
    <w:rsid w:val="6934554E"/>
    <w:rsid w:val="693464FB"/>
    <w:rsid w:val="69372396"/>
    <w:rsid w:val="6938470E"/>
    <w:rsid w:val="693C31A2"/>
    <w:rsid w:val="693C3AD3"/>
    <w:rsid w:val="693C4933"/>
    <w:rsid w:val="694035C3"/>
    <w:rsid w:val="694043FF"/>
    <w:rsid w:val="6942478C"/>
    <w:rsid w:val="69476B44"/>
    <w:rsid w:val="69482210"/>
    <w:rsid w:val="694A6CE4"/>
    <w:rsid w:val="694D7805"/>
    <w:rsid w:val="695157D0"/>
    <w:rsid w:val="695232F6"/>
    <w:rsid w:val="6955345C"/>
    <w:rsid w:val="69584DB0"/>
    <w:rsid w:val="695B664F"/>
    <w:rsid w:val="696372B1"/>
    <w:rsid w:val="69672308"/>
    <w:rsid w:val="696B71DF"/>
    <w:rsid w:val="69766B30"/>
    <w:rsid w:val="69794D27"/>
    <w:rsid w:val="697F058F"/>
    <w:rsid w:val="697F233D"/>
    <w:rsid w:val="6982743D"/>
    <w:rsid w:val="698338AD"/>
    <w:rsid w:val="6984779F"/>
    <w:rsid w:val="69872FA0"/>
    <w:rsid w:val="69874162"/>
    <w:rsid w:val="6988340F"/>
    <w:rsid w:val="698C4A5A"/>
    <w:rsid w:val="69913E1E"/>
    <w:rsid w:val="699305F8"/>
    <w:rsid w:val="699441C6"/>
    <w:rsid w:val="6997629B"/>
    <w:rsid w:val="69987899"/>
    <w:rsid w:val="699B1675"/>
    <w:rsid w:val="699B4C9D"/>
    <w:rsid w:val="69A47FF6"/>
    <w:rsid w:val="69AA37EE"/>
    <w:rsid w:val="69AE6D52"/>
    <w:rsid w:val="69AF725C"/>
    <w:rsid w:val="69AF7273"/>
    <w:rsid w:val="69B214F6"/>
    <w:rsid w:val="69B36AB8"/>
    <w:rsid w:val="69B36DB0"/>
    <w:rsid w:val="69BA15C7"/>
    <w:rsid w:val="69BB4943"/>
    <w:rsid w:val="69BB533F"/>
    <w:rsid w:val="69BC28BE"/>
    <w:rsid w:val="69BE41E9"/>
    <w:rsid w:val="69C26788"/>
    <w:rsid w:val="69C40A40"/>
    <w:rsid w:val="69C820DD"/>
    <w:rsid w:val="69CC7495"/>
    <w:rsid w:val="69CE5072"/>
    <w:rsid w:val="69D34437"/>
    <w:rsid w:val="69D63F27"/>
    <w:rsid w:val="69D76098"/>
    <w:rsid w:val="69DB7100"/>
    <w:rsid w:val="69DD0FAB"/>
    <w:rsid w:val="69E04D5B"/>
    <w:rsid w:val="69E1366F"/>
    <w:rsid w:val="69E87365"/>
    <w:rsid w:val="69E93CEB"/>
    <w:rsid w:val="69E943C2"/>
    <w:rsid w:val="69EB0227"/>
    <w:rsid w:val="69EC68F9"/>
    <w:rsid w:val="69EE1271"/>
    <w:rsid w:val="69EF1C44"/>
    <w:rsid w:val="69F55AF1"/>
    <w:rsid w:val="69F85F49"/>
    <w:rsid w:val="69FE3207"/>
    <w:rsid w:val="6A031F95"/>
    <w:rsid w:val="6A040A94"/>
    <w:rsid w:val="6A082C8B"/>
    <w:rsid w:val="6A0A1117"/>
    <w:rsid w:val="6A0E1913"/>
    <w:rsid w:val="6A0E36C1"/>
    <w:rsid w:val="6A115CF4"/>
    <w:rsid w:val="6A1330E9"/>
    <w:rsid w:val="6A1362BF"/>
    <w:rsid w:val="6A1522D6"/>
    <w:rsid w:val="6A154A4F"/>
    <w:rsid w:val="6A1A02DD"/>
    <w:rsid w:val="6A1E3C9F"/>
    <w:rsid w:val="6A1E451F"/>
    <w:rsid w:val="6A216416"/>
    <w:rsid w:val="6A226039"/>
    <w:rsid w:val="6A2473ED"/>
    <w:rsid w:val="6A270980"/>
    <w:rsid w:val="6A276531"/>
    <w:rsid w:val="6A292930"/>
    <w:rsid w:val="6A296EDD"/>
    <w:rsid w:val="6A2B5F25"/>
    <w:rsid w:val="6A356EA0"/>
    <w:rsid w:val="6A367544"/>
    <w:rsid w:val="6A3C022E"/>
    <w:rsid w:val="6A4315BC"/>
    <w:rsid w:val="6A5224AC"/>
    <w:rsid w:val="6A594425"/>
    <w:rsid w:val="6A597A1A"/>
    <w:rsid w:val="6A5C211B"/>
    <w:rsid w:val="6A5E6230"/>
    <w:rsid w:val="6A5F4AB0"/>
    <w:rsid w:val="6A5F52CE"/>
    <w:rsid w:val="6A610B11"/>
    <w:rsid w:val="6A617C95"/>
    <w:rsid w:val="6A697D10"/>
    <w:rsid w:val="6A6B28C1"/>
    <w:rsid w:val="6A6C42EE"/>
    <w:rsid w:val="6A6E4160"/>
    <w:rsid w:val="6A6E5F0E"/>
    <w:rsid w:val="6A6F381B"/>
    <w:rsid w:val="6A723C50"/>
    <w:rsid w:val="6A74143A"/>
    <w:rsid w:val="6A745C1A"/>
    <w:rsid w:val="6A7764B7"/>
    <w:rsid w:val="6A7774B8"/>
    <w:rsid w:val="6A7A16F4"/>
    <w:rsid w:val="6A815C41"/>
    <w:rsid w:val="6A8B6AC0"/>
    <w:rsid w:val="6A8D4CB6"/>
    <w:rsid w:val="6A9362EF"/>
    <w:rsid w:val="6A941E18"/>
    <w:rsid w:val="6A9C0CCD"/>
    <w:rsid w:val="6A9C3ED8"/>
    <w:rsid w:val="6A9C7D94"/>
    <w:rsid w:val="6A9D3F84"/>
    <w:rsid w:val="6AA45DD3"/>
    <w:rsid w:val="6AA765AF"/>
    <w:rsid w:val="6AA95198"/>
    <w:rsid w:val="6AAF599B"/>
    <w:rsid w:val="6AB1656C"/>
    <w:rsid w:val="6ABA600F"/>
    <w:rsid w:val="6ABE79D1"/>
    <w:rsid w:val="6AC41FD2"/>
    <w:rsid w:val="6AC4650A"/>
    <w:rsid w:val="6AC77CBF"/>
    <w:rsid w:val="6AC87FE6"/>
    <w:rsid w:val="6AC92E13"/>
    <w:rsid w:val="6AC92FB4"/>
    <w:rsid w:val="6ACC2680"/>
    <w:rsid w:val="6ACE0899"/>
    <w:rsid w:val="6AD20B92"/>
    <w:rsid w:val="6AD24675"/>
    <w:rsid w:val="6AD52FE6"/>
    <w:rsid w:val="6AD55F8D"/>
    <w:rsid w:val="6AD71D05"/>
    <w:rsid w:val="6AD77F57"/>
    <w:rsid w:val="6AD82408"/>
    <w:rsid w:val="6ADB03D8"/>
    <w:rsid w:val="6AE14931"/>
    <w:rsid w:val="6AE54422"/>
    <w:rsid w:val="6AE924A8"/>
    <w:rsid w:val="6AEB755E"/>
    <w:rsid w:val="6AF132B6"/>
    <w:rsid w:val="6AF243BB"/>
    <w:rsid w:val="6AF27208"/>
    <w:rsid w:val="6AF428B7"/>
    <w:rsid w:val="6AF53B10"/>
    <w:rsid w:val="6AF663A6"/>
    <w:rsid w:val="6AF93C50"/>
    <w:rsid w:val="6AF942D9"/>
    <w:rsid w:val="6AFB1E97"/>
    <w:rsid w:val="6B0074AE"/>
    <w:rsid w:val="6B014FD4"/>
    <w:rsid w:val="6B052035"/>
    <w:rsid w:val="6B056872"/>
    <w:rsid w:val="6B061A73"/>
    <w:rsid w:val="6B0B1F95"/>
    <w:rsid w:val="6B0D0E06"/>
    <w:rsid w:val="6B0F1760"/>
    <w:rsid w:val="6B100568"/>
    <w:rsid w:val="6B14032C"/>
    <w:rsid w:val="6B145332"/>
    <w:rsid w:val="6B1860D6"/>
    <w:rsid w:val="6B1B42E7"/>
    <w:rsid w:val="6B1D7EAD"/>
    <w:rsid w:val="6B1E5B86"/>
    <w:rsid w:val="6B1F3ED2"/>
    <w:rsid w:val="6B211AB1"/>
    <w:rsid w:val="6B2304F6"/>
    <w:rsid w:val="6B2667E8"/>
    <w:rsid w:val="6B272C8C"/>
    <w:rsid w:val="6B2760A5"/>
    <w:rsid w:val="6B2A277C"/>
    <w:rsid w:val="6B317667"/>
    <w:rsid w:val="6B321631"/>
    <w:rsid w:val="6B372AEF"/>
    <w:rsid w:val="6B376C47"/>
    <w:rsid w:val="6B4636FB"/>
    <w:rsid w:val="6B4A5DA3"/>
    <w:rsid w:val="6B511AB7"/>
    <w:rsid w:val="6B563571"/>
    <w:rsid w:val="6B574BF4"/>
    <w:rsid w:val="6B5A6D17"/>
    <w:rsid w:val="6B5E2426"/>
    <w:rsid w:val="6B61461B"/>
    <w:rsid w:val="6B6A4429"/>
    <w:rsid w:val="6B6B51B8"/>
    <w:rsid w:val="6B6C25A0"/>
    <w:rsid w:val="6B6C4B43"/>
    <w:rsid w:val="6B717D7B"/>
    <w:rsid w:val="6B747946"/>
    <w:rsid w:val="6B7751C5"/>
    <w:rsid w:val="6B7C2C80"/>
    <w:rsid w:val="6B826114"/>
    <w:rsid w:val="6B837A93"/>
    <w:rsid w:val="6B840A62"/>
    <w:rsid w:val="6B856C99"/>
    <w:rsid w:val="6B857A5E"/>
    <w:rsid w:val="6B8C12A1"/>
    <w:rsid w:val="6B8C3EAC"/>
    <w:rsid w:val="6B910106"/>
    <w:rsid w:val="6B910FBF"/>
    <w:rsid w:val="6B9145AA"/>
    <w:rsid w:val="6B92272F"/>
    <w:rsid w:val="6B9305A5"/>
    <w:rsid w:val="6B986A02"/>
    <w:rsid w:val="6B9A0764"/>
    <w:rsid w:val="6BA355F0"/>
    <w:rsid w:val="6BA442DD"/>
    <w:rsid w:val="6BA83EEE"/>
    <w:rsid w:val="6BA951C5"/>
    <w:rsid w:val="6BAA11C7"/>
    <w:rsid w:val="6BAB3272"/>
    <w:rsid w:val="6BAD0DEB"/>
    <w:rsid w:val="6BB17E19"/>
    <w:rsid w:val="6BB2130C"/>
    <w:rsid w:val="6BB25946"/>
    <w:rsid w:val="6BB42046"/>
    <w:rsid w:val="6BBA58AE"/>
    <w:rsid w:val="6BBD0EFB"/>
    <w:rsid w:val="6BBD5A55"/>
    <w:rsid w:val="6BBE116D"/>
    <w:rsid w:val="6BBE4C73"/>
    <w:rsid w:val="6BC06C3D"/>
    <w:rsid w:val="6BC47A19"/>
    <w:rsid w:val="6BC95AF1"/>
    <w:rsid w:val="6BC9641B"/>
    <w:rsid w:val="6BCC25E4"/>
    <w:rsid w:val="6BCC7390"/>
    <w:rsid w:val="6BD02241"/>
    <w:rsid w:val="6BD05FBC"/>
    <w:rsid w:val="6BD149A6"/>
    <w:rsid w:val="6BD46244"/>
    <w:rsid w:val="6BD53A54"/>
    <w:rsid w:val="6BDA1C3F"/>
    <w:rsid w:val="6BDB5825"/>
    <w:rsid w:val="6BDD1D01"/>
    <w:rsid w:val="6BDD334B"/>
    <w:rsid w:val="6BDD7A07"/>
    <w:rsid w:val="6BDF3EFE"/>
    <w:rsid w:val="6BE0415C"/>
    <w:rsid w:val="6BE37E48"/>
    <w:rsid w:val="6BE50451"/>
    <w:rsid w:val="6BE566A3"/>
    <w:rsid w:val="6BEA2B9B"/>
    <w:rsid w:val="6BEC13DA"/>
    <w:rsid w:val="6BEE37AA"/>
    <w:rsid w:val="6BF34E65"/>
    <w:rsid w:val="6BF64FE3"/>
    <w:rsid w:val="6BF96D7A"/>
    <w:rsid w:val="6BFA1918"/>
    <w:rsid w:val="6BFE24D8"/>
    <w:rsid w:val="6BFF59B7"/>
    <w:rsid w:val="6C021003"/>
    <w:rsid w:val="6C092BEA"/>
    <w:rsid w:val="6C0E4888"/>
    <w:rsid w:val="6C0E5BFA"/>
    <w:rsid w:val="6C0E79A8"/>
    <w:rsid w:val="6C154ABD"/>
    <w:rsid w:val="6C186A79"/>
    <w:rsid w:val="6C1D408F"/>
    <w:rsid w:val="6C2152D1"/>
    <w:rsid w:val="6C244964"/>
    <w:rsid w:val="6C260EDF"/>
    <w:rsid w:val="6C263E64"/>
    <w:rsid w:val="6C2B44F5"/>
    <w:rsid w:val="6C2D476B"/>
    <w:rsid w:val="6C2F7FCF"/>
    <w:rsid w:val="6C3118E9"/>
    <w:rsid w:val="6C3D0414"/>
    <w:rsid w:val="6C3F5DB4"/>
    <w:rsid w:val="6C4258A4"/>
    <w:rsid w:val="6C440370"/>
    <w:rsid w:val="6C46055A"/>
    <w:rsid w:val="6C47110C"/>
    <w:rsid w:val="6C495F89"/>
    <w:rsid w:val="6C4A10E1"/>
    <w:rsid w:val="6C4B6506"/>
    <w:rsid w:val="6C4E4249"/>
    <w:rsid w:val="6C540C83"/>
    <w:rsid w:val="6C5506B8"/>
    <w:rsid w:val="6C5611E9"/>
    <w:rsid w:val="6C575974"/>
    <w:rsid w:val="6C575EA4"/>
    <w:rsid w:val="6C586E75"/>
    <w:rsid w:val="6C5A499B"/>
    <w:rsid w:val="6C613F7C"/>
    <w:rsid w:val="6C615D2A"/>
    <w:rsid w:val="6C64581A"/>
    <w:rsid w:val="6C662237"/>
    <w:rsid w:val="6C6778F7"/>
    <w:rsid w:val="6C6D0B73"/>
    <w:rsid w:val="6C6D29F5"/>
    <w:rsid w:val="6C6F3E6A"/>
    <w:rsid w:val="6C711CE5"/>
    <w:rsid w:val="6C733CAF"/>
    <w:rsid w:val="6C747BEF"/>
    <w:rsid w:val="6C7539D8"/>
    <w:rsid w:val="6C765833"/>
    <w:rsid w:val="6C767237"/>
    <w:rsid w:val="6C7830B1"/>
    <w:rsid w:val="6C7A6EA4"/>
    <w:rsid w:val="6C7D68DC"/>
    <w:rsid w:val="6C80631C"/>
    <w:rsid w:val="6C843B8E"/>
    <w:rsid w:val="6C875F9B"/>
    <w:rsid w:val="6C89702F"/>
    <w:rsid w:val="6C922387"/>
    <w:rsid w:val="6C9360FF"/>
    <w:rsid w:val="6C950AE3"/>
    <w:rsid w:val="6C963990"/>
    <w:rsid w:val="6C9768B4"/>
    <w:rsid w:val="6C9D0520"/>
    <w:rsid w:val="6C9E14DF"/>
    <w:rsid w:val="6CA200F0"/>
    <w:rsid w:val="6CA2698F"/>
    <w:rsid w:val="6CA6504F"/>
    <w:rsid w:val="6CA749B9"/>
    <w:rsid w:val="6CA87D8E"/>
    <w:rsid w:val="6CAB1B2E"/>
    <w:rsid w:val="6CAC3500"/>
    <w:rsid w:val="6CAF5A4B"/>
    <w:rsid w:val="6CB0280D"/>
    <w:rsid w:val="6CB26586"/>
    <w:rsid w:val="6CB8433D"/>
    <w:rsid w:val="6CB87914"/>
    <w:rsid w:val="6CBE03DC"/>
    <w:rsid w:val="6CC22541"/>
    <w:rsid w:val="6CC462B9"/>
    <w:rsid w:val="6CC9154D"/>
    <w:rsid w:val="6CCB3AEB"/>
    <w:rsid w:val="6CD427FC"/>
    <w:rsid w:val="6CD72490"/>
    <w:rsid w:val="6CDC142C"/>
    <w:rsid w:val="6CDC1854"/>
    <w:rsid w:val="6CE03B53"/>
    <w:rsid w:val="6CE10C19"/>
    <w:rsid w:val="6CE12720"/>
    <w:rsid w:val="6CE63F9D"/>
    <w:rsid w:val="6CED5810"/>
    <w:rsid w:val="6CF154CA"/>
    <w:rsid w:val="6CF37CE2"/>
    <w:rsid w:val="6CF43042"/>
    <w:rsid w:val="6CF87842"/>
    <w:rsid w:val="6CFB10D7"/>
    <w:rsid w:val="6CFC177A"/>
    <w:rsid w:val="6D033285"/>
    <w:rsid w:val="6D056FFD"/>
    <w:rsid w:val="6D0907C7"/>
    <w:rsid w:val="6D09717F"/>
    <w:rsid w:val="6D0A7B1D"/>
    <w:rsid w:val="6D0B038C"/>
    <w:rsid w:val="6D0E1EBB"/>
    <w:rsid w:val="6D1014FE"/>
    <w:rsid w:val="6D176D30"/>
    <w:rsid w:val="6D183266"/>
    <w:rsid w:val="6D1B431D"/>
    <w:rsid w:val="6D203E37"/>
    <w:rsid w:val="6D273508"/>
    <w:rsid w:val="6D30099F"/>
    <w:rsid w:val="6D3671B7"/>
    <w:rsid w:val="6D3D690D"/>
    <w:rsid w:val="6D3F558F"/>
    <w:rsid w:val="6D400035"/>
    <w:rsid w:val="6D411D30"/>
    <w:rsid w:val="6D4847CA"/>
    <w:rsid w:val="6D4C4C2C"/>
    <w:rsid w:val="6D504C80"/>
    <w:rsid w:val="6D512242"/>
    <w:rsid w:val="6D521B17"/>
    <w:rsid w:val="6D5449D8"/>
    <w:rsid w:val="6D5842BF"/>
    <w:rsid w:val="6D594C53"/>
    <w:rsid w:val="6D5E0131"/>
    <w:rsid w:val="6D600A16"/>
    <w:rsid w:val="6D635AD2"/>
    <w:rsid w:val="6D6A3304"/>
    <w:rsid w:val="6D6C0E2A"/>
    <w:rsid w:val="6D6D452C"/>
    <w:rsid w:val="6D6D695C"/>
    <w:rsid w:val="6D6F26C8"/>
    <w:rsid w:val="6D7101EF"/>
    <w:rsid w:val="6D717D67"/>
    <w:rsid w:val="6D7A218E"/>
    <w:rsid w:val="6D7B550A"/>
    <w:rsid w:val="6D7F4455"/>
    <w:rsid w:val="6D877A12"/>
    <w:rsid w:val="6D8819DC"/>
    <w:rsid w:val="6D88378A"/>
    <w:rsid w:val="6D8A12B0"/>
    <w:rsid w:val="6D8B38C4"/>
    <w:rsid w:val="6D8C09C0"/>
    <w:rsid w:val="6D8C1864"/>
    <w:rsid w:val="6D8D552B"/>
    <w:rsid w:val="6D921E65"/>
    <w:rsid w:val="6D934609"/>
    <w:rsid w:val="6D9578E1"/>
    <w:rsid w:val="6D9739CD"/>
    <w:rsid w:val="6D990679"/>
    <w:rsid w:val="6DA0381A"/>
    <w:rsid w:val="6DA34120"/>
    <w:rsid w:val="6DA81247"/>
    <w:rsid w:val="6DA8457F"/>
    <w:rsid w:val="6DAB0C1D"/>
    <w:rsid w:val="6DAC56CB"/>
    <w:rsid w:val="6DAC7479"/>
    <w:rsid w:val="6DAE20B4"/>
    <w:rsid w:val="6DB57033"/>
    <w:rsid w:val="6DB91B96"/>
    <w:rsid w:val="6DBA662A"/>
    <w:rsid w:val="6DBC1ABD"/>
    <w:rsid w:val="6DBC66AB"/>
    <w:rsid w:val="6DBD5360"/>
    <w:rsid w:val="6DC3394D"/>
    <w:rsid w:val="6DC46D1B"/>
    <w:rsid w:val="6DCA3BC0"/>
    <w:rsid w:val="6DCC559D"/>
    <w:rsid w:val="6DD74E13"/>
    <w:rsid w:val="6DD875F9"/>
    <w:rsid w:val="6DDB2EA4"/>
    <w:rsid w:val="6DDC2DC1"/>
    <w:rsid w:val="6DDD76B3"/>
    <w:rsid w:val="6DE05DC6"/>
    <w:rsid w:val="6DE07122"/>
    <w:rsid w:val="6DE2733E"/>
    <w:rsid w:val="6DE72678"/>
    <w:rsid w:val="6DE74955"/>
    <w:rsid w:val="6DEB0280"/>
    <w:rsid w:val="6DEB580B"/>
    <w:rsid w:val="6DEF21E8"/>
    <w:rsid w:val="6DEF3809"/>
    <w:rsid w:val="6DF32115"/>
    <w:rsid w:val="6DF4662F"/>
    <w:rsid w:val="6DF546B7"/>
    <w:rsid w:val="6DF86C28"/>
    <w:rsid w:val="6DFB0585"/>
    <w:rsid w:val="6DFD7CD4"/>
    <w:rsid w:val="6E003712"/>
    <w:rsid w:val="6E005A16"/>
    <w:rsid w:val="6E0209D1"/>
    <w:rsid w:val="6E021E51"/>
    <w:rsid w:val="6E056B89"/>
    <w:rsid w:val="6E065A2C"/>
    <w:rsid w:val="6E072901"/>
    <w:rsid w:val="6E0A3A7A"/>
    <w:rsid w:val="6E0B694A"/>
    <w:rsid w:val="6E0D462A"/>
    <w:rsid w:val="6E0D7865"/>
    <w:rsid w:val="6E0E1EE1"/>
    <w:rsid w:val="6E0E6033"/>
    <w:rsid w:val="6E102D14"/>
    <w:rsid w:val="6E1374F8"/>
    <w:rsid w:val="6E1B45FE"/>
    <w:rsid w:val="6E1E4715"/>
    <w:rsid w:val="6E201C15"/>
    <w:rsid w:val="6E23118A"/>
    <w:rsid w:val="6E2912F0"/>
    <w:rsid w:val="6E296D1B"/>
    <w:rsid w:val="6E2A5F5A"/>
    <w:rsid w:val="6E2B2A93"/>
    <w:rsid w:val="6E2E60E0"/>
    <w:rsid w:val="6E2F4460"/>
    <w:rsid w:val="6E332A52"/>
    <w:rsid w:val="6E357253"/>
    <w:rsid w:val="6E3F02ED"/>
    <w:rsid w:val="6E3F2EAC"/>
    <w:rsid w:val="6E436894"/>
    <w:rsid w:val="6E4A4335"/>
    <w:rsid w:val="6E4A548B"/>
    <w:rsid w:val="6E4C2A0A"/>
    <w:rsid w:val="6E4D4E71"/>
    <w:rsid w:val="6E5042A8"/>
    <w:rsid w:val="6E522CAD"/>
    <w:rsid w:val="6E5A0CD5"/>
    <w:rsid w:val="6E5D67E0"/>
    <w:rsid w:val="6E5E1BAD"/>
    <w:rsid w:val="6E6225BC"/>
    <w:rsid w:val="6E641B9E"/>
    <w:rsid w:val="6E643DA1"/>
    <w:rsid w:val="6E657628"/>
    <w:rsid w:val="6E66170D"/>
    <w:rsid w:val="6E674F9E"/>
    <w:rsid w:val="6E6C410D"/>
    <w:rsid w:val="6E712470"/>
    <w:rsid w:val="6E7449D1"/>
    <w:rsid w:val="6E767734"/>
    <w:rsid w:val="6E775CD9"/>
    <w:rsid w:val="6E786ABC"/>
    <w:rsid w:val="6E7A0843"/>
    <w:rsid w:val="6E7A59B0"/>
    <w:rsid w:val="6E7D0E15"/>
    <w:rsid w:val="6E7E3225"/>
    <w:rsid w:val="6E8201DA"/>
    <w:rsid w:val="6E82467D"/>
    <w:rsid w:val="6E82642B"/>
    <w:rsid w:val="6E833036"/>
    <w:rsid w:val="6E881292"/>
    <w:rsid w:val="6E8977BA"/>
    <w:rsid w:val="6E8B1784"/>
    <w:rsid w:val="6E8C1275"/>
    <w:rsid w:val="6E8E4DD0"/>
    <w:rsid w:val="6E913904"/>
    <w:rsid w:val="6E927379"/>
    <w:rsid w:val="6E95728B"/>
    <w:rsid w:val="6E965D2E"/>
    <w:rsid w:val="6E970098"/>
    <w:rsid w:val="6E9804F8"/>
    <w:rsid w:val="6E9B6D4A"/>
    <w:rsid w:val="6EA12248"/>
    <w:rsid w:val="6EA22C9D"/>
    <w:rsid w:val="6EA36ACE"/>
    <w:rsid w:val="6EA4130C"/>
    <w:rsid w:val="6EA470E4"/>
    <w:rsid w:val="6EA57C83"/>
    <w:rsid w:val="6EA87056"/>
    <w:rsid w:val="6EA91C0A"/>
    <w:rsid w:val="6EAC5256"/>
    <w:rsid w:val="6EAE7221"/>
    <w:rsid w:val="6EB033C6"/>
    <w:rsid w:val="6EB0547A"/>
    <w:rsid w:val="6EB2181E"/>
    <w:rsid w:val="6EB56801"/>
    <w:rsid w:val="6EB760D5"/>
    <w:rsid w:val="6EB8009F"/>
    <w:rsid w:val="6EBC193D"/>
    <w:rsid w:val="6EC070A4"/>
    <w:rsid w:val="6EC16F54"/>
    <w:rsid w:val="6EC45E38"/>
    <w:rsid w:val="6EC82E62"/>
    <w:rsid w:val="6ECB6F4F"/>
    <w:rsid w:val="6ECE341F"/>
    <w:rsid w:val="6ECE536B"/>
    <w:rsid w:val="6ED108EC"/>
    <w:rsid w:val="6ED21161"/>
    <w:rsid w:val="6ED4144E"/>
    <w:rsid w:val="6ED63729"/>
    <w:rsid w:val="6EDD18B4"/>
    <w:rsid w:val="6EE60046"/>
    <w:rsid w:val="6EE92007"/>
    <w:rsid w:val="6EEB4B04"/>
    <w:rsid w:val="6EEB4FBA"/>
    <w:rsid w:val="6EEB6121"/>
    <w:rsid w:val="6EED2707"/>
    <w:rsid w:val="6EEF4DA3"/>
    <w:rsid w:val="6EF020B7"/>
    <w:rsid w:val="6EF2710D"/>
    <w:rsid w:val="6EFA4403"/>
    <w:rsid w:val="6EFC5D0E"/>
    <w:rsid w:val="6EFD3685"/>
    <w:rsid w:val="6F033FA1"/>
    <w:rsid w:val="6F056630"/>
    <w:rsid w:val="6F07206C"/>
    <w:rsid w:val="6F0E0B37"/>
    <w:rsid w:val="6F116F85"/>
    <w:rsid w:val="6F125A01"/>
    <w:rsid w:val="6F127055"/>
    <w:rsid w:val="6F1277AF"/>
    <w:rsid w:val="6F147CF5"/>
    <w:rsid w:val="6F1572A0"/>
    <w:rsid w:val="6F196D90"/>
    <w:rsid w:val="6F1A1012"/>
    <w:rsid w:val="6F1B2B08"/>
    <w:rsid w:val="6F2122C6"/>
    <w:rsid w:val="6F215C44"/>
    <w:rsid w:val="6F240A20"/>
    <w:rsid w:val="6F240B2A"/>
    <w:rsid w:val="6F25307E"/>
    <w:rsid w:val="6F2D45E9"/>
    <w:rsid w:val="6F2D6397"/>
    <w:rsid w:val="6F2E3EBD"/>
    <w:rsid w:val="6F2E6450"/>
    <w:rsid w:val="6F355C1A"/>
    <w:rsid w:val="6F364547"/>
    <w:rsid w:val="6F3B5AF9"/>
    <w:rsid w:val="6F3D37E0"/>
    <w:rsid w:val="6F3E0091"/>
    <w:rsid w:val="6F437969"/>
    <w:rsid w:val="6F48243C"/>
    <w:rsid w:val="6F4A4AEF"/>
    <w:rsid w:val="6F502086"/>
    <w:rsid w:val="6F5361F2"/>
    <w:rsid w:val="6F59718C"/>
    <w:rsid w:val="6F6577EF"/>
    <w:rsid w:val="6F66482C"/>
    <w:rsid w:val="6F6B6EC0"/>
    <w:rsid w:val="6F6C1BF9"/>
    <w:rsid w:val="6F6C3363"/>
    <w:rsid w:val="6F70004A"/>
    <w:rsid w:val="6F71097A"/>
    <w:rsid w:val="6F7B35A7"/>
    <w:rsid w:val="6F7B6738"/>
    <w:rsid w:val="6F7C2E7B"/>
    <w:rsid w:val="6F83609C"/>
    <w:rsid w:val="6F8A09AF"/>
    <w:rsid w:val="6F96218E"/>
    <w:rsid w:val="6F982104"/>
    <w:rsid w:val="6F9965D5"/>
    <w:rsid w:val="6F9A42D9"/>
    <w:rsid w:val="6F9E1675"/>
    <w:rsid w:val="6F9F3EEA"/>
    <w:rsid w:val="6FA024BD"/>
    <w:rsid w:val="6FA26D85"/>
    <w:rsid w:val="6FA74F6D"/>
    <w:rsid w:val="6FA7767C"/>
    <w:rsid w:val="6FA84A4C"/>
    <w:rsid w:val="6FA904D1"/>
    <w:rsid w:val="6FAA6067"/>
    <w:rsid w:val="6FAB550E"/>
    <w:rsid w:val="6FAC4EC8"/>
    <w:rsid w:val="6FAC5A7B"/>
    <w:rsid w:val="6FAF4FFE"/>
    <w:rsid w:val="6FAF7099"/>
    <w:rsid w:val="6FB40867"/>
    <w:rsid w:val="6FB616E5"/>
    <w:rsid w:val="6FB62831"/>
    <w:rsid w:val="6FB70357"/>
    <w:rsid w:val="6FBB39A3"/>
    <w:rsid w:val="6FBE49C3"/>
    <w:rsid w:val="6FBF02B5"/>
    <w:rsid w:val="6FBF21B1"/>
    <w:rsid w:val="6FC17EE6"/>
    <w:rsid w:val="6FC43F90"/>
    <w:rsid w:val="6FC52A74"/>
    <w:rsid w:val="6FCD44C1"/>
    <w:rsid w:val="6FD111A8"/>
    <w:rsid w:val="6FD37D9E"/>
    <w:rsid w:val="6FD40F09"/>
    <w:rsid w:val="6FD4433F"/>
    <w:rsid w:val="6FD44A65"/>
    <w:rsid w:val="6FD809F9"/>
    <w:rsid w:val="6FDE1E8A"/>
    <w:rsid w:val="6FE253D4"/>
    <w:rsid w:val="6FE5761E"/>
    <w:rsid w:val="6FE70C3C"/>
    <w:rsid w:val="6FE74798"/>
    <w:rsid w:val="6FE80510"/>
    <w:rsid w:val="6FEC6252"/>
    <w:rsid w:val="6FF11ABB"/>
    <w:rsid w:val="6FF716B4"/>
    <w:rsid w:val="6FFB46E7"/>
    <w:rsid w:val="6FFC4759"/>
    <w:rsid w:val="700314C5"/>
    <w:rsid w:val="70045812"/>
    <w:rsid w:val="70083FED"/>
    <w:rsid w:val="700853C0"/>
    <w:rsid w:val="700A0487"/>
    <w:rsid w:val="700B641B"/>
    <w:rsid w:val="700C2451"/>
    <w:rsid w:val="700C5ED5"/>
    <w:rsid w:val="700D5DEC"/>
    <w:rsid w:val="70101F69"/>
    <w:rsid w:val="70103AEC"/>
    <w:rsid w:val="701A1FC1"/>
    <w:rsid w:val="701E3F32"/>
    <w:rsid w:val="70223A22"/>
    <w:rsid w:val="702356B0"/>
    <w:rsid w:val="70241EE0"/>
    <w:rsid w:val="702459EC"/>
    <w:rsid w:val="702478A3"/>
    <w:rsid w:val="70251764"/>
    <w:rsid w:val="70256426"/>
    <w:rsid w:val="7025742A"/>
    <w:rsid w:val="702920DD"/>
    <w:rsid w:val="702C0726"/>
    <w:rsid w:val="702D46D3"/>
    <w:rsid w:val="703270B5"/>
    <w:rsid w:val="7038498C"/>
    <w:rsid w:val="703C2F7E"/>
    <w:rsid w:val="703D3DCA"/>
    <w:rsid w:val="70422316"/>
    <w:rsid w:val="70453BB5"/>
    <w:rsid w:val="70455963"/>
    <w:rsid w:val="70467F16"/>
    <w:rsid w:val="704E2A69"/>
    <w:rsid w:val="704F288A"/>
    <w:rsid w:val="704F44A9"/>
    <w:rsid w:val="70501A20"/>
    <w:rsid w:val="70587444"/>
    <w:rsid w:val="705A140E"/>
    <w:rsid w:val="705A41AE"/>
    <w:rsid w:val="705B5187"/>
    <w:rsid w:val="705B6F34"/>
    <w:rsid w:val="705C2F35"/>
    <w:rsid w:val="705D08A4"/>
    <w:rsid w:val="706320EB"/>
    <w:rsid w:val="70637E1C"/>
    <w:rsid w:val="706441F0"/>
    <w:rsid w:val="70673B2B"/>
    <w:rsid w:val="706A1AA4"/>
    <w:rsid w:val="706B5B7F"/>
    <w:rsid w:val="70700C31"/>
    <w:rsid w:val="707149AA"/>
    <w:rsid w:val="70725106"/>
    <w:rsid w:val="707A35A4"/>
    <w:rsid w:val="707D01FC"/>
    <w:rsid w:val="707F473C"/>
    <w:rsid w:val="708244C1"/>
    <w:rsid w:val="70827D2B"/>
    <w:rsid w:val="70862203"/>
    <w:rsid w:val="70875F7B"/>
    <w:rsid w:val="70894A62"/>
    <w:rsid w:val="708C17E3"/>
    <w:rsid w:val="70934920"/>
    <w:rsid w:val="70944D11"/>
    <w:rsid w:val="70995E5E"/>
    <w:rsid w:val="709E5136"/>
    <w:rsid w:val="70A02B99"/>
    <w:rsid w:val="70AA6F37"/>
    <w:rsid w:val="70AD3FF0"/>
    <w:rsid w:val="70B26E0A"/>
    <w:rsid w:val="70B37F1E"/>
    <w:rsid w:val="70B54946"/>
    <w:rsid w:val="70BD374B"/>
    <w:rsid w:val="70BE7F7D"/>
    <w:rsid w:val="70BF5715"/>
    <w:rsid w:val="70C04FE9"/>
    <w:rsid w:val="70C06731"/>
    <w:rsid w:val="70C71B7C"/>
    <w:rsid w:val="70C74DF3"/>
    <w:rsid w:val="70CB6752"/>
    <w:rsid w:val="70D021B7"/>
    <w:rsid w:val="70D12BFB"/>
    <w:rsid w:val="70D76B64"/>
    <w:rsid w:val="70D95706"/>
    <w:rsid w:val="70DB4B14"/>
    <w:rsid w:val="70DE5B49"/>
    <w:rsid w:val="70E029FA"/>
    <w:rsid w:val="70E81C25"/>
    <w:rsid w:val="70E92F39"/>
    <w:rsid w:val="70F145D0"/>
    <w:rsid w:val="70F23506"/>
    <w:rsid w:val="70F33EB5"/>
    <w:rsid w:val="70F512BC"/>
    <w:rsid w:val="70F67E92"/>
    <w:rsid w:val="70FC24C5"/>
    <w:rsid w:val="70FC7F1F"/>
    <w:rsid w:val="71007332"/>
    <w:rsid w:val="71023D91"/>
    <w:rsid w:val="71033854"/>
    <w:rsid w:val="71063344"/>
    <w:rsid w:val="71063693"/>
    <w:rsid w:val="71077E7B"/>
    <w:rsid w:val="71092257"/>
    <w:rsid w:val="710C7503"/>
    <w:rsid w:val="71105EBD"/>
    <w:rsid w:val="71147F83"/>
    <w:rsid w:val="71155335"/>
    <w:rsid w:val="711A6DEF"/>
    <w:rsid w:val="711B4938"/>
    <w:rsid w:val="712107AA"/>
    <w:rsid w:val="71224100"/>
    <w:rsid w:val="71233EF6"/>
    <w:rsid w:val="7124455A"/>
    <w:rsid w:val="712B4B58"/>
    <w:rsid w:val="712F48EB"/>
    <w:rsid w:val="7131740F"/>
    <w:rsid w:val="71327C95"/>
    <w:rsid w:val="71382610"/>
    <w:rsid w:val="71392E8B"/>
    <w:rsid w:val="71463740"/>
    <w:rsid w:val="71471619"/>
    <w:rsid w:val="71471A4F"/>
    <w:rsid w:val="714E0645"/>
    <w:rsid w:val="71502811"/>
    <w:rsid w:val="715220E5"/>
    <w:rsid w:val="715414DE"/>
    <w:rsid w:val="71546BE9"/>
    <w:rsid w:val="716A2213"/>
    <w:rsid w:val="716A5681"/>
    <w:rsid w:val="716B16A9"/>
    <w:rsid w:val="71706A0F"/>
    <w:rsid w:val="71725D5E"/>
    <w:rsid w:val="71765265"/>
    <w:rsid w:val="71787E24"/>
    <w:rsid w:val="71794B44"/>
    <w:rsid w:val="717C0814"/>
    <w:rsid w:val="717C3606"/>
    <w:rsid w:val="717E6468"/>
    <w:rsid w:val="717F6C52"/>
    <w:rsid w:val="718030F6"/>
    <w:rsid w:val="718401CE"/>
    <w:rsid w:val="71847052"/>
    <w:rsid w:val="7185070D"/>
    <w:rsid w:val="7188125C"/>
    <w:rsid w:val="71881FAB"/>
    <w:rsid w:val="71883F71"/>
    <w:rsid w:val="718B7073"/>
    <w:rsid w:val="719212C2"/>
    <w:rsid w:val="719344CC"/>
    <w:rsid w:val="719A3A8C"/>
    <w:rsid w:val="719E357C"/>
    <w:rsid w:val="71A16BC9"/>
    <w:rsid w:val="71A37926"/>
    <w:rsid w:val="71A52B5D"/>
    <w:rsid w:val="71A54F3B"/>
    <w:rsid w:val="71AB132F"/>
    <w:rsid w:val="71AE31E3"/>
    <w:rsid w:val="71B42DA0"/>
    <w:rsid w:val="71B92164"/>
    <w:rsid w:val="71BA7C8A"/>
    <w:rsid w:val="71BB2380"/>
    <w:rsid w:val="71BC7EA6"/>
    <w:rsid w:val="71BE6D71"/>
    <w:rsid w:val="71C034F3"/>
    <w:rsid w:val="71C07997"/>
    <w:rsid w:val="71C07AE9"/>
    <w:rsid w:val="71C11019"/>
    <w:rsid w:val="71C4417B"/>
    <w:rsid w:val="71C56D5B"/>
    <w:rsid w:val="71CB4BD9"/>
    <w:rsid w:val="71CC461A"/>
    <w:rsid w:val="71D022E5"/>
    <w:rsid w:val="71D025FE"/>
    <w:rsid w:val="71D40D4C"/>
    <w:rsid w:val="71D84CF3"/>
    <w:rsid w:val="71DA7817"/>
    <w:rsid w:val="71DE2CDD"/>
    <w:rsid w:val="71E15B09"/>
    <w:rsid w:val="71E32E83"/>
    <w:rsid w:val="71E47292"/>
    <w:rsid w:val="71E80BCB"/>
    <w:rsid w:val="71E97C9F"/>
    <w:rsid w:val="71EA0185"/>
    <w:rsid w:val="71EA67C2"/>
    <w:rsid w:val="71EC46A3"/>
    <w:rsid w:val="71EF1F5F"/>
    <w:rsid w:val="71F41092"/>
    <w:rsid w:val="71F56BF6"/>
    <w:rsid w:val="71F7646A"/>
    <w:rsid w:val="71F76F96"/>
    <w:rsid w:val="71F80EDE"/>
    <w:rsid w:val="71F83243"/>
    <w:rsid w:val="72012CBF"/>
    <w:rsid w:val="720132C4"/>
    <w:rsid w:val="7202073D"/>
    <w:rsid w:val="7202155D"/>
    <w:rsid w:val="720535FB"/>
    <w:rsid w:val="72084DAB"/>
    <w:rsid w:val="720A0C12"/>
    <w:rsid w:val="720B5859"/>
    <w:rsid w:val="720C14E0"/>
    <w:rsid w:val="720C2DD1"/>
    <w:rsid w:val="720D24B0"/>
    <w:rsid w:val="720E0702"/>
    <w:rsid w:val="720F447A"/>
    <w:rsid w:val="7213457E"/>
    <w:rsid w:val="72147835"/>
    <w:rsid w:val="72170B15"/>
    <w:rsid w:val="72190E55"/>
    <w:rsid w:val="721E646B"/>
    <w:rsid w:val="722515A8"/>
    <w:rsid w:val="7225592B"/>
    <w:rsid w:val="72272691"/>
    <w:rsid w:val="722D66AE"/>
    <w:rsid w:val="72330169"/>
    <w:rsid w:val="7235272A"/>
    <w:rsid w:val="72352932"/>
    <w:rsid w:val="72367C59"/>
    <w:rsid w:val="723700F2"/>
    <w:rsid w:val="72393B2D"/>
    <w:rsid w:val="72435ED2"/>
    <w:rsid w:val="72473C14"/>
    <w:rsid w:val="724C122A"/>
    <w:rsid w:val="724D437D"/>
    <w:rsid w:val="724E1389"/>
    <w:rsid w:val="724E6446"/>
    <w:rsid w:val="72504DAF"/>
    <w:rsid w:val="72516841"/>
    <w:rsid w:val="72560CBC"/>
    <w:rsid w:val="72572EF3"/>
    <w:rsid w:val="72581DD4"/>
    <w:rsid w:val="725B321B"/>
    <w:rsid w:val="725C6020"/>
    <w:rsid w:val="725D26C8"/>
    <w:rsid w:val="725D3707"/>
    <w:rsid w:val="725E2F46"/>
    <w:rsid w:val="7261278F"/>
    <w:rsid w:val="72655E48"/>
    <w:rsid w:val="726A4578"/>
    <w:rsid w:val="726F4F19"/>
    <w:rsid w:val="727117A4"/>
    <w:rsid w:val="72716493"/>
    <w:rsid w:val="72717C9B"/>
    <w:rsid w:val="727229F0"/>
    <w:rsid w:val="72723FF6"/>
    <w:rsid w:val="72742114"/>
    <w:rsid w:val="72762888"/>
    <w:rsid w:val="7279039D"/>
    <w:rsid w:val="727918F3"/>
    <w:rsid w:val="727B1B10"/>
    <w:rsid w:val="7287340B"/>
    <w:rsid w:val="728A5CB4"/>
    <w:rsid w:val="728B0613"/>
    <w:rsid w:val="728E1843"/>
    <w:rsid w:val="728E2BC1"/>
    <w:rsid w:val="72921914"/>
    <w:rsid w:val="7294672D"/>
    <w:rsid w:val="7295497F"/>
    <w:rsid w:val="729D3834"/>
    <w:rsid w:val="729F75AC"/>
    <w:rsid w:val="72A314FA"/>
    <w:rsid w:val="72A856AC"/>
    <w:rsid w:val="72A9042B"/>
    <w:rsid w:val="72AA18E0"/>
    <w:rsid w:val="72AC4779"/>
    <w:rsid w:val="72AE5A41"/>
    <w:rsid w:val="72AF7286"/>
    <w:rsid w:val="72B33140"/>
    <w:rsid w:val="72B50B7E"/>
    <w:rsid w:val="72B8241C"/>
    <w:rsid w:val="72BA3401"/>
    <w:rsid w:val="72BA6194"/>
    <w:rsid w:val="72BF37AA"/>
    <w:rsid w:val="72C43218"/>
    <w:rsid w:val="72C6338C"/>
    <w:rsid w:val="72C76B03"/>
    <w:rsid w:val="72CC5CA5"/>
    <w:rsid w:val="72CD5DA8"/>
    <w:rsid w:val="72D40E29"/>
    <w:rsid w:val="72D52FCE"/>
    <w:rsid w:val="72DB11A5"/>
    <w:rsid w:val="72DE3255"/>
    <w:rsid w:val="72E17F9D"/>
    <w:rsid w:val="72E256EB"/>
    <w:rsid w:val="72E6561C"/>
    <w:rsid w:val="72E7250F"/>
    <w:rsid w:val="72E8679E"/>
    <w:rsid w:val="72EC0C58"/>
    <w:rsid w:val="72F202EC"/>
    <w:rsid w:val="72F47A2B"/>
    <w:rsid w:val="72F80C5B"/>
    <w:rsid w:val="72FA0C86"/>
    <w:rsid w:val="72FC67AC"/>
    <w:rsid w:val="72FD221B"/>
    <w:rsid w:val="72FE225A"/>
    <w:rsid w:val="73010267"/>
    <w:rsid w:val="73016032"/>
    <w:rsid w:val="73020DF3"/>
    <w:rsid w:val="73044836"/>
    <w:rsid w:val="73051EE1"/>
    <w:rsid w:val="730700E4"/>
    <w:rsid w:val="73075151"/>
    <w:rsid w:val="730E2101"/>
    <w:rsid w:val="73133AF6"/>
    <w:rsid w:val="73161781"/>
    <w:rsid w:val="731735E6"/>
    <w:rsid w:val="731A6C33"/>
    <w:rsid w:val="731D1633"/>
    <w:rsid w:val="731D6723"/>
    <w:rsid w:val="731E3543"/>
    <w:rsid w:val="73217FC1"/>
    <w:rsid w:val="73275372"/>
    <w:rsid w:val="7329156C"/>
    <w:rsid w:val="732D6BBB"/>
    <w:rsid w:val="733028FA"/>
    <w:rsid w:val="733511AD"/>
    <w:rsid w:val="73352289"/>
    <w:rsid w:val="7335411A"/>
    <w:rsid w:val="7335505D"/>
    <w:rsid w:val="733D30E0"/>
    <w:rsid w:val="733F3BA6"/>
    <w:rsid w:val="7340007A"/>
    <w:rsid w:val="7343581A"/>
    <w:rsid w:val="73440153"/>
    <w:rsid w:val="73447BFD"/>
    <w:rsid w:val="73470094"/>
    <w:rsid w:val="7347064A"/>
    <w:rsid w:val="734A79D7"/>
    <w:rsid w:val="734C0DB6"/>
    <w:rsid w:val="7352461E"/>
    <w:rsid w:val="7353032E"/>
    <w:rsid w:val="73577E87"/>
    <w:rsid w:val="735A7977"/>
    <w:rsid w:val="736305DA"/>
    <w:rsid w:val="737169E3"/>
    <w:rsid w:val="737943CD"/>
    <w:rsid w:val="737E3665"/>
    <w:rsid w:val="737F118B"/>
    <w:rsid w:val="73812C94"/>
    <w:rsid w:val="7385684A"/>
    <w:rsid w:val="73874293"/>
    <w:rsid w:val="738B5D82"/>
    <w:rsid w:val="738C2DF5"/>
    <w:rsid w:val="73927111"/>
    <w:rsid w:val="73972979"/>
    <w:rsid w:val="739B6F5E"/>
    <w:rsid w:val="739D529C"/>
    <w:rsid w:val="739D705A"/>
    <w:rsid w:val="739E7864"/>
    <w:rsid w:val="739E7E78"/>
    <w:rsid w:val="739F6D9B"/>
    <w:rsid w:val="73A062CC"/>
    <w:rsid w:val="73A806E2"/>
    <w:rsid w:val="73AB1F81"/>
    <w:rsid w:val="73AB4594"/>
    <w:rsid w:val="73AD5CF9"/>
    <w:rsid w:val="73AE399F"/>
    <w:rsid w:val="73B01345"/>
    <w:rsid w:val="73B05574"/>
    <w:rsid w:val="73B115BF"/>
    <w:rsid w:val="73B51D3E"/>
    <w:rsid w:val="73B649F5"/>
    <w:rsid w:val="73B85401"/>
    <w:rsid w:val="73B87024"/>
    <w:rsid w:val="73BB3939"/>
    <w:rsid w:val="73BB7FA3"/>
    <w:rsid w:val="73BF4480"/>
    <w:rsid w:val="73C44DF0"/>
    <w:rsid w:val="73C66DBA"/>
    <w:rsid w:val="73CB43D1"/>
    <w:rsid w:val="73CB617F"/>
    <w:rsid w:val="73D414D7"/>
    <w:rsid w:val="73D52B09"/>
    <w:rsid w:val="73DA0CAB"/>
    <w:rsid w:val="73DA55A8"/>
    <w:rsid w:val="73DB274C"/>
    <w:rsid w:val="73E07E7C"/>
    <w:rsid w:val="73E31F36"/>
    <w:rsid w:val="73E92976"/>
    <w:rsid w:val="73EB05CF"/>
    <w:rsid w:val="73EF00BF"/>
    <w:rsid w:val="73F3740F"/>
    <w:rsid w:val="73F50988"/>
    <w:rsid w:val="73FA09CF"/>
    <w:rsid w:val="73FE105D"/>
    <w:rsid w:val="740117C0"/>
    <w:rsid w:val="74013FEE"/>
    <w:rsid w:val="74031DBD"/>
    <w:rsid w:val="740A4EF9"/>
    <w:rsid w:val="740A5F00"/>
    <w:rsid w:val="740C70C5"/>
    <w:rsid w:val="740D6797"/>
    <w:rsid w:val="740E69C9"/>
    <w:rsid w:val="740F0749"/>
    <w:rsid w:val="74100036"/>
    <w:rsid w:val="74120D76"/>
    <w:rsid w:val="74133A97"/>
    <w:rsid w:val="74145D78"/>
    <w:rsid w:val="7416243F"/>
    <w:rsid w:val="74167A1B"/>
    <w:rsid w:val="74181AF9"/>
    <w:rsid w:val="74181EB8"/>
    <w:rsid w:val="741A07E9"/>
    <w:rsid w:val="74237D69"/>
    <w:rsid w:val="742464AB"/>
    <w:rsid w:val="74257F85"/>
    <w:rsid w:val="742A10F7"/>
    <w:rsid w:val="742F3B89"/>
    <w:rsid w:val="74302CE5"/>
    <w:rsid w:val="74367D23"/>
    <w:rsid w:val="744245F4"/>
    <w:rsid w:val="74424693"/>
    <w:rsid w:val="7443665D"/>
    <w:rsid w:val="7446778E"/>
    <w:rsid w:val="744760BC"/>
    <w:rsid w:val="744A79EB"/>
    <w:rsid w:val="744C0614"/>
    <w:rsid w:val="744D11B3"/>
    <w:rsid w:val="74503451"/>
    <w:rsid w:val="745A5E80"/>
    <w:rsid w:val="745B2674"/>
    <w:rsid w:val="745D771F"/>
    <w:rsid w:val="745F3497"/>
    <w:rsid w:val="74600FBD"/>
    <w:rsid w:val="746060D9"/>
    <w:rsid w:val="746127C7"/>
    <w:rsid w:val="74624D35"/>
    <w:rsid w:val="74641DE3"/>
    <w:rsid w:val="746B1BF9"/>
    <w:rsid w:val="746C75DF"/>
    <w:rsid w:val="746D04E3"/>
    <w:rsid w:val="746E5488"/>
    <w:rsid w:val="74756912"/>
    <w:rsid w:val="74784559"/>
    <w:rsid w:val="74790DB9"/>
    <w:rsid w:val="7479207F"/>
    <w:rsid w:val="747D0D73"/>
    <w:rsid w:val="747D1B6F"/>
    <w:rsid w:val="747F58E7"/>
    <w:rsid w:val="74856718"/>
    <w:rsid w:val="7487033C"/>
    <w:rsid w:val="74881FC6"/>
    <w:rsid w:val="748C0004"/>
    <w:rsid w:val="748C590E"/>
    <w:rsid w:val="748E6582"/>
    <w:rsid w:val="748F41FE"/>
    <w:rsid w:val="74911176"/>
    <w:rsid w:val="74934EEE"/>
    <w:rsid w:val="749731C9"/>
    <w:rsid w:val="749B0247"/>
    <w:rsid w:val="74A0243F"/>
    <w:rsid w:val="74A0585D"/>
    <w:rsid w:val="74A16D28"/>
    <w:rsid w:val="74A62DC1"/>
    <w:rsid w:val="74A70DC7"/>
    <w:rsid w:val="74A71E5E"/>
    <w:rsid w:val="74A8676A"/>
    <w:rsid w:val="74AB34B4"/>
    <w:rsid w:val="74AD5CBB"/>
    <w:rsid w:val="74AF784E"/>
    <w:rsid w:val="74B104DB"/>
    <w:rsid w:val="74B11819"/>
    <w:rsid w:val="74B12652"/>
    <w:rsid w:val="74BA1537"/>
    <w:rsid w:val="74BB03F9"/>
    <w:rsid w:val="74BC25C2"/>
    <w:rsid w:val="74C01A5C"/>
    <w:rsid w:val="74C432FA"/>
    <w:rsid w:val="74CC659F"/>
    <w:rsid w:val="74CE0828"/>
    <w:rsid w:val="74DD7D2B"/>
    <w:rsid w:val="74E01B66"/>
    <w:rsid w:val="74E317C8"/>
    <w:rsid w:val="74E53791"/>
    <w:rsid w:val="74E76D97"/>
    <w:rsid w:val="74EC45FF"/>
    <w:rsid w:val="74ED7B41"/>
    <w:rsid w:val="74EF08C6"/>
    <w:rsid w:val="74F11A22"/>
    <w:rsid w:val="74F26B25"/>
    <w:rsid w:val="74F94E39"/>
    <w:rsid w:val="74FC0CE6"/>
    <w:rsid w:val="75012554"/>
    <w:rsid w:val="75017A26"/>
    <w:rsid w:val="750450EE"/>
    <w:rsid w:val="75046D0E"/>
    <w:rsid w:val="750556C0"/>
    <w:rsid w:val="75070AFC"/>
    <w:rsid w:val="75071439"/>
    <w:rsid w:val="75090979"/>
    <w:rsid w:val="75091655"/>
    <w:rsid w:val="750951B1"/>
    <w:rsid w:val="750B288E"/>
    <w:rsid w:val="750E27C7"/>
    <w:rsid w:val="751002F7"/>
    <w:rsid w:val="751221DA"/>
    <w:rsid w:val="7513602F"/>
    <w:rsid w:val="751733A8"/>
    <w:rsid w:val="751B4EE4"/>
    <w:rsid w:val="751F35E3"/>
    <w:rsid w:val="751F48C4"/>
    <w:rsid w:val="751F6803"/>
    <w:rsid w:val="75243D99"/>
    <w:rsid w:val="75283DAC"/>
    <w:rsid w:val="752C7C80"/>
    <w:rsid w:val="752D7C05"/>
    <w:rsid w:val="752E4C17"/>
    <w:rsid w:val="75306BE1"/>
    <w:rsid w:val="7535244A"/>
    <w:rsid w:val="753631FE"/>
    <w:rsid w:val="75371D9F"/>
    <w:rsid w:val="75390472"/>
    <w:rsid w:val="753C0F6C"/>
    <w:rsid w:val="753D29BF"/>
    <w:rsid w:val="75411AD6"/>
    <w:rsid w:val="75461650"/>
    <w:rsid w:val="754B452A"/>
    <w:rsid w:val="754B7177"/>
    <w:rsid w:val="7553467E"/>
    <w:rsid w:val="75535879"/>
    <w:rsid w:val="75581C94"/>
    <w:rsid w:val="755C3532"/>
    <w:rsid w:val="755D54FC"/>
    <w:rsid w:val="75616D9B"/>
    <w:rsid w:val="75671ED7"/>
    <w:rsid w:val="7572460C"/>
    <w:rsid w:val="75762533"/>
    <w:rsid w:val="757A210D"/>
    <w:rsid w:val="757C5983"/>
    <w:rsid w:val="757D070F"/>
    <w:rsid w:val="75866801"/>
    <w:rsid w:val="75877013"/>
    <w:rsid w:val="75882579"/>
    <w:rsid w:val="758D4034"/>
    <w:rsid w:val="7590142E"/>
    <w:rsid w:val="759B1025"/>
    <w:rsid w:val="759D2199"/>
    <w:rsid w:val="759E5A29"/>
    <w:rsid w:val="75A1363B"/>
    <w:rsid w:val="75A47E89"/>
    <w:rsid w:val="75AB44BA"/>
    <w:rsid w:val="75AC051A"/>
    <w:rsid w:val="75AD1FE0"/>
    <w:rsid w:val="75AE004B"/>
    <w:rsid w:val="75B0792C"/>
    <w:rsid w:val="75B07D22"/>
    <w:rsid w:val="75B43F63"/>
    <w:rsid w:val="75B60A34"/>
    <w:rsid w:val="75B72082"/>
    <w:rsid w:val="75B72E5F"/>
    <w:rsid w:val="75B86FA7"/>
    <w:rsid w:val="75BA64AB"/>
    <w:rsid w:val="75C37A55"/>
    <w:rsid w:val="75C64DC4"/>
    <w:rsid w:val="75CC18D1"/>
    <w:rsid w:val="75CF7E85"/>
    <w:rsid w:val="75D40E93"/>
    <w:rsid w:val="75D61A57"/>
    <w:rsid w:val="75DB329A"/>
    <w:rsid w:val="75DD444D"/>
    <w:rsid w:val="75E50546"/>
    <w:rsid w:val="75E579CC"/>
    <w:rsid w:val="75E654F2"/>
    <w:rsid w:val="75E81D1C"/>
    <w:rsid w:val="75EA0CC4"/>
    <w:rsid w:val="75EB0273"/>
    <w:rsid w:val="75EF25F8"/>
    <w:rsid w:val="75F338F1"/>
    <w:rsid w:val="75F40FC8"/>
    <w:rsid w:val="75F93477"/>
    <w:rsid w:val="75FB0F9D"/>
    <w:rsid w:val="75FF2649"/>
    <w:rsid w:val="760327D0"/>
    <w:rsid w:val="76045978"/>
    <w:rsid w:val="76067942"/>
    <w:rsid w:val="760D2A7B"/>
    <w:rsid w:val="7612601E"/>
    <w:rsid w:val="761402B1"/>
    <w:rsid w:val="76147D8F"/>
    <w:rsid w:val="76171A23"/>
    <w:rsid w:val="76171EA7"/>
    <w:rsid w:val="761B3EDC"/>
    <w:rsid w:val="761D4F1E"/>
    <w:rsid w:val="761D53B8"/>
    <w:rsid w:val="761E337E"/>
    <w:rsid w:val="76237344"/>
    <w:rsid w:val="7625426C"/>
    <w:rsid w:val="76261D92"/>
    <w:rsid w:val="762A0DCF"/>
    <w:rsid w:val="762A53DF"/>
    <w:rsid w:val="76397D18"/>
    <w:rsid w:val="763B45AA"/>
    <w:rsid w:val="763D4C02"/>
    <w:rsid w:val="7641097A"/>
    <w:rsid w:val="76435F36"/>
    <w:rsid w:val="764A2098"/>
    <w:rsid w:val="764D475E"/>
    <w:rsid w:val="76591549"/>
    <w:rsid w:val="765E1F52"/>
    <w:rsid w:val="7662101C"/>
    <w:rsid w:val="7662726E"/>
    <w:rsid w:val="76684093"/>
    <w:rsid w:val="766B05BB"/>
    <w:rsid w:val="766B15EC"/>
    <w:rsid w:val="766F54E7"/>
    <w:rsid w:val="76777605"/>
    <w:rsid w:val="767779D2"/>
    <w:rsid w:val="76781447"/>
    <w:rsid w:val="76783DAD"/>
    <w:rsid w:val="7678680F"/>
    <w:rsid w:val="76790114"/>
    <w:rsid w:val="767E1BCE"/>
    <w:rsid w:val="767E572A"/>
    <w:rsid w:val="768076F4"/>
    <w:rsid w:val="768970B7"/>
    <w:rsid w:val="768B3659"/>
    <w:rsid w:val="768C03BB"/>
    <w:rsid w:val="7691545E"/>
    <w:rsid w:val="76932C49"/>
    <w:rsid w:val="76942021"/>
    <w:rsid w:val="76A21419"/>
    <w:rsid w:val="76A258BD"/>
    <w:rsid w:val="76A35CA9"/>
    <w:rsid w:val="76A423A7"/>
    <w:rsid w:val="76A65BD7"/>
    <w:rsid w:val="76A71125"/>
    <w:rsid w:val="76A74C81"/>
    <w:rsid w:val="76B31878"/>
    <w:rsid w:val="76B850E0"/>
    <w:rsid w:val="76BE1FCB"/>
    <w:rsid w:val="76BE30F4"/>
    <w:rsid w:val="76C15B4E"/>
    <w:rsid w:val="76C23869"/>
    <w:rsid w:val="76C53359"/>
    <w:rsid w:val="76C536B8"/>
    <w:rsid w:val="76C577FD"/>
    <w:rsid w:val="76C74EFE"/>
    <w:rsid w:val="76C84BF7"/>
    <w:rsid w:val="76C9109B"/>
    <w:rsid w:val="76CD198A"/>
    <w:rsid w:val="76CE510C"/>
    <w:rsid w:val="76CF166E"/>
    <w:rsid w:val="76CF2CE1"/>
    <w:rsid w:val="76D0242A"/>
    <w:rsid w:val="76D10B32"/>
    <w:rsid w:val="76D161A2"/>
    <w:rsid w:val="76D23B71"/>
    <w:rsid w:val="76D637B8"/>
    <w:rsid w:val="76D7621E"/>
    <w:rsid w:val="76D87530"/>
    <w:rsid w:val="76DC6F10"/>
    <w:rsid w:val="76DD14DA"/>
    <w:rsid w:val="76E060E7"/>
    <w:rsid w:val="76E17882"/>
    <w:rsid w:val="76E2125B"/>
    <w:rsid w:val="76E2215D"/>
    <w:rsid w:val="76E35B18"/>
    <w:rsid w:val="76E70438"/>
    <w:rsid w:val="76E74F45"/>
    <w:rsid w:val="76E86501"/>
    <w:rsid w:val="76EC08E6"/>
    <w:rsid w:val="76EC16A6"/>
    <w:rsid w:val="76EF6628"/>
    <w:rsid w:val="76F459ED"/>
    <w:rsid w:val="76F667DF"/>
    <w:rsid w:val="76FB6D7B"/>
    <w:rsid w:val="76FD0D45"/>
    <w:rsid w:val="770025E3"/>
    <w:rsid w:val="7702089F"/>
    <w:rsid w:val="770A4F84"/>
    <w:rsid w:val="77176686"/>
    <w:rsid w:val="771A18F7"/>
    <w:rsid w:val="771D50DB"/>
    <w:rsid w:val="7720567C"/>
    <w:rsid w:val="77260998"/>
    <w:rsid w:val="772700B6"/>
    <w:rsid w:val="77277B70"/>
    <w:rsid w:val="772A034D"/>
    <w:rsid w:val="772B173D"/>
    <w:rsid w:val="772B58B2"/>
    <w:rsid w:val="772E53A2"/>
    <w:rsid w:val="772F04A0"/>
    <w:rsid w:val="77332423"/>
    <w:rsid w:val="77334767"/>
    <w:rsid w:val="77366005"/>
    <w:rsid w:val="773A3D47"/>
    <w:rsid w:val="773B3051"/>
    <w:rsid w:val="773F2A73"/>
    <w:rsid w:val="774168AE"/>
    <w:rsid w:val="77497DB7"/>
    <w:rsid w:val="774A385E"/>
    <w:rsid w:val="774B2D27"/>
    <w:rsid w:val="774B7D02"/>
    <w:rsid w:val="774C5829"/>
    <w:rsid w:val="774E77F3"/>
    <w:rsid w:val="775306E2"/>
    <w:rsid w:val="77550B81"/>
    <w:rsid w:val="77562203"/>
    <w:rsid w:val="775A1F6B"/>
    <w:rsid w:val="775A7F45"/>
    <w:rsid w:val="775B0206"/>
    <w:rsid w:val="775C13BB"/>
    <w:rsid w:val="775D17E4"/>
    <w:rsid w:val="775E77FF"/>
    <w:rsid w:val="77647139"/>
    <w:rsid w:val="7767792C"/>
    <w:rsid w:val="776A1E10"/>
    <w:rsid w:val="776B3862"/>
    <w:rsid w:val="776C0B3A"/>
    <w:rsid w:val="776D5D63"/>
    <w:rsid w:val="7778661E"/>
    <w:rsid w:val="77792F67"/>
    <w:rsid w:val="777F50F4"/>
    <w:rsid w:val="778422DB"/>
    <w:rsid w:val="77874A18"/>
    <w:rsid w:val="77884AB3"/>
    <w:rsid w:val="778B6351"/>
    <w:rsid w:val="77900C3E"/>
    <w:rsid w:val="7790475A"/>
    <w:rsid w:val="77925DD0"/>
    <w:rsid w:val="7793643A"/>
    <w:rsid w:val="779571D0"/>
    <w:rsid w:val="7796101E"/>
    <w:rsid w:val="779B2445"/>
    <w:rsid w:val="779B7DB1"/>
    <w:rsid w:val="779E42D6"/>
    <w:rsid w:val="779F1DFC"/>
    <w:rsid w:val="77A17922"/>
    <w:rsid w:val="77A34268"/>
    <w:rsid w:val="77A47159"/>
    <w:rsid w:val="77A81C37"/>
    <w:rsid w:val="77A85537"/>
    <w:rsid w:val="77AB07A1"/>
    <w:rsid w:val="77AC6D6A"/>
    <w:rsid w:val="77B16525"/>
    <w:rsid w:val="77B533CE"/>
    <w:rsid w:val="77B8247D"/>
    <w:rsid w:val="77B8543C"/>
    <w:rsid w:val="77B91110"/>
    <w:rsid w:val="77B91FE2"/>
    <w:rsid w:val="77C0324D"/>
    <w:rsid w:val="77CB0E43"/>
    <w:rsid w:val="77CD6969"/>
    <w:rsid w:val="77D00BA3"/>
    <w:rsid w:val="77D30FFF"/>
    <w:rsid w:val="77D777E8"/>
    <w:rsid w:val="77DE1FC7"/>
    <w:rsid w:val="77DE41E0"/>
    <w:rsid w:val="77DF3B50"/>
    <w:rsid w:val="77E255F1"/>
    <w:rsid w:val="77E31255"/>
    <w:rsid w:val="77E67A2B"/>
    <w:rsid w:val="77E74CD6"/>
    <w:rsid w:val="77EC3318"/>
    <w:rsid w:val="77ED2B68"/>
    <w:rsid w:val="77F03269"/>
    <w:rsid w:val="77F34BC1"/>
    <w:rsid w:val="77F55EC0"/>
    <w:rsid w:val="77F66609"/>
    <w:rsid w:val="77F832AB"/>
    <w:rsid w:val="77FA34D6"/>
    <w:rsid w:val="78004072"/>
    <w:rsid w:val="780075EB"/>
    <w:rsid w:val="78044F4A"/>
    <w:rsid w:val="78061D4D"/>
    <w:rsid w:val="780B2C75"/>
    <w:rsid w:val="780C6C70"/>
    <w:rsid w:val="781003C8"/>
    <w:rsid w:val="7811385C"/>
    <w:rsid w:val="78135187"/>
    <w:rsid w:val="78164BF4"/>
    <w:rsid w:val="7817370C"/>
    <w:rsid w:val="78177BE5"/>
    <w:rsid w:val="781831FB"/>
    <w:rsid w:val="78271ED4"/>
    <w:rsid w:val="782F4F2E"/>
    <w:rsid w:val="782F73CD"/>
    <w:rsid w:val="78322C70"/>
    <w:rsid w:val="783764D9"/>
    <w:rsid w:val="783C0606"/>
    <w:rsid w:val="7844403A"/>
    <w:rsid w:val="784604CA"/>
    <w:rsid w:val="784D7AAA"/>
    <w:rsid w:val="784E3C31"/>
    <w:rsid w:val="78516208"/>
    <w:rsid w:val="78522778"/>
    <w:rsid w:val="785A7737"/>
    <w:rsid w:val="78670128"/>
    <w:rsid w:val="786848E4"/>
    <w:rsid w:val="78695011"/>
    <w:rsid w:val="78710ED7"/>
    <w:rsid w:val="7871641E"/>
    <w:rsid w:val="787A3896"/>
    <w:rsid w:val="78852D33"/>
    <w:rsid w:val="78874D6A"/>
    <w:rsid w:val="78886D34"/>
    <w:rsid w:val="788B039C"/>
    <w:rsid w:val="788C2381"/>
    <w:rsid w:val="788D521D"/>
    <w:rsid w:val="788F1F55"/>
    <w:rsid w:val="788F3C1F"/>
    <w:rsid w:val="789046A6"/>
    <w:rsid w:val="78906668"/>
    <w:rsid w:val="78925885"/>
    <w:rsid w:val="78925A13"/>
    <w:rsid w:val="78945D76"/>
    <w:rsid w:val="789F0C99"/>
    <w:rsid w:val="78A141F4"/>
    <w:rsid w:val="78A21BA4"/>
    <w:rsid w:val="78A46E91"/>
    <w:rsid w:val="78A551F0"/>
    <w:rsid w:val="78A82F32"/>
    <w:rsid w:val="78AA0A59"/>
    <w:rsid w:val="78AB2EE0"/>
    <w:rsid w:val="78B2513E"/>
    <w:rsid w:val="78B34BD9"/>
    <w:rsid w:val="78B34CF1"/>
    <w:rsid w:val="78B418D7"/>
    <w:rsid w:val="78B54E45"/>
    <w:rsid w:val="78B7290A"/>
    <w:rsid w:val="78B7340B"/>
    <w:rsid w:val="78BB0B72"/>
    <w:rsid w:val="78BE1898"/>
    <w:rsid w:val="78BE2756"/>
    <w:rsid w:val="78C0027C"/>
    <w:rsid w:val="78C02044"/>
    <w:rsid w:val="78C45BA2"/>
    <w:rsid w:val="78C53AE4"/>
    <w:rsid w:val="78C6355B"/>
    <w:rsid w:val="78C71EFF"/>
    <w:rsid w:val="78C7785D"/>
    <w:rsid w:val="78CA1E86"/>
    <w:rsid w:val="78CC4E73"/>
    <w:rsid w:val="78CD2D94"/>
    <w:rsid w:val="78CD3CD4"/>
    <w:rsid w:val="78D15FE5"/>
    <w:rsid w:val="78D45AD6"/>
    <w:rsid w:val="78D90F8D"/>
    <w:rsid w:val="78D930EC"/>
    <w:rsid w:val="78DA30EC"/>
    <w:rsid w:val="78DA7590"/>
    <w:rsid w:val="78DE6954"/>
    <w:rsid w:val="78E34A96"/>
    <w:rsid w:val="78E57CE3"/>
    <w:rsid w:val="78E81581"/>
    <w:rsid w:val="78EA70A7"/>
    <w:rsid w:val="78EB3337"/>
    <w:rsid w:val="78EF0B61"/>
    <w:rsid w:val="78F039E3"/>
    <w:rsid w:val="78F07D12"/>
    <w:rsid w:val="78F46AAA"/>
    <w:rsid w:val="78F47F26"/>
    <w:rsid w:val="78F77D47"/>
    <w:rsid w:val="78FB1C0E"/>
    <w:rsid w:val="78FE12F8"/>
    <w:rsid w:val="79004B1D"/>
    <w:rsid w:val="790472E8"/>
    <w:rsid w:val="79052133"/>
    <w:rsid w:val="790653DF"/>
    <w:rsid w:val="7908577F"/>
    <w:rsid w:val="790B6327"/>
    <w:rsid w:val="790C1713"/>
    <w:rsid w:val="790D43D7"/>
    <w:rsid w:val="790E7239"/>
    <w:rsid w:val="791130F5"/>
    <w:rsid w:val="79142376"/>
    <w:rsid w:val="7917715F"/>
    <w:rsid w:val="791A3E30"/>
    <w:rsid w:val="791F1447"/>
    <w:rsid w:val="79202E7A"/>
    <w:rsid w:val="792273F9"/>
    <w:rsid w:val="79240792"/>
    <w:rsid w:val="79252588"/>
    <w:rsid w:val="792627D5"/>
    <w:rsid w:val="79294575"/>
    <w:rsid w:val="79304D73"/>
    <w:rsid w:val="7931480B"/>
    <w:rsid w:val="79332698"/>
    <w:rsid w:val="793406BE"/>
    <w:rsid w:val="793551ED"/>
    <w:rsid w:val="793820EB"/>
    <w:rsid w:val="79385B87"/>
    <w:rsid w:val="793906DB"/>
    <w:rsid w:val="79394C6A"/>
    <w:rsid w:val="793C296C"/>
    <w:rsid w:val="794B1A7D"/>
    <w:rsid w:val="79500848"/>
    <w:rsid w:val="79520560"/>
    <w:rsid w:val="79533C02"/>
    <w:rsid w:val="795B5EEF"/>
    <w:rsid w:val="795B722F"/>
    <w:rsid w:val="795D5ACB"/>
    <w:rsid w:val="795E155F"/>
    <w:rsid w:val="79623590"/>
    <w:rsid w:val="79643C39"/>
    <w:rsid w:val="79653108"/>
    <w:rsid w:val="79674240"/>
    <w:rsid w:val="79677B15"/>
    <w:rsid w:val="79690914"/>
    <w:rsid w:val="796E1A86"/>
    <w:rsid w:val="796E4E17"/>
    <w:rsid w:val="796E5D58"/>
    <w:rsid w:val="797075A7"/>
    <w:rsid w:val="79764DDF"/>
    <w:rsid w:val="797A48CF"/>
    <w:rsid w:val="797F6770"/>
    <w:rsid w:val="798017B9"/>
    <w:rsid w:val="798412AA"/>
    <w:rsid w:val="7988027F"/>
    <w:rsid w:val="798975AD"/>
    <w:rsid w:val="798B5429"/>
    <w:rsid w:val="798D318B"/>
    <w:rsid w:val="798E6F68"/>
    <w:rsid w:val="79917E9D"/>
    <w:rsid w:val="79951709"/>
    <w:rsid w:val="79976421"/>
    <w:rsid w:val="79981CAE"/>
    <w:rsid w:val="799A287B"/>
    <w:rsid w:val="799C2A97"/>
    <w:rsid w:val="799F6E80"/>
    <w:rsid w:val="79A050D4"/>
    <w:rsid w:val="79A20B53"/>
    <w:rsid w:val="79A25BD4"/>
    <w:rsid w:val="79A429F8"/>
    <w:rsid w:val="79A47B9E"/>
    <w:rsid w:val="79A501FE"/>
    <w:rsid w:val="79B22A60"/>
    <w:rsid w:val="79B24069"/>
    <w:rsid w:val="79B31B8F"/>
    <w:rsid w:val="79B871A5"/>
    <w:rsid w:val="79BA2F1D"/>
    <w:rsid w:val="79BB24FB"/>
    <w:rsid w:val="79CD2C51"/>
    <w:rsid w:val="79D5703B"/>
    <w:rsid w:val="79D77D74"/>
    <w:rsid w:val="79DA7E36"/>
    <w:rsid w:val="79DF0BD6"/>
    <w:rsid w:val="79DF4732"/>
    <w:rsid w:val="79DF7C38"/>
    <w:rsid w:val="79E03C69"/>
    <w:rsid w:val="79E32979"/>
    <w:rsid w:val="79E3357F"/>
    <w:rsid w:val="79E42378"/>
    <w:rsid w:val="79E51157"/>
    <w:rsid w:val="79E61079"/>
    <w:rsid w:val="79E65AC0"/>
    <w:rsid w:val="79F07309"/>
    <w:rsid w:val="79F3784F"/>
    <w:rsid w:val="79F8125D"/>
    <w:rsid w:val="79FB15B5"/>
    <w:rsid w:val="79FB2FC3"/>
    <w:rsid w:val="79FC0642"/>
    <w:rsid w:val="79FC662C"/>
    <w:rsid w:val="79FC7092"/>
    <w:rsid w:val="7A023EF6"/>
    <w:rsid w:val="7A044DC4"/>
    <w:rsid w:val="7A077097"/>
    <w:rsid w:val="7A081EDB"/>
    <w:rsid w:val="7A0B5527"/>
    <w:rsid w:val="7A0D32DE"/>
    <w:rsid w:val="7A0D4E3F"/>
    <w:rsid w:val="7A0E5017"/>
    <w:rsid w:val="7A0F2CE0"/>
    <w:rsid w:val="7A0F3269"/>
    <w:rsid w:val="7A1268B5"/>
    <w:rsid w:val="7A173C13"/>
    <w:rsid w:val="7A176B42"/>
    <w:rsid w:val="7A191E12"/>
    <w:rsid w:val="7A2121A5"/>
    <w:rsid w:val="7A224071"/>
    <w:rsid w:val="7A28257D"/>
    <w:rsid w:val="7A2B780E"/>
    <w:rsid w:val="7A3031E0"/>
    <w:rsid w:val="7A3063A3"/>
    <w:rsid w:val="7A3249E0"/>
    <w:rsid w:val="7A33329F"/>
    <w:rsid w:val="7A3562EE"/>
    <w:rsid w:val="7A361C20"/>
    <w:rsid w:val="7A3905A1"/>
    <w:rsid w:val="7A3A1919"/>
    <w:rsid w:val="7A4078C7"/>
    <w:rsid w:val="7A4106A2"/>
    <w:rsid w:val="7A4822D7"/>
    <w:rsid w:val="7A482A0E"/>
    <w:rsid w:val="7A4A0C79"/>
    <w:rsid w:val="7A4A10D9"/>
    <w:rsid w:val="7A4A17D1"/>
    <w:rsid w:val="7A4A6FE1"/>
    <w:rsid w:val="7A4D5B40"/>
    <w:rsid w:val="7A515E1A"/>
    <w:rsid w:val="7A530F25"/>
    <w:rsid w:val="7A5533B1"/>
    <w:rsid w:val="7A5609AC"/>
    <w:rsid w:val="7A57076C"/>
    <w:rsid w:val="7A574C10"/>
    <w:rsid w:val="7A5A025C"/>
    <w:rsid w:val="7A5C5D83"/>
    <w:rsid w:val="7A646D20"/>
    <w:rsid w:val="7A6526C3"/>
    <w:rsid w:val="7A655BDA"/>
    <w:rsid w:val="7A65732D"/>
    <w:rsid w:val="7A664E53"/>
    <w:rsid w:val="7A6B246A"/>
    <w:rsid w:val="7A6F1F5A"/>
    <w:rsid w:val="7A6F5AB6"/>
    <w:rsid w:val="7A704982"/>
    <w:rsid w:val="7A7132ED"/>
    <w:rsid w:val="7A7145FE"/>
    <w:rsid w:val="7A7255A6"/>
    <w:rsid w:val="7A730732"/>
    <w:rsid w:val="7A741482"/>
    <w:rsid w:val="7A7E27D8"/>
    <w:rsid w:val="7A7E7C03"/>
    <w:rsid w:val="7A811A14"/>
    <w:rsid w:val="7A811C8D"/>
    <w:rsid w:val="7A863D85"/>
    <w:rsid w:val="7A8714CA"/>
    <w:rsid w:val="7A8B6668"/>
    <w:rsid w:val="7A8C1740"/>
    <w:rsid w:val="7A8D0632"/>
    <w:rsid w:val="7A8F4231"/>
    <w:rsid w:val="7A8F7F06"/>
    <w:rsid w:val="7A920688"/>
    <w:rsid w:val="7A9669F4"/>
    <w:rsid w:val="7A9814B1"/>
    <w:rsid w:val="7A99400F"/>
    <w:rsid w:val="7A9B2D4F"/>
    <w:rsid w:val="7A9E62BF"/>
    <w:rsid w:val="7AA02320"/>
    <w:rsid w:val="7AA1145D"/>
    <w:rsid w:val="7AA31C03"/>
    <w:rsid w:val="7AA62954"/>
    <w:rsid w:val="7AA921BC"/>
    <w:rsid w:val="7AAA017E"/>
    <w:rsid w:val="7AAE2183"/>
    <w:rsid w:val="7AB04A66"/>
    <w:rsid w:val="7AB20098"/>
    <w:rsid w:val="7AB21E46"/>
    <w:rsid w:val="7AB414D0"/>
    <w:rsid w:val="7AB63A8D"/>
    <w:rsid w:val="7AB81B45"/>
    <w:rsid w:val="7AB931D5"/>
    <w:rsid w:val="7ABC2E0E"/>
    <w:rsid w:val="7ABC51E6"/>
    <w:rsid w:val="7ABE4C69"/>
    <w:rsid w:val="7AC10876"/>
    <w:rsid w:val="7AC11E3E"/>
    <w:rsid w:val="7AC5601E"/>
    <w:rsid w:val="7AC6403B"/>
    <w:rsid w:val="7AC66CEB"/>
    <w:rsid w:val="7AC754CB"/>
    <w:rsid w:val="7AC85AB9"/>
    <w:rsid w:val="7ACE655D"/>
    <w:rsid w:val="7AD04F18"/>
    <w:rsid w:val="7AD150A1"/>
    <w:rsid w:val="7AD526A0"/>
    <w:rsid w:val="7AD63D87"/>
    <w:rsid w:val="7ADC7E33"/>
    <w:rsid w:val="7ADD3367"/>
    <w:rsid w:val="7ADD5115"/>
    <w:rsid w:val="7AE07E53"/>
    <w:rsid w:val="7AE16BA4"/>
    <w:rsid w:val="7AE449F3"/>
    <w:rsid w:val="7AE621E7"/>
    <w:rsid w:val="7AE76DB2"/>
    <w:rsid w:val="7AE85868"/>
    <w:rsid w:val="7AEB7E61"/>
    <w:rsid w:val="7AF10738"/>
    <w:rsid w:val="7AF547CF"/>
    <w:rsid w:val="7AF75AAB"/>
    <w:rsid w:val="7AFB519F"/>
    <w:rsid w:val="7AFD1314"/>
    <w:rsid w:val="7AFD5992"/>
    <w:rsid w:val="7AFD7A76"/>
    <w:rsid w:val="7B001017"/>
    <w:rsid w:val="7B032A3A"/>
    <w:rsid w:val="7B0703E4"/>
    <w:rsid w:val="7B0F1A1F"/>
    <w:rsid w:val="7B117F76"/>
    <w:rsid w:val="7B136D89"/>
    <w:rsid w:val="7B152B01"/>
    <w:rsid w:val="7B160ED4"/>
    <w:rsid w:val="7B187EFC"/>
    <w:rsid w:val="7B1A1656"/>
    <w:rsid w:val="7B1A58EF"/>
    <w:rsid w:val="7B1D30B0"/>
    <w:rsid w:val="7B2745E3"/>
    <w:rsid w:val="7B2E137E"/>
    <w:rsid w:val="7B2E138A"/>
    <w:rsid w:val="7B307B23"/>
    <w:rsid w:val="7B314489"/>
    <w:rsid w:val="7B31720F"/>
    <w:rsid w:val="7B3454C7"/>
    <w:rsid w:val="7B3E7187"/>
    <w:rsid w:val="7B4038F6"/>
    <w:rsid w:val="7B406801"/>
    <w:rsid w:val="7B44146F"/>
    <w:rsid w:val="7B450F0D"/>
    <w:rsid w:val="7B4927AB"/>
    <w:rsid w:val="7B494559"/>
    <w:rsid w:val="7B551D6C"/>
    <w:rsid w:val="7B577F68"/>
    <w:rsid w:val="7B5B52CA"/>
    <w:rsid w:val="7B5C43DD"/>
    <w:rsid w:val="7B5D6256"/>
    <w:rsid w:val="7B5E2F40"/>
    <w:rsid w:val="7B5F3D7C"/>
    <w:rsid w:val="7B6114FA"/>
    <w:rsid w:val="7B6273C9"/>
    <w:rsid w:val="7B6337D4"/>
    <w:rsid w:val="7B670E83"/>
    <w:rsid w:val="7B6770D5"/>
    <w:rsid w:val="7B6E1D05"/>
    <w:rsid w:val="7B711D02"/>
    <w:rsid w:val="7B725958"/>
    <w:rsid w:val="7B7315D6"/>
    <w:rsid w:val="7B737364"/>
    <w:rsid w:val="7B7A0FC8"/>
    <w:rsid w:val="7B811766"/>
    <w:rsid w:val="7B821570"/>
    <w:rsid w:val="7B842A5B"/>
    <w:rsid w:val="7B845591"/>
    <w:rsid w:val="7B851222"/>
    <w:rsid w:val="7B8552CC"/>
    <w:rsid w:val="7B8657AD"/>
    <w:rsid w:val="7B865BCD"/>
    <w:rsid w:val="7B8C61F4"/>
    <w:rsid w:val="7B8F3F36"/>
    <w:rsid w:val="7B945FC9"/>
    <w:rsid w:val="7B9652C4"/>
    <w:rsid w:val="7B98103C"/>
    <w:rsid w:val="7B98702C"/>
    <w:rsid w:val="7B9931A4"/>
    <w:rsid w:val="7B9A3006"/>
    <w:rsid w:val="7B9F23CB"/>
    <w:rsid w:val="7B9F350A"/>
    <w:rsid w:val="7BA7127F"/>
    <w:rsid w:val="7BA94359"/>
    <w:rsid w:val="7BAA79E7"/>
    <w:rsid w:val="7BAE260E"/>
    <w:rsid w:val="7BB120FE"/>
    <w:rsid w:val="7BB37C24"/>
    <w:rsid w:val="7BB5399C"/>
    <w:rsid w:val="7BB90F1E"/>
    <w:rsid w:val="7BBA0FB3"/>
    <w:rsid w:val="7BBF7EA8"/>
    <w:rsid w:val="7BC01A25"/>
    <w:rsid w:val="7BC02341"/>
    <w:rsid w:val="7BC02DE0"/>
    <w:rsid w:val="7BC10593"/>
    <w:rsid w:val="7BC2255D"/>
    <w:rsid w:val="7BC40083"/>
    <w:rsid w:val="7BC44E64"/>
    <w:rsid w:val="7BC51142"/>
    <w:rsid w:val="7BC77B74"/>
    <w:rsid w:val="7BCB1EA0"/>
    <w:rsid w:val="7BCD4E47"/>
    <w:rsid w:val="7BCE4A5E"/>
    <w:rsid w:val="7BCF674F"/>
    <w:rsid w:val="7BD16399"/>
    <w:rsid w:val="7BD454BB"/>
    <w:rsid w:val="7BD93E67"/>
    <w:rsid w:val="7BDA3403"/>
    <w:rsid w:val="7BDB359E"/>
    <w:rsid w:val="7BDC53CD"/>
    <w:rsid w:val="7BDD71DF"/>
    <w:rsid w:val="7BDE04E6"/>
    <w:rsid w:val="7BE4480F"/>
    <w:rsid w:val="7BE77A84"/>
    <w:rsid w:val="7BE81FC4"/>
    <w:rsid w:val="7BE95995"/>
    <w:rsid w:val="7BEA7E28"/>
    <w:rsid w:val="7BED1ED3"/>
    <w:rsid w:val="7BEE611A"/>
    <w:rsid w:val="7BF30ABE"/>
    <w:rsid w:val="7BF3250D"/>
    <w:rsid w:val="7BF43BA0"/>
    <w:rsid w:val="7BF87D2D"/>
    <w:rsid w:val="7BF94F61"/>
    <w:rsid w:val="7BFD3595"/>
    <w:rsid w:val="7C0866BC"/>
    <w:rsid w:val="7C09013E"/>
    <w:rsid w:val="7C0B5CB2"/>
    <w:rsid w:val="7C0D1674"/>
    <w:rsid w:val="7C0D22A9"/>
    <w:rsid w:val="7C10151B"/>
    <w:rsid w:val="7C105077"/>
    <w:rsid w:val="7C150808"/>
    <w:rsid w:val="7C1B11C6"/>
    <w:rsid w:val="7C1E2A4E"/>
    <w:rsid w:val="7C2863AA"/>
    <w:rsid w:val="7C290BCC"/>
    <w:rsid w:val="7C302075"/>
    <w:rsid w:val="7C305674"/>
    <w:rsid w:val="7C305719"/>
    <w:rsid w:val="7C33534D"/>
    <w:rsid w:val="7C3511B2"/>
    <w:rsid w:val="7C3A20F4"/>
    <w:rsid w:val="7C3E4A65"/>
    <w:rsid w:val="7C436174"/>
    <w:rsid w:val="7C437E89"/>
    <w:rsid w:val="7C444D20"/>
    <w:rsid w:val="7C466CEA"/>
    <w:rsid w:val="7C4902F7"/>
    <w:rsid w:val="7C490589"/>
    <w:rsid w:val="7C4976FE"/>
    <w:rsid w:val="7C4F2043"/>
    <w:rsid w:val="7C53250F"/>
    <w:rsid w:val="7C597159"/>
    <w:rsid w:val="7C597A87"/>
    <w:rsid w:val="7C5B0EFA"/>
    <w:rsid w:val="7C6255BF"/>
    <w:rsid w:val="7C703D67"/>
    <w:rsid w:val="7C727ADF"/>
    <w:rsid w:val="7C741AA9"/>
    <w:rsid w:val="7C743857"/>
    <w:rsid w:val="7C765821"/>
    <w:rsid w:val="7C773348"/>
    <w:rsid w:val="7C7B1AA8"/>
    <w:rsid w:val="7C7E659B"/>
    <w:rsid w:val="7C864568"/>
    <w:rsid w:val="7C8768B4"/>
    <w:rsid w:val="7C920181"/>
    <w:rsid w:val="7C923CDE"/>
    <w:rsid w:val="7C97472C"/>
    <w:rsid w:val="7C9A5513"/>
    <w:rsid w:val="7C9A6575"/>
    <w:rsid w:val="7C9B6740"/>
    <w:rsid w:val="7C9C65D2"/>
    <w:rsid w:val="7CA247BC"/>
    <w:rsid w:val="7CA61BB4"/>
    <w:rsid w:val="7CA659DB"/>
    <w:rsid w:val="7CA83501"/>
    <w:rsid w:val="7CA86628"/>
    <w:rsid w:val="7CAB7FBA"/>
    <w:rsid w:val="7CAD0B17"/>
    <w:rsid w:val="7CAF2AE1"/>
    <w:rsid w:val="7CB14F7B"/>
    <w:rsid w:val="7CB41EA6"/>
    <w:rsid w:val="7CB65C1E"/>
    <w:rsid w:val="7CC006A1"/>
    <w:rsid w:val="7CC24649"/>
    <w:rsid w:val="7CC763FF"/>
    <w:rsid w:val="7CC90BBB"/>
    <w:rsid w:val="7CC93A4F"/>
    <w:rsid w:val="7CCA791B"/>
    <w:rsid w:val="7CCC1993"/>
    <w:rsid w:val="7CCC3693"/>
    <w:rsid w:val="7CCE6161"/>
    <w:rsid w:val="7CD14CFC"/>
    <w:rsid w:val="7CD2057E"/>
    <w:rsid w:val="7CDB38D7"/>
    <w:rsid w:val="7CDC6998"/>
    <w:rsid w:val="7CE02C9B"/>
    <w:rsid w:val="7CE13958"/>
    <w:rsid w:val="7CE502B1"/>
    <w:rsid w:val="7CE50FF2"/>
    <w:rsid w:val="7CE7227B"/>
    <w:rsid w:val="7CE87DA1"/>
    <w:rsid w:val="7CEA3B1A"/>
    <w:rsid w:val="7CEA517B"/>
    <w:rsid w:val="7CEB55B2"/>
    <w:rsid w:val="7CEF7382"/>
    <w:rsid w:val="7CF3470C"/>
    <w:rsid w:val="7CFB7AD5"/>
    <w:rsid w:val="7D0070CE"/>
    <w:rsid w:val="7D007C96"/>
    <w:rsid w:val="7D022412"/>
    <w:rsid w:val="7D037768"/>
    <w:rsid w:val="7D0746CC"/>
    <w:rsid w:val="7D0755A2"/>
    <w:rsid w:val="7D0A41BC"/>
    <w:rsid w:val="7D0C7407"/>
    <w:rsid w:val="7D0F3580"/>
    <w:rsid w:val="7D104A16"/>
    <w:rsid w:val="7D113DE9"/>
    <w:rsid w:val="7D113FD7"/>
    <w:rsid w:val="7D160A41"/>
    <w:rsid w:val="7D185732"/>
    <w:rsid w:val="7D193B14"/>
    <w:rsid w:val="7D1F356D"/>
    <w:rsid w:val="7D201441"/>
    <w:rsid w:val="7D2232B3"/>
    <w:rsid w:val="7D225061"/>
    <w:rsid w:val="7D23702C"/>
    <w:rsid w:val="7D2E4CDC"/>
    <w:rsid w:val="7D2E696B"/>
    <w:rsid w:val="7D2F777E"/>
    <w:rsid w:val="7D306D5D"/>
    <w:rsid w:val="7D376F18"/>
    <w:rsid w:val="7D380D29"/>
    <w:rsid w:val="7D3F20B7"/>
    <w:rsid w:val="7D425704"/>
    <w:rsid w:val="7D4274B2"/>
    <w:rsid w:val="7D456708"/>
    <w:rsid w:val="7D4656F7"/>
    <w:rsid w:val="7D4866DA"/>
    <w:rsid w:val="7D4F1BCF"/>
    <w:rsid w:val="7D511DEB"/>
    <w:rsid w:val="7D513E64"/>
    <w:rsid w:val="7D586923"/>
    <w:rsid w:val="7D5B224E"/>
    <w:rsid w:val="7D5B4A17"/>
    <w:rsid w:val="7D5D44AD"/>
    <w:rsid w:val="7D623033"/>
    <w:rsid w:val="7D625829"/>
    <w:rsid w:val="7D6640CF"/>
    <w:rsid w:val="7D6D4248"/>
    <w:rsid w:val="7D6E02A7"/>
    <w:rsid w:val="7D6E474B"/>
    <w:rsid w:val="7D7670C3"/>
    <w:rsid w:val="7D77785F"/>
    <w:rsid w:val="7D7D04EA"/>
    <w:rsid w:val="7D7E64AD"/>
    <w:rsid w:val="7D8201F6"/>
    <w:rsid w:val="7D851A94"/>
    <w:rsid w:val="7D861F78"/>
    <w:rsid w:val="7D954F08"/>
    <w:rsid w:val="7D9D5DA1"/>
    <w:rsid w:val="7D9D6DDE"/>
    <w:rsid w:val="7DA0242A"/>
    <w:rsid w:val="7DA4224A"/>
    <w:rsid w:val="7DA86035"/>
    <w:rsid w:val="7DAA0F8C"/>
    <w:rsid w:val="7DAE4304"/>
    <w:rsid w:val="7DAE4B47"/>
    <w:rsid w:val="7DB06B11"/>
    <w:rsid w:val="7DBE6776"/>
    <w:rsid w:val="7DC26844"/>
    <w:rsid w:val="7DC51E91"/>
    <w:rsid w:val="7DC720AD"/>
    <w:rsid w:val="7DC91932"/>
    <w:rsid w:val="7DCB56F9"/>
    <w:rsid w:val="7DD057ED"/>
    <w:rsid w:val="7DD26EA7"/>
    <w:rsid w:val="7DD32800"/>
    <w:rsid w:val="7DD66F00"/>
    <w:rsid w:val="7DDA7B1F"/>
    <w:rsid w:val="7DDD4202"/>
    <w:rsid w:val="7DE36933"/>
    <w:rsid w:val="7DE46CF3"/>
    <w:rsid w:val="7DE83EE6"/>
    <w:rsid w:val="7DEB329C"/>
    <w:rsid w:val="7DF46D4E"/>
    <w:rsid w:val="7DFB03EA"/>
    <w:rsid w:val="7DFB778A"/>
    <w:rsid w:val="7E002EC9"/>
    <w:rsid w:val="7E054EEF"/>
    <w:rsid w:val="7E066731"/>
    <w:rsid w:val="7E0806FB"/>
    <w:rsid w:val="7E0B4B47"/>
    <w:rsid w:val="7E0D3F64"/>
    <w:rsid w:val="7E0E3838"/>
    <w:rsid w:val="7E0E5C00"/>
    <w:rsid w:val="7E10135E"/>
    <w:rsid w:val="7E125FC0"/>
    <w:rsid w:val="7E197CE3"/>
    <w:rsid w:val="7E1A7A97"/>
    <w:rsid w:val="7E242989"/>
    <w:rsid w:val="7E2631C0"/>
    <w:rsid w:val="7E2712AA"/>
    <w:rsid w:val="7E275D77"/>
    <w:rsid w:val="7E2867A7"/>
    <w:rsid w:val="7E2B12D3"/>
    <w:rsid w:val="7E2D0162"/>
    <w:rsid w:val="7E2D1189"/>
    <w:rsid w:val="7E301A00"/>
    <w:rsid w:val="7E343755"/>
    <w:rsid w:val="7E3471BF"/>
    <w:rsid w:val="7E3E411D"/>
    <w:rsid w:val="7E3F35FC"/>
    <w:rsid w:val="7E464D80"/>
    <w:rsid w:val="7E491E00"/>
    <w:rsid w:val="7E4A6BE9"/>
    <w:rsid w:val="7E4B683A"/>
    <w:rsid w:val="7E4F3BE5"/>
    <w:rsid w:val="7E510147"/>
    <w:rsid w:val="7E534B16"/>
    <w:rsid w:val="7E562699"/>
    <w:rsid w:val="7E5C3F56"/>
    <w:rsid w:val="7E5D74F0"/>
    <w:rsid w:val="7E5E6FCF"/>
    <w:rsid w:val="7E6054A8"/>
    <w:rsid w:val="7E634CED"/>
    <w:rsid w:val="7E635932"/>
    <w:rsid w:val="7E694F12"/>
    <w:rsid w:val="7E69680B"/>
    <w:rsid w:val="7E6B0C8A"/>
    <w:rsid w:val="7E6C674D"/>
    <w:rsid w:val="7E6D2C07"/>
    <w:rsid w:val="7E6F077A"/>
    <w:rsid w:val="7E712654"/>
    <w:rsid w:val="7E747C28"/>
    <w:rsid w:val="7E775881"/>
    <w:rsid w:val="7E7C54C3"/>
    <w:rsid w:val="7E7E0F36"/>
    <w:rsid w:val="7E7F530E"/>
    <w:rsid w:val="7E882C1C"/>
    <w:rsid w:val="7E8C56BA"/>
    <w:rsid w:val="7E9205EB"/>
    <w:rsid w:val="7E927FC5"/>
    <w:rsid w:val="7E97382D"/>
    <w:rsid w:val="7E9C52E7"/>
    <w:rsid w:val="7E9F0EEE"/>
    <w:rsid w:val="7E9F6357"/>
    <w:rsid w:val="7EA111FA"/>
    <w:rsid w:val="7EA1645A"/>
    <w:rsid w:val="7EA321D2"/>
    <w:rsid w:val="7EA44826"/>
    <w:rsid w:val="7EA61CC2"/>
    <w:rsid w:val="7EA97EB8"/>
    <w:rsid w:val="7EAA7A04"/>
    <w:rsid w:val="7EB02B41"/>
    <w:rsid w:val="7EB048EF"/>
    <w:rsid w:val="7EB61686"/>
    <w:rsid w:val="7EB919F5"/>
    <w:rsid w:val="7EB9429C"/>
    <w:rsid w:val="7EBB39C0"/>
    <w:rsid w:val="7EBD2E7D"/>
    <w:rsid w:val="7EC30AC6"/>
    <w:rsid w:val="7EC42148"/>
    <w:rsid w:val="7EC62062"/>
    <w:rsid w:val="7ECF4278"/>
    <w:rsid w:val="7ED1760F"/>
    <w:rsid w:val="7ED54355"/>
    <w:rsid w:val="7ED56142"/>
    <w:rsid w:val="7ED8589C"/>
    <w:rsid w:val="7ED93E46"/>
    <w:rsid w:val="7EDF2CD5"/>
    <w:rsid w:val="7EE04C53"/>
    <w:rsid w:val="7EE051D4"/>
    <w:rsid w:val="7EEE00A7"/>
    <w:rsid w:val="7EEE14CF"/>
    <w:rsid w:val="7EEF3669"/>
    <w:rsid w:val="7EEF4135"/>
    <w:rsid w:val="7EF615DC"/>
    <w:rsid w:val="7EF83A6A"/>
    <w:rsid w:val="7EFA536A"/>
    <w:rsid w:val="7EFB1132"/>
    <w:rsid w:val="7EFC1C85"/>
    <w:rsid w:val="7EFD4744"/>
    <w:rsid w:val="7EFE1AFE"/>
    <w:rsid w:val="7F0047E7"/>
    <w:rsid w:val="7F01339C"/>
    <w:rsid w:val="7F08033F"/>
    <w:rsid w:val="7F0864D9"/>
    <w:rsid w:val="7F0976B1"/>
    <w:rsid w:val="7F0A7CC2"/>
    <w:rsid w:val="7F0C2B0B"/>
    <w:rsid w:val="7F1C4F25"/>
    <w:rsid w:val="7F2C033B"/>
    <w:rsid w:val="7F2C0419"/>
    <w:rsid w:val="7F2D7CEE"/>
    <w:rsid w:val="7F2E7865"/>
    <w:rsid w:val="7F313C82"/>
    <w:rsid w:val="7F364DF4"/>
    <w:rsid w:val="7F3A5573"/>
    <w:rsid w:val="7F3C4F87"/>
    <w:rsid w:val="7F3C517A"/>
    <w:rsid w:val="7F3C6183"/>
    <w:rsid w:val="7F460903"/>
    <w:rsid w:val="7F46479C"/>
    <w:rsid w:val="7F4A2E8A"/>
    <w:rsid w:val="7F4B5363"/>
    <w:rsid w:val="7F4D520C"/>
    <w:rsid w:val="7F4F1849"/>
    <w:rsid w:val="7F517E80"/>
    <w:rsid w:val="7F541580"/>
    <w:rsid w:val="7F54171E"/>
    <w:rsid w:val="7F565496"/>
    <w:rsid w:val="7F573B33"/>
    <w:rsid w:val="7F594F87"/>
    <w:rsid w:val="7F606315"/>
    <w:rsid w:val="7F642DA6"/>
    <w:rsid w:val="7F6A7194"/>
    <w:rsid w:val="7F6C4CBA"/>
    <w:rsid w:val="7F721F37"/>
    <w:rsid w:val="7F751AA1"/>
    <w:rsid w:val="7F763505"/>
    <w:rsid w:val="7F787239"/>
    <w:rsid w:val="7F7A007C"/>
    <w:rsid w:val="7F7A3C92"/>
    <w:rsid w:val="7F7E035C"/>
    <w:rsid w:val="7F8738A2"/>
    <w:rsid w:val="7F89672E"/>
    <w:rsid w:val="7F8A164E"/>
    <w:rsid w:val="7F8B678B"/>
    <w:rsid w:val="7F8B793F"/>
    <w:rsid w:val="7F8C710A"/>
    <w:rsid w:val="7F8F2756"/>
    <w:rsid w:val="7F9340A2"/>
    <w:rsid w:val="7F9A4CEF"/>
    <w:rsid w:val="7F9E48CC"/>
    <w:rsid w:val="7FAB6672"/>
    <w:rsid w:val="7FB0616F"/>
    <w:rsid w:val="7FB14DC3"/>
    <w:rsid w:val="7FB561D0"/>
    <w:rsid w:val="7FBC555C"/>
    <w:rsid w:val="7FC25B91"/>
    <w:rsid w:val="7FC87A6E"/>
    <w:rsid w:val="7FCE14D1"/>
    <w:rsid w:val="7FD43B6F"/>
    <w:rsid w:val="7FD75C83"/>
    <w:rsid w:val="7FE26D2A"/>
    <w:rsid w:val="7FE405C7"/>
    <w:rsid w:val="7FE62D4C"/>
    <w:rsid w:val="7FE6632B"/>
    <w:rsid w:val="7FE900B8"/>
    <w:rsid w:val="7FE9630A"/>
    <w:rsid w:val="7FEE203D"/>
    <w:rsid w:val="7FF259AD"/>
    <w:rsid w:val="7FF76C79"/>
    <w:rsid w:val="7FFD2F9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qFormat="1" w:unhideWhenUsed="0" w:uiPriority="0" w:semiHidden="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qFormat="1" w:unhideWhenUsed="0" w:uiPriority="0" w:name="toc 7"/>
    <w:lsdException w:qFormat="1" w:unhideWhenUsed="0" w:uiPriority="0" w:semiHidden="0" w:name="toc 8"/>
    <w:lsdException w:uiPriority="0" w:name="toc 9"/>
    <w:lsdException w:qFormat="1" w:unhideWhenUsed="0" w:uiPriority="99"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qFormat="1" w:unhideWhenUsed="0" w:uiPriority="0" w:semiHidden="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qFormat="1" w:unhideWhenUsed="0" w:uiPriority="0" w:semiHidden="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qFormat="1" w:uiPriority="99" w:semiHidden="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pageBreakBefore/>
      <w:spacing w:line="500" w:lineRule="exact"/>
      <w:jc w:val="left"/>
      <w:outlineLvl w:val="0"/>
    </w:pPr>
    <w:rPr>
      <w:b/>
      <w:bCs/>
      <w:kern w:val="44"/>
      <w:sz w:val="30"/>
      <w:szCs w:val="44"/>
    </w:rPr>
  </w:style>
  <w:style w:type="paragraph" w:styleId="3">
    <w:name w:val="heading 2"/>
    <w:basedOn w:val="1"/>
    <w:next w:val="1"/>
    <w:autoRedefine/>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5"/>
    <w:autoRedefine/>
    <w:qFormat/>
    <w:uiPriority w:val="0"/>
    <w:pPr>
      <w:keepNext/>
      <w:keepLines/>
      <w:widowControl/>
      <w:spacing w:before="260" w:after="260" w:line="416" w:lineRule="auto"/>
      <w:jc w:val="left"/>
      <w:outlineLvl w:val="2"/>
    </w:pPr>
    <w:rPr>
      <w:b/>
      <w:kern w:val="0"/>
      <w:sz w:val="32"/>
    </w:rPr>
  </w:style>
  <w:style w:type="paragraph" w:styleId="6">
    <w:name w:val="heading 4"/>
    <w:basedOn w:val="1"/>
    <w:next w:val="5"/>
    <w:link w:val="124"/>
    <w:autoRedefine/>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autoRedefine/>
    <w:qFormat/>
    <w:uiPriority w:val="0"/>
    <w:pPr>
      <w:keepNext/>
      <w:keepLines/>
      <w:tabs>
        <w:tab w:val="left" w:pos="1008"/>
      </w:tabs>
      <w:spacing w:line="360" w:lineRule="auto"/>
      <w:ind w:left="1008" w:hanging="1008"/>
      <w:outlineLvl w:val="4"/>
    </w:pPr>
    <w:rPr>
      <w:rFonts w:ascii="宋体" w:hAnsi="宋体"/>
      <w:bCs/>
      <w:sz w:val="24"/>
      <w:szCs w:val="24"/>
    </w:rPr>
  </w:style>
  <w:style w:type="paragraph" w:styleId="8">
    <w:name w:val="heading 6"/>
    <w:basedOn w:val="1"/>
    <w:next w:val="1"/>
    <w:autoRedefine/>
    <w:qFormat/>
    <w:uiPriority w:val="0"/>
    <w:pPr>
      <w:keepNext/>
      <w:keepLines/>
      <w:tabs>
        <w:tab w:val="left" w:pos="1152"/>
      </w:tabs>
      <w:spacing w:before="240" w:after="64" w:line="320" w:lineRule="atLeast"/>
      <w:ind w:left="1152" w:hanging="1152"/>
      <w:outlineLvl w:val="5"/>
    </w:pPr>
    <w:rPr>
      <w:rFonts w:ascii="Arial" w:hAnsi="Arial" w:eastAsia="黑体"/>
      <w:b/>
      <w:bCs/>
      <w:sz w:val="24"/>
      <w:szCs w:val="24"/>
    </w:rPr>
  </w:style>
  <w:style w:type="paragraph" w:styleId="9">
    <w:name w:val="heading 7"/>
    <w:basedOn w:val="1"/>
    <w:next w:val="1"/>
    <w:autoRedefine/>
    <w:qFormat/>
    <w:uiPriority w:val="0"/>
    <w:pPr>
      <w:keepNext/>
      <w:keepLines/>
      <w:tabs>
        <w:tab w:val="left" w:pos="1296"/>
      </w:tabs>
      <w:spacing w:before="240" w:after="64" w:line="320" w:lineRule="atLeast"/>
      <w:ind w:left="1296" w:hanging="1296"/>
      <w:outlineLvl w:val="6"/>
    </w:pPr>
    <w:rPr>
      <w:rFonts w:ascii="Arial" w:hAnsi="Arial"/>
      <w:b/>
      <w:bCs/>
      <w:sz w:val="24"/>
      <w:szCs w:val="24"/>
    </w:rPr>
  </w:style>
  <w:style w:type="paragraph" w:styleId="10">
    <w:name w:val="heading 8"/>
    <w:basedOn w:val="1"/>
    <w:next w:val="1"/>
    <w:link w:val="165"/>
    <w:autoRedefine/>
    <w:qFormat/>
    <w:uiPriority w:val="0"/>
    <w:pPr>
      <w:keepNext/>
      <w:keepLines/>
      <w:tabs>
        <w:tab w:val="left" w:pos="1440"/>
      </w:tabs>
      <w:spacing w:before="240" w:after="64" w:line="320" w:lineRule="atLeast"/>
      <w:ind w:left="1440" w:hanging="1440"/>
      <w:outlineLvl w:val="7"/>
    </w:pPr>
    <w:rPr>
      <w:rFonts w:ascii="Arial" w:hAnsi="Arial" w:eastAsia="黑体"/>
      <w:sz w:val="24"/>
      <w:szCs w:val="24"/>
    </w:rPr>
  </w:style>
  <w:style w:type="paragraph" w:styleId="11">
    <w:name w:val="heading 9"/>
    <w:basedOn w:val="1"/>
    <w:next w:val="1"/>
    <w:autoRedefine/>
    <w:qFormat/>
    <w:uiPriority w:val="0"/>
    <w:pPr>
      <w:keepNext/>
      <w:keepLines/>
      <w:tabs>
        <w:tab w:val="left" w:pos="1584"/>
      </w:tabs>
      <w:spacing w:before="240" w:after="64" w:line="320" w:lineRule="atLeast"/>
      <w:ind w:left="1584" w:hanging="1584"/>
      <w:outlineLvl w:val="8"/>
    </w:pPr>
    <w:rPr>
      <w:rFonts w:ascii="Arial" w:hAnsi="Arial" w:eastAsia="黑体"/>
      <w:szCs w:val="21"/>
    </w:rPr>
  </w:style>
  <w:style w:type="character" w:default="1" w:styleId="50">
    <w:name w:val="Default Paragraph Font"/>
    <w:autoRedefine/>
    <w:semiHidden/>
    <w:unhideWhenUsed/>
    <w:qFormat/>
    <w:uiPriority w:val="1"/>
  </w:style>
  <w:style w:type="table" w:default="1" w:styleId="47">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next w:val="1"/>
    <w:link w:val="129"/>
    <w:autoRedefine/>
    <w:qFormat/>
    <w:uiPriority w:val="99"/>
    <w:pPr>
      <w:ind w:firstLine="420"/>
    </w:pPr>
  </w:style>
  <w:style w:type="paragraph" w:styleId="12">
    <w:name w:val="toc 7"/>
    <w:basedOn w:val="1"/>
    <w:next w:val="1"/>
    <w:autoRedefine/>
    <w:semiHidden/>
    <w:qFormat/>
    <w:uiPriority w:val="0"/>
    <w:pPr>
      <w:ind w:left="2520" w:leftChars="1200"/>
    </w:pPr>
  </w:style>
  <w:style w:type="paragraph" w:styleId="13">
    <w:name w:val="Note Heading"/>
    <w:basedOn w:val="1"/>
    <w:next w:val="1"/>
    <w:autoRedefine/>
    <w:unhideWhenUsed/>
    <w:qFormat/>
    <w:uiPriority w:val="0"/>
    <w:pPr>
      <w:jc w:val="center"/>
    </w:pPr>
    <w:rPr>
      <w:szCs w:val="24"/>
    </w:rPr>
  </w:style>
  <w:style w:type="paragraph" w:styleId="14">
    <w:name w:val="caption"/>
    <w:basedOn w:val="1"/>
    <w:next w:val="1"/>
    <w:link w:val="125"/>
    <w:autoRedefine/>
    <w:qFormat/>
    <w:uiPriority w:val="0"/>
    <w:pPr>
      <w:jc w:val="center"/>
    </w:pPr>
    <w:rPr>
      <w:rFonts w:ascii="宋体" w:hAnsi="Arial" w:cs="Arial"/>
    </w:rPr>
  </w:style>
  <w:style w:type="paragraph" w:styleId="15">
    <w:name w:val="index 5"/>
    <w:basedOn w:val="1"/>
    <w:next w:val="1"/>
    <w:autoRedefine/>
    <w:qFormat/>
    <w:uiPriority w:val="0"/>
    <w:pPr>
      <w:ind w:left="1680"/>
    </w:pPr>
  </w:style>
  <w:style w:type="paragraph" w:styleId="16">
    <w:name w:val="Document Map"/>
    <w:basedOn w:val="1"/>
    <w:autoRedefine/>
    <w:semiHidden/>
    <w:qFormat/>
    <w:uiPriority w:val="0"/>
    <w:pPr>
      <w:shd w:val="clear" w:color="auto" w:fill="000080"/>
    </w:pPr>
  </w:style>
  <w:style w:type="paragraph" w:styleId="17">
    <w:name w:val="annotation text"/>
    <w:basedOn w:val="1"/>
    <w:link w:val="77"/>
    <w:autoRedefine/>
    <w:qFormat/>
    <w:uiPriority w:val="0"/>
    <w:pPr>
      <w:jc w:val="left"/>
    </w:pPr>
  </w:style>
  <w:style w:type="paragraph" w:styleId="18">
    <w:name w:val="Body Text 3"/>
    <w:basedOn w:val="1"/>
    <w:autoRedefine/>
    <w:qFormat/>
    <w:uiPriority w:val="0"/>
    <w:pPr>
      <w:jc w:val="left"/>
    </w:pPr>
    <w:rPr>
      <w:sz w:val="28"/>
    </w:rPr>
  </w:style>
  <w:style w:type="paragraph" w:styleId="19">
    <w:name w:val="Body Text"/>
    <w:basedOn w:val="1"/>
    <w:next w:val="1"/>
    <w:link w:val="62"/>
    <w:autoRedefine/>
    <w:qFormat/>
    <w:uiPriority w:val="0"/>
    <w:rPr>
      <w:sz w:val="28"/>
    </w:rPr>
  </w:style>
  <w:style w:type="paragraph" w:styleId="20">
    <w:name w:val="Body Text Indent"/>
    <w:basedOn w:val="1"/>
    <w:next w:val="21"/>
    <w:autoRedefine/>
    <w:qFormat/>
    <w:uiPriority w:val="0"/>
    <w:pPr>
      <w:snapToGrid w:val="0"/>
      <w:ind w:firstLine="498"/>
    </w:pPr>
    <w:rPr>
      <w:rFonts w:ascii="宋体"/>
      <w:sz w:val="24"/>
    </w:rPr>
  </w:style>
  <w:style w:type="paragraph" w:customStyle="1" w:styleId="21">
    <w:name w:val="样式 正文文本缩进 + 行距: 1.5 倍行距"/>
    <w:basedOn w:val="1"/>
    <w:qFormat/>
    <w:uiPriority w:val="0"/>
    <w:pPr>
      <w:spacing w:after="120" w:line="360" w:lineRule="auto"/>
      <w:ind w:left="90" w:leftChars="32" w:firstLine="560" w:firstLineChars="200"/>
    </w:pPr>
    <w:rPr>
      <w:rFonts w:cs="宋体"/>
    </w:rPr>
  </w:style>
  <w:style w:type="paragraph" w:styleId="22">
    <w:name w:val="Block Text"/>
    <w:basedOn w:val="1"/>
    <w:autoRedefine/>
    <w:qFormat/>
    <w:uiPriority w:val="0"/>
    <w:pPr>
      <w:snapToGrid w:val="0"/>
      <w:ind w:left="113" w:right="113" w:firstLine="480"/>
    </w:pPr>
    <w:rPr>
      <w:sz w:val="28"/>
      <w:szCs w:val="24"/>
    </w:rPr>
  </w:style>
  <w:style w:type="paragraph" w:styleId="23">
    <w:name w:val="toc 3"/>
    <w:basedOn w:val="1"/>
    <w:next w:val="1"/>
    <w:autoRedefine/>
    <w:qFormat/>
    <w:uiPriority w:val="39"/>
    <w:pPr>
      <w:spacing w:line="440" w:lineRule="exact"/>
      <w:ind w:left="480" w:firstLine="200" w:firstLineChars="200"/>
      <w:jc w:val="left"/>
    </w:pPr>
    <w:rPr>
      <w:i/>
      <w:iCs/>
      <w:sz w:val="20"/>
    </w:rPr>
  </w:style>
  <w:style w:type="paragraph" w:styleId="24">
    <w:name w:val="Plain Text"/>
    <w:basedOn w:val="1"/>
    <w:link w:val="85"/>
    <w:autoRedefine/>
    <w:qFormat/>
    <w:uiPriority w:val="0"/>
    <w:rPr>
      <w:rFonts w:ascii="宋体" w:hAnsi="Courier New"/>
    </w:rPr>
  </w:style>
  <w:style w:type="paragraph" w:styleId="25">
    <w:name w:val="List Bullet 5"/>
    <w:basedOn w:val="1"/>
    <w:autoRedefine/>
    <w:qFormat/>
    <w:uiPriority w:val="0"/>
    <w:pPr>
      <w:numPr>
        <w:ilvl w:val="0"/>
        <w:numId w:val="1"/>
      </w:numPr>
    </w:pPr>
  </w:style>
  <w:style w:type="paragraph" w:styleId="26">
    <w:name w:val="toc 8"/>
    <w:basedOn w:val="1"/>
    <w:next w:val="1"/>
    <w:qFormat/>
    <w:uiPriority w:val="0"/>
    <w:pPr>
      <w:ind w:left="2940" w:leftChars="1400"/>
    </w:pPr>
  </w:style>
  <w:style w:type="paragraph" w:styleId="27">
    <w:name w:val="Date"/>
    <w:basedOn w:val="1"/>
    <w:next w:val="1"/>
    <w:autoRedefine/>
    <w:qFormat/>
    <w:uiPriority w:val="0"/>
    <w:rPr>
      <w:rFonts w:ascii="宋体"/>
      <w:sz w:val="28"/>
    </w:rPr>
  </w:style>
  <w:style w:type="paragraph" w:styleId="28">
    <w:name w:val="Body Text Indent 2"/>
    <w:basedOn w:val="1"/>
    <w:autoRedefine/>
    <w:qFormat/>
    <w:uiPriority w:val="0"/>
    <w:pPr>
      <w:spacing w:line="420" w:lineRule="exact"/>
      <w:ind w:firstLine="561"/>
    </w:pPr>
    <w:rPr>
      <w:rFonts w:ascii="宋体" w:hAnsi="宋体"/>
      <w:sz w:val="24"/>
      <w:szCs w:val="24"/>
    </w:rPr>
  </w:style>
  <w:style w:type="paragraph" w:styleId="29">
    <w:name w:val="Balloon Text"/>
    <w:basedOn w:val="1"/>
    <w:link w:val="76"/>
    <w:autoRedefine/>
    <w:qFormat/>
    <w:uiPriority w:val="0"/>
    <w:rPr>
      <w:sz w:val="18"/>
      <w:szCs w:val="18"/>
    </w:rPr>
  </w:style>
  <w:style w:type="paragraph" w:styleId="30">
    <w:name w:val="footer"/>
    <w:basedOn w:val="1"/>
    <w:link w:val="164"/>
    <w:autoRedefine/>
    <w:qFormat/>
    <w:uiPriority w:val="99"/>
    <w:pPr>
      <w:tabs>
        <w:tab w:val="center" w:pos="4153"/>
        <w:tab w:val="right" w:pos="8306"/>
      </w:tabs>
      <w:snapToGrid w:val="0"/>
      <w:jc w:val="left"/>
    </w:pPr>
    <w:rPr>
      <w:sz w:val="18"/>
    </w:rPr>
  </w:style>
  <w:style w:type="paragraph" w:styleId="31">
    <w:name w:val="header"/>
    <w:basedOn w:val="1"/>
    <w:next w:val="32"/>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32">
    <w:name w:val="样式5"/>
    <w:basedOn w:val="33"/>
    <w:autoRedefine/>
    <w:unhideWhenUsed/>
    <w:qFormat/>
    <w:uiPriority w:val="0"/>
    <w:pPr>
      <w:spacing w:beforeLines="20" w:afterLines="20" w:line="480" w:lineRule="exact"/>
      <w:ind w:firstLine="523" w:firstLineChars="218"/>
    </w:pPr>
    <w:rPr>
      <w:rFonts w:hint="eastAsia"/>
      <w:i/>
    </w:rPr>
  </w:style>
  <w:style w:type="paragraph" w:customStyle="1" w:styleId="33">
    <w:name w:val="正文1"/>
    <w:basedOn w:val="34"/>
    <w:link w:val="184"/>
    <w:autoRedefine/>
    <w:qFormat/>
    <w:uiPriority w:val="0"/>
    <w:pPr>
      <w:topLinePunct/>
      <w:adjustRightInd w:val="0"/>
      <w:snapToGrid w:val="0"/>
      <w:spacing w:line="440" w:lineRule="exact"/>
      <w:ind w:firstLine="200" w:firstLineChars="200"/>
      <w:jc w:val="both"/>
    </w:pPr>
    <w:rPr>
      <w:snapToGrid w:val="0"/>
      <w:kern w:val="0"/>
      <w:sz w:val="24"/>
    </w:rPr>
  </w:style>
  <w:style w:type="paragraph" w:styleId="34">
    <w:name w:val="Body Text 2"/>
    <w:basedOn w:val="1"/>
    <w:autoRedefine/>
    <w:qFormat/>
    <w:uiPriority w:val="0"/>
    <w:pPr>
      <w:jc w:val="left"/>
    </w:pPr>
  </w:style>
  <w:style w:type="paragraph" w:styleId="35">
    <w:name w:val="toc 1"/>
    <w:basedOn w:val="1"/>
    <w:next w:val="1"/>
    <w:autoRedefine/>
    <w:qFormat/>
    <w:uiPriority w:val="39"/>
  </w:style>
  <w:style w:type="paragraph" w:styleId="36">
    <w:name w:val="Subtitle"/>
    <w:basedOn w:val="1"/>
    <w:next w:val="1"/>
    <w:autoRedefine/>
    <w:qFormat/>
    <w:uiPriority w:val="0"/>
    <w:pPr>
      <w:adjustRightInd w:val="0"/>
      <w:snapToGrid w:val="0"/>
      <w:spacing w:before="120" w:after="120" w:line="240" w:lineRule="atLeast"/>
      <w:jc w:val="center"/>
      <w:outlineLvl w:val="1"/>
    </w:pPr>
    <w:rPr>
      <w:rFonts w:eastAsia="黑体" w:cs="Arial"/>
      <w:bCs/>
      <w:kern w:val="28"/>
      <w:sz w:val="24"/>
      <w:szCs w:val="32"/>
    </w:rPr>
  </w:style>
  <w:style w:type="paragraph" w:styleId="37">
    <w:name w:val="List"/>
    <w:basedOn w:val="1"/>
    <w:autoRedefine/>
    <w:qFormat/>
    <w:uiPriority w:val="0"/>
    <w:pPr>
      <w:spacing w:line="360" w:lineRule="exact"/>
      <w:ind w:firstLine="38" w:firstLineChars="18"/>
      <w:jc w:val="left"/>
    </w:pPr>
    <w:rPr>
      <w:rFonts w:ascii="宋体"/>
      <w:szCs w:val="21"/>
    </w:rPr>
  </w:style>
  <w:style w:type="paragraph" w:styleId="38">
    <w:name w:val="Body Text Indent 3"/>
    <w:basedOn w:val="1"/>
    <w:autoRedefine/>
    <w:qFormat/>
    <w:uiPriority w:val="0"/>
    <w:pPr>
      <w:spacing w:after="120"/>
      <w:ind w:left="420" w:leftChars="200"/>
    </w:pPr>
    <w:rPr>
      <w:sz w:val="16"/>
      <w:szCs w:val="16"/>
    </w:rPr>
  </w:style>
  <w:style w:type="paragraph" w:styleId="39">
    <w:name w:val="toc 2"/>
    <w:basedOn w:val="1"/>
    <w:next w:val="1"/>
    <w:autoRedefine/>
    <w:qFormat/>
    <w:uiPriority w:val="39"/>
    <w:pPr>
      <w:widowControl/>
      <w:ind w:left="240"/>
      <w:jc w:val="left"/>
    </w:pPr>
    <w:rPr>
      <w:smallCaps/>
      <w:kern w:val="0"/>
      <w:sz w:val="24"/>
      <w:szCs w:val="24"/>
    </w:rPr>
  </w:style>
  <w:style w:type="paragraph" w:styleId="40">
    <w:name w:val="HTML Preformatted"/>
    <w:basedOn w:val="1"/>
    <w:link w:val="202"/>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41">
    <w:name w:val="Normal (Web)"/>
    <w:basedOn w:val="1"/>
    <w:next w:val="26"/>
    <w:link w:val="191"/>
    <w:autoRedefine/>
    <w:qFormat/>
    <w:uiPriority w:val="99"/>
    <w:pPr>
      <w:widowControl/>
      <w:spacing w:before="100" w:beforeAutospacing="1" w:after="100" w:afterAutospacing="1"/>
      <w:jc w:val="left"/>
    </w:pPr>
    <w:rPr>
      <w:rFonts w:ascii="宋体" w:hAnsi="宋体" w:cs="宋体"/>
      <w:color w:val="000000"/>
      <w:kern w:val="0"/>
      <w:sz w:val="24"/>
      <w:szCs w:val="24"/>
    </w:rPr>
  </w:style>
  <w:style w:type="paragraph" w:styleId="42">
    <w:name w:val="index 1"/>
    <w:basedOn w:val="1"/>
    <w:next w:val="1"/>
    <w:autoRedefine/>
    <w:semiHidden/>
    <w:qFormat/>
    <w:uiPriority w:val="0"/>
    <w:pPr>
      <w:widowControl/>
      <w:jc w:val="left"/>
    </w:pPr>
    <w:rPr>
      <w:kern w:val="0"/>
      <w:sz w:val="20"/>
    </w:rPr>
  </w:style>
  <w:style w:type="paragraph" w:styleId="43">
    <w:name w:val="Title"/>
    <w:basedOn w:val="1"/>
    <w:next w:val="1"/>
    <w:link w:val="175"/>
    <w:autoRedefine/>
    <w:qFormat/>
    <w:uiPriority w:val="0"/>
    <w:pPr>
      <w:spacing w:before="240" w:after="60"/>
      <w:jc w:val="center"/>
      <w:outlineLvl w:val="0"/>
    </w:pPr>
    <w:rPr>
      <w:rFonts w:asciiTheme="majorHAnsi" w:hAnsiTheme="majorHAnsi" w:eastAsiaTheme="majorEastAsia" w:cstheme="majorBidi"/>
      <w:b/>
      <w:bCs/>
      <w:sz w:val="32"/>
      <w:szCs w:val="32"/>
    </w:rPr>
  </w:style>
  <w:style w:type="paragraph" w:styleId="44">
    <w:name w:val="annotation subject"/>
    <w:basedOn w:val="17"/>
    <w:next w:val="17"/>
    <w:link w:val="74"/>
    <w:autoRedefine/>
    <w:qFormat/>
    <w:uiPriority w:val="99"/>
    <w:rPr>
      <w:b/>
      <w:bCs/>
    </w:rPr>
  </w:style>
  <w:style w:type="paragraph" w:styleId="45">
    <w:name w:val="Body Text First Indent"/>
    <w:basedOn w:val="19"/>
    <w:next w:val="1"/>
    <w:link w:val="166"/>
    <w:autoRedefine/>
    <w:qFormat/>
    <w:uiPriority w:val="0"/>
    <w:pPr>
      <w:spacing w:after="120"/>
      <w:ind w:firstLine="420" w:firstLineChars="100"/>
    </w:pPr>
    <w:rPr>
      <w:sz w:val="21"/>
    </w:rPr>
  </w:style>
  <w:style w:type="paragraph" w:styleId="46">
    <w:name w:val="Body Text First Indent 2"/>
    <w:basedOn w:val="20"/>
    <w:next w:val="1"/>
    <w:autoRedefine/>
    <w:qFormat/>
    <w:uiPriority w:val="0"/>
    <w:pPr>
      <w:ind w:firstLine="420" w:firstLineChars="200"/>
    </w:pPr>
  </w:style>
  <w:style w:type="table" w:styleId="48">
    <w:name w:val="Table Grid"/>
    <w:basedOn w:val="47"/>
    <w:autoRedefine/>
    <w:qFormat/>
    <w:uiPriority w:val="99"/>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9">
    <w:name w:val="Table Contemporary"/>
    <w:basedOn w:val="47"/>
    <w:autoRedefine/>
    <w:unhideWhenUsed/>
    <w:qFormat/>
    <w:uiPriority w:val="99"/>
    <w:pPr>
      <w:widowControl w:val="0"/>
      <w:jc w:val="both"/>
    </w:pPr>
    <w:rPr>
      <w:rFonts w:ascii="Calibri" w:hAnsi="Calibri" w:cs="Calibri"/>
    </w:rPr>
    <w:tblPr>
      <w:tblBorders>
        <w:insideH w:val="single" w:color="FFFFFF" w:sz="18" w:space="0"/>
        <w:insideV w:val="single" w:color="FFFFFF" w:sz="18" w:space="0"/>
      </w:tblBorders>
    </w:tblPr>
    <w:tblStylePr w:type="firstRow">
      <w:rPr>
        <w:rFonts w:hint="default" w:ascii="Courier New" w:hAnsi="Courier New" w:cs="Courier"/>
        <w:b/>
        <w:bCs/>
        <w:color w:val="auto"/>
      </w:rPr>
      <w:tblPr/>
      <w:tcPr>
        <w:tcBorders>
          <w:top w:val="nil"/>
          <w:left w:val="nil"/>
          <w:bottom w:val="nil"/>
          <w:right w:val="nil"/>
          <w:insideH w:val="nil"/>
          <w:insideV w:val="nil"/>
          <w:tl2br w:val="nil"/>
          <w:tr2bl w:val="nil"/>
        </w:tcBorders>
        <w:shd w:val="pct20" w:color="000000" w:fill="FFFFFF"/>
      </w:tcPr>
    </w:tblStylePr>
    <w:tblStylePr w:type="band1Horz">
      <w:rPr>
        <w:rFonts w:hint="default" w:ascii="Courier New" w:hAnsi="Courier New" w:cs="Courier"/>
        <w:color w:val="auto"/>
      </w:rPr>
      <w:tblPr/>
      <w:tcPr>
        <w:tcBorders>
          <w:top w:val="nil"/>
          <w:left w:val="nil"/>
          <w:bottom w:val="nil"/>
          <w:right w:val="nil"/>
          <w:insideH w:val="nil"/>
          <w:insideV w:val="nil"/>
          <w:tl2br w:val="nil"/>
          <w:tr2bl w:val="nil"/>
        </w:tcBorders>
        <w:shd w:val="pct5" w:color="000000" w:fill="FFFFFF"/>
      </w:tcPr>
    </w:tblStylePr>
    <w:tblStylePr w:type="band2Horz">
      <w:rPr>
        <w:rFonts w:hint="default" w:ascii="Courier New" w:hAnsi="Courier New" w:cs="Courier"/>
        <w:color w:val="auto"/>
      </w:rPr>
      <w:tblPr/>
      <w:tcPr>
        <w:tcBorders>
          <w:top w:val="nil"/>
          <w:left w:val="nil"/>
          <w:bottom w:val="nil"/>
          <w:right w:val="nil"/>
          <w:insideH w:val="nil"/>
          <w:insideV w:val="nil"/>
          <w:tl2br w:val="nil"/>
          <w:tr2bl w:val="nil"/>
        </w:tcBorders>
        <w:shd w:val="pct20" w:color="000000" w:fill="FFFFFF"/>
      </w:tcPr>
    </w:tblStylePr>
  </w:style>
  <w:style w:type="character" w:styleId="51">
    <w:name w:val="Strong"/>
    <w:basedOn w:val="50"/>
    <w:autoRedefine/>
    <w:qFormat/>
    <w:uiPriority w:val="22"/>
    <w:rPr>
      <w:b/>
      <w:bCs/>
    </w:rPr>
  </w:style>
  <w:style w:type="character" w:styleId="52">
    <w:name w:val="page number"/>
    <w:basedOn w:val="50"/>
    <w:autoRedefine/>
    <w:qFormat/>
    <w:uiPriority w:val="0"/>
  </w:style>
  <w:style w:type="character" w:styleId="53">
    <w:name w:val="FollowedHyperlink"/>
    <w:autoRedefine/>
    <w:qFormat/>
    <w:uiPriority w:val="0"/>
    <w:rPr>
      <w:color w:val="800080"/>
      <w:u w:val="single"/>
    </w:rPr>
  </w:style>
  <w:style w:type="character" w:styleId="54">
    <w:name w:val="Emphasis"/>
    <w:basedOn w:val="55"/>
    <w:autoRedefine/>
    <w:qFormat/>
    <w:uiPriority w:val="20"/>
    <w:rPr>
      <w:rFonts w:ascii="Times New Roman" w:hAnsi="Times New Roman" w:eastAsia="宋体"/>
      <w:sz w:val="21"/>
    </w:rPr>
  </w:style>
  <w:style w:type="character" w:customStyle="1" w:styleId="55">
    <w:name w:val="正文1 Char Char"/>
    <w:autoRedefine/>
    <w:qFormat/>
    <w:uiPriority w:val="0"/>
    <w:rPr>
      <w:rFonts w:eastAsia="宋体"/>
      <w:sz w:val="24"/>
    </w:rPr>
  </w:style>
  <w:style w:type="character" w:styleId="56">
    <w:name w:val="line number"/>
    <w:autoRedefine/>
    <w:qFormat/>
    <w:uiPriority w:val="0"/>
    <w:rPr>
      <w:rFonts w:ascii="黑体" w:hAnsi="Arial" w:eastAsia="华文中宋" w:cs="宋体"/>
      <w:kern w:val="2"/>
      <w:sz w:val="44"/>
      <w:szCs w:val="44"/>
      <w:lang w:val="en-US" w:eastAsia="zh-CN" w:bidi="ar-SA"/>
    </w:rPr>
  </w:style>
  <w:style w:type="character" w:styleId="57">
    <w:name w:val="Hyperlink"/>
    <w:autoRedefine/>
    <w:qFormat/>
    <w:uiPriority w:val="99"/>
    <w:rPr>
      <w:color w:val="0000FF"/>
      <w:u w:val="single"/>
    </w:rPr>
  </w:style>
  <w:style w:type="character" w:styleId="58">
    <w:name w:val="annotation reference"/>
    <w:autoRedefine/>
    <w:qFormat/>
    <w:uiPriority w:val="0"/>
    <w:rPr>
      <w:sz w:val="21"/>
      <w:szCs w:val="21"/>
    </w:rPr>
  </w:style>
  <w:style w:type="character" w:customStyle="1" w:styleId="59">
    <w:name w:val="正文缩进 Char1"/>
    <w:autoRedefine/>
    <w:qFormat/>
    <w:uiPriority w:val="0"/>
    <w:rPr>
      <w:rFonts w:eastAsia="宋体"/>
      <w:kern w:val="2"/>
      <w:sz w:val="24"/>
      <w:lang w:val="en-US" w:eastAsia="zh-CN" w:bidi="ar-SA"/>
    </w:rPr>
  </w:style>
  <w:style w:type="paragraph" w:customStyle="1" w:styleId="60">
    <w:name w:val="Default"/>
    <w:basedOn w:val="61"/>
    <w:next w:val="1"/>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61">
    <w:name w:val="纯文本1"/>
    <w:basedOn w:val="1"/>
    <w:autoRedefine/>
    <w:qFormat/>
    <w:uiPriority w:val="0"/>
    <w:pPr>
      <w:adjustRightInd w:val="0"/>
      <w:jc w:val="left"/>
      <w:textAlignment w:val="baseline"/>
    </w:pPr>
    <w:rPr>
      <w:rFonts w:ascii="宋体"/>
      <w:kern w:val="0"/>
      <w:sz w:val="20"/>
      <w:szCs w:val="20"/>
    </w:rPr>
  </w:style>
  <w:style w:type="character" w:customStyle="1" w:styleId="62">
    <w:name w:val="正文文本 Char"/>
    <w:link w:val="19"/>
    <w:autoRedefine/>
    <w:qFormat/>
    <w:uiPriority w:val="0"/>
    <w:rPr>
      <w:kern w:val="2"/>
      <w:sz w:val="28"/>
    </w:rPr>
  </w:style>
  <w:style w:type="paragraph" w:customStyle="1" w:styleId="63">
    <w:name w:val="表格内容"/>
    <w:basedOn w:val="46"/>
    <w:autoRedefine/>
    <w:qFormat/>
    <w:uiPriority w:val="0"/>
    <w:pPr>
      <w:spacing w:after="0" w:line="240" w:lineRule="auto"/>
      <w:ind w:left="0" w:leftChars="0" w:firstLine="0" w:firstLineChars="0"/>
      <w:jc w:val="center"/>
    </w:pPr>
    <w:rPr>
      <w:color w:val="000000"/>
      <w:szCs w:val="21"/>
    </w:rPr>
  </w:style>
  <w:style w:type="paragraph" w:customStyle="1" w:styleId="64">
    <w:name w:val="表头"/>
    <w:basedOn w:val="1"/>
    <w:link w:val="65"/>
    <w:autoRedefine/>
    <w:qFormat/>
    <w:uiPriority w:val="0"/>
    <w:pPr>
      <w:keepNext/>
      <w:adjustRightInd w:val="0"/>
      <w:snapToGrid w:val="0"/>
      <w:spacing w:line="480" w:lineRule="exact"/>
      <w:jc w:val="center"/>
    </w:pPr>
    <w:rPr>
      <w:b/>
      <w:sz w:val="24"/>
      <w:szCs w:val="21"/>
    </w:rPr>
  </w:style>
  <w:style w:type="character" w:customStyle="1" w:styleId="65">
    <w:name w:val="表头 Char"/>
    <w:link w:val="64"/>
    <w:autoRedefine/>
    <w:qFormat/>
    <w:uiPriority w:val="0"/>
    <w:rPr>
      <w:b/>
      <w:kern w:val="2"/>
      <w:sz w:val="24"/>
      <w:szCs w:val="21"/>
    </w:rPr>
  </w:style>
  <w:style w:type="character" w:customStyle="1" w:styleId="66">
    <w:name w:val="fontstyle01"/>
    <w:autoRedefine/>
    <w:qFormat/>
    <w:uiPriority w:val="0"/>
    <w:rPr>
      <w:rFonts w:hint="eastAsia" w:ascii="宋体" w:hAnsi="宋体" w:eastAsia="宋体"/>
      <w:color w:val="000000"/>
      <w:sz w:val="24"/>
      <w:szCs w:val="24"/>
    </w:rPr>
  </w:style>
  <w:style w:type="paragraph" w:customStyle="1" w:styleId="67">
    <w:name w:val="1表格文字"/>
    <w:basedOn w:val="68"/>
    <w:next w:val="1"/>
    <w:autoRedefine/>
    <w:qFormat/>
    <w:uiPriority w:val="0"/>
    <w:pPr>
      <w:tabs>
        <w:tab w:val="left" w:pos="0"/>
        <w:tab w:val="left" w:pos="360"/>
        <w:tab w:val="left" w:pos="900"/>
      </w:tabs>
      <w:topLinePunct/>
      <w:autoSpaceDE w:val="0"/>
      <w:autoSpaceDN w:val="0"/>
      <w:adjustRightInd w:val="0"/>
      <w:snapToGrid w:val="0"/>
      <w:spacing w:line="240" w:lineRule="auto"/>
      <w:textAlignment w:val="baseline"/>
    </w:pPr>
    <w:rPr>
      <w:bCs/>
      <w:spacing w:val="-12"/>
      <w:kern w:val="0"/>
      <w:sz w:val="21"/>
      <w:szCs w:val="20"/>
    </w:rPr>
  </w:style>
  <w:style w:type="paragraph" w:customStyle="1" w:styleId="68">
    <w:name w:val="表格2"/>
    <w:basedOn w:val="1"/>
    <w:autoRedefine/>
    <w:qFormat/>
    <w:uiPriority w:val="0"/>
    <w:pPr>
      <w:spacing w:line="320" w:lineRule="exact"/>
      <w:jc w:val="center"/>
    </w:pPr>
    <w:rPr>
      <w:sz w:val="24"/>
      <w:szCs w:val="28"/>
    </w:rPr>
  </w:style>
  <w:style w:type="paragraph" w:customStyle="1" w:styleId="69">
    <w:name w:val="样式 正文文本 + 首行缩进:  2 字符"/>
    <w:basedOn w:val="19"/>
    <w:autoRedefine/>
    <w:qFormat/>
    <w:uiPriority w:val="0"/>
    <w:pPr>
      <w:spacing w:line="480" w:lineRule="exact"/>
      <w:ind w:firstLine="480" w:firstLineChars="200"/>
    </w:pPr>
    <w:rPr>
      <w:rFonts w:ascii="宋体" w:hAnsi="宋体" w:eastAsia="宋体" w:cs="宋体"/>
      <w:sz w:val="21"/>
    </w:rPr>
  </w:style>
  <w:style w:type="paragraph" w:customStyle="1" w:styleId="70">
    <w:name w:val="正文段落"/>
    <w:basedOn w:val="19"/>
    <w:autoRedefine/>
    <w:qFormat/>
    <w:uiPriority w:val="99"/>
    <w:pPr>
      <w:overflowPunct w:val="0"/>
      <w:adjustRightInd w:val="0"/>
      <w:snapToGrid w:val="0"/>
      <w:spacing w:after="0"/>
      <w:ind w:firstLine="560" w:firstLineChars="200"/>
      <w:textAlignment w:val="center"/>
    </w:pPr>
    <w:rPr>
      <w:rFonts w:hAnsi="宋体"/>
      <w:kern w:val="2"/>
      <w:sz w:val="28"/>
      <w:szCs w:val="20"/>
    </w:rPr>
  </w:style>
  <w:style w:type="paragraph" w:customStyle="1" w:styleId="71">
    <w:name w:val="Char Char Char Char Char Char Char Char Char1 Char"/>
    <w:basedOn w:val="1"/>
    <w:next w:val="72"/>
    <w:autoRedefine/>
    <w:qFormat/>
    <w:uiPriority w:val="99"/>
    <w:pPr>
      <w:widowControl w:val="0"/>
      <w:spacing w:line="360" w:lineRule="auto"/>
      <w:ind w:firstLine="200" w:firstLineChars="200"/>
      <w:jc w:val="both"/>
    </w:pPr>
    <w:rPr>
      <w:kern w:val="2"/>
    </w:rPr>
  </w:style>
  <w:style w:type="paragraph" w:customStyle="1" w:styleId="72">
    <w:name w:val="Body Text First Indent1"/>
    <w:next w:val="1"/>
    <w:autoRedefine/>
    <w:qFormat/>
    <w:uiPriority w:val="0"/>
    <w:pPr>
      <w:widowControl w:val="0"/>
      <w:spacing w:after="120"/>
      <w:ind w:firstLine="420"/>
      <w:jc w:val="both"/>
    </w:pPr>
    <w:rPr>
      <w:rFonts w:ascii="Times New Roman" w:hAnsi="Times New Roman" w:eastAsia="宋体" w:cs="Times New Roman"/>
      <w:sz w:val="21"/>
      <w:szCs w:val="22"/>
      <w:lang w:val="en-US" w:eastAsia="zh-CN" w:bidi="ar-SA"/>
    </w:rPr>
  </w:style>
  <w:style w:type="character" w:customStyle="1" w:styleId="73">
    <w:name w:val="纯文本 Char1"/>
    <w:autoRedefine/>
    <w:qFormat/>
    <w:uiPriority w:val="0"/>
    <w:rPr>
      <w:rFonts w:ascii="宋体" w:hAnsi="Courier New"/>
      <w:kern w:val="2"/>
      <w:sz w:val="21"/>
    </w:rPr>
  </w:style>
  <w:style w:type="character" w:customStyle="1" w:styleId="74">
    <w:name w:val="批注主题 Char"/>
    <w:link w:val="44"/>
    <w:autoRedefine/>
    <w:qFormat/>
    <w:uiPriority w:val="99"/>
    <w:rPr>
      <w:b/>
      <w:bCs/>
      <w:kern w:val="2"/>
      <w:sz w:val="21"/>
    </w:rPr>
  </w:style>
  <w:style w:type="character" w:customStyle="1" w:styleId="75">
    <w:name w:val="apple-converted-space"/>
    <w:basedOn w:val="50"/>
    <w:autoRedefine/>
    <w:qFormat/>
    <w:uiPriority w:val="0"/>
  </w:style>
  <w:style w:type="character" w:customStyle="1" w:styleId="76">
    <w:name w:val="批注框文本 Char"/>
    <w:link w:val="29"/>
    <w:autoRedefine/>
    <w:qFormat/>
    <w:uiPriority w:val="0"/>
    <w:rPr>
      <w:kern w:val="2"/>
      <w:sz w:val="18"/>
      <w:szCs w:val="18"/>
    </w:rPr>
  </w:style>
  <w:style w:type="character" w:customStyle="1" w:styleId="77">
    <w:name w:val="批注文字 Char"/>
    <w:link w:val="17"/>
    <w:autoRedefine/>
    <w:qFormat/>
    <w:uiPriority w:val="0"/>
    <w:rPr>
      <w:kern w:val="2"/>
      <w:sz w:val="21"/>
    </w:rPr>
  </w:style>
  <w:style w:type="character" w:customStyle="1" w:styleId="78">
    <w:name w:val="样式 样式 样式 正文@ + 首行缩进:  2 字符 + 首行缩进:  2 字符 + 行距: 多倍行距 1.3 字行 Char"/>
    <w:link w:val="79"/>
    <w:autoRedefine/>
    <w:qFormat/>
    <w:uiPriority w:val="0"/>
    <w:rPr>
      <w:rFonts w:ascii="宋体" w:hAnsi="宋体" w:eastAsia="宋体" w:cs="宋体"/>
      <w:kern w:val="2"/>
      <w:sz w:val="24"/>
      <w:lang w:val="en-US" w:eastAsia="zh-CN" w:bidi="ar-SA"/>
    </w:rPr>
  </w:style>
  <w:style w:type="paragraph" w:customStyle="1" w:styleId="79">
    <w:name w:val="样式 样式 样式 正文@ + 首行缩进:  2 字符 + 首行缩进:  2 字符 + 行距: 多倍行距 1.3 字行"/>
    <w:basedOn w:val="1"/>
    <w:link w:val="78"/>
    <w:autoRedefine/>
    <w:qFormat/>
    <w:uiPriority w:val="0"/>
    <w:pPr>
      <w:spacing w:line="312" w:lineRule="auto"/>
      <w:ind w:firstLine="480" w:firstLineChars="200"/>
    </w:pPr>
    <w:rPr>
      <w:rFonts w:ascii="宋体" w:hAnsi="宋体" w:cs="宋体"/>
      <w:sz w:val="24"/>
    </w:rPr>
  </w:style>
  <w:style w:type="character" w:customStyle="1" w:styleId="80">
    <w:name w:val="t1"/>
    <w:autoRedefine/>
    <w:qFormat/>
    <w:uiPriority w:val="0"/>
    <w:rPr>
      <w:sz w:val="18"/>
      <w:szCs w:val="18"/>
    </w:rPr>
  </w:style>
  <w:style w:type="character" w:customStyle="1" w:styleId="81">
    <w:name w:val="样式 表内容@ + 小四 Char"/>
    <w:link w:val="82"/>
    <w:autoRedefine/>
    <w:qFormat/>
    <w:uiPriority w:val="0"/>
    <w:rPr>
      <w:rFonts w:ascii="宋体" w:hAnsi="宋体" w:eastAsia="宋体" w:cs="宋体"/>
      <w:kern w:val="2"/>
      <w:sz w:val="24"/>
      <w:lang w:val="en-US" w:eastAsia="zh-CN" w:bidi="ar-SA"/>
    </w:rPr>
  </w:style>
  <w:style w:type="paragraph" w:customStyle="1" w:styleId="82">
    <w:name w:val="样式 表内容@ + 小四"/>
    <w:basedOn w:val="83"/>
    <w:link w:val="81"/>
    <w:autoRedefine/>
    <w:qFormat/>
    <w:uiPriority w:val="0"/>
  </w:style>
  <w:style w:type="paragraph" w:customStyle="1" w:styleId="83">
    <w:name w:val="表内容@"/>
    <w:basedOn w:val="1"/>
    <w:link w:val="120"/>
    <w:autoRedefine/>
    <w:qFormat/>
    <w:uiPriority w:val="0"/>
    <w:pPr>
      <w:spacing w:line="0" w:lineRule="atLeast"/>
      <w:jc w:val="center"/>
    </w:pPr>
    <w:rPr>
      <w:rFonts w:ascii="宋体" w:hAnsi="宋体" w:cs="宋体"/>
      <w:sz w:val="24"/>
    </w:rPr>
  </w:style>
  <w:style w:type="character" w:customStyle="1" w:styleId="84">
    <w:name w:val="ask-title"/>
    <w:basedOn w:val="50"/>
    <w:autoRedefine/>
    <w:qFormat/>
    <w:uiPriority w:val="0"/>
  </w:style>
  <w:style w:type="character" w:customStyle="1" w:styleId="85">
    <w:name w:val="纯文本 Char"/>
    <w:link w:val="24"/>
    <w:autoRedefine/>
    <w:qFormat/>
    <w:uiPriority w:val="0"/>
    <w:rPr>
      <w:rFonts w:ascii="宋体" w:hAnsi="Courier New" w:eastAsia="宋体"/>
      <w:kern w:val="2"/>
      <w:sz w:val="21"/>
      <w:lang w:val="en-US" w:eastAsia="zh-CN" w:bidi="ar-SA"/>
    </w:rPr>
  </w:style>
  <w:style w:type="character" w:customStyle="1" w:styleId="86">
    <w:name w:val="样式 样式 样式 样式 正文 + 首行缩进:  2 字符 + 首行缩进:  2 字符 + 首行缩进:  2 字符 + Char"/>
    <w:link w:val="87"/>
    <w:autoRedefine/>
    <w:qFormat/>
    <w:uiPriority w:val="0"/>
    <w:rPr>
      <w:rFonts w:ascii="宋体" w:hAnsi="宋体" w:eastAsia="宋体" w:cs="宋体"/>
      <w:sz w:val="24"/>
      <w:lang w:val="en-US" w:eastAsia="zh-CN" w:bidi="ar-SA"/>
    </w:rPr>
  </w:style>
  <w:style w:type="paragraph" w:customStyle="1" w:styleId="87">
    <w:name w:val="样式 样式 样式 样式 正文 + 首行缩进:  2 字符 + 首行缩进:  2 字符 + 首行缩进:  2 字符 +"/>
    <w:basedOn w:val="1"/>
    <w:link w:val="86"/>
    <w:autoRedefine/>
    <w:qFormat/>
    <w:uiPriority w:val="0"/>
    <w:pPr>
      <w:ind w:firstLine="200" w:firstLineChars="200"/>
    </w:pPr>
    <w:rPr>
      <w:rFonts w:ascii="宋体" w:hAnsi="宋体" w:cs="宋体"/>
      <w:kern w:val="0"/>
      <w:sz w:val="24"/>
    </w:rPr>
  </w:style>
  <w:style w:type="character" w:customStyle="1" w:styleId="88">
    <w:name w:val="样式 样式 正文@ + 首行缩进:  2 字符 字距调整小四 紧缩量  0.2 磅 + 首行缩进:  2 字符 Char"/>
    <w:link w:val="89"/>
    <w:autoRedefine/>
    <w:qFormat/>
    <w:uiPriority w:val="0"/>
    <w:rPr>
      <w:rFonts w:ascii="宋体" w:hAnsi="宋体" w:eastAsia="宋体" w:cs="宋体"/>
      <w:kern w:val="24"/>
      <w:sz w:val="24"/>
      <w:szCs w:val="24"/>
      <w:lang w:val="en-US" w:eastAsia="zh-CN" w:bidi="ar-SA"/>
    </w:rPr>
  </w:style>
  <w:style w:type="paragraph" w:customStyle="1" w:styleId="89">
    <w:name w:val="样式 样式 正文@ + 首行缩进:  2 字符 字距调整小四 紧缩量  0.2 磅 + 首行缩进:  2 字符"/>
    <w:basedOn w:val="1"/>
    <w:link w:val="88"/>
    <w:autoRedefine/>
    <w:qFormat/>
    <w:uiPriority w:val="0"/>
    <w:pPr>
      <w:spacing w:line="360" w:lineRule="auto"/>
      <w:ind w:firstLine="480" w:firstLineChars="200"/>
    </w:pPr>
    <w:rPr>
      <w:rFonts w:ascii="宋体" w:hAnsi="宋体" w:cs="宋体"/>
      <w:kern w:val="24"/>
      <w:sz w:val="24"/>
      <w:szCs w:val="24"/>
    </w:rPr>
  </w:style>
  <w:style w:type="character" w:customStyle="1" w:styleId="90">
    <w:name w:val="style29"/>
    <w:basedOn w:val="50"/>
    <w:autoRedefine/>
    <w:qFormat/>
    <w:uiPriority w:val="0"/>
  </w:style>
  <w:style w:type="character" w:customStyle="1" w:styleId="91">
    <w:name w:val="样式 样式 样式 样式 正文@ + 首行缩进:  2 字符 字距调整小四 紧缩量  0.2 磅 + 首行缩进:  2 字符 + ...1 Char"/>
    <w:basedOn w:val="92"/>
    <w:link w:val="94"/>
    <w:autoRedefine/>
    <w:qFormat/>
    <w:uiPriority w:val="0"/>
    <w:rPr>
      <w:rFonts w:ascii="宋体" w:hAnsi="宋体" w:eastAsia="宋体" w:cs="宋体"/>
      <w:kern w:val="24"/>
      <w:sz w:val="24"/>
      <w:szCs w:val="24"/>
      <w:lang w:val="en-US" w:eastAsia="zh-CN" w:bidi="ar-SA"/>
    </w:rPr>
  </w:style>
  <w:style w:type="character" w:customStyle="1" w:styleId="92">
    <w:name w:val="样式 样式 样式 正文@ + 首行缩进:  2 字符 字距调整小四 紧缩量  0.2 磅 + 首行缩进:  2 字符 + 首行缩... Char"/>
    <w:basedOn w:val="88"/>
    <w:link w:val="93"/>
    <w:autoRedefine/>
    <w:qFormat/>
    <w:uiPriority w:val="0"/>
    <w:rPr>
      <w:rFonts w:ascii="宋体" w:hAnsi="宋体" w:eastAsia="宋体" w:cs="宋体"/>
      <w:kern w:val="24"/>
      <w:sz w:val="24"/>
      <w:szCs w:val="24"/>
      <w:lang w:val="en-US" w:eastAsia="zh-CN" w:bidi="ar-SA"/>
    </w:rPr>
  </w:style>
  <w:style w:type="paragraph" w:customStyle="1" w:styleId="93">
    <w:name w:val="样式 样式 样式 正文@ + 首行缩进:  2 字符 字距调整小四 紧缩量  0.2 磅 + 首行缩进:  2 字符 + 首行缩..."/>
    <w:basedOn w:val="89"/>
    <w:link w:val="92"/>
    <w:autoRedefine/>
    <w:qFormat/>
    <w:uiPriority w:val="0"/>
    <w:pPr>
      <w:ind w:firstLine="438"/>
    </w:pPr>
    <w:rPr>
      <w:szCs w:val="20"/>
    </w:rPr>
  </w:style>
  <w:style w:type="paragraph" w:customStyle="1" w:styleId="94">
    <w:name w:val="样式 样式 样式 样式 正文@ + 首行缩进:  2 字符 字距调整小四 紧缩量  0.2 磅 + 首行缩进:  2 字符 + ...1"/>
    <w:basedOn w:val="93"/>
    <w:link w:val="91"/>
    <w:autoRedefine/>
    <w:qFormat/>
    <w:uiPriority w:val="0"/>
    <w:pPr>
      <w:spacing w:line="312" w:lineRule="auto"/>
    </w:pPr>
    <w:rPr>
      <w:kern w:val="0"/>
    </w:rPr>
  </w:style>
  <w:style w:type="character" w:customStyle="1" w:styleId="95">
    <w:name w:val="headline-content2"/>
    <w:basedOn w:val="50"/>
    <w:autoRedefine/>
    <w:qFormat/>
    <w:uiPriority w:val="0"/>
  </w:style>
  <w:style w:type="character" w:customStyle="1" w:styleId="96">
    <w:name w:val="样式 表内容 +1 Char"/>
    <w:link w:val="97"/>
    <w:autoRedefine/>
    <w:qFormat/>
    <w:uiPriority w:val="0"/>
    <w:rPr>
      <w:rFonts w:ascii="宋体" w:hAnsi="宋体" w:eastAsia="宋体" w:cs="Arial"/>
      <w:sz w:val="18"/>
      <w:szCs w:val="18"/>
      <w:lang w:val="en-US" w:eastAsia="zh-CN" w:bidi="ar-SA"/>
    </w:rPr>
  </w:style>
  <w:style w:type="paragraph" w:customStyle="1" w:styleId="97">
    <w:name w:val="样式 表内容 +1"/>
    <w:basedOn w:val="1"/>
    <w:link w:val="96"/>
    <w:autoRedefine/>
    <w:qFormat/>
    <w:uiPriority w:val="0"/>
    <w:pPr>
      <w:adjustRightInd w:val="0"/>
      <w:spacing w:line="0" w:lineRule="atLeast"/>
      <w:jc w:val="center"/>
    </w:pPr>
    <w:rPr>
      <w:rFonts w:ascii="宋体" w:hAnsi="宋体" w:cs="Arial"/>
      <w:kern w:val="0"/>
      <w:sz w:val="18"/>
      <w:szCs w:val="18"/>
    </w:rPr>
  </w:style>
  <w:style w:type="character" w:customStyle="1" w:styleId="98">
    <w:name w:val="样式 样式 样式 正文@ + 首行缩进:  2 字符 字距调整小四 紧缩量  0.2 磅 + 首行缩进:  2 字符 + 加宽量... Char"/>
    <w:link w:val="99"/>
    <w:autoRedefine/>
    <w:qFormat/>
    <w:uiPriority w:val="0"/>
    <w:rPr>
      <w:rFonts w:ascii="宋体" w:hAnsi="宋体" w:eastAsia="宋体" w:cs="宋体"/>
      <w:spacing w:val="4"/>
      <w:kern w:val="24"/>
      <w:sz w:val="24"/>
      <w:szCs w:val="24"/>
      <w:lang w:val="en-US" w:eastAsia="zh-CN" w:bidi="ar-SA"/>
    </w:rPr>
  </w:style>
  <w:style w:type="paragraph" w:customStyle="1" w:styleId="99">
    <w:name w:val="样式 样式 样式 正文@ + 首行缩进:  2 字符 字距调整小四 紧缩量  0.2 磅 + 首行缩进:  2 字符 + 加宽量..."/>
    <w:basedOn w:val="1"/>
    <w:link w:val="98"/>
    <w:autoRedefine/>
    <w:qFormat/>
    <w:uiPriority w:val="0"/>
    <w:pPr>
      <w:spacing w:line="360" w:lineRule="auto"/>
      <w:ind w:firstLine="480" w:firstLineChars="200"/>
    </w:pPr>
    <w:rPr>
      <w:rFonts w:ascii="宋体" w:hAnsi="宋体" w:cs="宋体"/>
      <w:spacing w:val="4"/>
      <w:kern w:val="24"/>
      <w:sz w:val="24"/>
      <w:szCs w:val="24"/>
    </w:rPr>
  </w:style>
  <w:style w:type="character" w:customStyle="1" w:styleId="100">
    <w:name w:val="样式 正文@ + 首行缩进:  2 字符 Char"/>
    <w:basedOn w:val="101"/>
    <w:link w:val="104"/>
    <w:autoRedefine/>
    <w:qFormat/>
    <w:uiPriority w:val="0"/>
    <w:rPr>
      <w:rFonts w:ascii="宋体" w:hAnsi="宋体" w:eastAsia="宋体" w:cs="宋体"/>
      <w:color w:val="000000"/>
      <w:kern w:val="2"/>
      <w:sz w:val="24"/>
      <w:lang w:val="en-US" w:eastAsia="zh-CN" w:bidi="ar-SA"/>
    </w:rPr>
  </w:style>
  <w:style w:type="character" w:customStyle="1" w:styleId="101">
    <w:name w:val="正文@ Char"/>
    <w:link w:val="102"/>
    <w:autoRedefine/>
    <w:qFormat/>
    <w:uiPriority w:val="0"/>
    <w:rPr>
      <w:rFonts w:ascii="宋体" w:hAnsi="宋体" w:eastAsia="宋体" w:cs="宋体"/>
      <w:color w:val="000000"/>
      <w:kern w:val="2"/>
      <w:sz w:val="24"/>
      <w:lang w:val="en-US" w:eastAsia="zh-CN" w:bidi="ar-SA"/>
    </w:rPr>
  </w:style>
  <w:style w:type="paragraph" w:customStyle="1" w:styleId="102">
    <w:name w:val="正文@"/>
    <w:basedOn w:val="103"/>
    <w:link w:val="101"/>
    <w:autoRedefine/>
    <w:qFormat/>
    <w:uiPriority w:val="0"/>
    <w:pPr>
      <w:ind w:firstLine="200" w:firstLineChars="200"/>
      <w:jc w:val="left"/>
    </w:pPr>
    <w:rPr>
      <w:color w:val="000000"/>
      <w:sz w:val="24"/>
    </w:rPr>
  </w:style>
  <w:style w:type="paragraph" w:customStyle="1" w:styleId="103">
    <w:name w:val="样式 宋体 首行缩进:  2 字符 段前: 2.5 磅 段后: 2.5 磅 行距: 1.5 倍行距"/>
    <w:basedOn w:val="1"/>
    <w:autoRedefine/>
    <w:qFormat/>
    <w:uiPriority w:val="0"/>
    <w:pPr>
      <w:spacing w:line="360" w:lineRule="auto"/>
    </w:pPr>
    <w:rPr>
      <w:rFonts w:ascii="宋体" w:hAnsi="宋体" w:cs="宋体"/>
    </w:rPr>
  </w:style>
  <w:style w:type="paragraph" w:customStyle="1" w:styleId="104">
    <w:name w:val="样式 正文@ + 首行缩进:  2 字符"/>
    <w:basedOn w:val="102"/>
    <w:link w:val="100"/>
    <w:autoRedefine/>
    <w:qFormat/>
    <w:uiPriority w:val="0"/>
  </w:style>
  <w:style w:type="character" w:customStyle="1" w:styleId="105">
    <w:name w:val="样式 样式 样式 正文@ + 首行缩进:  2 字符 字距调整小四 紧缩量  0.2 磅 + 首行缩进:  2 字符 + Char"/>
    <w:link w:val="106"/>
    <w:autoRedefine/>
    <w:qFormat/>
    <w:uiPriority w:val="0"/>
    <w:rPr>
      <w:rFonts w:ascii="宋体" w:hAnsi="宋体" w:eastAsia="宋体" w:cs="宋体"/>
      <w:sz w:val="24"/>
      <w:szCs w:val="24"/>
      <w:lang w:val="en-US" w:eastAsia="zh-CN" w:bidi="ar-SA"/>
    </w:rPr>
  </w:style>
  <w:style w:type="paragraph" w:customStyle="1" w:styleId="106">
    <w:name w:val="样式 样式 样式 正文@ + 首行缩进:  2 字符 字距调整小四 紧缩量  0.2 磅 + 首行缩进:  2 字符 +"/>
    <w:basedOn w:val="1"/>
    <w:link w:val="105"/>
    <w:autoRedefine/>
    <w:qFormat/>
    <w:uiPriority w:val="0"/>
    <w:pPr>
      <w:spacing w:line="360" w:lineRule="auto"/>
      <w:ind w:firstLine="480" w:firstLineChars="200"/>
    </w:pPr>
    <w:rPr>
      <w:rFonts w:ascii="宋体" w:hAnsi="宋体" w:cs="宋体"/>
      <w:kern w:val="0"/>
      <w:sz w:val="24"/>
      <w:szCs w:val="24"/>
    </w:rPr>
  </w:style>
  <w:style w:type="character" w:customStyle="1" w:styleId="107">
    <w:name w:val="Char Char1"/>
    <w:autoRedefine/>
    <w:qFormat/>
    <w:uiPriority w:val="0"/>
    <w:rPr>
      <w:rFonts w:ascii="宋体" w:hAnsi="宋体" w:eastAsia="宋体" w:cs="Arial"/>
      <w:snapToGrid w:val="0"/>
      <w:kern w:val="2"/>
      <w:sz w:val="21"/>
      <w:szCs w:val="24"/>
      <w:lang w:val="en-US" w:eastAsia="zh-CN" w:bidi="ar-SA"/>
    </w:rPr>
  </w:style>
  <w:style w:type="character" w:customStyle="1" w:styleId="108">
    <w:name w:val="样式 样式 样式 样式 样式 正文@ + 首行缩进:  2 字符 字距调整小四 紧缩量  0.2 磅 + 首行缩进:  2 字符... Char"/>
    <w:basedOn w:val="91"/>
    <w:link w:val="109"/>
    <w:autoRedefine/>
    <w:qFormat/>
    <w:uiPriority w:val="0"/>
    <w:rPr>
      <w:rFonts w:ascii="宋体" w:hAnsi="宋体" w:eastAsia="宋体" w:cs="宋体"/>
      <w:kern w:val="24"/>
      <w:sz w:val="24"/>
      <w:szCs w:val="24"/>
      <w:lang w:val="en-US" w:eastAsia="zh-CN" w:bidi="ar-SA"/>
    </w:rPr>
  </w:style>
  <w:style w:type="paragraph" w:customStyle="1" w:styleId="109">
    <w:name w:val="样式 样式 样式 样式 样式 正文@ + 首行缩进:  2 字符 字距调整小四 紧缩量  0.2 磅 + 首行缩进:  2 字符..."/>
    <w:basedOn w:val="94"/>
    <w:link w:val="108"/>
    <w:autoRedefine/>
    <w:qFormat/>
    <w:uiPriority w:val="0"/>
    <w:pPr>
      <w:spacing w:line="360" w:lineRule="auto"/>
      <w:ind w:firstLine="200"/>
    </w:pPr>
  </w:style>
  <w:style w:type="character" w:customStyle="1" w:styleId="110">
    <w:name w:val="样式 正文@ + 黑色 图案: 清除 (白色) Char"/>
    <w:link w:val="111"/>
    <w:autoRedefine/>
    <w:qFormat/>
    <w:uiPriority w:val="0"/>
    <w:rPr>
      <w:rFonts w:ascii="宋体" w:hAnsi="宋体" w:eastAsia="宋体" w:cs="宋体"/>
      <w:color w:val="000000"/>
      <w:kern w:val="2"/>
      <w:sz w:val="24"/>
      <w:shd w:val="clear" w:color="auto" w:fill="FFFFFF"/>
      <w:lang w:val="en-US" w:eastAsia="zh-CN" w:bidi="ar-SA"/>
    </w:rPr>
  </w:style>
  <w:style w:type="paragraph" w:customStyle="1" w:styleId="111">
    <w:name w:val="样式 正文@ + 黑色 图案: 清除 (白色)"/>
    <w:basedOn w:val="1"/>
    <w:link w:val="110"/>
    <w:autoRedefine/>
    <w:qFormat/>
    <w:uiPriority w:val="0"/>
    <w:pPr>
      <w:spacing w:line="360" w:lineRule="auto"/>
      <w:ind w:firstLine="200" w:firstLineChars="200"/>
    </w:pPr>
    <w:rPr>
      <w:rFonts w:ascii="宋体" w:hAnsi="宋体" w:cs="宋体"/>
      <w:color w:val="000000"/>
      <w:sz w:val="24"/>
      <w:shd w:val="clear" w:color="auto" w:fill="FFFFFF"/>
    </w:rPr>
  </w:style>
  <w:style w:type="character" w:customStyle="1" w:styleId="112">
    <w:name w:val="表头@ Char"/>
    <w:link w:val="113"/>
    <w:autoRedefine/>
    <w:qFormat/>
    <w:uiPriority w:val="0"/>
    <w:rPr>
      <w:rFonts w:ascii="宋体" w:hAnsi="宋体" w:eastAsia="宋体" w:cs="宋体"/>
      <w:kern w:val="2"/>
      <w:sz w:val="21"/>
      <w:lang w:val="en-US" w:eastAsia="zh-CN" w:bidi="ar-SA"/>
    </w:rPr>
  </w:style>
  <w:style w:type="paragraph" w:customStyle="1" w:styleId="113">
    <w:name w:val="表头@"/>
    <w:basedOn w:val="1"/>
    <w:link w:val="112"/>
    <w:autoRedefine/>
    <w:qFormat/>
    <w:uiPriority w:val="0"/>
    <w:pPr>
      <w:jc w:val="center"/>
    </w:pPr>
    <w:rPr>
      <w:rFonts w:ascii="宋体" w:hAnsi="宋体" w:cs="宋体"/>
    </w:rPr>
  </w:style>
  <w:style w:type="character" w:customStyle="1" w:styleId="114">
    <w:name w:val="样式11 Char"/>
    <w:link w:val="115"/>
    <w:autoRedefine/>
    <w:qFormat/>
    <w:uiPriority w:val="0"/>
    <w:rPr>
      <w:rFonts w:ascii="宋体" w:hAnsi="宋体" w:eastAsia="宋体" w:cs="宋体"/>
      <w:kern w:val="2"/>
      <w:sz w:val="24"/>
      <w:lang w:val="en-US" w:eastAsia="zh-CN" w:bidi="ar-SA"/>
    </w:rPr>
  </w:style>
  <w:style w:type="paragraph" w:customStyle="1" w:styleId="115">
    <w:name w:val="样式11"/>
    <w:basedOn w:val="116"/>
    <w:link w:val="114"/>
    <w:autoRedefine/>
    <w:qFormat/>
    <w:uiPriority w:val="0"/>
    <w:pPr>
      <w:ind w:firstLine="436"/>
    </w:pPr>
  </w:style>
  <w:style w:type="paragraph" w:customStyle="1" w:styleId="116">
    <w:name w:val="样式 样式 正文@ + 首行缩进:  2 字符 + 首行缩进:  2 字符"/>
    <w:basedOn w:val="104"/>
    <w:link w:val="132"/>
    <w:autoRedefine/>
    <w:qFormat/>
    <w:uiPriority w:val="0"/>
    <w:pPr>
      <w:ind w:firstLine="480"/>
    </w:pPr>
  </w:style>
  <w:style w:type="character" w:customStyle="1" w:styleId="117">
    <w:name w:val="段落 Char"/>
    <w:link w:val="118"/>
    <w:autoRedefine/>
    <w:qFormat/>
    <w:uiPriority w:val="0"/>
    <w:rPr>
      <w:rFonts w:eastAsia="宋体"/>
      <w:sz w:val="24"/>
      <w:szCs w:val="24"/>
      <w:lang w:val="zh-CN" w:eastAsia="zh-CN" w:bidi="ar-SA"/>
    </w:rPr>
  </w:style>
  <w:style w:type="paragraph" w:customStyle="1" w:styleId="118">
    <w:name w:val="段落"/>
    <w:basedOn w:val="1"/>
    <w:link w:val="117"/>
    <w:autoRedefine/>
    <w:qFormat/>
    <w:uiPriority w:val="0"/>
    <w:pPr>
      <w:topLinePunct/>
      <w:ind w:firstLine="200" w:firstLineChars="200"/>
      <w:jc w:val="left"/>
    </w:pPr>
    <w:rPr>
      <w:kern w:val="0"/>
      <w:sz w:val="24"/>
      <w:szCs w:val="24"/>
      <w:lang w:val="zh-CN"/>
    </w:rPr>
  </w:style>
  <w:style w:type="character" w:customStyle="1" w:styleId="119">
    <w:name w:val="样式 表内容@ + 行距: 最小值 0 磅 Char"/>
    <w:basedOn w:val="120"/>
    <w:link w:val="121"/>
    <w:autoRedefine/>
    <w:qFormat/>
    <w:uiPriority w:val="0"/>
    <w:rPr>
      <w:rFonts w:ascii="宋体" w:hAnsi="宋体" w:eastAsia="宋体" w:cs="宋体"/>
      <w:kern w:val="2"/>
      <w:sz w:val="24"/>
      <w:lang w:val="en-US" w:eastAsia="zh-CN" w:bidi="ar-SA"/>
    </w:rPr>
  </w:style>
  <w:style w:type="character" w:customStyle="1" w:styleId="120">
    <w:name w:val="表内容@ Char"/>
    <w:link w:val="83"/>
    <w:autoRedefine/>
    <w:qFormat/>
    <w:uiPriority w:val="0"/>
    <w:rPr>
      <w:rFonts w:ascii="宋体" w:hAnsi="宋体" w:eastAsia="宋体" w:cs="宋体"/>
      <w:kern w:val="2"/>
      <w:sz w:val="24"/>
      <w:lang w:val="en-US" w:eastAsia="zh-CN" w:bidi="ar-SA"/>
    </w:rPr>
  </w:style>
  <w:style w:type="paragraph" w:customStyle="1" w:styleId="121">
    <w:name w:val="样式 表内容@ + 行距: 最小值 0 磅"/>
    <w:basedOn w:val="83"/>
    <w:link w:val="119"/>
    <w:autoRedefine/>
    <w:qFormat/>
    <w:uiPriority w:val="0"/>
    <w:pPr>
      <w:adjustRightInd w:val="0"/>
    </w:pPr>
  </w:style>
  <w:style w:type="character" w:customStyle="1" w:styleId="122">
    <w:name w:val="样式 样式 首行缩进:  2 字符 + 首行缩进:  2 字符 Char"/>
    <w:link w:val="123"/>
    <w:autoRedefine/>
    <w:qFormat/>
    <w:locked/>
    <w:uiPriority w:val="0"/>
    <w:rPr>
      <w:rFonts w:ascii="宋体" w:hAnsi="宋体" w:eastAsia="宋体" w:cs="宋体"/>
      <w:kern w:val="2"/>
      <w:sz w:val="24"/>
      <w:lang w:val="en-US" w:eastAsia="zh-CN" w:bidi="ar-SA"/>
    </w:rPr>
  </w:style>
  <w:style w:type="paragraph" w:customStyle="1" w:styleId="123">
    <w:name w:val="样式 样式 首行缩进:  2 字符 + 首行缩进:  2 字符"/>
    <w:basedOn w:val="1"/>
    <w:link w:val="122"/>
    <w:autoRedefine/>
    <w:qFormat/>
    <w:uiPriority w:val="0"/>
    <w:pPr>
      <w:spacing w:line="360" w:lineRule="auto"/>
      <w:ind w:firstLine="200" w:firstLineChars="200"/>
    </w:pPr>
    <w:rPr>
      <w:rFonts w:ascii="宋体" w:hAnsi="宋体" w:cs="宋体"/>
      <w:sz w:val="24"/>
    </w:rPr>
  </w:style>
  <w:style w:type="character" w:customStyle="1" w:styleId="124">
    <w:name w:val="标题 4 Char"/>
    <w:link w:val="6"/>
    <w:autoRedefine/>
    <w:qFormat/>
    <w:uiPriority w:val="0"/>
    <w:rPr>
      <w:rFonts w:ascii="Arial" w:hAnsi="Arial" w:eastAsia="黑体"/>
      <w:b/>
      <w:bCs/>
      <w:kern w:val="2"/>
      <w:sz w:val="28"/>
      <w:szCs w:val="28"/>
      <w:lang w:val="en-US" w:eastAsia="zh-CN" w:bidi="ar-SA"/>
    </w:rPr>
  </w:style>
  <w:style w:type="character" w:customStyle="1" w:styleId="125">
    <w:name w:val="题注 Char"/>
    <w:link w:val="14"/>
    <w:autoRedefine/>
    <w:qFormat/>
    <w:uiPriority w:val="0"/>
    <w:rPr>
      <w:rFonts w:ascii="宋体" w:hAnsi="Arial" w:eastAsia="宋体" w:cs="Arial"/>
      <w:kern w:val="2"/>
      <w:sz w:val="21"/>
      <w:lang w:val="en-US" w:eastAsia="zh-CN" w:bidi="ar-SA"/>
    </w:rPr>
  </w:style>
  <w:style w:type="character" w:customStyle="1" w:styleId="126">
    <w:name w:val="正文（首行缩进两字） Char Char Char Char1"/>
    <w:autoRedefine/>
    <w:qFormat/>
    <w:uiPriority w:val="0"/>
    <w:rPr>
      <w:rFonts w:ascii="Arial" w:hAnsi="Arial" w:eastAsia="宋体"/>
      <w:kern w:val="2"/>
      <w:sz w:val="24"/>
      <w:szCs w:val="24"/>
      <w:lang w:val="en-US" w:eastAsia="zh-CN" w:bidi="ar-SA"/>
    </w:rPr>
  </w:style>
  <w:style w:type="character" w:customStyle="1" w:styleId="127">
    <w:name w:val="样式 样式 样式 正文 + 首行缩进:  2 字符 + 首行缩进:  2 字符 + 首行缩进:  2 字符 Char"/>
    <w:link w:val="128"/>
    <w:autoRedefine/>
    <w:qFormat/>
    <w:uiPriority w:val="0"/>
    <w:rPr>
      <w:rFonts w:ascii="宋体" w:hAnsi="宋体" w:eastAsia="宋体" w:cs="宋体"/>
      <w:kern w:val="2"/>
      <w:sz w:val="24"/>
      <w:lang w:val="en-US" w:eastAsia="zh-CN" w:bidi="ar-SA"/>
    </w:rPr>
  </w:style>
  <w:style w:type="paragraph" w:customStyle="1" w:styleId="128">
    <w:name w:val="样式 样式 样式 正文 + 首行缩进:  2 字符 + 首行缩进:  2 字符 + 首行缩进:  2 字符"/>
    <w:basedOn w:val="1"/>
    <w:link w:val="127"/>
    <w:autoRedefine/>
    <w:qFormat/>
    <w:uiPriority w:val="0"/>
    <w:pPr>
      <w:ind w:firstLine="200" w:firstLineChars="200"/>
    </w:pPr>
    <w:rPr>
      <w:rFonts w:ascii="宋体" w:hAnsi="宋体" w:cs="宋体"/>
      <w:sz w:val="24"/>
    </w:rPr>
  </w:style>
  <w:style w:type="character" w:customStyle="1" w:styleId="129">
    <w:name w:val="正文缩进 Char"/>
    <w:link w:val="5"/>
    <w:autoRedefine/>
    <w:qFormat/>
    <w:uiPriority w:val="99"/>
    <w:rPr>
      <w:rFonts w:eastAsia="宋体"/>
      <w:kern w:val="2"/>
      <w:sz w:val="21"/>
      <w:lang w:val="en-US" w:eastAsia="zh-CN" w:bidi="ar-SA"/>
    </w:rPr>
  </w:style>
  <w:style w:type="character" w:customStyle="1" w:styleId="130">
    <w:name w:val="表格 Char"/>
    <w:link w:val="131"/>
    <w:autoRedefine/>
    <w:qFormat/>
    <w:uiPriority w:val="0"/>
    <w:rPr>
      <w:sz w:val="21"/>
      <w:szCs w:val="21"/>
    </w:rPr>
  </w:style>
  <w:style w:type="paragraph" w:customStyle="1" w:styleId="131">
    <w:name w:val="表格"/>
    <w:basedOn w:val="33"/>
    <w:next w:val="33"/>
    <w:link w:val="130"/>
    <w:autoRedefine/>
    <w:qFormat/>
    <w:uiPriority w:val="0"/>
    <w:pPr>
      <w:adjustRightInd w:val="0"/>
      <w:snapToGrid w:val="0"/>
      <w:jc w:val="center"/>
      <w:textAlignment w:val="baseline"/>
    </w:pPr>
    <w:rPr>
      <w:kern w:val="0"/>
      <w:sz w:val="21"/>
      <w:szCs w:val="21"/>
    </w:rPr>
  </w:style>
  <w:style w:type="character" w:customStyle="1" w:styleId="132">
    <w:name w:val="样式 样式 正文@ + 首行缩进:  2 字符 + 首行缩进:  2 字符 Char"/>
    <w:link w:val="116"/>
    <w:autoRedefine/>
    <w:qFormat/>
    <w:uiPriority w:val="0"/>
    <w:rPr>
      <w:rFonts w:ascii="宋体" w:hAnsi="宋体" w:eastAsia="宋体" w:cs="宋体"/>
      <w:kern w:val="2"/>
      <w:sz w:val="24"/>
      <w:lang w:val="en-US" w:eastAsia="zh-CN" w:bidi="ar-SA"/>
    </w:rPr>
  </w:style>
  <w:style w:type="character" w:customStyle="1" w:styleId="133">
    <w:name w:val="样式 表图头@ + 段前: 0.5 行 Char"/>
    <w:link w:val="134"/>
    <w:autoRedefine/>
    <w:qFormat/>
    <w:uiPriority w:val="0"/>
    <w:rPr>
      <w:rFonts w:ascii="宋体" w:hAnsi="宋体" w:eastAsia="宋体" w:cs="宋体"/>
      <w:kern w:val="2"/>
      <w:sz w:val="21"/>
      <w:lang w:val="en-US" w:eastAsia="zh-CN" w:bidi="ar-SA"/>
    </w:rPr>
  </w:style>
  <w:style w:type="paragraph" w:customStyle="1" w:styleId="134">
    <w:name w:val="样式 表图头@ + 段前: 0.5 行"/>
    <w:basedOn w:val="1"/>
    <w:link w:val="133"/>
    <w:autoRedefine/>
    <w:qFormat/>
    <w:uiPriority w:val="0"/>
    <w:pPr>
      <w:adjustRightInd w:val="0"/>
      <w:jc w:val="center"/>
    </w:pPr>
    <w:rPr>
      <w:rFonts w:ascii="宋体" w:hAnsi="宋体" w:cs="宋体"/>
    </w:rPr>
  </w:style>
  <w:style w:type="paragraph" w:styleId="135">
    <w:name w:val="List Paragraph"/>
    <w:basedOn w:val="1"/>
    <w:link w:val="205"/>
    <w:autoRedefine/>
    <w:qFormat/>
    <w:uiPriority w:val="99"/>
    <w:pPr>
      <w:ind w:firstLine="420" w:firstLineChars="200"/>
    </w:pPr>
    <w:rPr>
      <w:rFonts w:ascii="Calibri" w:hAnsi="Calibri"/>
      <w:szCs w:val="22"/>
    </w:rPr>
  </w:style>
  <w:style w:type="paragraph" w:customStyle="1" w:styleId="136">
    <w:name w:val="Table Paragraph"/>
    <w:basedOn w:val="1"/>
    <w:autoRedefine/>
    <w:qFormat/>
    <w:uiPriority w:val="1"/>
    <w:pPr>
      <w:widowControl/>
      <w:jc w:val="left"/>
    </w:pPr>
    <w:rPr>
      <w:kern w:val="0"/>
    </w:rPr>
  </w:style>
  <w:style w:type="paragraph" w:customStyle="1" w:styleId="137">
    <w:name w:val="表头1号"/>
    <w:basedOn w:val="1"/>
    <w:autoRedefine/>
    <w:qFormat/>
    <w:uiPriority w:val="0"/>
    <w:pPr>
      <w:keepNext/>
      <w:widowControl/>
      <w:jc w:val="center"/>
    </w:pPr>
    <w:rPr>
      <w:b/>
      <w:sz w:val="24"/>
    </w:rPr>
  </w:style>
  <w:style w:type="paragraph" w:customStyle="1" w:styleId="138">
    <w:name w:val="Char1 Char Char Char Char Char Char Char Char Char Char Char Char Char Char Char Char"/>
    <w:basedOn w:val="4"/>
    <w:autoRedefine/>
    <w:qFormat/>
    <w:uiPriority w:val="0"/>
    <w:pPr>
      <w:widowControl w:val="0"/>
      <w:tabs>
        <w:tab w:val="left" w:pos="360"/>
        <w:tab w:val="left" w:pos="900"/>
      </w:tabs>
      <w:snapToGrid w:val="0"/>
      <w:spacing w:before="120" w:after="120" w:line="360" w:lineRule="auto"/>
      <w:ind w:left="542" w:leftChars="-12" w:firstLine="200" w:firstLineChars="200"/>
    </w:pPr>
    <w:rPr>
      <w:rFonts w:eastAsia="黑体"/>
      <w:b w:val="0"/>
      <w:snapToGrid w:val="0"/>
      <w:kern w:val="2"/>
      <w:sz w:val="24"/>
      <w:szCs w:val="24"/>
    </w:rPr>
  </w:style>
  <w:style w:type="paragraph" w:customStyle="1" w:styleId="139">
    <w:name w:val="Char"/>
    <w:basedOn w:val="5"/>
    <w:autoRedefine/>
    <w:semiHidden/>
    <w:qFormat/>
    <w:uiPriority w:val="0"/>
    <w:pPr>
      <w:keepNext/>
      <w:adjustRightInd w:val="0"/>
      <w:snapToGrid w:val="0"/>
      <w:spacing w:line="500" w:lineRule="exact"/>
      <w:ind w:firstLine="200" w:firstLineChars="200"/>
    </w:pPr>
    <w:rPr>
      <w:rFonts w:ascii="Verdana" w:hAnsi="Verdana" w:eastAsia="仿宋_GB2312"/>
      <w:color w:val="000000"/>
      <w:spacing w:val="8"/>
      <w:kern w:val="0"/>
      <w:sz w:val="28"/>
      <w:lang w:eastAsia="en-US"/>
    </w:rPr>
  </w:style>
  <w:style w:type="paragraph" w:customStyle="1" w:styleId="140">
    <w:name w:val="样式 样式 标题 2标题2，@ + 段前: 0.5 行 段后: 0.5 行 + 段前: 0.5 行 段后: 0.5 行"/>
    <w:basedOn w:val="1"/>
    <w:autoRedefine/>
    <w:qFormat/>
    <w:uiPriority w:val="0"/>
    <w:pPr>
      <w:numPr>
        <w:ilvl w:val="1"/>
        <w:numId w:val="2"/>
      </w:numPr>
      <w:spacing w:beforeLines="50" w:afterLines="50" w:line="360" w:lineRule="auto"/>
      <w:outlineLvl w:val="1"/>
    </w:pPr>
    <w:rPr>
      <w:rFonts w:ascii="宋体" w:hAnsi="宋体" w:cs="宋体"/>
      <w:b/>
      <w:bCs/>
      <w:sz w:val="24"/>
    </w:rPr>
  </w:style>
  <w:style w:type="paragraph" w:customStyle="1" w:styleId="141">
    <w:name w:val="12二级标题"/>
    <w:next w:val="142"/>
    <w:autoRedefine/>
    <w:qFormat/>
    <w:uiPriority w:val="0"/>
    <w:pPr>
      <w:spacing w:line="360" w:lineRule="auto"/>
      <w:jc w:val="both"/>
      <w:outlineLvl w:val="1"/>
    </w:pPr>
    <w:rPr>
      <w:rFonts w:ascii="Times New Roman" w:hAnsi="Times New Roman" w:eastAsia="黑体" w:cs="宋体"/>
      <w:kern w:val="2"/>
      <w:sz w:val="30"/>
      <w:lang w:val="en-US" w:eastAsia="zh-CN" w:bidi="ar-SA"/>
    </w:rPr>
  </w:style>
  <w:style w:type="paragraph" w:customStyle="1" w:styleId="142">
    <w:name w:val="15正文"/>
    <w:autoRedefine/>
    <w:qFormat/>
    <w:uiPriority w:val="0"/>
    <w:pPr>
      <w:spacing w:line="360" w:lineRule="auto"/>
      <w:ind w:firstLine="480" w:firstLineChars="200"/>
    </w:pPr>
    <w:rPr>
      <w:rFonts w:ascii="Times New Roman" w:hAnsi="Times New Roman" w:eastAsia="宋体" w:cs="仿宋_GB2312"/>
      <w:kern w:val="2"/>
      <w:sz w:val="24"/>
      <w:szCs w:val="24"/>
      <w:lang w:val="en-US" w:eastAsia="zh-CN" w:bidi="ar-SA"/>
    </w:rPr>
  </w:style>
  <w:style w:type="paragraph" w:customStyle="1" w:styleId="143">
    <w:name w:val="样式 标题 1@1.标题 1H1Chapter Headline章chap标题 章Charb1章节标题MB..."/>
    <w:basedOn w:val="2"/>
    <w:autoRedefine/>
    <w:qFormat/>
    <w:uiPriority w:val="0"/>
    <w:pPr>
      <w:numPr>
        <w:ilvl w:val="0"/>
        <w:numId w:val="2"/>
      </w:numPr>
      <w:spacing w:beforeLines="50" w:afterLines="50" w:line="360" w:lineRule="auto"/>
    </w:pPr>
    <w:rPr>
      <w:rFonts w:ascii="宋体" w:hAnsi="宋体" w:cs="宋体"/>
      <w:kern w:val="2"/>
      <w:szCs w:val="20"/>
    </w:rPr>
  </w:style>
  <w:style w:type="paragraph" w:customStyle="1" w:styleId="144">
    <w:name w:val="_Style 2"/>
    <w:basedOn w:val="1"/>
    <w:autoRedefine/>
    <w:qFormat/>
    <w:uiPriority w:val="34"/>
    <w:pPr>
      <w:ind w:firstLine="420" w:firstLineChars="200"/>
    </w:pPr>
  </w:style>
  <w:style w:type="paragraph" w:customStyle="1" w:styleId="145">
    <w:name w:val="Char Char5 Char Char Char Char Char Char Char Char Char Char Char Char Char Char Char1"/>
    <w:basedOn w:val="4"/>
    <w:autoRedefine/>
    <w:qFormat/>
    <w:uiPriority w:val="0"/>
    <w:pPr>
      <w:widowControl w:val="0"/>
      <w:tabs>
        <w:tab w:val="left" w:pos="360"/>
        <w:tab w:val="left" w:pos="900"/>
      </w:tabs>
      <w:snapToGrid w:val="0"/>
      <w:spacing w:before="120" w:after="120" w:line="360" w:lineRule="auto"/>
      <w:ind w:left="542" w:leftChars="-12" w:firstLine="200" w:firstLineChars="200"/>
    </w:pPr>
    <w:rPr>
      <w:rFonts w:eastAsia="黑体"/>
      <w:b w:val="0"/>
      <w:snapToGrid w:val="0"/>
      <w:kern w:val="2"/>
      <w:sz w:val="24"/>
      <w:szCs w:val="24"/>
    </w:rPr>
  </w:style>
  <w:style w:type="paragraph" w:customStyle="1" w:styleId="146">
    <w:name w:val="段落1"/>
    <w:basedOn w:val="46"/>
    <w:autoRedefine/>
    <w:qFormat/>
    <w:uiPriority w:val="0"/>
    <w:pPr>
      <w:ind w:firstLine="200"/>
    </w:pPr>
    <w:rPr>
      <w:rFonts w:ascii="Calibri" w:hAnsi="Calibri"/>
    </w:rPr>
  </w:style>
  <w:style w:type="paragraph" w:customStyle="1" w:styleId="147">
    <w:name w:val="Char1"/>
    <w:basedOn w:val="5"/>
    <w:autoRedefine/>
    <w:semiHidden/>
    <w:qFormat/>
    <w:uiPriority w:val="0"/>
    <w:pPr>
      <w:keepNext/>
      <w:adjustRightInd w:val="0"/>
      <w:snapToGrid w:val="0"/>
      <w:spacing w:line="500" w:lineRule="exact"/>
      <w:ind w:firstLine="200" w:firstLineChars="200"/>
    </w:pPr>
    <w:rPr>
      <w:rFonts w:ascii="Verdana" w:hAnsi="Verdana" w:eastAsia="仿宋_GB2312"/>
      <w:color w:val="000000"/>
      <w:spacing w:val="8"/>
      <w:kern w:val="0"/>
      <w:sz w:val="28"/>
      <w:lang w:eastAsia="en-US"/>
    </w:rPr>
  </w:style>
  <w:style w:type="paragraph" w:customStyle="1" w:styleId="148">
    <w:name w:val="_Style 23"/>
    <w:basedOn w:val="1"/>
    <w:next w:val="5"/>
    <w:autoRedefine/>
    <w:qFormat/>
    <w:uiPriority w:val="0"/>
    <w:pPr>
      <w:ind w:firstLine="420"/>
    </w:pPr>
  </w:style>
  <w:style w:type="paragraph" w:customStyle="1" w:styleId="149">
    <w:name w:val="Lee正文"/>
    <w:basedOn w:val="1"/>
    <w:next w:val="45"/>
    <w:autoRedefine/>
    <w:qFormat/>
    <w:uiPriority w:val="0"/>
    <w:pPr>
      <w:adjustRightInd w:val="0"/>
      <w:snapToGrid w:val="0"/>
      <w:spacing w:line="480" w:lineRule="exact"/>
      <w:ind w:firstLine="200" w:firstLineChars="200"/>
    </w:pPr>
    <w:rPr>
      <w:kern w:val="0"/>
      <w:sz w:val="24"/>
      <w:szCs w:val="22"/>
    </w:rPr>
  </w:style>
  <w:style w:type="paragraph" w:customStyle="1" w:styleId="150">
    <w:name w:val="z报告书正文  小四1.5倍"/>
    <w:basedOn w:val="1"/>
    <w:autoRedefine/>
    <w:qFormat/>
    <w:uiPriority w:val="0"/>
    <w:pPr>
      <w:spacing w:line="360" w:lineRule="auto"/>
      <w:ind w:firstLine="480" w:firstLineChars="200"/>
    </w:pPr>
    <w:rPr>
      <w:sz w:val="24"/>
      <w:szCs w:val="21"/>
      <w:lang w:val="zh-CN"/>
    </w:rPr>
  </w:style>
  <w:style w:type="paragraph" w:customStyle="1" w:styleId="151">
    <w:name w:val="（一）"/>
    <w:basedOn w:val="1"/>
    <w:autoRedefine/>
    <w:qFormat/>
    <w:uiPriority w:val="0"/>
    <w:pPr>
      <w:spacing w:line="460" w:lineRule="exact"/>
    </w:pPr>
    <w:rPr>
      <w:sz w:val="24"/>
    </w:rPr>
  </w:style>
  <w:style w:type="paragraph" w:customStyle="1" w:styleId="152">
    <w:name w:val="表"/>
    <w:basedOn w:val="153"/>
    <w:autoRedefine/>
    <w:qFormat/>
    <w:uiPriority w:val="0"/>
    <w:pPr>
      <w:keepNext/>
      <w:keepLines/>
      <w:autoSpaceDE w:val="0"/>
      <w:autoSpaceDN w:val="0"/>
      <w:adjustRightInd w:val="0"/>
      <w:spacing w:line="240" w:lineRule="exact"/>
      <w:jc w:val="center"/>
    </w:pPr>
    <w:rPr>
      <w:snapToGrid w:val="0"/>
      <w:w w:val="80"/>
      <w:kern w:val="0"/>
      <w:szCs w:val="21"/>
    </w:rPr>
  </w:style>
  <w:style w:type="paragraph" w:customStyle="1" w:styleId="153">
    <w:name w:val="1.1"/>
    <w:basedOn w:val="1"/>
    <w:autoRedefine/>
    <w:qFormat/>
    <w:uiPriority w:val="0"/>
    <w:rPr>
      <w:rFonts w:ascii="黑体"/>
      <w:sz w:val="30"/>
    </w:rPr>
  </w:style>
  <w:style w:type="paragraph" w:customStyle="1" w:styleId="154">
    <w:name w:val="标题4"/>
    <w:basedOn w:val="1"/>
    <w:autoRedefine/>
    <w:qFormat/>
    <w:uiPriority w:val="0"/>
    <w:pPr>
      <w:spacing w:line="480" w:lineRule="exact"/>
      <w:ind w:firstLine="600" w:firstLineChars="200"/>
      <w:jc w:val="left"/>
    </w:pPr>
    <w:rPr>
      <w:rFonts w:ascii="Calibri" w:hAnsi="Calibri" w:cs="Calibri"/>
      <w:b/>
      <w:bCs/>
      <w:sz w:val="24"/>
      <w:szCs w:val="24"/>
    </w:rPr>
  </w:style>
  <w:style w:type="paragraph" w:customStyle="1" w:styleId="155">
    <w:name w:val="内容11"/>
    <w:basedOn w:val="24"/>
    <w:autoRedefine/>
    <w:qFormat/>
    <w:uiPriority w:val="0"/>
    <w:pPr>
      <w:adjustRightInd w:val="0"/>
      <w:spacing w:line="360" w:lineRule="auto"/>
      <w:ind w:right="-92" w:rightChars="-44" w:firstLine="415" w:firstLineChars="179"/>
      <w:textAlignment w:val="baseline"/>
    </w:pPr>
    <w:rPr>
      <w:rFonts w:hAnsi="宋体" w:cs="宋体"/>
      <w:spacing w:val="-4"/>
      <w:position w:val="6"/>
      <w:sz w:val="24"/>
      <w:szCs w:val="24"/>
    </w:rPr>
  </w:style>
  <w:style w:type="paragraph" w:customStyle="1" w:styleId="156">
    <w:name w:val="Char2 Char Char Char Char Char Char Char Char Char Char Char Char Char Char Char Char Char Char Char Char Char Char Char Char Char Char Char Char"/>
    <w:basedOn w:val="4"/>
    <w:autoRedefine/>
    <w:semiHidden/>
    <w:qFormat/>
    <w:uiPriority w:val="0"/>
    <w:pPr>
      <w:widowControl w:val="0"/>
      <w:tabs>
        <w:tab w:val="left" w:pos="360"/>
        <w:tab w:val="left" w:pos="900"/>
      </w:tabs>
      <w:snapToGrid w:val="0"/>
      <w:spacing w:before="120" w:after="120" w:line="360" w:lineRule="auto"/>
      <w:ind w:left="542" w:leftChars="-12" w:firstLine="200" w:firstLineChars="200"/>
    </w:pPr>
    <w:rPr>
      <w:rFonts w:eastAsia="黑体"/>
      <w:b w:val="0"/>
      <w:snapToGrid w:val="0"/>
      <w:color w:val="FF0000"/>
      <w:kern w:val="2"/>
      <w:sz w:val="24"/>
      <w:szCs w:val="24"/>
    </w:rPr>
  </w:style>
  <w:style w:type="paragraph" w:customStyle="1" w:styleId="157">
    <w:name w:val="1"/>
    <w:basedOn w:val="1"/>
    <w:next w:val="1"/>
    <w:autoRedefine/>
    <w:qFormat/>
    <w:uiPriority w:val="0"/>
    <w:pPr>
      <w:snapToGrid w:val="0"/>
      <w:ind w:firstLine="548" w:firstLineChars="200"/>
      <w:jc w:val="center"/>
    </w:pPr>
    <w:rPr>
      <w:rFonts w:ascii="Arial" w:hAnsi="Arial"/>
      <w:sz w:val="24"/>
    </w:rPr>
  </w:style>
  <w:style w:type="paragraph" w:customStyle="1" w:styleId="158">
    <w:name w:val="w4"/>
    <w:basedOn w:val="1"/>
    <w:autoRedefine/>
    <w:qFormat/>
    <w:uiPriority w:val="0"/>
    <w:pPr>
      <w:adjustRightInd w:val="0"/>
      <w:spacing w:line="360" w:lineRule="auto"/>
      <w:ind w:left="1200" w:firstLine="654"/>
      <w:textAlignment w:val="baseline"/>
    </w:pPr>
    <w:rPr>
      <w:rFonts w:ascii="宋体"/>
      <w:kern w:val="0"/>
      <w:sz w:val="28"/>
    </w:rPr>
  </w:style>
  <w:style w:type="paragraph" w:customStyle="1" w:styleId="159">
    <w:name w:val="Char2 Char Char Char Char Char Char Char Char Char Char Char Char Char Char Char Char Char Char Char Char Char Char Char Char Char Char Char Char1"/>
    <w:basedOn w:val="4"/>
    <w:autoRedefine/>
    <w:semiHidden/>
    <w:qFormat/>
    <w:uiPriority w:val="0"/>
    <w:pPr>
      <w:widowControl w:val="0"/>
      <w:tabs>
        <w:tab w:val="left" w:pos="360"/>
        <w:tab w:val="left" w:pos="900"/>
      </w:tabs>
      <w:snapToGrid w:val="0"/>
      <w:spacing w:before="120" w:after="120" w:line="360" w:lineRule="auto"/>
      <w:ind w:left="542" w:leftChars="-12" w:firstLine="200" w:firstLineChars="200"/>
    </w:pPr>
    <w:rPr>
      <w:rFonts w:eastAsia="黑体"/>
      <w:b w:val="0"/>
      <w:color w:val="FF0000"/>
      <w:kern w:val="2"/>
      <w:sz w:val="24"/>
      <w:szCs w:val="24"/>
    </w:rPr>
  </w:style>
  <w:style w:type="paragraph" w:customStyle="1" w:styleId="160">
    <w:name w:val="_Style 17"/>
    <w:basedOn w:val="1"/>
    <w:next w:val="5"/>
    <w:autoRedefine/>
    <w:qFormat/>
    <w:uiPriority w:val="0"/>
    <w:pPr>
      <w:widowControl/>
      <w:ind w:firstLine="539"/>
    </w:pPr>
    <w:rPr>
      <w:rFonts w:ascii="Arial" w:hAnsi="Arial"/>
      <w:kern w:val="0"/>
      <w:sz w:val="24"/>
    </w:rPr>
  </w:style>
  <w:style w:type="paragraph" w:customStyle="1" w:styleId="161">
    <w:name w:val="正文样式"/>
    <w:basedOn w:val="1"/>
    <w:link w:val="214"/>
    <w:autoRedefine/>
    <w:qFormat/>
    <w:uiPriority w:val="0"/>
    <w:pPr>
      <w:spacing w:line="400" w:lineRule="exact"/>
      <w:ind w:firstLine="200" w:firstLineChars="200"/>
    </w:pPr>
    <w:rPr>
      <w:sz w:val="24"/>
    </w:rPr>
  </w:style>
  <w:style w:type="paragraph" w:customStyle="1" w:styleId="162">
    <w:name w:val="表格正文"/>
    <w:basedOn w:val="5"/>
    <w:next w:val="1"/>
    <w:autoRedefine/>
    <w:qFormat/>
    <w:uiPriority w:val="0"/>
    <w:rPr>
      <w:spacing w:val="12"/>
      <w:kern w:val="1"/>
    </w:rPr>
  </w:style>
  <w:style w:type="paragraph" w:customStyle="1" w:styleId="163">
    <w:name w:val="样式 样式 样式 样式 正文@ + 首行缩进:  2 字符 字距调整小四 紧缩量  0.2 磅 + 首行缩进:  2 字符 + ..."/>
    <w:basedOn w:val="93"/>
    <w:autoRedefine/>
    <w:qFormat/>
    <w:uiPriority w:val="0"/>
    <w:pPr>
      <w:ind w:firstLine="0" w:firstLineChars="0"/>
      <w:outlineLvl w:val="0"/>
    </w:pPr>
    <w:rPr>
      <w:rFonts w:ascii="黑体" w:hAnsi="Times New Roman" w:eastAsia="黑体"/>
      <w:kern w:val="2"/>
      <w:sz w:val="28"/>
    </w:rPr>
  </w:style>
  <w:style w:type="character" w:customStyle="1" w:styleId="164">
    <w:name w:val="页脚 Char"/>
    <w:link w:val="30"/>
    <w:autoRedefine/>
    <w:qFormat/>
    <w:uiPriority w:val="99"/>
    <w:rPr>
      <w:kern w:val="2"/>
      <w:sz w:val="18"/>
    </w:rPr>
  </w:style>
  <w:style w:type="character" w:customStyle="1" w:styleId="165">
    <w:name w:val="标题 8 Char"/>
    <w:link w:val="10"/>
    <w:autoRedefine/>
    <w:qFormat/>
    <w:uiPriority w:val="0"/>
    <w:rPr>
      <w:rFonts w:ascii="Arial" w:hAnsi="Arial" w:eastAsia="黑体"/>
      <w:kern w:val="2"/>
      <w:sz w:val="24"/>
      <w:szCs w:val="24"/>
    </w:rPr>
  </w:style>
  <w:style w:type="character" w:customStyle="1" w:styleId="166">
    <w:name w:val="正文首行缩进 Char"/>
    <w:link w:val="45"/>
    <w:autoRedefine/>
    <w:qFormat/>
    <w:uiPriority w:val="0"/>
    <w:rPr>
      <w:kern w:val="2"/>
      <w:sz w:val="21"/>
    </w:rPr>
  </w:style>
  <w:style w:type="paragraph" w:customStyle="1" w:styleId="167">
    <w:name w:val="表格11"/>
    <w:basedOn w:val="152"/>
    <w:autoRedefine/>
    <w:qFormat/>
    <w:uiPriority w:val="0"/>
    <w:pPr>
      <w:ind w:firstLine="200" w:firstLineChars="200"/>
      <w:jc w:val="left"/>
    </w:pPr>
  </w:style>
  <w:style w:type="character" w:customStyle="1" w:styleId="168">
    <w:name w:val="font21"/>
    <w:autoRedefine/>
    <w:qFormat/>
    <w:uiPriority w:val="0"/>
    <w:rPr>
      <w:rFonts w:hint="eastAsia" w:ascii="宋体" w:hAnsi="宋体" w:eastAsia="宋体"/>
      <w:color w:val="000000"/>
      <w:sz w:val="21"/>
      <w:szCs w:val="21"/>
      <w:u w:val="none"/>
    </w:rPr>
  </w:style>
  <w:style w:type="character" w:customStyle="1" w:styleId="169">
    <w:name w:val="font11"/>
    <w:basedOn w:val="50"/>
    <w:autoRedefine/>
    <w:qFormat/>
    <w:uiPriority w:val="0"/>
    <w:rPr>
      <w:rFonts w:hint="default" w:ascii="Times New Roman" w:hAnsi="Times New Roman" w:cs="Times New Roman"/>
      <w:color w:val="000000"/>
      <w:sz w:val="21"/>
      <w:szCs w:val="21"/>
      <w:u w:val="none"/>
    </w:rPr>
  </w:style>
  <w:style w:type="character" w:customStyle="1" w:styleId="170">
    <w:name w:val="font01"/>
    <w:autoRedefine/>
    <w:qFormat/>
    <w:uiPriority w:val="0"/>
    <w:rPr>
      <w:rFonts w:hint="default" w:ascii="Times New Roman" w:hAnsi="Times New Roman" w:cs="Times New Roman"/>
      <w:color w:val="000000"/>
      <w:sz w:val="10"/>
      <w:szCs w:val="10"/>
      <w:u w:val="none"/>
    </w:rPr>
  </w:style>
  <w:style w:type="character" w:customStyle="1" w:styleId="171">
    <w:name w:val="font31"/>
    <w:basedOn w:val="50"/>
    <w:autoRedefine/>
    <w:qFormat/>
    <w:uiPriority w:val="0"/>
    <w:rPr>
      <w:rFonts w:hint="default" w:ascii="Times New Roman" w:hAnsi="Times New Roman" w:cs="Times New Roman"/>
      <w:color w:val="000000"/>
      <w:sz w:val="10"/>
      <w:szCs w:val="10"/>
      <w:u w:val="none"/>
    </w:rPr>
  </w:style>
  <w:style w:type="paragraph" w:customStyle="1" w:styleId="172">
    <w:name w:val="1正文"/>
    <w:basedOn w:val="1"/>
    <w:next w:val="19"/>
    <w:link w:val="193"/>
    <w:autoRedefine/>
    <w:qFormat/>
    <w:uiPriority w:val="0"/>
    <w:pPr>
      <w:spacing w:line="440" w:lineRule="exact"/>
      <w:ind w:firstLine="200" w:firstLineChars="200"/>
    </w:pPr>
    <w:rPr>
      <w:snapToGrid w:val="0"/>
      <w:sz w:val="24"/>
      <w:szCs w:val="24"/>
    </w:rPr>
  </w:style>
  <w:style w:type="paragraph" w:customStyle="1" w:styleId="173">
    <w:name w:val="正文缩进1"/>
    <w:basedOn w:val="20"/>
    <w:autoRedefine/>
    <w:qFormat/>
    <w:uiPriority w:val="0"/>
    <w:pPr>
      <w:adjustRightInd w:val="0"/>
      <w:spacing w:line="440" w:lineRule="exact"/>
      <w:ind w:firstLine="200" w:firstLineChars="200"/>
    </w:pPr>
    <w:rPr>
      <w:rFonts w:ascii="Times New Roman" w:cs="宋体"/>
      <w:spacing w:val="4"/>
      <w:kern w:val="0"/>
    </w:rPr>
  </w:style>
  <w:style w:type="paragraph" w:customStyle="1" w:styleId="174">
    <w:name w:val="2表格标题"/>
    <w:basedOn w:val="43"/>
    <w:next w:val="43"/>
    <w:autoRedefine/>
    <w:qFormat/>
    <w:uiPriority w:val="0"/>
    <w:pPr>
      <w:tabs>
        <w:tab w:val="left" w:pos="360"/>
        <w:tab w:val="left" w:pos="900"/>
      </w:tabs>
      <w:adjustRightInd w:val="0"/>
      <w:snapToGrid w:val="0"/>
      <w:spacing w:before="0" w:after="0" w:line="440" w:lineRule="exact"/>
      <w:outlineLvl w:val="9"/>
    </w:pPr>
    <w:rPr>
      <w:rFonts w:ascii="Times New Roman" w:hAnsi="Times New Roman" w:eastAsia="宋体" w:cs="Times New Roman"/>
      <w:bCs w:val="0"/>
      <w:snapToGrid w:val="0"/>
      <w:sz w:val="24"/>
      <w:szCs w:val="24"/>
    </w:rPr>
  </w:style>
  <w:style w:type="character" w:customStyle="1" w:styleId="175">
    <w:name w:val="标题 Char"/>
    <w:basedOn w:val="50"/>
    <w:link w:val="43"/>
    <w:autoRedefine/>
    <w:qFormat/>
    <w:uiPriority w:val="0"/>
    <w:rPr>
      <w:rFonts w:asciiTheme="majorHAnsi" w:hAnsiTheme="majorHAnsi" w:eastAsiaTheme="majorEastAsia" w:cstheme="majorBidi"/>
      <w:b/>
      <w:bCs/>
      <w:kern w:val="2"/>
      <w:sz w:val="32"/>
      <w:szCs w:val="32"/>
    </w:rPr>
  </w:style>
  <w:style w:type="character" w:customStyle="1" w:styleId="176">
    <w:name w:val="正文缩进 字符1"/>
    <w:autoRedefine/>
    <w:qFormat/>
    <w:uiPriority w:val="99"/>
    <w:rPr>
      <w:kern w:val="2"/>
      <w:sz w:val="24"/>
    </w:rPr>
  </w:style>
  <w:style w:type="character" w:customStyle="1" w:styleId="177">
    <w:name w:val="表文 Char"/>
    <w:link w:val="178"/>
    <w:autoRedefine/>
    <w:qFormat/>
    <w:uiPriority w:val="0"/>
    <w:rPr>
      <w:spacing w:val="-12"/>
      <w:sz w:val="21"/>
      <w:szCs w:val="21"/>
    </w:rPr>
  </w:style>
  <w:style w:type="paragraph" w:customStyle="1" w:styleId="178">
    <w:name w:val="表文"/>
    <w:basedOn w:val="1"/>
    <w:link w:val="177"/>
    <w:autoRedefine/>
    <w:qFormat/>
    <w:uiPriority w:val="0"/>
    <w:pPr>
      <w:widowControl/>
      <w:adjustRightInd w:val="0"/>
      <w:snapToGrid w:val="0"/>
      <w:spacing w:line="240" w:lineRule="atLeast"/>
      <w:jc w:val="center"/>
    </w:pPr>
    <w:rPr>
      <w:spacing w:val="-12"/>
      <w:kern w:val="0"/>
      <w:szCs w:val="21"/>
    </w:rPr>
  </w:style>
  <w:style w:type="character" w:customStyle="1" w:styleId="179">
    <w:name w:val="正文－R Char"/>
    <w:link w:val="180"/>
    <w:autoRedefine/>
    <w:qFormat/>
    <w:uiPriority w:val="0"/>
    <w:rPr>
      <w:sz w:val="24"/>
    </w:rPr>
  </w:style>
  <w:style w:type="paragraph" w:customStyle="1" w:styleId="180">
    <w:name w:val="正文－R"/>
    <w:basedOn w:val="1"/>
    <w:link w:val="179"/>
    <w:autoRedefine/>
    <w:qFormat/>
    <w:uiPriority w:val="0"/>
    <w:pPr>
      <w:spacing w:line="440" w:lineRule="exact"/>
      <w:ind w:firstLine="200" w:firstLineChars="200"/>
    </w:pPr>
    <w:rPr>
      <w:kern w:val="0"/>
      <w:sz w:val="24"/>
    </w:rPr>
  </w:style>
  <w:style w:type="paragraph" w:customStyle="1" w:styleId="181">
    <w:name w:val="正文（首行缩进两字） Char Char"/>
    <w:basedOn w:val="1"/>
    <w:next w:val="5"/>
    <w:autoRedefine/>
    <w:qFormat/>
    <w:uiPriority w:val="0"/>
    <w:pPr>
      <w:widowControl/>
      <w:adjustRightInd w:val="0"/>
      <w:snapToGrid w:val="0"/>
      <w:spacing w:line="440" w:lineRule="exact"/>
      <w:ind w:firstLine="200" w:firstLineChars="200"/>
    </w:pPr>
    <w:rPr>
      <w:snapToGrid w:val="0"/>
      <w:sz w:val="24"/>
    </w:rPr>
  </w:style>
  <w:style w:type="paragraph" w:customStyle="1" w:styleId="182">
    <w:name w:val="表头文字"/>
    <w:basedOn w:val="1"/>
    <w:link w:val="183"/>
    <w:autoRedefine/>
    <w:qFormat/>
    <w:uiPriority w:val="0"/>
    <w:pPr>
      <w:jc w:val="center"/>
    </w:pPr>
    <w:rPr>
      <w:b/>
      <w:sz w:val="24"/>
      <w:szCs w:val="24"/>
    </w:rPr>
  </w:style>
  <w:style w:type="character" w:customStyle="1" w:styleId="183">
    <w:name w:val="表头文字 Char"/>
    <w:basedOn w:val="50"/>
    <w:link w:val="182"/>
    <w:autoRedefine/>
    <w:qFormat/>
    <w:uiPriority w:val="0"/>
    <w:rPr>
      <w:b/>
      <w:kern w:val="2"/>
      <w:sz w:val="24"/>
      <w:szCs w:val="24"/>
    </w:rPr>
  </w:style>
  <w:style w:type="character" w:customStyle="1" w:styleId="184">
    <w:name w:val="正文1 Char1"/>
    <w:link w:val="33"/>
    <w:autoRedefine/>
    <w:qFormat/>
    <w:uiPriority w:val="0"/>
    <w:rPr>
      <w:snapToGrid w:val="0"/>
      <w:sz w:val="24"/>
    </w:rPr>
  </w:style>
  <w:style w:type="paragraph" w:customStyle="1" w:styleId="185">
    <w:name w:val="_Style 7"/>
    <w:basedOn w:val="4"/>
    <w:autoRedefine/>
    <w:qFormat/>
    <w:uiPriority w:val="0"/>
    <w:pPr>
      <w:widowControl w:val="0"/>
      <w:tabs>
        <w:tab w:val="left" w:pos="360"/>
        <w:tab w:val="left" w:pos="900"/>
      </w:tabs>
      <w:snapToGrid w:val="0"/>
      <w:spacing w:before="120" w:after="120" w:line="360" w:lineRule="auto"/>
      <w:ind w:left="542" w:leftChars="-12" w:firstLine="200" w:firstLineChars="200"/>
    </w:pPr>
    <w:rPr>
      <w:bCs/>
      <w:kern w:val="2"/>
      <w:szCs w:val="32"/>
    </w:rPr>
  </w:style>
  <w:style w:type="paragraph" w:customStyle="1" w:styleId="186">
    <w:name w:val="【表格】"/>
    <w:next w:val="45"/>
    <w:autoRedefine/>
    <w:qFormat/>
    <w:uiPriority w:val="0"/>
    <w:pPr>
      <w:spacing w:line="300" w:lineRule="exact"/>
      <w:jc w:val="center"/>
    </w:pPr>
    <w:rPr>
      <w:rFonts w:ascii="Times New Roman" w:hAnsi="Times New Roman" w:eastAsia="宋体" w:cs="Times New Roman"/>
      <w:sz w:val="21"/>
      <w:szCs w:val="24"/>
      <w:lang w:val="en-US" w:eastAsia="zh-CN" w:bidi="ar-SA"/>
    </w:rPr>
  </w:style>
  <w:style w:type="paragraph" w:customStyle="1" w:styleId="187">
    <w:name w:val="【表头】"/>
    <w:basedOn w:val="1"/>
    <w:link w:val="188"/>
    <w:autoRedefine/>
    <w:qFormat/>
    <w:uiPriority w:val="0"/>
    <w:pPr>
      <w:widowControl/>
      <w:jc w:val="center"/>
    </w:pPr>
    <w:rPr>
      <w:b/>
      <w:kern w:val="0"/>
      <w:sz w:val="24"/>
      <w:szCs w:val="24"/>
    </w:rPr>
  </w:style>
  <w:style w:type="character" w:customStyle="1" w:styleId="188">
    <w:name w:val="【表头】 Char"/>
    <w:link w:val="187"/>
    <w:autoRedefine/>
    <w:qFormat/>
    <w:locked/>
    <w:uiPriority w:val="0"/>
    <w:rPr>
      <w:b/>
      <w:sz w:val="24"/>
      <w:szCs w:val="24"/>
    </w:rPr>
  </w:style>
  <w:style w:type="character" w:customStyle="1" w:styleId="189">
    <w:name w:val="样式2 Char"/>
    <w:link w:val="190"/>
    <w:autoRedefine/>
    <w:qFormat/>
    <w:uiPriority w:val="0"/>
    <w:rPr>
      <w:rFonts w:ascii="宋体" w:hAnsi="宋体"/>
      <w:kern w:val="2"/>
      <w:sz w:val="24"/>
      <w:szCs w:val="24"/>
    </w:rPr>
  </w:style>
  <w:style w:type="paragraph" w:customStyle="1" w:styleId="190">
    <w:name w:val="样式2"/>
    <w:basedOn w:val="1"/>
    <w:link w:val="189"/>
    <w:autoRedefine/>
    <w:qFormat/>
    <w:uiPriority w:val="0"/>
    <w:pPr>
      <w:widowControl/>
      <w:snapToGrid w:val="0"/>
      <w:spacing w:line="440" w:lineRule="exact"/>
      <w:ind w:firstLine="200" w:firstLineChars="200"/>
      <w:jc w:val="left"/>
    </w:pPr>
    <w:rPr>
      <w:rFonts w:ascii="宋体" w:hAnsi="宋体"/>
      <w:sz w:val="24"/>
      <w:szCs w:val="24"/>
    </w:rPr>
  </w:style>
  <w:style w:type="character" w:customStyle="1" w:styleId="191">
    <w:name w:val="普通(网站) Char"/>
    <w:link w:val="41"/>
    <w:autoRedefine/>
    <w:qFormat/>
    <w:locked/>
    <w:uiPriority w:val="99"/>
    <w:rPr>
      <w:rFonts w:ascii="宋体" w:hAnsi="宋体" w:cs="宋体"/>
      <w:color w:val="000000"/>
      <w:sz w:val="24"/>
      <w:szCs w:val="24"/>
    </w:rPr>
  </w:style>
  <w:style w:type="paragraph" w:customStyle="1" w:styleId="192">
    <w:name w:val="A正文"/>
    <w:basedOn w:val="1"/>
    <w:autoRedefine/>
    <w:qFormat/>
    <w:uiPriority w:val="99"/>
    <w:pPr>
      <w:spacing w:line="440" w:lineRule="exact"/>
      <w:ind w:firstLine="200" w:firstLineChars="200"/>
    </w:pPr>
    <w:rPr>
      <w:rFonts w:hint="eastAsia"/>
      <w:sz w:val="24"/>
    </w:rPr>
  </w:style>
  <w:style w:type="character" w:customStyle="1" w:styleId="193">
    <w:name w:val="1正文 Char"/>
    <w:link w:val="172"/>
    <w:autoRedefine/>
    <w:qFormat/>
    <w:uiPriority w:val="0"/>
    <w:rPr>
      <w:snapToGrid w:val="0"/>
      <w:kern w:val="2"/>
      <w:sz w:val="24"/>
      <w:szCs w:val="24"/>
    </w:rPr>
  </w:style>
  <w:style w:type="paragraph" w:customStyle="1" w:styleId="194">
    <w:name w:val="兰天 规划 正文"/>
    <w:basedOn w:val="1"/>
    <w:autoRedefine/>
    <w:qFormat/>
    <w:uiPriority w:val="99"/>
    <w:pPr>
      <w:widowControl/>
      <w:adjustRightInd w:val="0"/>
      <w:snapToGrid w:val="0"/>
      <w:spacing w:line="440" w:lineRule="exact"/>
      <w:ind w:firstLine="200" w:firstLineChars="200"/>
    </w:pPr>
    <w:rPr>
      <w:rFonts w:ascii="宋体" w:hAnsi="宋体"/>
      <w:color w:val="0070C0"/>
      <w:spacing w:val="4"/>
      <w:kern w:val="0"/>
      <w:sz w:val="24"/>
      <w:szCs w:val="22"/>
    </w:rPr>
  </w:style>
  <w:style w:type="paragraph" w:customStyle="1" w:styleId="195">
    <w:name w:val="2表格字体"/>
    <w:basedOn w:val="1"/>
    <w:autoRedefine/>
    <w:qFormat/>
    <w:uiPriority w:val="99"/>
    <w:pPr>
      <w:adjustRightInd w:val="0"/>
      <w:snapToGrid w:val="0"/>
      <w:jc w:val="center"/>
    </w:pPr>
    <w:rPr>
      <w:rFonts w:ascii="Arial" w:hAnsi="Arial"/>
      <w:kern w:val="0"/>
      <w:sz w:val="24"/>
    </w:rPr>
  </w:style>
  <w:style w:type="character" w:customStyle="1" w:styleId="196">
    <w:name w:val="报告正文 字符"/>
    <w:link w:val="197"/>
    <w:autoRedefine/>
    <w:qFormat/>
    <w:uiPriority w:val="0"/>
    <w:rPr>
      <w:color w:val="000000"/>
      <w:kern w:val="2"/>
      <w:sz w:val="24"/>
      <w:szCs w:val="24"/>
      <w:lang w:val="zh-CN"/>
    </w:rPr>
  </w:style>
  <w:style w:type="paragraph" w:customStyle="1" w:styleId="197">
    <w:name w:val="报告正文"/>
    <w:basedOn w:val="1"/>
    <w:link w:val="196"/>
    <w:autoRedefine/>
    <w:qFormat/>
    <w:uiPriority w:val="0"/>
    <w:pPr>
      <w:adjustRightInd w:val="0"/>
      <w:snapToGrid w:val="0"/>
      <w:spacing w:line="440" w:lineRule="exact"/>
      <w:ind w:firstLine="200" w:firstLineChars="200"/>
    </w:pPr>
    <w:rPr>
      <w:color w:val="000000"/>
      <w:sz w:val="24"/>
      <w:szCs w:val="24"/>
      <w:lang w:val="zh-CN"/>
    </w:rPr>
  </w:style>
  <w:style w:type="character" w:customStyle="1" w:styleId="198">
    <w:name w:val="标题 3 Char1"/>
    <w:autoRedefine/>
    <w:qFormat/>
    <w:uiPriority w:val="0"/>
    <w:rPr>
      <w:b/>
      <w:bCs/>
      <w:kern w:val="2"/>
      <w:sz w:val="32"/>
      <w:szCs w:val="32"/>
    </w:rPr>
  </w:style>
  <w:style w:type="character" w:customStyle="1" w:styleId="199">
    <w:name w:val="HTML 预设格式 Char1"/>
    <w:autoRedefine/>
    <w:qFormat/>
    <w:uiPriority w:val="0"/>
    <w:rPr>
      <w:rFonts w:ascii="Courier New" w:hAnsi="Courier New" w:cs="Courier New"/>
      <w:kern w:val="2"/>
    </w:rPr>
  </w:style>
  <w:style w:type="paragraph" w:customStyle="1" w:styleId="200">
    <w:name w:val="表格文字"/>
    <w:basedOn w:val="67"/>
    <w:autoRedefine/>
    <w:qFormat/>
    <w:uiPriority w:val="0"/>
    <w:pPr>
      <w:spacing w:line="240" w:lineRule="exact"/>
    </w:pPr>
    <w:rPr>
      <w:w w:val="90"/>
    </w:rPr>
  </w:style>
  <w:style w:type="character" w:customStyle="1" w:styleId="201">
    <w:name w:val="表头 Char Char"/>
    <w:autoRedefine/>
    <w:qFormat/>
    <w:uiPriority w:val="0"/>
    <w:rPr>
      <w:rFonts w:cstheme="minorBidi"/>
      <w:b/>
      <w:kern w:val="2"/>
      <w:sz w:val="24"/>
      <w:szCs w:val="22"/>
    </w:rPr>
  </w:style>
  <w:style w:type="character" w:customStyle="1" w:styleId="202">
    <w:name w:val="HTML 预设格式 Char"/>
    <w:basedOn w:val="50"/>
    <w:link w:val="40"/>
    <w:autoRedefine/>
    <w:qFormat/>
    <w:uiPriority w:val="0"/>
    <w:rPr>
      <w:rFonts w:ascii="宋体" w:hAnsi="宋体" w:cs="宋体"/>
      <w:sz w:val="24"/>
      <w:szCs w:val="24"/>
    </w:rPr>
  </w:style>
  <w:style w:type="paragraph" w:customStyle="1" w:styleId="203">
    <w:name w:val="文"/>
    <w:basedOn w:val="1"/>
    <w:autoRedefine/>
    <w:qFormat/>
    <w:uiPriority w:val="0"/>
    <w:pPr>
      <w:spacing w:line="360" w:lineRule="auto"/>
      <w:ind w:firstLine="480" w:firstLineChars="200"/>
    </w:pPr>
    <w:rPr>
      <w:sz w:val="24"/>
      <w:szCs w:val="24"/>
    </w:rPr>
  </w:style>
  <w:style w:type="paragraph" w:customStyle="1" w:styleId="204">
    <w:name w:val="表头居中"/>
    <w:basedOn w:val="1"/>
    <w:next w:val="1"/>
    <w:autoRedefine/>
    <w:qFormat/>
    <w:uiPriority w:val="0"/>
    <w:pPr>
      <w:spacing w:line="440" w:lineRule="exact"/>
      <w:jc w:val="center"/>
    </w:pPr>
    <w:rPr>
      <w:b/>
      <w:color w:val="000000"/>
      <w:kern w:val="0"/>
      <w:sz w:val="24"/>
      <w:szCs w:val="22"/>
    </w:rPr>
  </w:style>
  <w:style w:type="character" w:customStyle="1" w:styleId="205">
    <w:name w:val="列出段落 Char"/>
    <w:link w:val="135"/>
    <w:autoRedefine/>
    <w:qFormat/>
    <w:uiPriority w:val="99"/>
    <w:rPr>
      <w:rFonts w:ascii="Calibri" w:hAnsi="Calibri"/>
      <w:kern w:val="2"/>
      <w:sz w:val="21"/>
      <w:szCs w:val="22"/>
    </w:rPr>
  </w:style>
  <w:style w:type="paragraph" w:customStyle="1" w:styleId="206">
    <w:name w:val="修订1"/>
    <w:autoRedefine/>
    <w:hidden/>
    <w:semiHidden/>
    <w:qFormat/>
    <w:uiPriority w:val="99"/>
    <w:rPr>
      <w:rFonts w:ascii="Times New Roman" w:hAnsi="Times New Roman" w:eastAsia="宋体" w:cs="Times New Roman"/>
      <w:kern w:val="2"/>
      <w:sz w:val="21"/>
      <w:lang w:val="en-US" w:eastAsia="zh-CN" w:bidi="ar-SA"/>
    </w:rPr>
  </w:style>
  <w:style w:type="paragraph" w:customStyle="1" w:styleId="207">
    <w:name w:val="质量报告书正文"/>
    <w:basedOn w:val="1"/>
    <w:autoRedefine/>
    <w:qFormat/>
    <w:uiPriority w:val="0"/>
    <w:pPr>
      <w:spacing w:line="440" w:lineRule="exact"/>
      <w:ind w:firstLine="560" w:firstLineChars="200"/>
    </w:pPr>
    <w:rPr>
      <w:rFonts w:eastAsia="仿宋_GB2312" w:cstheme="minorBidi"/>
      <w:sz w:val="28"/>
      <w:szCs w:val="22"/>
    </w:rPr>
  </w:style>
  <w:style w:type="paragraph" w:customStyle="1" w:styleId="208">
    <w:name w:val="正文首行缩进1"/>
    <w:basedOn w:val="19"/>
    <w:autoRedefine/>
    <w:qFormat/>
    <w:uiPriority w:val="0"/>
    <w:pPr>
      <w:spacing w:before="149" w:after="120"/>
      <w:ind w:left="220" w:firstLine="420"/>
    </w:pPr>
    <w:rPr>
      <w:rFonts w:hAnsi="仿宋_GB2312" w:cs="仿宋_GB2312"/>
      <w:sz w:val="21"/>
      <w:szCs w:val="24"/>
      <w:lang w:val="zh-CN" w:bidi="zh-CN"/>
    </w:rPr>
  </w:style>
  <w:style w:type="paragraph" w:customStyle="1" w:styleId="209">
    <w:name w:val="C2"/>
    <w:basedOn w:val="1"/>
    <w:autoRedefine/>
    <w:qFormat/>
    <w:uiPriority w:val="0"/>
    <w:pPr>
      <w:autoSpaceDE w:val="0"/>
      <w:autoSpaceDN w:val="0"/>
      <w:jc w:val="left"/>
    </w:pPr>
    <w:rPr>
      <w:rFonts w:ascii="宋体" w:hAnsi="宋体" w:cs="宋体"/>
      <w:kern w:val="0"/>
      <w:sz w:val="28"/>
      <w:lang w:val="zh-CN" w:bidi="zh-CN"/>
    </w:rPr>
  </w:style>
  <w:style w:type="paragraph" w:customStyle="1" w:styleId="210">
    <w:name w:val="样式 样式 样式 首行缩进:  1 字符 + 首行缩进:  2 字符2 + 首行缩进:  2 字符 行距: 固定值 23 磅"/>
    <w:basedOn w:val="1"/>
    <w:autoRedefine/>
    <w:qFormat/>
    <w:uiPriority w:val="0"/>
    <w:pPr>
      <w:autoSpaceDE w:val="0"/>
      <w:autoSpaceDN w:val="0"/>
      <w:adjustRightInd w:val="0"/>
      <w:snapToGrid w:val="0"/>
      <w:spacing w:line="360" w:lineRule="auto"/>
      <w:ind w:firstLine="200" w:firstLineChars="200"/>
      <w:jc w:val="left"/>
    </w:pPr>
    <w:rPr>
      <w:rFonts w:ascii="宋体" w:hAnsi="宋体" w:cs="宋体"/>
      <w:kern w:val="0"/>
      <w:sz w:val="24"/>
      <w:szCs w:val="22"/>
      <w:lang w:val="zh-CN" w:bidi="zh-CN"/>
    </w:rPr>
  </w:style>
  <w:style w:type="character" w:customStyle="1" w:styleId="211">
    <w:name w:val="页脚 字符"/>
    <w:basedOn w:val="50"/>
    <w:autoRedefine/>
    <w:qFormat/>
    <w:uiPriority w:val="99"/>
  </w:style>
  <w:style w:type="character" w:customStyle="1" w:styleId="212">
    <w:name w:val="1项目名称 Char"/>
    <w:link w:val="213"/>
    <w:autoRedefine/>
    <w:qFormat/>
    <w:uiPriority w:val="0"/>
    <w:rPr>
      <w:b/>
      <w:sz w:val="32"/>
      <w:szCs w:val="24"/>
    </w:rPr>
  </w:style>
  <w:style w:type="paragraph" w:customStyle="1" w:styleId="213">
    <w:name w:val="1项目名称"/>
    <w:link w:val="212"/>
    <w:autoRedefine/>
    <w:qFormat/>
    <w:uiPriority w:val="0"/>
    <w:pPr>
      <w:spacing w:line="360" w:lineRule="auto"/>
      <w:ind w:hanging="1480" w:hangingChars="434"/>
    </w:pPr>
    <w:rPr>
      <w:rFonts w:ascii="Times New Roman" w:hAnsi="Times New Roman" w:eastAsia="宋体" w:cs="Times New Roman"/>
      <w:b/>
      <w:sz w:val="32"/>
      <w:szCs w:val="24"/>
      <w:lang w:val="en-US" w:eastAsia="zh-CN" w:bidi="ar-SA"/>
    </w:rPr>
  </w:style>
  <w:style w:type="character" w:customStyle="1" w:styleId="214">
    <w:name w:val="正文样式 Char"/>
    <w:link w:val="161"/>
    <w:autoRedefine/>
    <w:qFormat/>
    <w:uiPriority w:val="0"/>
    <w:rPr>
      <w:kern w:val="2"/>
      <w:sz w:val="24"/>
    </w:rPr>
  </w:style>
  <w:style w:type="table" w:customStyle="1" w:styleId="215">
    <w:name w:val="Table Normal"/>
    <w:autoRedefine/>
    <w:semiHidden/>
    <w:unhideWhenUsed/>
    <w:qFormat/>
    <w:uiPriority w:val="2"/>
    <w:pPr>
      <w:widowControl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16">
    <w:name w:val="修订2"/>
    <w:autoRedefine/>
    <w:hidden/>
    <w:semiHidden/>
    <w:qFormat/>
    <w:uiPriority w:val="99"/>
    <w:rPr>
      <w:rFonts w:ascii="Times New Roman" w:hAnsi="Times New Roman" w:eastAsia="宋体" w:cs="Times New Roman"/>
      <w:kern w:val="2"/>
      <w:sz w:val="21"/>
      <w:lang w:val="en-US" w:eastAsia="zh-CN" w:bidi="ar-SA"/>
    </w:rPr>
  </w:style>
  <w:style w:type="paragraph" w:customStyle="1" w:styleId="217">
    <w:name w:val="正文01"/>
    <w:basedOn w:val="1"/>
    <w:autoRedefine/>
    <w:qFormat/>
    <w:uiPriority w:val="0"/>
    <w:pPr>
      <w:spacing w:before="60" w:line="460" w:lineRule="exact"/>
      <w:ind w:firstLine="200" w:firstLineChars="200"/>
    </w:pPr>
    <w:rPr>
      <w:sz w:val="24"/>
      <w:szCs w:val="24"/>
    </w:rPr>
  </w:style>
  <w:style w:type="paragraph" w:customStyle="1" w:styleId="218">
    <w:name w:val="TOC 标题1"/>
    <w:basedOn w:val="2"/>
    <w:next w:val="1"/>
    <w:autoRedefine/>
    <w:unhideWhenUsed/>
    <w:qFormat/>
    <w:uiPriority w:val="39"/>
    <w:pPr>
      <w:keepNext/>
      <w:keepLines/>
      <w:pageBreakBefore w:val="0"/>
      <w:widowControl/>
      <w:spacing w:before="240" w:line="259" w:lineRule="auto"/>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219">
    <w:name w:val="content-right_8zs40"/>
    <w:basedOn w:val="50"/>
    <w:autoRedefine/>
    <w:qFormat/>
    <w:uiPriority w:val="0"/>
  </w:style>
  <w:style w:type="character" w:customStyle="1" w:styleId="220">
    <w:name w:val="【正文】 Char"/>
    <w:link w:val="221"/>
    <w:autoRedefine/>
    <w:qFormat/>
    <w:uiPriority w:val="0"/>
    <w:rPr>
      <w:sz w:val="24"/>
    </w:rPr>
  </w:style>
  <w:style w:type="paragraph" w:customStyle="1" w:styleId="221">
    <w:name w:val="【正文】"/>
    <w:basedOn w:val="1"/>
    <w:link w:val="220"/>
    <w:autoRedefine/>
    <w:qFormat/>
    <w:uiPriority w:val="0"/>
    <w:pPr>
      <w:spacing w:line="440" w:lineRule="exact"/>
      <w:ind w:firstLine="200" w:firstLineChars="200"/>
    </w:pPr>
    <w:rPr>
      <w:kern w:val="0"/>
      <w:sz w:val="24"/>
    </w:rPr>
  </w:style>
  <w:style w:type="character" w:customStyle="1" w:styleId="222">
    <w:name w:val="【表中文字】 Char"/>
    <w:link w:val="223"/>
    <w:autoRedefine/>
    <w:qFormat/>
    <w:uiPriority w:val="0"/>
    <w:rPr>
      <w:sz w:val="21"/>
    </w:rPr>
  </w:style>
  <w:style w:type="paragraph" w:customStyle="1" w:styleId="223">
    <w:name w:val="【表中文字】"/>
    <w:basedOn w:val="1"/>
    <w:link w:val="222"/>
    <w:autoRedefine/>
    <w:qFormat/>
    <w:uiPriority w:val="0"/>
    <w:pPr>
      <w:jc w:val="center"/>
    </w:pPr>
    <w:rPr>
      <w:kern w:val="0"/>
    </w:rPr>
  </w:style>
  <w:style w:type="paragraph" w:customStyle="1" w:styleId="224">
    <w:name w:val="0--表格文字"/>
    <w:basedOn w:val="1"/>
    <w:autoRedefine/>
    <w:qFormat/>
    <w:uiPriority w:val="0"/>
    <w:pPr>
      <w:spacing w:line="240" w:lineRule="exact"/>
      <w:contextualSpacing/>
      <w:jc w:val="center"/>
    </w:pPr>
    <w:rPr>
      <w:bCs/>
      <w:spacing w:val="-6"/>
      <w:w w:val="90"/>
      <w:kern w:val="0"/>
      <w:szCs w:val="21"/>
    </w:rPr>
  </w:style>
  <w:style w:type="paragraph" w:customStyle="1" w:styleId="225">
    <w:name w:val="表格格式"/>
    <w:basedOn w:val="36"/>
    <w:next w:val="1"/>
    <w:autoRedefine/>
    <w:qFormat/>
    <w:uiPriority w:val="0"/>
    <w:pPr>
      <w:jc w:val="center"/>
    </w:pPr>
    <w:rPr>
      <w:snapToGrid w:val="0"/>
      <w:sz w:val="20"/>
    </w:rPr>
  </w:style>
  <w:style w:type="paragraph" w:customStyle="1" w:styleId="226">
    <w:name w:val="...正文"/>
    <w:basedOn w:val="1"/>
    <w:autoRedefine/>
    <w:qFormat/>
    <w:uiPriority w:val="0"/>
    <w:pPr>
      <w:widowControl/>
      <w:spacing w:line="480" w:lineRule="exact"/>
      <w:ind w:firstLine="200" w:firstLineChars="200"/>
    </w:pPr>
    <w:rPr>
      <w:sz w:val="24"/>
    </w:rPr>
  </w:style>
  <w:style w:type="paragraph" w:customStyle="1" w:styleId="227">
    <w:name w:val="Table Text"/>
    <w:basedOn w:val="1"/>
    <w:autoRedefine/>
    <w:semiHidden/>
    <w:qFormat/>
    <w:uiPriority w:val="0"/>
    <w:rPr>
      <w:rFonts w:ascii="宋体" w:hAnsi="宋体" w:eastAsia="宋体" w:cs="宋体"/>
      <w:sz w:val="20"/>
      <w:szCs w:val="20"/>
      <w:lang w:val="en-US" w:eastAsia="en-US" w:bidi="ar-SA"/>
    </w:rPr>
  </w:style>
  <w:style w:type="character" w:customStyle="1" w:styleId="228">
    <w:name w:val="font61"/>
    <w:basedOn w:val="50"/>
    <w:qFormat/>
    <w:uiPriority w:val="0"/>
    <w:rPr>
      <w:rFonts w:ascii="Times New Roman" w:hAnsi="Times New Roman" w:cs="Times New Roman"/>
      <w:color w:val="000000"/>
      <w:sz w:val="21"/>
      <w:szCs w:val="21"/>
      <w:u w:val="none"/>
      <w:vertAlign w:val="subscript"/>
      <w:lang w:bidi="ar-SA"/>
    </w:rPr>
  </w:style>
  <w:style w:type="character" w:customStyle="1" w:styleId="229">
    <w:name w:val="font51"/>
    <w:basedOn w:val="50"/>
    <w:qFormat/>
    <w:uiPriority w:val="0"/>
    <w:rPr>
      <w:rFonts w:ascii="Times New Roman" w:hAnsi="Times New Roman" w:cs="Times New Roman"/>
      <w:color w:val="000000"/>
      <w:sz w:val="21"/>
      <w:szCs w:val="21"/>
      <w:u w:val="none"/>
      <w:vertAlign w:val="superscript"/>
      <w:lang w:bidi="ar-SA"/>
    </w:rPr>
  </w:style>
  <w:style w:type="paragraph" w:customStyle="1" w:styleId="230">
    <w:name w:val="报告表正文"/>
    <w:basedOn w:val="1"/>
    <w:qFormat/>
    <w:uiPriority w:val="0"/>
    <w:pPr>
      <w:adjustRightInd w:val="0"/>
      <w:spacing w:line="460" w:lineRule="exact"/>
      <w:ind w:firstLine="960" w:firstLineChars="200"/>
      <w:textAlignment w:val="baseline"/>
    </w:pPr>
    <w:rPr>
      <w:kern w:val="0"/>
      <w:sz w:val="24"/>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8" Type="http://schemas.openxmlformats.org/officeDocument/2006/relationships/fontTable" Target="fontTable.xml"/><Relationship Id="rId47" Type="http://schemas.openxmlformats.org/officeDocument/2006/relationships/numbering" Target="numbering.xml"/><Relationship Id="rId46" Type="http://schemas.openxmlformats.org/officeDocument/2006/relationships/customXml" Target="../customXml/item1.xml"/><Relationship Id="rId45" Type="http://schemas.openxmlformats.org/officeDocument/2006/relationships/image" Target="media/image38.jpeg"/><Relationship Id="rId44" Type="http://schemas.openxmlformats.org/officeDocument/2006/relationships/image" Target="media/image37.jpeg"/><Relationship Id="rId43" Type="http://schemas.openxmlformats.org/officeDocument/2006/relationships/image" Target="media/image36.jpeg"/><Relationship Id="rId42" Type="http://schemas.openxmlformats.org/officeDocument/2006/relationships/image" Target="media/image35.jpeg"/><Relationship Id="rId41" Type="http://schemas.openxmlformats.org/officeDocument/2006/relationships/image" Target="media/image34.jpeg"/><Relationship Id="rId40" Type="http://schemas.openxmlformats.org/officeDocument/2006/relationships/image" Target="media/image33.jpeg"/><Relationship Id="rId4" Type="http://schemas.openxmlformats.org/officeDocument/2006/relationships/footer" Target="footer2.xml"/><Relationship Id="rId39" Type="http://schemas.openxmlformats.org/officeDocument/2006/relationships/image" Target="media/image32.png"/><Relationship Id="rId38" Type="http://schemas.openxmlformats.org/officeDocument/2006/relationships/image" Target="media/image31.png"/><Relationship Id="rId37" Type="http://schemas.openxmlformats.org/officeDocument/2006/relationships/image" Target="media/image30.png"/><Relationship Id="rId36" Type="http://schemas.openxmlformats.org/officeDocument/2006/relationships/image" Target="media/image29.png"/><Relationship Id="rId35" Type="http://schemas.openxmlformats.org/officeDocument/2006/relationships/image" Target="media/image28.png"/><Relationship Id="rId34" Type="http://schemas.openxmlformats.org/officeDocument/2006/relationships/image" Target="media/image27.png"/><Relationship Id="rId33" Type="http://schemas.openxmlformats.org/officeDocument/2006/relationships/image" Target="media/image26.png"/><Relationship Id="rId32" Type="http://schemas.openxmlformats.org/officeDocument/2006/relationships/image" Target="media/image25.png"/><Relationship Id="rId31" Type="http://schemas.openxmlformats.org/officeDocument/2006/relationships/image" Target="media/image24.png"/><Relationship Id="rId30" Type="http://schemas.openxmlformats.org/officeDocument/2006/relationships/image" Target="media/image23.png"/><Relationship Id="rId3" Type="http://schemas.openxmlformats.org/officeDocument/2006/relationships/footer" Target="footer1.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29579;&#38745;\&#29615;&#22659;&#24433;&#21709;&#25253;&#34920;\&#35780;&#20215;&#21333;&#20301;.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评价单位</Template>
  <Company>Microsoft</Company>
  <Pages>97</Pages>
  <Words>11949</Words>
  <Characters>12516</Characters>
  <Lines>1</Lines>
  <Paragraphs>1</Paragraphs>
  <TotalTime>4</TotalTime>
  <ScaleCrop>false</ScaleCrop>
  <LinksUpToDate>false</LinksUpToDate>
  <CharactersWithSpaces>12636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2021-02-26T02:53:00Z</dcterms:created>
  <dc:creator>fc</dc:creator>
  <cp:lastModifiedBy>Lunaticy</cp:lastModifiedBy>
  <cp:lastPrinted>2026-04-28T00:58:00Z</cp:lastPrinted>
  <dcterms:modified xsi:type="dcterms:W3CDTF">2026-08-17T07:52:24Z</dcterms:modified>
  <dc:title>评价单位                             (公章)</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3D0A0845056F41BEB3DAB2829E7EB79C</vt:lpwstr>
  </property>
  <property fmtid="{D5CDD505-2E9C-101B-9397-08002B2CF9AE}" pid="4" name="KSOTemplateDocerSaveRecord">
    <vt:lpwstr>eyJoZGlkIjoiZjRiMGI0NjE5NThjZjU5Zjk4NDM2NWFkM2ZkOTc3YWMiLCJ1c2VySWQiOiIzMDExNjExMjkifQ==</vt:lpwstr>
  </property>
</Properties>
</file>